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5F35ACEE" w14:textId="77777777" w:rsidR="00EB546F" w:rsidRPr="003A3F9D" w:rsidRDefault="00EB546F" w:rsidP="00E23CFC">
      <w:pPr>
        <w:pStyle w:val="14"/>
        <w:ind w:left="567" w:hanging="567"/>
      </w:pPr>
      <w:bookmarkStart w:id="1" w:name="_Toc193976072"/>
      <w:r w:rsidRPr="003A3F9D">
        <w:rPr>
          <w:rFonts w:hint="eastAsia"/>
        </w:rPr>
        <w:t>第8項、南區國稅局及所屬</w:t>
      </w:r>
      <w:bookmarkEnd w:id="1"/>
    </w:p>
    <w:p w14:paraId="2937FEE1" w14:textId="77777777" w:rsidR="00EB546F" w:rsidRPr="00E44D39" w:rsidRDefault="00EB546F" w:rsidP="00E20FA5">
      <w:pPr>
        <w:pStyle w:val="a5"/>
        <w:ind w:left="567" w:hanging="567"/>
        <w:rPr>
          <w:color w:val="0070C0"/>
        </w:rPr>
      </w:pPr>
      <w:r w:rsidRPr="003A3F9D">
        <w:rPr>
          <w:rFonts w:hint="eastAsia"/>
        </w:rPr>
        <w:t>一、臺北國稅局屢因證交稅及期交稅代徵獎金發放預算不敷而動支第二預備金，允宜精進估測能力</w:t>
      </w:r>
      <w:r>
        <w:rPr>
          <w:rFonts w:hAnsi="標楷體" w:hint="eastAsia"/>
        </w:rPr>
        <w:t>，以核</w:t>
      </w:r>
      <w:r w:rsidRPr="00033051">
        <w:rPr>
          <w:rFonts w:hAnsi="標楷體" w:hint="eastAsia"/>
        </w:rPr>
        <w:t>實編列</w:t>
      </w:r>
      <w:r>
        <w:rPr>
          <w:rFonts w:hAnsi="標楷體" w:hint="eastAsia"/>
        </w:rPr>
        <w:t>預算</w:t>
      </w:r>
    </w:p>
    <w:p w14:paraId="6439BE1A" w14:textId="77777777" w:rsidR="00EB546F" w:rsidRPr="003A3F9D" w:rsidRDefault="00EB546F" w:rsidP="00E20FA5">
      <w:pPr>
        <w:ind w:left="566" w:firstLine="566"/>
        <w:rPr>
          <w:rFonts w:hAnsi="標楷體"/>
        </w:rPr>
      </w:pPr>
      <w:r w:rsidRPr="003A3F9D">
        <w:rPr>
          <w:rFonts w:hAnsi="標楷體" w:hint="eastAsia"/>
        </w:rPr>
        <w:t>財政部臺北國稅局、北區國稅局及所屬(以下簡稱北區國稅局)、南區國稅局及所屬(以下簡稱南區國稅局)因發放證券交易稅(以下簡稱證交稅)及期貨交易稅(以下簡稱期交稅)代徵獎金預算不敷而分別申請動支第二預備金2</w:t>
      </w:r>
      <w:r w:rsidRPr="003A3F9D">
        <w:rPr>
          <w:rFonts w:hAnsi="標楷體"/>
        </w:rPr>
        <w:t>,644</w:t>
      </w:r>
      <w:r w:rsidRPr="003A3F9D">
        <w:rPr>
          <w:rFonts w:hAnsi="標楷體" w:hint="eastAsia"/>
        </w:rPr>
        <w:t>萬3千元、553萬3千元及60萬2千元，合共3</w:t>
      </w:r>
      <w:r w:rsidRPr="003A3F9D">
        <w:rPr>
          <w:rFonts w:hAnsi="標楷體"/>
        </w:rPr>
        <w:t>,</w:t>
      </w:r>
      <w:r w:rsidRPr="003A3F9D">
        <w:rPr>
          <w:rFonts w:hAnsi="標楷體" w:hint="eastAsia"/>
        </w:rPr>
        <w:t>25</w:t>
      </w:r>
      <w:r w:rsidRPr="003A3F9D">
        <w:rPr>
          <w:rFonts w:hAnsi="標楷體"/>
        </w:rPr>
        <w:t>7</w:t>
      </w:r>
      <w:r w:rsidRPr="003A3F9D">
        <w:rPr>
          <w:rFonts w:hAnsi="標楷體" w:hint="eastAsia"/>
        </w:rPr>
        <w:t>萬8千元。經查：</w:t>
      </w:r>
    </w:p>
    <w:p w14:paraId="163EC669" w14:textId="77777777" w:rsidR="00EB546F" w:rsidRPr="003A3F9D" w:rsidRDefault="00EB546F" w:rsidP="000922E6">
      <w:pPr>
        <w:pStyle w:val="a7"/>
        <w:ind w:left="849" w:hanging="283"/>
        <w:rPr>
          <w:rFonts w:hAnsi="標楷體"/>
        </w:rPr>
      </w:pPr>
      <w:r w:rsidRPr="003A3F9D">
        <w:rPr>
          <w:rFonts w:hAnsi="標楷體" w:hint="eastAsia"/>
          <w:b/>
        </w:rPr>
        <w:t>(一)</w:t>
      </w:r>
      <w:r w:rsidRPr="003A3F9D">
        <w:rPr>
          <w:rFonts w:hAnsi="標楷體" w:hint="eastAsia"/>
          <w:b/>
          <w:bCs/>
        </w:rPr>
        <w:t>動支條件：</w:t>
      </w:r>
      <w:r w:rsidRPr="003A3F9D">
        <w:rPr>
          <w:rFonts w:hAnsi="標楷體" w:hint="eastAsia"/>
        </w:rPr>
        <w:t>依據預算法第70條第2款</w:t>
      </w:r>
      <w:r w:rsidRPr="005A33BF">
        <w:rPr>
          <w:rFonts w:hAnsi="標楷體" w:hint="eastAsia"/>
        </w:rPr>
        <w:t>規定</w:t>
      </w:r>
      <w:r w:rsidRPr="003A3F9D">
        <w:rPr>
          <w:rFonts w:hAnsi="標楷體" w:hint="eastAsia"/>
        </w:rPr>
        <w:t>：「原列計畫費用因增加業務量致增加經費時。」動支</w:t>
      </w:r>
      <w:r w:rsidRPr="000922E6">
        <w:rPr>
          <w:rFonts w:hAnsi="標楷體" w:hint="eastAsia"/>
        </w:rPr>
        <w:t>，案經行政院主計總處於11</w:t>
      </w:r>
      <w:r>
        <w:rPr>
          <w:rFonts w:hAnsi="標楷體" w:hint="eastAsia"/>
        </w:rPr>
        <w:t>3</w:t>
      </w:r>
      <w:r w:rsidRPr="000922E6">
        <w:rPr>
          <w:rFonts w:hAnsi="標楷體" w:hint="eastAsia"/>
        </w:rPr>
        <w:t>年</w:t>
      </w:r>
      <w:r>
        <w:rPr>
          <w:rFonts w:hAnsi="標楷體" w:hint="eastAsia"/>
        </w:rPr>
        <w:t>12</w:t>
      </w:r>
      <w:r w:rsidRPr="000922E6">
        <w:rPr>
          <w:rFonts w:hAnsi="標楷體" w:hint="eastAsia"/>
        </w:rPr>
        <w:t>月</w:t>
      </w:r>
      <w:r>
        <w:rPr>
          <w:rFonts w:hAnsi="標楷體" w:hint="eastAsia"/>
        </w:rPr>
        <w:t>30</w:t>
      </w:r>
      <w:r w:rsidRPr="000922E6">
        <w:rPr>
          <w:rFonts w:hAnsi="標楷體" w:hint="eastAsia"/>
        </w:rPr>
        <w:t>日核定動支數額通知單簽撥</w:t>
      </w:r>
      <w:r w:rsidRPr="003A3F9D">
        <w:rPr>
          <w:rFonts w:hAnsi="標楷體" w:hint="eastAsia"/>
        </w:rPr>
        <w:t>。</w:t>
      </w:r>
    </w:p>
    <w:p w14:paraId="014E7141" w14:textId="77777777" w:rsidR="00EB546F" w:rsidRPr="003A3F9D" w:rsidRDefault="00EB546F" w:rsidP="00E20FA5">
      <w:pPr>
        <w:pStyle w:val="a7"/>
        <w:ind w:left="849" w:hanging="283"/>
        <w:rPr>
          <w:rFonts w:hAnsi="標楷體"/>
          <w:b/>
          <w:bCs/>
          <w:szCs w:val="20"/>
        </w:rPr>
      </w:pPr>
      <w:r w:rsidRPr="003A3F9D">
        <w:rPr>
          <w:rFonts w:hAnsi="標楷體" w:hint="eastAsia"/>
          <w:b/>
        </w:rPr>
        <w:t>(二)</w:t>
      </w:r>
      <w:r w:rsidRPr="003A3F9D">
        <w:rPr>
          <w:rFonts w:hAnsi="標楷體" w:hint="eastAsia"/>
          <w:b/>
          <w:bCs/>
          <w:szCs w:val="20"/>
        </w:rPr>
        <w:t>動支原因及執行情形</w:t>
      </w:r>
    </w:p>
    <w:p w14:paraId="395B8C8D" w14:textId="77777777" w:rsidR="00EB546F" w:rsidRPr="003A3F9D" w:rsidRDefault="00EB546F" w:rsidP="006A582D">
      <w:pPr>
        <w:pStyle w:val="123"/>
        <w:ind w:left="1133" w:hanging="283"/>
      </w:pPr>
      <w:r w:rsidRPr="003A3F9D">
        <w:rPr>
          <w:rFonts w:hint="eastAsia"/>
        </w:rPr>
        <w:t>1.財政部轄下5區國稅局113年度分別依證券交易稅條例第8條</w:t>
      </w:r>
      <w:r w:rsidRPr="003A3F9D">
        <w:rPr>
          <w:rStyle w:val="af8"/>
        </w:rPr>
        <w:footnoteReference w:id="1"/>
      </w:r>
      <w:r w:rsidRPr="003A3F9D">
        <w:rPr>
          <w:rFonts w:hint="eastAsia"/>
        </w:rPr>
        <w:t>及期貨交易稅條例第4條</w:t>
      </w:r>
      <w:r w:rsidRPr="003A3F9D">
        <w:rPr>
          <w:rStyle w:val="af8"/>
        </w:rPr>
        <w:footnoteReference w:id="2"/>
      </w:r>
      <w:r w:rsidRPr="003A3F9D">
        <w:rPr>
          <w:rFonts w:hint="eastAsia"/>
        </w:rPr>
        <w:t>規定</w:t>
      </w:r>
      <w:r w:rsidRPr="003A3F9D">
        <w:rPr>
          <w:rFonts w:hAnsi="標楷體" w:hint="eastAsia"/>
        </w:rPr>
        <w:t>，</w:t>
      </w:r>
      <w:r w:rsidRPr="003A3F9D">
        <w:rPr>
          <w:rFonts w:hint="eastAsia"/>
        </w:rPr>
        <w:t>並參酌預算編列時稅收狀況及國內外經濟情勢等因素編列該年度證交稅及期交稅之代徵獎金預算</w:t>
      </w:r>
      <w:r w:rsidRPr="003A3F9D">
        <w:rPr>
          <w:rFonts w:hAnsi="標楷體" w:hint="eastAsia"/>
        </w:rPr>
        <w:t>，惟實際執行結果均有法定預算不敷支應，致需動支預備金，或自其預算相關經費勻支之情況，其中臺北國稅局、北區國稅局、南區國稅局甚需申請動支第二預備金(詳表1)。</w:t>
      </w:r>
    </w:p>
    <w:p w14:paraId="082BD113" w14:textId="77777777" w:rsidR="00EB546F" w:rsidRPr="00F33632" w:rsidRDefault="00EB546F" w:rsidP="006A582D">
      <w:pPr>
        <w:pStyle w:val="123"/>
        <w:ind w:left="1133" w:hanging="283"/>
        <w:rPr>
          <w:color w:val="0070C0"/>
        </w:rPr>
      </w:pPr>
      <w:r w:rsidRPr="003A3F9D">
        <w:rPr>
          <w:rFonts w:hint="eastAsia"/>
        </w:rPr>
        <w:t>2.臺北國稅局、北區國稅局、南區國稅局113年度證交稅及期交稅代徵獎金法定預算數分別為1億2,808萬7千元</w:t>
      </w:r>
      <w:r w:rsidRPr="003A3F9D">
        <w:rPr>
          <w:rFonts w:hAnsi="標楷體" w:hint="eastAsia"/>
        </w:rPr>
        <w:t>、3,658</w:t>
      </w:r>
      <w:r w:rsidRPr="003A3F9D">
        <w:rPr>
          <w:rFonts w:hAnsi="標楷體" w:hint="eastAsia"/>
        </w:rPr>
        <w:lastRenderedPageBreak/>
        <w:t>萬元及1,317萬3千元，然</w:t>
      </w:r>
      <w:r w:rsidRPr="003A3F9D">
        <w:rPr>
          <w:rFonts w:hint="eastAsia"/>
        </w:rPr>
        <w:t>因全球經貿動能穩定回升及AI等新興科技應用需求熱絡，使股市交易量大幅增長，且隨同股票市場交易熱絡，避險需求增加，期貨市場交易量亦大幅成長</w:t>
      </w:r>
      <w:r w:rsidRPr="003A3F9D">
        <w:rPr>
          <w:rFonts w:hAnsi="標楷體" w:hint="eastAsia"/>
        </w:rPr>
        <w:t>，</w:t>
      </w:r>
      <w:r w:rsidRPr="003A3F9D">
        <w:rPr>
          <w:rFonts w:hint="eastAsia"/>
        </w:rPr>
        <w:t>致證交稅</w:t>
      </w:r>
      <w:r w:rsidRPr="003A3F9D">
        <w:rPr>
          <w:rFonts w:hAnsi="標楷體" w:hint="eastAsia"/>
        </w:rPr>
        <w:t>、</w:t>
      </w:r>
      <w:r w:rsidRPr="003A3F9D">
        <w:rPr>
          <w:rFonts w:hint="eastAsia"/>
        </w:rPr>
        <w:t>期交稅實徵數及代徵獎金隨同增加</w:t>
      </w:r>
      <w:r w:rsidRPr="003A3F9D">
        <w:rPr>
          <w:rFonts w:hAnsi="標楷體" w:hint="eastAsia"/>
        </w:rPr>
        <w:t>，爰法定預算不敷支應，且於動支第一預備金及由其相關預算勻支後仍有不足，致分別申請動支第二預備金2,644萬3千元、553萬3千元及60萬2千元</w:t>
      </w:r>
      <w:r w:rsidRPr="003A3F9D">
        <w:rPr>
          <w:rFonts w:hint="eastAsia"/>
        </w:rPr>
        <w:t>。</w:t>
      </w:r>
    </w:p>
    <w:p w14:paraId="1400684C" w14:textId="77777777" w:rsidR="00EB546F" w:rsidRPr="003A3F9D" w:rsidRDefault="00EB546F" w:rsidP="0044167F">
      <w:pPr>
        <w:pStyle w:val="a7"/>
        <w:ind w:left="849" w:hanging="283"/>
        <w:rPr>
          <w:b/>
        </w:rPr>
      </w:pPr>
      <w:r w:rsidRPr="003A3F9D">
        <w:rPr>
          <w:rFonts w:hint="eastAsia"/>
          <w:b/>
        </w:rPr>
        <w:t>(三)評估意見：</w:t>
      </w:r>
      <w:r w:rsidRPr="003A3F9D">
        <w:rPr>
          <w:rFonts w:hint="eastAsia"/>
        </w:rPr>
        <w:t>財政部轄下5區國稅局中，臺北國稅局近5年(109至113年度)依規定核發證交稅及期交稅代徵獎金，</w:t>
      </w:r>
      <w:r>
        <w:rPr>
          <w:rFonts w:hint="eastAsia"/>
        </w:rPr>
        <w:t>屢</w:t>
      </w:r>
      <w:r w:rsidRPr="003A3F9D">
        <w:rPr>
          <w:rFonts w:hint="eastAsia"/>
        </w:rPr>
        <w:t>有</w:t>
      </w:r>
      <w:r>
        <w:rPr>
          <w:rFonts w:hint="eastAsia"/>
        </w:rPr>
        <w:t>因</w:t>
      </w:r>
      <w:r w:rsidRPr="003A3F9D">
        <w:rPr>
          <w:rFonts w:hint="eastAsia"/>
        </w:rPr>
        <w:t>預算</w:t>
      </w:r>
      <w:r>
        <w:rPr>
          <w:rFonts w:hint="eastAsia"/>
        </w:rPr>
        <w:t>數</w:t>
      </w:r>
      <w:r w:rsidRPr="003A3F9D">
        <w:rPr>
          <w:rFonts w:hint="eastAsia"/>
        </w:rPr>
        <w:t>不</w:t>
      </w:r>
      <w:r>
        <w:rPr>
          <w:rFonts w:hint="eastAsia"/>
        </w:rPr>
        <w:t>敷</w:t>
      </w:r>
      <w:r w:rsidRPr="003A3F9D">
        <w:rPr>
          <w:rFonts w:hint="eastAsia"/>
        </w:rPr>
        <w:t>而需自其他經費勻支及動支第一、第二預備金情事(詳表2)，顯示該計畫</w:t>
      </w:r>
      <w:r>
        <w:rPr>
          <w:rFonts w:hint="eastAsia"/>
        </w:rPr>
        <w:t>之</w:t>
      </w:r>
      <w:r w:rsidRPr="003A3F9D">
        <w:rPr>
          <w:rFonts w:hint="eastAsia"/>
        </w:rPr>
        <w:t>年度預算</w:t>
      </w:r>
      <w:r>
        <w:rPr>
          <w:rFonts w:hint="eastAsia"/>
        </w:rPr>
        <w:t>常</w:t>
      </w:r>
      <w:r w:rsidRPr="003A3F9D">
        <w:rPr>
          <w:rFonts w:hint="eastAsia"/>
        </w:rPr>
        <w:t>未能妥適或足額編列，與各機關單位預算執行要點第31點第1項</w:t>
      </w:r>
      <w:r w:rsidRPr="003A3F9D">
        <w:rPr>
          <w:rStyle w:val="af8"/>
          <w:rFonts w:hAnsi="標楷體"/>
          <w:bCs/>
          <w:szCs w:val="20"/>
        </w:rPr>
        <w:footnoteReference w:id="3"/>
      </w:r>
      <w:r w:rsidRPr="003A3F9D">
        <w:rPr>
          <w:rFonts w:hint="eastAsia"/>
        </w:rPr>
        <w:t>規定，應避免每年以相同事由申請動支第二預備金未合，允宜檢討改善。</w:t>
      </w:r>
    </w:p>
    <w:p w14:paraId="6EADED65" w14:textId="77777777" w:rsidR="00EB546F" w:rsidRPr="00CC65C8" w:rsidRDefault="00EB546F" w:rsidP="00344493">
      <w:pPr>
        <w:spacing w:beforeLines="25" w:before="127" w:line="360" w:lineRule="exact"/>
        <w:ind w:leftChars="-49" w:left="567" w:hangingChars="249" w:hanging="706"/>
        <w:rPr>
          <w:snapToGrid/>
        </w:rPr>
      </w:pPr>
      <w:r w:rsidRPr="00CC65C8">
        <w:rPr>
          <w:rFonts w:hint="eastAsia"/>
          <w:b/>
        </w:rPr>
        <w:t xml:space="preserve">表1　</w:t>
      </w:r>
      <w:r w:rsidRPr="00CC65C8">
        <w:rPr>
          <w:rFonts w:hint="eastAsia"/>
          <w:b/>
          <w:spacing w:val="-6"/>
        </w:rPr>
        <w:t>113年度財政部轄下5</w:t>
      </w:r>
      <w:r w:rsidRPr="00CC65C8">
        <w:rPr>
          <w:rFonts w:hint="eastAsia"/>
          <w:b/>
          <w:spacing w:val="-6"/>
          <w:lang w:eastAsia="zh-HK"/>
        </w:rPr>
        <w:t>區國稅局</w:t>
      </w:r>
      <w:r w:rsidRPr="00CC65C8">
        <w:rPr>
          <w:rFonts w:hint="eastAsia"/>
          <w:b/>
          <w:spacing w:val="-6"/>
        </w:rPr>
        <w:t>對</w:t>
      </w:r>
      <w:r w:rsidRPr="00CC65C8">
        <w:rPr>
          <w:rFonts w:hint="eastAsia"/>
          <w:b/>
          <w:spacing w:val="-6"/>
          <w:lang w:eastAsia="zh-HK"/>
        </w:rPr>
        <w:t>證交稅及期交稅代徵獎金</w:t>
      </w:r>
      <w:r w:rsidRPr="00CC65C8">
        <w:rPr>
          <w:rFonts w:hint="eastAsia"/>
          <w:b/>
          <w:spacing w:val="-6"/>
        </w:rPr>
        <w:t>之</w:t>
      </w:r>
      <w:r w:rsidRPr="00CC65C8">
        <w:rPr>
          <w:rFonts w:hint="eastAsia"/>
          <w:b/>
          <w:spacing w:val="-6"/>
          <w:lang w:eastAsia="zh-HK"/>
        </w:rPr>
        <w:t>預算編列及</w:t>
      </w:r>
      <w:r w:rsidRPr="00CC65C8">
        <w:rPr>
          <w:rFonts w:hint="eastAsia"/>
          <w:b/>
          <w:spacing w:val="-6"/>
        </w:rPr>
        <w:t>實際執行</w:t>
      </w:r>
      <w:r w:rsidRPr="00CC65C8">
        <w:rPr>
          <w:rFonts w:hint="eastAsia"/>
          <w:b/>
          <w:spacing w:val="-6"/>
          <w:lang w:eastAsia="zh-HK"/>
        </w:rPr>
        <w:t>情形概況表</w:t>
      </w:r>
      <w:r w:rsidRPr="00CC65C8">
        <w:rPr>
          <w:rFonts w:hint="eastAsia"/>
          <w:spacing w:val="-6"/>
        </w:rPr>
        <w:t xml:space="preserve">                        </w:t>
      </w:r>
      <w:r w:rsidRPr="00CC65C8">
        <w:rPr>
          <w:rFonts w:hint="eastAsia"/>
          <w:sz w:val="24"/>
          <w:szCs w:val="24"/>
        </w:rPr>
        <w:t>單位：新臺幣千元</w:t>
      </w:r>
    </w:p>
    <w:tbl>
      <w:tblPr>
        <w:tblW w:w="866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9"/>
        <w:gridCol w:w="993"/>
        <w:gridCol w:w="992"/>
        <w:gridCol w:w="850"/>
        <w:gridCol w:w="1134"/>
        <w:gridCol w:w="916"/>
        <w:gridCol w:w="1211"/>
        <w:gridCol w:w="1417"/>
      </w:tblGrid>
      <w:tr w:rsidR="00EB546F" w:rsidRPr="00CC65C8" w14:paraId="70238B6D" w14:textId="77777777" w:rsidTr="000551F4">
        <w:trPr>
          <w:trHeight w:val="324"/>
          <w:tblHeader/>
        </w:trPr>
        <w:tc>
          <w:tcPr>
            <w:tcW w:w="1149" w:type="dxa"/>
            <w:vMerge w:val="restart"/>
            <w:shd w:val="clear" w:color="auto" w:fill="auto"/>
            <w:noWrap/>
            <w:vAlign w:val="center"/>
          </w:tcPr>
          <w:p w14:paraId="217927F7"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機關別</w:t>
            </w:r>
          </w:p>
        </w:tc>
        <w:tc>
          <w:tcPr>
            <w:tcW w:w="993" w:type="dxa"/>
            <w:vMerge w:val="restart"/>
            <w:shd w:val="clear" w:color="auto" w:fill="auto"/>
            <w:noWrap/>
            <w:vAlign w:val="center"/>
          </w:tcPr>
          <w:p w14:paraId="3FFEF457" w14:textId="77777777" w:rsidR="00EB546F" w:rsidRPr="00CC65C8" w:rsidRDefault="00EB546F" w:rsidP="00EE321A">
            <w:pPr>
              <w:pStyle w:val="142"/>
              <w:jc w:val="center"/>
              <w:rPr>
                <w:rFonts w:hAnsi="標楷體"/>
                <w:b/>
                <w:spacing w:val="-20"/>
                <w:w w:val="90"/>
                <w:szCs w:val="24"/>
                <w:lang w:eastAsia="zh-HK"/>
              </w:rPr>
            </w:pPr>
            <w:r w:rsidRPr="00CC65C8">
              <w:rPr>
                <w:rFonts w:hAnsi="標楷體" w:hint="eastAsia"/>
                <w:b/>
                <w:spacing w:val="-20"/>
                <w:w w:val="90"/>
                <w:szCs w:val="24"/>
              </w:rPr>
              <w:t>決算數(A)</w:t>
            </w:r>
          </w:p>
        </w:tc>
        <w:tc>
          <w:tcPr>
            <w:tcW w:w="992" w:type="dxa"/>
            <w:vMerge w:val="restart"/>
            <w:shd w:val="clear" w:color="auto" w:fill="auto"/>
            <w:noWrap/>
            <w:vAlign w:val="center"/>
          </w:tcPr>
          <w:p w14:paraId="32F07DA1" w14:textId="77777777" w:rsidR="00EB546F" w:rsidRPr="00CC65C8" w:rsidRDefault="00EB546F" w:rsidP="0055799D">
            <w:pPr>
              <w:pStyle w:val="142"/>
              <w:jc w:val="center"/>
              <w:rPr>
                <w:rFonts w:hAnsi="標楷體"/>
                <w:b/>
                <w:spacing w:val="-20"/>
                <w:w w:val="90"/>
                <w:szCs w:val="24"/>
              </w:rPr>
            </w:pPr>
            <w:r w:rsidRPr="00CC65C8">
              <w:rPr>
                <w:rFonts w:hAnsi="標楷體" w:hint="eastAsia"/>
                <w:b/>
                <w:spacing w:val="-20"/>
                <w:w w:val="90"/>
                <w:szCs w:val="24"/>
              </w:rPr>
              <w:t>法定預算數(B)</w:t>
            </w:r>
          </w:p>
        </w:tc>
        <w:tc>
          <w:tcPr>
            <w:tcW w:w="850" w:type="dxa"/>
            <w:vMerge w:val="restart"/>
            <w:shd w:val="clear" w:color="auto" w:fill="auto"/>
            <w:noWrap/>
            <w:vAlign w:val="center"/>
          </w:tcPr>
          <w:p w14:paraId="4F106307"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不足數</w:t>
            </w:r>
          </w:p>
          <w:p w14:paraId="42B3DFB4"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(C=A-B)</w:t>
            </w:r>
          </w:p>
        </w:tc>
        <w:tc>
          <w:tcPr>
            <w:tcW w:w="4678" w:type="dxa"/>
            <w:gridSpan w:val="4"/>
            <w:shd w:val="clear" w:color="auto" w:fill="auto"/>
            <w:noWrap/>
            <w:vAlign w:val="center"/>
          </w:tcPr>
          <w:p w14:paraId="0999E645" w14:textId="77777777" w:rsidR="00EB546F" w:rsidRPr="00CC65C8" w:rsidRDefault="00EB546F" w:rsidP="00EE321A">
            <w:pPr>
              <w:pStyle w:val="142"/>
              <w:jc w:val="center"/>
              <w:rPr>
                <w:rFonts w:hAnsi="標楷體"/>
                <w:b/>
                <w:spacing w:val="-20"/>
                <w:w w:val="90"/>
                <w:szCs w:val="24"/>
                <w:lang w:eastAsia="zh-HK"/>
              </w:rPr>
            </w:pPr>
            <w:r w:rsidRPr="00CC65C8">
              <w:rPr>
                <w:rFonts w:hAnsi="標楷體" w:hint="eastAsia"/>
                <w:b/>
                <w:spacing w:val="-20"/>
                <w:w w:val="90"/>
                <w:szCs w:val="24"/>
                <w:lang w:eastAsia="zh-HK"/>
              </w:rPr>
              <w:t>支應</w:t>
            </w:r>
            <w:r w:rsidRPr="006D4E32">
              <w:rPr>
                <w:rFonts w:hAnsi="標楷體" w:hint="eastAsia"/>
                <w:b/>
                <w:spacing w:val="-20"/>
                <w:w w:val="90"/>
                <w:szCs w:val="24"/>
                <w:lang w:eastAsia="zh-HK"/>
              </w:rPr>
              <w:t>不足數</w:t>
            </w:r>
            <w:r w:rsidRPr="00CC65C8">
              <w:rPr>
                <w:rFonts w:hAnsi="標楷體" w:hint="eastAsia"/>
                <w:b/>
                <w:spacing w:val="-20"/>
                <w:w w:val="90"/>
                <w:szCs w:val="24"/>
                <w:lang w:eastAsia="zh-HK"/>
              </w:rPr>
              <w:t>情形</w:t>
            </w:r>
          </w:p>
        </w:tc>
      </w:tr>
      <w:tr w:rsidR="00EB546F" w:rsidRPr="00CC65C8" w14:paraId="431FFE04" w14:textId="77777777" w:rsidTr="0094169A">
        <w:trPr>
          <w:trHeight w:val="324"/>
          <w:tblHeader/>
        </w:trPr>
        <w:tc>
          <w:tcPr>
            <w:tcW w:w="1149" w:type="dxa"/>
            <w:vMerge/>
            <w:shd w:val="clear" w:color="auto" w:fill="auto"/>
            <w:noWrap/>
            <w:vAlign w:val="center"/>
            <w:hideMark/>
          </w:tcPr>
          <w:p w14:paraId="1EA8D4CD" w14:textId="77777777" w:rsidR="00EB546F" w:rsidRPr="00CC65C8" w:rsidRDefault="00EB546F" w:rsidP="00EE321A">
            <w:pPr>
              <w:pStyle w:val="142"/>
              <w:jc w:val="center"/>
              <w:rPr>
                <w:rFonts w:hAnsi="標楷體"/>
                <w:b/>
                <w:spacing w:val="-20"/>
                <w:w w:val="90"/>
                <w:szCs w:val="24"/>
              </w:rPr>
            </w:pPr>
          </w:p>
        </w:tc>
        <w:tc>
          <w:tcPr>
            <w:tcW w:w="993" w:type="dxa"/>
            <w:vMerge/>
            <w:shd w:val="clear" w:color="auto" w:fill="auto"/>
            <w:noWrap/>
            <w:vAlign w:val="center"/>
            <w:hideMark/>
          </w:tcPr>
          <w:p w14:paraId="4DF88E38" w14:textId="77777777" w:rsidR="00EB546F" w:rsidRPr="00CC65C8" w:rsidRDefault="00EB546F" w:rsidP="00EE321A">
            <w:pPr>
              <w:pStyle w:val="142"/>
              <w:jc w:val="center"/>
              <w:rPr>
                <w:rFonts w:hAnsi="標楷體"/>
                <w:b/>
                <w:spacing w:val="-20"/>
                <w:w w:val="90"/>
                <w:szCs w:val="24"/>
              </w:rPr>
            </w:pPr>
          </w:p>
        </w:tc>
        <w:tc>
          <w:tcPr>
            <w:tcW w:w="992" w:type="dxa"/>
            <w:vMerge/>
            <w:shd w:val="clear" w:color="auto" w:fill="auto"/>
            <w:noWrap/>
            <w:vAlign w:val="center"/>
            <w:hideMark/>
          </w:tcPr>
          <w:p w14:paraId="5374DAB3" w14:textId="77777777" w:rsidR="00EB546F" w:rsidRPr="00CC65C8" w:rsidRDefault="00EB546F" w:rsidP="00EE321A">
            <w:pPr>
              <w:pStyle w:val="142"/>
              <w:jc w:val="center"/>
              <w:rPr>
                <w:rFonts w:hAnsi="標楷體"/>
                <w:b/>
                <w:spacing w:val="-20"/>
                <w:w w:val="90"/>
                <w:szCs w:val="24"/>
              </w:rPr>
            </w:pPr>
          </w:p>
        </w:tc>
        <w:tc>
          <w:tcPr>
            <w:tcW w:w="850" w:type="dxa"/>
            <w:vMerge/>
            <w:shd w:val="clear" w:color="auto" w:fill="auto"/>
            <w:noWrap/>
            <w:vAlign w:val="center"/>
            <w:hideMark/>
          </w:tcPr>
          <w:p w14:paraId="44F6F57F" w14:textId="77777777" w:rsidR="00EB546F" w:rsidRPr="00CC65C8" w:rsidRDefault="00EB546F" w:rsidP="00EE321A">
            <w:pPr>
              <w:pStyle w:val="142"/>
              <w:jc w:val="center"/>
              <w:rPr>
                <w:rFonts w:hAnsi="標楷體"/>
                <w:b/>
                <w:spacing w:val="-20"/>
                <w:w w:val="90"/>
                <w:szCs w:val="24"/>
              </w:rPr>
            </w:pPr>
          </w:p>
        </w:tc>
        <w:tc>
          <w:tcPr>
            <w:tcW w:w="1134" w:type="dxa"/>
            <w:shd w:val="clear" w:color="auto" w:fill="auto"/>
            <w:noWrap/>
            <w:vAlign w:val="center"/>
            <w:hideMark/>
          </w:tcPr>
          <w:p w14:paraId="5134D543"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rPr>
              <w:t>年度預算勻支數</w:t>
            </w:r>
            <w:r w:rsidRPr="00CC65C8">
              <w:rPr>
                <w:rFonts w:hAnsi="標楷體" w:hint="eastAsia"/>
                <w:b/>
                <w:spacing w:val="-20"/>
                <w:w w:val="90"/>
                <w:szCs w:val="24"/>
                <w:lang w:eastAsia="zh-HK"/>
              </w:rPr>
              <w:t>及科目別</w:t>
            </w:r>
            <w:r w:rsidRPr="00CC65C8">
              <w:rPr>
                <w:rFonts w:hAnsi="標楷體" w:hint="eastAsia"/>
                <w:b/>
                <w:spacing w:val="-20"/>
                <w:w w:val="90"/>
                <w:szCs w:val="24"/>
              </w:rPr>
              <w:t>(D)</w:t>
            </w:r>
          </w:p>
        </w:tc>
        <w:tc>
          <w:tcPr>
            <w:tcW w:w="916" w:type="dxa"/>
            <w:shd w:val="clear" w:color="auto" w:fill="auto"/>
            <w:noWrap/>
            <w:vAlign w:val="center"/>
            <w:hideMark/>
          </w:tcPr>
          <w:p w14:paraId="72E65A28"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lang w:eastAsia="zh-HK"/>
              </w:rPr>
              <w:t>動支第</w:t>
            </w:r>
            <w:r w:rsidRPr="00CC65C8">
              <w:rPr>
                <w:rFonts w:hAnsi="標楷體" w:hint="eastAsia"/>
                <w:b/>
                <w:spacing w:val="-20"/>
                <w:w w:val="90"/>
                <w:szCs w:val="24"/>
              </w:rPr>
              <w:t>一預備</w:t>
            </w:r>
            <w:r w:rsidRPr="00CC65C8">
              <w:rPr>
                <w:rFonts w:hAnsi="標楷體" w:hint="eastAsia"/>
                <w:b/>
                <w:spacing w:val="-20"/>
                <w:w w:val="90"/>
                <w:szCs w:val="24"/>
                <w:lang w:eastAsia="zh-HK"/>
              </w:rPr>
              <w:t>金數</w:t>
            </w:r>
            <w:r w:rsidRPr="00CC65C8">
              <w:rPr>
                <w:rFonts w:hAnsi="標楷體" w:hint="eastAsia"/>
                <w:b/>
                <w:spacing w:val="-20"/>
                <w:w w:val="90"/>
                <w:szCs w:val="24"/>
              </w:rPr>
              <w:t>(E)</w:t>
            </w:r>
          </w:p>
        </w:tc>
        <w:tc>
          <w:tcPr>
            <w:tcW w:w="1211" w:type="dxa"/>
            <w:shd w:val="clear" w:color="auto" w:fill="auto"/>
            <w:noWrap/>
            <w:vAlign w:val="center"/>
            <w:hideMark/>
          </w:tcPr>
          <w:p w14:paraId="0A1DA32D"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lang w:eastAsia="zh-HK"/>
              </w:rPr>
              <w:t>動支</w:t>
            </w:r>
            <w:r w:rsidRPr="00CC65C8">
              <w:rPr>
                <w:rFonts w:hAnsi="標楷體" w:hint="eastAsia"/>
                <w:b/>
                <w:spacing w:val="-20"/>
                <w:w w:val="90"/>
                <w:szCs w:val="24"/>
              </w:rPr>
              <w:t>第二預備金</w:t>
            </w:r>
            <w:r w:rsidRPr="00CC65C8">
              <w:rPr>
                <w:rFonts w:hAnsi="標楷體" w:hint="eastAsia"/>
                <w:b/>
                <w:spacing w:val="-20"/>
                <w:w w:val="90"/>
                <w:szCs w:val="24"/>
                <w:lang w:eastAsia="zh-HK"/>
              </w:rPr>
              <w:t>數(</w:t>
            </w:r>
            <w:r w:rsidRPr="00CC65C8">
              <w:rPr>
                <w:rFonts w:hAnsi="標楷體" w:hint="eastAsia"/>
                <w:b/>
                <w:spacing w:val="-20"/>
                <w:w w:val="90"/>
                <w:szCs w:val="24"/>
              </w:rPr>
              <w:t>F=C-D-E)</w:t>
            </w:r>
          </w:p>
        </w:tc>
        <w:tc>
          <w:tcPr>
            <w:tcW w:w="1417" w:type="dxa"/>
            <w:vAlign w:val="center"/>
          </w:tcPr>
          <w:p w14:paraId="2E09A587" w14:textId="77777777" w:rsidR="00EB546F" w:rsidRPr="00CC65C8" w:rsidRDefault="00EB546F" w:rsidP="00EE321A">
            <w:pPr>
              <w:pStyle w:val="142"/>
              <w:jc w:val="center"/>
              <w:rPr>
                <w:rFonts w:hAnsi="標楷體"/>
                <w:b/>
                <w:spacing w:val="-20"/>
                <w:w w:val="90"/>
                <w:szCs w:val="24"/>
              </w:rPr>
            </w:pPr>
            <w:r w:rsidRPr="00CC65C8">
              <w:rPr>
                <w:rFonts w:hAnsi="標楷體" w:hint="eastAsia"/>
                <w:b/>
                <w:spacing w:val="-20"/>
                <w:w w:val="90"/>
                <w:szCs w:val="24"/>
                <w:lang w:eastAsia="zh-HK"/>
              </w:rPr>
              <w:t>核定及簽撥動支第二預算金日期</w:t>
            </w:r>
          </w:p>
        </w:tc>
      </w:tr>
      <w:tr w:rsidR="00EB546F" w:rsidRPr="00CC65C8" w14:paraId="3D7F5C06" w14:textId="77777777" w:rsidTr="0094169A">
        <w:trPr>
          <w:trHeight w:val="324"/>
        </w:trPr>
        <w:tc>
          <w:tcPr>
            <w:tcW w:w="1149" w:type="dxa"/>
            <w:shd w:val="clear" w:color="auto" w:fill="auto"/>
            <w:noWrap/>
            <w:vAlign w:val="center"/>
            <w:hideMark/>
          </w:tcPr>
          <w:p w14:paraId="3D60AE5A"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臺北國稅局</w:t>
            </w:r>
          </w:p>
        </w:tc>
        <w:tc>
          <w:tcPr>
            <w:tcW w:w="993" w:type="dxa"/>
            <w:shd w:val="clear" w:color="auto" w:fill="auto"/>
            <w:noWrap/>
            <w:vAlign w:val="center"/>
            <w:hideMark/>
          </w:tcPr>
          <w:p w14:paraId="410D96CD"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179,958 </w:t>
            </w:r>
          </w:p>
        </w:tc>
        <w:tc>
          <w:tcPr>
            <w:tcW w:w="992" w:type="dxa"/>
            <w:shd w:val="clear" w:color="auto" w:fill="auto"/>
            <w:noWrap/>
            <w:vAlign w:val="center"/>
            <w:hideMark/>
          </w:tcPr>
          <w:p w14:paraId="415F03B9"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128,087 </w:t>
            </w:r>
          </w:p>
        </w:tc>
        <w:tc>
          <w:tcPr>
            <w:tcW w:w="850" w:type="dxa"/>
            <w:shd w:val="clear" w:color="auto" w:fill="auto"/>
            <w:noWrap/>
            <w:vAlign w:val="center"/>
            <w:hideMark/>
          </w:tcPr>
          <w:p w14:paraId="751EB47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51,871 </w:t>
            </w:r>
          </w:p>
        </w:tc>
        <w:tc>
          <w:tcPr>
            <w:tcW w:w="1134" w:type="dxa"/>
            <w:shd w:val="clear" w:color="auto" w:fill="auto"/>
            <w:noWrap/>
            <w:vAlign w:val="center"/>
            <w:hideMark/>
          </w:tcPr>
          <w:p w14:paraId="35FDEE0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17,277</w:t>
            </w:r>
          </w:p>
          <w:p w14:paraId="69A26B2C"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(業務費)</w:t>
            </w:r>
          </w:p>
          <w:p w14:paraId="16F659E4"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7</w:t>
            </w:r>
            <w:r w:rsidRPr="00CC65C8">
              <w:rPr>
                <w:rFonts w:hAnsi="標楷體"/>
                <w:spacing w:val="-20"/>
                <w:w w:val="90"/>
                <w:szCs w:val="24"/>
              </w:rPr>
              <w:t>,751</w:t>
            </w:r>
          </w:p>
          <w:p w14:paraId="03E350A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(檢舉人獎金) </w:t>
            </w:r>
          </w:p>
        </w:tc>
        <w:tc>
          <w:tcPr>
            <w:tcW w:w="916" w:type="dxa"/>
            <w:shd w:val="clear" w:color="auto" w:fill="auto"/>
            <w:noWrap/>
            <w:vAlign w:val="center"/>
            <w:hideMark/>
          </w:tcPr>
          <w:p w14:paraId="429AD650"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400 </w:t>
            </w:r>
          </w:p>
        </w:tc>
        <w:tc>
          <w:tcPr>
            <w:tcW w:w="1211" w:type="dxa"/>
            <w:shd w:val="clear" w:color="auto" w:fill="auto"/>
            <w:noWrap/>
            <w:vAlign w:val="center"/>
            <w:hideMark/>
          </w:tcPr>
          <w:p w14:paraId="491C9041" w14:textId="77777777" w:rsidR="00EB546F" w:rsidRPr="00CC65C8" w:rsidRDefault="00EB546F" w:rsidP="0055799D">
            <w:pPr>
              <w:pStyle w:val="142"/>
              <w:jc w:val="right"/>
              <w:rPr>
                <w:rFonts w:hAnsi="標楷體"/>
                <w:spacing w:val="-20"/>
                <w:w w:val="90"/>
                <w:szCs w:val="24"/>
              </w:rPr>
            </w:pPr>
            <w:r w:rsidRPr="00CC65C8">
              <w:rPr>
                <w:rFonts w:hAnsi="標楷體" w:hint="eastAsia"/>
                <w:spacing w:val="-20"/>
                <w:w w:val="90"/>
                <w:szCs w:val="24"/>
              </w:rPr>
              <w:t xml:space="preserve">26,443 </w:t>
            </w:r>
          </w:p>
        </w:tc>
        <w:tc>
          <w:tcPr>
            <w:tcW w:w="1417" w:type="dxa"/>
            <w:vAlign w:val="center"/>
          </w:tcPr>
          <w:p w14:paraId="67D6FB9B" w14:textId="77777777" w:rsidR="00EB546F" w:rsidRPr="00CC65C8" w:rsidRDefault="00EB546F" w:rsidP="0094169A">
            <w:pPr>
              <w:pStyle w:val="142"/>
              <w:jc w:val="both"/>
              <w:rPr>
                <w:rFonts w:hAnsi="標楷體"/>
                <w:spacing w:val="-20"/>
                <w:w w:val="90"/>
                <w:szCs w:val="24"/>
              </w:rPr>
            </w:pPr>
            <w:r w:rsidRPr="00CC65C8">
              <w:rPr>
                <w:rFonts w:hAnsi="標楷體" w:hint="eastAsia"/>
                <w:spacing w:val="-20"/>
                <w:w w:val="90"/>
                <w:szCs w:val="24"/>
              </w:rPr>
              <w:t>113</w:t>
            </w:r>
            <w:r w:rsidRPr="00CC65C8">
              <w:rPr>
                <w:rFonts w:hAnsi="標楷體" w:hint="eastAsia"/>
                <w:spacing w:val="-20"/>
                <w:w w:val="90"/>
                <w:szCs w:val="24"/>
                <w:lang w:eastAsia="zh-HK"/>
              </w:rPr>
              <w:t>年</w:t>
            </w:r>
            <w:r w:rsidRPr="00CC65C8">
              <w:rPr>
                <w:rFonts w:hAnsi="標楷體" w:hint="eastAsia"/>
                <w:spacing w:val="-20"/>
                <w:w w:val="90"/>
                <w:szCs w:val="24"/>
              </w:rPr>
              <w:t>12</w:t>
            </w:r>
            <w:r w:rsidRPr="00CC65C8">
              <w:rPr>
                <w:rFonts w:hAnsi="標楷體" w:hint="eastAsia"/>
                <w:spacing w:val="-20"/>
                <w:w w:val="90"/>
                <w:szCs w:val="24"/>
                <w:lang w:eastAsia="zh-HK"/>
              </w:rPr>
              <w:t>月</w:t>
            </w:r>
            <w:r w:rsidRPr="00CC65C8">
              <w:rPr>
                <w:rFonts w:hAnsi="標楷體" w:hint="eastAsia"/>
                <w:spacing w:val="-20"/>
                <w:w w:val="90"/>
                <w:szCs w:val="24"/>
              </w:rPr>
              <w:t>30</w:t>
            </w:r>
            <w:r w:rsidRPr="00CC65C8">
              <w:rPr>
                <w:rFonts w:hAnsi="標楷體" w:hint="eastAsia"/>
                <w:spacing w:val="-20"/>
                <w:w w:val="90"/>
                <w:szCs w:val="24"/>
                <w:lang w:eastAsia="zh-HK"/>
              </w:rPr>
              <w:t>日</w:t>
            </w:r>
          </w:p>
        </w:tc>
      </w:tr>
      <w:tr w:rsidR="00EB546F" w:rsidRPr="00CC65C8" w14:paraId="4506A5AA" w14:textId="77777777" w:rsidTr="0094169A">
        <w:trPr>
          <w:trHeight w:val="324"/>
        </w:trPr>
        <w:tc>
          <w:tcPr>
            <w:tcW w:w="1149" w:type="dxa"/>
            <w:shd w:val="clear" w:color="auto" w:fill="auto"/>
            <w:noWrap/>
            <w:vAlign w:val="center"/>
            <w:hideMark/>
          </w:tcPr>
          <w:p w14:paraId="59FA2F8A"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高雄國稅局</w:t>
            </w:r>
          </w:p>
        </w:tc>
        <w:tc>
          <w:tcPr>
            <w:tcW w:w="993" w:type="dxa"/>
            <w:shd w:val="clear" w:color="auto" w:fill="auto"/>
            <w:noWrap/>
            <w:vAlign w:val="center"/>
            <w:hideMark/>
          </w:tcPr>
          <w:p w14:paraId="6DFEA768"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15,830 </w:t>
            </w:r>
          </w:p>
        </w:tc>
        <w:tc>
          <w:tcPr>
            <w:tcW w:w="992" w:type="dxa"/>
            <w:shd w:val="clear" w:color="auto" w:fill="auto"/>
            <w:noWrap/>
            <w:vAlign w:val="center"/>
            <w:hideMark/>
          </w:tcPr>
          <w:p w14:paraId="5D693EA9"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13,713 </w:t>
            </w:r>
          </w:p>
        </w:tc>
        <w:tc>
          <w:tcPr>
            <w:tcW w:w="850" w:type="dxa"/>
            <w:shd w:val="clear" w:color="auto" w:fill="auto"/>
            <w:noWrap/>
            <w:vAlign w:val="center"/>
            <w:hideMark/>
          </w:tcPr>
          <w:p w14:paraId="2995B93B"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2,117 </w:t>
            </w:r>
          </w:p>
        </w:tc>
        <w:tc>
          <w:tcPr>
            <w:tcW w:w="1134" w:type="dxa"/>
            <w:shd w:val="clear" w:color="auto" w:fill="auto"/>
            <w:noWrap/>
            <w:vAlign w:val="center"/>
            <w:hideMark/>
          </w:tcPr>
          <w:p w14:paraId="6FEFCC1F"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1,917</w:t>
            </w:r>
          </w:p>
          <w:p w14:paraId="5D76AA3C"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w:t>
            </w:r>
            <w:r w:rsidRPr="00CC65C8">
              <w:rPr>
                <w:rFonts w:hAnsi="標楷體" w:hint="eastAsia"/>
                <w:spacing w:val="-20"/>
                <w:w w:val="90"/>
                <w:szCs w:val="24"/>
                <w:lang w:eastAsia="zh-HK"/>
              </w:rPr>
              <w:t>獎補助費</w:t>
            </w:r>
            <w:r w:rsidRPr="00CC65C8">
              <w:rPr>
                <w:rFonts w:hAnsi="標楷體" w:hint="eastAsia"/>
                <w:spacing w:val="-20"/>
                <w:w w:val="90"/>
                <w:szCs w:val="24"/>
              </w:rPr>
              <w:t>)</w:t>
            </w:r>
          </w:p>
        </w:tc>
        <w:tc>
          <w:tcPr>
            <w:tcW w:w="916" w:type="dxa"/>
            <w:shd w:val="clear" w:color="auto" w:fill="auto"/>
            <w:noWrap/>
            <w:vAlign w:val="center"/>
            <w:hideMark/>
          </w:tcPr>
          <w:p w14:paraId="2C6DAC12"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200 </w:t>
            </w:r>
          </w:p>
        </w:tc>
        <w:tc>
          <w:tcPr>
            <w:tcW w:w="1211" w:type="dxa"/>
            <w:shd w:val="clear" w:color="auto" w:fill="auto"/>
            <w:noWrap/>
            <w:vAlign w:val="center"/>
            <w:hideMark/>
          </w:tcPr>
          <w:p w14:paraId="066EF414"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0 </w:t>
            </w:r>
          </w:p>
        </w:tc>
        <w:tc>
          <w:tcPr>
            <w:tcW w:w="1417" w:type="dxa"/>
            <w:vAlign w:val="center"/>
          </w:tcPr>
          <w:p w14:paraId="699645F5" w14:textId="77777777" w:rsidR="00EB546F" w:rsidRPr="00CC65C8" w:rsidRDefault="00EB546F" w:rsidP="00581324">
            <w:pPr>
              <w:pStyle w:val="142"/>
              <w:jc w:val="center"/>
              <w:rPr>
                <w:rFonts w:hAnsi="標楷體"/>
                <w:spacing w:val="-20"/>
                <w:w w:val="90"/>
                <w:szCs w:val="24"/>
              </w:rPr>
            </w:pPr>
            <w:r w:rsidRPr="00CC65C8">
              <w:rPr>
                <w:rFonts w:hAnsi="標楷體" w:hint="eastAsia"/>
                <w:spacing w:val="-20"/>
                <w:w w:val="90"/>
                <w:szCs w:val="24"/>
              </w:rPr>
              <w:t>-</w:t>
            </w:r>
          </w:p>
        </w:tc>
      </w:tr>
      <w:tr w:rsidR="00EB546F" w:rsidRPr="00CC65C8" w14:paraId="47766FBE" w14:textId="77777777" w:rsidTr="0094169A">
        <w:trPr>
          <w:trHeight w:val="324"/>
        </w:trPr>
        <w:tc>
          <w:tcPr>
            <w:tcW w:w="1149" w:type="dxa"/>
            <w:shd w:val="clear" w:color="auto" w:fill="auto"/>
            <w:noWrap/>
            <w:vAlign w:val="center"/>
            <w:hideMark/>
          </w:tcPr>
          <w:p w14:paraId="2B0E468C"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北區國稅局</w:t>
            </w:r>
            <w:r w:rsidRPr="00CC65C8">
              <w:rPr>
                <w:rFonts w:hAnsi="標楷體" w:hint="eastAsia"/>
                <w:spacing w:val="-20"/>
                <w:w w:val="90"/>
                <w:szCs w:val="24"/>
                <w:lang w:eastAsia="zh-HK"/>
              </w:rPr>
              <w:t>及所屬</w:t>
            </w:r>
          </w:p>
        </w:tc>
        <w:tc>
          <w:tcPr>
            <w:tcW w:w="993" w:type="dxa"/>
            <w:shd w:val="clear" w:color="auto" w:fill="auto"/>
            <w:noWrap/>
            <w:vAlign w:val="center"/>
            <w:hideMark/>
          </w:tcPr>
          <w:p w14:paraId="5DB52FE4"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42,514 </w:t>
            </w:r>
          </w:p>
        </w:tc>
        <w:tc>
          <w:tcPr>
            <w:tcW w:w="992" w:type="dxa"/>
            <w:shd w:val="clear" w:color="auto" w:fill="auto"/>
            <w:noWrap/>
            <w:vAlign w:val="center"/>
            <w:hideMark/>
          </w:tcPr>
          <w:p w14:paraId="0AFB1F2A"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 xml:space="preserve">36,580 </w:t>
            </w:r>
          </w:p>
        </w:tc>
        <w:tc>
          <w:tcPr>
            <w:tcW w:w="850" w:type="dxa"/>
            <w:shd w:val="clear" w:color="auto" w:fill="auto"/>
            <w:noWrap/>
            <w:vAlign w:val="center"/>
            <w:hideMark/>
          </w:tcPr>
          <w:p w14:paraId="5EE73FDC"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5,934 </w:t>
            </w:r>
          </w:p>
        </w:tc>
        <w:tc>
          <w:tcPr>
            <w:tcW w:w="1134" w:type="dxa"/>
            <w:shd w:val="clear" w:color="auto" w:fill="auto"/>
            <w:noWrap/>
            <w:vAlign w:val="center"/>
            <w:hideMark/>
          </w:tcPr>
          <w:p w14:paraId="6889BE33"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1</w:t>
            </w:r>
          </w:p>
          <w:p w14:paraId="07529E38" w14:textId="77777777" w:rsidR="00EB546F" w:rsidRPr="00CC65C8" w:rsidRDefault="00EB546F" w:rsidP="00581324">
            <w:pPr>
              <w:pStyle w:val="142"/>
              <w:jc w:val="right"/>
              <w:rPr>
                <w:rFonts w:hAnsi="標楷體"/>
                <w:spacing w:val="-20"/>
                <w:w w:val="90"/>
                <w:szCs w:val="24"/>
              </w:rPr>
            </w:pPr>
            <w:r w:rsidRPr="00CC65C8">
              <w:rPr>
                <w:rFonts w:hAnsi="標楷體" w:hint="eastAsia"/>
                <w:spacing w:val="-20"/>
                <w:w w:val="90"/>
                <w:szCs w:val="24"/>
              </w:rPr>
              <w:t>(業務</w:t>
            </w:r>
            <w:r w:rsidRPr="00CC65C8">
              <w:rPr>
                <w:rFonts w:hAnsi="標楷體" w:hint="eastAsia"/>
                <w:spacing w:val="-20"/>
                <w:w w:val="90"/>
                <w:szCs w:val="24"/>
                <w:lang w:eastAsia="zh-HK"/>
              </w:rPr>
              <w:t>費</w:t>
            </w:r>
            <w:r w:rsidRPr="00CC65C8">
              <w:rPr>
                <w:rFonts w:hAnsi="標楷體" w:hint="eastAsia"/>
                <w:spacing w:val="-20"/>
                <w:w w:val="90"/>
                <w:szCs w:val="24"/>
              </w:rPr>
              <w:t xml:space="preserve">) </w:t>
            </w:r>
          </w:p>
        </w:tc>
        <w:tc>
          <w:tcPr>
            <w:tcW w:w="916" w:type="dxa"/>
            <w:shd w:val="clear" w:color="auto" w:fill="auto"/>
            <w:noWrap/>
            <w:vAlign w:val="center"/>
            <w:hideMark/>
          </w:tcPr>
          <w:p w14:paraId="078C8F3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400 </w:t>
            </w:r>
          </w:p>
        </w:tc>
        <w:tc>
          <w:tcPr>
            <w:tcW w:w="1211" w:type="dxa"/>
            <w:shd w:val="clear" w:color="auto" w:fill="auto"/>
            <w:noWrap/>
            <w:vAlign w:val="center"/>
            <w:hideMark/>
          </w:tcPr>
          <w:p w14:paraId="365E94F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5,533 </w:t>
            </w:r>
          </w:p>
        </w:tc>
        <w:tc>
          <w:tcPr>
            <w:tcW w:w="1417" w:type="dxa"/>
            <w:vAlign w:val="center"/>
          </w:tcPr>
          <w:p w14:paraId="65855763" w14:textId="77777777" w:rsidR="00EB546F" w:rsidRPr="00CC65C8" w:rsidRDefault="00EB546F" w:rsidP="00EE321A">
            <w:pPr>
              <w:pStyle w:val="142"/>
              <w:jc w:val="both"/>
              <w:rPr>
                <w:rFonts w:hAnsi="標楷體"/>
                <w:spacing w:val="-20"/>
                <w:w w:val="90"/>
                <w:szCs w:val="24"/>
              </w:rPr>
            </w:pPr>
            <w:r w:rsidRPr="00CC65C8">
              <w:rPr>
                <w:rFonts w:hAnsi="標楷體" w:hint="eastAsia"/>
                <w:spacing w:val="-20"/>
                <w:w w:val="90"/>
                <w:szCs w:val="24"/>
              </w:rPr>
              <w:t>113</w:t>
            </w:r>
            <w:r w:rsidRPr="00CC65C8">
              <w:rPr>
                <w:rFonts w:hAnsi="標楷體" w:hint="eastAsia"/>
                <w:spacing w:val="-20"/>
                <w:w w:val="90"/>
                <w:szCs w:val="24"/>
                <w:lang w:eastAsia="zh-HK"/>
              </w:rPr>
              <w:t>年12月</w:t>
            </w:r>
            <w:r w:rsidRPr="00CC65C8">
              <w:rPr>
                <w:rFonts w:hAnsi="標楷體" w:hint="eastAsia"/>
                <w:spacing w:val="-20"/>
                <w:w w:val="90"/>
                <w:szCs w:val="24"/>
              </w:rPr>
              <w:t>30</w:t>
            </w:r>
            <w:r w:rsidRPr="00CC65C8">
              <w:rPr>
                <w:rFonts w:hAnsi="標楷體" w:hint="eastAsia"/>
                <w:spacing w:val="-20"/>
                <w:w w:val="90"/>
                <w:szCs w:val="24"/>
                <w:lang w:eastAsia="zh-HK"/>
              </w:rPr>
              <w:t>日</w:t>
            </w:r>
          </w:p>
        </w:tc>
      </w:tr>
      <w:tr w:rsidR="00EB546F" w:rsidRPr="00CC65C8" w14:paraId="153C2E92" w14:textId="77777777" w:rsidTr="0094169A">
        <w:trPr>
          <w:trHeight w:val="324"/>
        </w:trPr>
        <w:tc>
          <w:tcPr>
            <w:tcW w:w="1149" w:type="dxa"/>
            <w:shd w:val="clear" w:color="auto" w:fill="auto"/>
            <w:noWrap/>
            <w:vAlign w:val="center"/>
            <w:hideMark/>
          </w:tcPr>
          <w:p w14:paraId="25A9B2C1"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中區國稅局</w:t>
            </w:r>
            <w:r w:rsidRPr="00CC65C8">
              <w:rPr>
                <w:rFonts w:hAnsi="標楷體" w:hint="eastAsia"/>
                <w:spacing w:val="-20"/>
                <w:w w:val="90"/>
                <w:szCs w:val="24"/>
                <w:lang w:eastAsia="zh-HK"/>
              </w:rPr>
              <w:t>及所屬</w:t>
            </w:r>
          </w:p>
        </w:tc>
        <w:tc>
          <w:tcPr>
            <w:tcW w:w="993" w:type="dxa"/>
            <w:shd w:val="clear" w:color="auto" w:fill="auto"/>
            <w:noWrap/>
            <w:vAlign w:val="center"/>
            <w:hideMark/>
          </w:tcPr>
          <w:p w14:paraId="7A3B4AB6"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27,929 </w:t>
            </w:r>
          </w:p>
        </w:tc>
        <w:tc>
          <w:tcPr>
            <w:tcW w:w="992" w:type="dxa"/>
            <w:shd w:val="clear" w:color="auto" w:fill="auto"/>
            <w:noWrap/>
            <w:vAlign w:val="center"/>
            <w:hideMark/>
          </w:tcPr>
          <w:p w14:paraId="4FAE1596"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24,865 </w:t>
            </w:r>
          </w:p>
        </w:tc>
        <w:tc>
          <w:tcPr>
            <w:tcW w:w="850" w:type="dxa"/>
            <w:shd w:val="clear" w:color="auto" w:fill="auto"/>
            <w:noWrap/>
            <w:vAlign w:val="center"/>
            <w:hideMark/>
          </w:tcPr>
          <w:p w14:paraId="647F03D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3,064 </w:t>
            </w:r>
          </w:p>
        </w:tc>
        <w:tc>
          <w:tcPr>
            <w:tcW w:w="1134" w:type="dxa"/>
            <w:shd w:val="clear" w:color="auto" w:fill="auto"/>
            <w:noWrap/>
            <w:vAlign w:val="center"/>
            <w:hideMark/>
          </w:tcPr>
          <w:p w14:paraId="77C43675"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2,027</w:t>
            </w:r>
          </w:p>
          <w:p w14:paraId="3D6A2C67" w14:textId="77777777" w:rsidR="00EB546F" w:rsidRPr="00CC65C8" w:rsidRDefault="00EB546F" w:rsidP="007247F6">
            <w:pPr>
              <w:pStyle w:val="142"/>
              <w:jc w:val="right"/>
              <w:rPr>
                <w:rFonts w:hAnsi="標楷體"/>
                <w:spacing w:val="-20"/>
                <w:w w:val="90"/>
                <w:szCs w:val="24"/>
              </w:rPr>
            </w:pPr>
            <w:r w:rsidRPr="00CC65C8">
              <w:rPr>
                <w:rFonts w:hAnsi="標楷體" w:hint="eastAsia"/>
                <w:spacing w:val="-20"/>
                <w:w w:val="90"/>
                <w:szCs w:val="24"/>
              </w:rPr>
              <w:t>(</w:t>
            </w:r>
            <w:r w:rsidRPr="00CC65C8">
              <w:rPr>
                <w:rFonts w:hAnsi="標楷體" w:hint="eastAsia"/>
                <w:spacing w:val="-20"/>
                <w:w w:val="90"/>
                <w:szCs w:val="24"/>
                <w:lang w:eastAsia="zh-HK"/>
              </w:rPr>
              <w:t>業務費</w:t>
            </w:r>
            <w:r w:rsidRPr="00CC65C8">
              <w:rPr>
                <w:rFonts w:hAnsi="標楷體" w:hint="eastAsia"/>
                <w:spacing w:val="-20"/>
                <w:w w:val="90"/>
                <w:szCs w:val="24"/>
              </w:rPr>
              <w:t>)</w:t>
            </w:r>
          </w:p>
          <w:p w14:paraId="2D3635AC" w14:textId="77777777" w:rsidR="00EB546F" w:rsidRPr="00CC65C8" w:rsidRDefault="00EB546F" w:rsidP="007247F6">
            <w:pPr>
              <w:pStyle w:val="142"/>
              <w:jc w:val="right"/>
              <w:rPr>
                <w:rFonts w:hAnsi="標楷體"/>
                <w:spacing w:val="-20"/>
                <w:w w:val="90"/>
                <w:szCs w:val="24"/>
                <w:lang w:eastAsia="zh-HK"/>
              </w:rPr>
            </w:pPr>
            <w:r w:rsidRPr="00CC65C8">
              <w:rPr>
                <w:rFonts w:hAnsi="標楷體" w:hint="eastAsia"/>
                <w:spacing w:val="-20"/>
                <w:w w:val="90"/>
                <w:szCs w:val="24"/>
              </w:rPr>
              <w:t>1</w:t>
            </w:r>
            <w:r w:rsidRPr="00CC65C8">
              <w:rPr>
                <w:rFonts w:hAnsi="標楷體"/>
                <w:spacing w:val="-20"/>
                <w:w w:val="90"/>
                <w:szCs w:val="24"/>
              </w:rPr>
              <w:t>,037</w:t>
            </w:r>
          </w:p>
          <w:p w14:paraId="13B5E18D" w14:textId="77777777" w:rsidR="00EB546F" w:rsidRPr="00CC65C8" w:rsidRDefault="00EB546F" w:rsidP="007247F6">
            <w:pPr>
              <w:pStyle w:val="142"/>
              <w:jc w:val="right"/>
              <w:rPr>
                <w:rFonts w:hAnsi="標楷體"/>
                <w:spacing w:val="-20"/>
                <w:w w:val="90"/>
                <w:szCs w:val="24"/>
              </w:rPr>
            </w:pPr>
            <w:r w:rsidRPr="00CC65C8">
              <w:rPr>
                <w:rFonts w:hAnsi="標楷體" w:hint="eastAsia"/>
                <w:spacing w:val="-20"/>
                <w:w w:val="90"/>
                <w:szCs w:val="24"/>
              </w:rPr>
              <w:lastRenderedPageBreak/>
              <w:t>(檢舉人獎金)</w:t>
            </w:r>
          </w:p>
        </w:tc>
        <w:tc>
          <w:tcPr>
            <w:tcW w:w="916" w:type="dxa"/>
            <w:shd w:val="clear" w:color="auto" w:fill="auto"/>
            <w:noWrap/>
            <w:vAlign w:val="center"/>
            <w:hideMark/>
          </w:tcPr>
          <w:p w14:paraId="439A9E70"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lastRenderedPageBreak/>
              <w:t xml:space="preserve">0 </w:t>
            </w:r>
          </w:p>
        </w:tc>
        <w:tc>
          <w:tcPr>
            <w:tcW w:w="1211" w:type="dxa"/>
            <w:shd w:val="clear" w:color="auto" w:fill="auto"/>
            <w:noWrap/>
            <w:vAlign w:val="center"/>
            <w:hideMark/>
          </w:tcPr>
          <w:p w14:paraId="1DBCFBB7"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0 </w:t>
            </w:r>
          </w:p>
        </w:tc>
        <w:tc>
          <w:tcPr>
            <w:tcW w:w="1417" w:type="dxa"/>
            <w:vAlign w:val="center"/>
          </w:tcPr>
          <w:p w14:paraId="76116AD4" w14:textId="77777777" w:rsidR="00EB546F" w:rsidRPr="00CC65C8" w:rsidRDefault="00EB546F" w:rsidP="007247F6">
            <w:pPr>
              <w:pStyle w:val="142"/>
              <w:jc w:val="center"/>
              <w:rPr>
                <w:rFonts w:hAnsi="標楷體"/>
                <w:spacing w:val="-20"/>
                <w:w w:val="90"/>
                <w:szCs w:val="24"/>
              </w:rPr>
            </w:pPr>
            <w:r w:rsidRPr="00CC65C8">
              <w:rPr>
                <w:rFonts w:hAnsi="標楷體"/>
                <w:spacing w:val="-20"/>
                <w:w w:val="90"/>
                <w:szCs w:val="24"/>
              </w:rPr>
              <w:t>-</w:t>
            </w:r>
          </w:p>
        </w:tc>
      </w:tr>
      <w:tr w:rsidR="00EB546F" w:rsidRPr="00CC65C8" w14:paraId="0BDE0650" w14:textId="77777777" w:rsidTr="0094169A">
        <w:trPr>
          <w:trHeight w:val="324"/>
        </w:trPr>
        <w:tc>
          <w:tcPr>
            <w:tcW w:w="1149" w:type="dxa"/>
            <w:shd w:val="clear" w:color="auto" w:fill="auto"/>
            <w:noWrap/>
            <w:vAlign w:val="center"/>
            <w:hideMark/>
          </w:tcPr>
          <w:p w14:paraId="40D34BB7" w14:textId="77777777" w:rsidR="00EB546F" w:rsidRPr="00CC65C8" w:rsidRDefault="00EB546F" w:rsidP="00EE321A">
            <w:pPr>
              <w:pStyle w:val="142"/>
              <w:rPr>
                <w:rFonts w:hAnsi="標楷體"/>
                <w:spacing w:val="-20"/>
                <w:w w:val="90"/>
                <w:szCs w:val="24"/>
              </w:rPr>
            </w:pPr>
            <w:r w:rsidRPr="00CC65C8">
              <w:rPr>
                <w:rFonts w:hAnsi="標楷體" w:hint="eastAsia"/>
                <w:spacing w:val="-20"/>
                <w:w w:val="90"/>
                <w:szCs w:val="24"/>
              </w:rPr>
              <w:t>南區國稅局</w:t>
            </w:r>
            <w:r w:rsidRPr="00CC65C8">
              <w:rPr>
                <w:rFonts w:hAnsi="標楷體" w:hint="eastAsia"/>
                <w:spacing w:val="-20"/>
                <w:w w:val="90"/>
                <w:szCs w:val="24"/>
                <w:lang w:eastAsia="zh-HK"/>
              </w:rPr>
              <w:t>及所屬</w:t>
            </w:r>
          </w:p>
        </w:tc>
        <w:tc>
          <w:tcPr>
            <w:tcW w:w="993" w:type="dxa"/>
            <w:shd w:val="clear" w:color="auto" w:fill="auto"/>
            <w:noWrap/>
            <w:vAlign w:val="center"/>
            <w:hideMark/>
          </w:tcPr>
          <w:p w14:paraId="050C798F" w14:textId="77777777" w:rsidR="00EB546F" w:rsidRPr="00CC65C8" w:rsidRDefault="00EB546F" w:rsidP="00033EFD">
            <w:pPr>
              <w:pStyle w:val="142"/>
              <w:jc w:val="right"/>
              <w:rPr>
                <w:rFonts w:hAnsi="標楷體"/>
                <w:spacing w:val="-20"/>
                <w:w w:val="90"/>
                <w:szCs w:val="24"/>
              </w:rPr>
            </w:pPr>
            <w:r w:rsidRPr="00CC65C8">
              <w:rPr>
                <w:rFonts w:hAnsi="標楷體" w:hint="eastAsia"/>
                <w:spacing w:val="-20"/>
                <w:w w:val="90"/>
                <w:szCs w:val="24"/>
              </w:rPr>
              <w:t>1</w:t>
            </w:r>
            <w:r w:rsidRPr="00CC65C8">
              <w:rPr>
                <w:rFonts w:hAnsi="標楷體"/>
                <w:spacing w:val="-20"/>
                <w:w w:val="90"/>
                <w:szCs w:val="24"/>
              </w:rPr>
              <w:t>5</w:t>
            </w:r>
            <w:r w:rsidRPr="00CC65C8">
              <w:rPr>
                <w:rFonts w:hAnsi="標楷體" w:hint="eastAsia"/>
                <w:spacing w:val="-20"/>
                <w:w w:val="90"/>
                <w:szCs w:val="24"/>
              </w:rPr>
              <w:t>,</w:t>
            </w:r>
            <w:r w:rsidRPr="00CC65C8">
              <w:rPr>
                <w:rFonts w:hAnsi="標楷體"/>
                <w:spacing w:val="-20"/>
                <w:w w:val="90"/>
                <w:szCs w:val="24"/>
              </w:rPr>
              <w:t>105</w:t>
            </w:r>
            <w:r w:rsidRPr="00CC65C8">
              <w:rPr>
                <w:rFonts w:hAnsi="標楷體" w:hint="eastAsia"/>
                <w:spacing w:val="-20"/>
                <w:w w:val="90"/>
                <w:szCs w:val="24"/>
              </w:rPr>
              <w:t xml:space="preserve"> </w:t>
            </w:r>
          </w:p>
        </w:tc>
        <w:tc>
          <w:tcPr>
            <w:tcW w:w="992" w:type="dxa"/>
            <w:shd w:val="clear" w:color="auto" w:fill="auto"/>
            <w:noWrap/>
            <w:vAlign w:val="center"/>
            <w:hideMark/>
          </w:tcPr>
          <w:p w14:paraId="4AA020C4" w14:textId="77777777" w:rsidR="00EB546F" w:rsidRPr="00CC65C8" w:rsidRDefault="00EB546F" w:rsidP="00033EFD">
            <w:pPr>
              <w:pStyle w:val="142"/>
              <w:jc w:val="right"/>
              <w:rPr>
                <w:rFonts w:hAnsi="標楷體"/>
                <w:spacing w:val="-20"/>
                <w:w w:val="90"/>
                <w:szCs w:val="24"/>
              </w:rPr>
            </w:pPr>
            <w:r w:rsidRPr="00CC65C8">
              <w:rPr>
                <w:rFonts w:hAnsi="標楷體"/>
                <w:spacing w:val="-20"/>
                <w:w w:val="90"/>
                <w:szCs w:val="24"/>
              </w:rPr>
              <w:t>13</w:t>
            </w:r>
            <w:r w:rsidRPr="00CC65C8">
              <w:rPr>
                <w:rFonts w:hAnsi="標楷體" w:hint="eastAsia"/>
                <w:spacing w:val="-20"/>
                <w:w w:val="90"/>
                <w:szCs w:val="24"/>
              </w:rPr>
              <w:t>,</w:t>
            </w:r>
            <w:r w:rsidRPr="00CC65C8">
              <w:rPr>
                <w:rFonts w:hAnsi="標楷體"/>
                <w:spacing w:val="-20"/>
                <w:w w:val="90"/>
                <w:szCs w:val="24"/>
              </w:rPr>
              <w:t>173</w:t>
            </w:r>
            <w:r w:rsidRPr="00CC65C8">
              <w:rPr>
                <w:rFonts w:hAnsi="標楷體" w:hint="eastAsia"/>
                <w:spacing w:val="-20"/>
                <w:w w:val="90"/>
                <w:szCs w:val="24"/>
              </w:rPr>
              <w:t xml:space="preserve"> </w:t>
            </w:r>
          </w:p>
        </w:tc>
        <w:tc>
          <w:tcPr>
            <w:tcW w:w="850" w:type="dxa"/>
            <w:shd w:val="clear" w:color="auto" w:fill="auto"/>
            <w:noWrap/>
            <w:vAlign w:val="center"/>
            <w:hideMark/>
          </w:tcPr>
          <w:p w14:paraId="7C15D36B" w14:textId="77777777" w:rsidR="00EB546F" w:rsidRPr="00CC65C8" w:rsidRDefault="00EB546F" w:rsidP="00033EFD">
            <w:pPr>
              <w:pStyle w:val="142"/>
              <w:jc w:val="right"/>
              <w:rPr>
                <w:rFonts w:hAnsi="標楷體"/>
                <w:spacing w:val="-20"/>
                <w:w w:val="90"/>
                <w:szCs w:val="24"/>
              </w:rPr>
            </w:pPr>
            <w:r w:rsidRPr="00CC65C8">
              <w:rPr>
                <w:rFonts w:hAnsi="標楷體" w:hint="eastAsia"/>
                <w:spacing w:val="-20"/>
                <w:w w:val="90"/>
                <w:szCs w:val="24"/>
              </w:rPr>
              <w:t>1,</w:t>
            </w:r>
            <w:r w:rsidRPr="00CC65C8">
              <w:rPr>
                <w:rFonts w:hAnsi="標楷體"/>
                <w:spacing w:val="-20"/>
                <w:w w:val="90"/>
                <w:szCs w:val="24"/>
              </w:rPr>
              <w:t>932</w:t>
            </w:r>
            <w:r w:rsidRPr="00CC65C8">
              <w:rPr>
                <w:rFonts w:hAnsi="標楷體" w:hint="eastAsia"/>
                <w:spacing w:val="-20"/>
                <w:w w:val="90"/>
                <w:szCs w:val="24"/>
              </w:rPr>
              <w:t xml:space="preserve"> </w:t>
            </w:r>
          </w:p>
        </w:tc>
        <w:tc>
          <w:tcPr>
            <w:tcW w:w="1134" w:type="dxa"/>
            <w:shd w:val="clear" w:color="auto" w:fill="auto"/>
            <w:noWrap/>
            <w:vAlign w:val="center"/>
            <w:hideMark/>
          </w:tcPr>
          <w:p w14:paraId="6C5CB65D" w14:textId="77777777" w:rsidR="00EB546F" w:rsidRPr="00CC65C8" w:rsidRDefault="00EB546F" w:rsidP="00EE321A">
            <w:pPr>
              <w:pStyle w:val="142"/>
              <w:jc w:val="right"/>
              <w:rPr>
                <w:rFonts w:hAnsi="標楷體"/>
                <w:spacing w:val="-20"/>
                <w:w w:val="90"/>
                <w:szCs w:val="24"/>
              </w:rPr>
            </w:pPr>
            <w:r w:rsidRPr="00CC65C8">
              <w:rPr>
                <w:rFonts w:hAnsi="標楷體"/>
                <w:spacing w:val="-20"/>
                <w:w w:val="90"/>
                <w:szCs w:val="24"/>
              </w:rPr>
              <w:t>830</w:t>
            </w:r>
          </w:p>
          <w:p w14:paraId="3BCD0FC9"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lang w:eastAsia="zh-HK"/>
              </w:rPr>
              <w:t>(檢舉人獎金)</w:t>
            </w:r>
            <w:r w:rsidRPr="00CC65C8">
              <w:rPr>
                <w:rFonts w:hAnsi="標楷體" w:hint="eastAsia"/>
                <w:spacing w:val="-20"/>
                <w:w w:val="90"/>
                <w:szCs w:val="24"/>
              </w:rPr>
              <w:t xml:space="preserve"> </w:t>
            </w:r>
          </w:p>
        </w:tc>
        <w:tc>
          <w:tcPr>
            <w:tcW w:w="916" w:type="dxa"/>
            <w:shd w:val="clear" w:color="auto" w:fill="auto"/>
            <w:noWrap/>
            <w:vAlign w:val="center"/>
            <w:hideMark/>
          </w:tcPr>
          <w:p w14:paraId="44E3718E" w14:textId="77777777" w:rsidR="00EB546F" w:rsidRPr="00CC65C8" w:rsidRDefault="00EB546F" w:rsidP="00EE321A">
            <w:pPr>
              <w:pStyle w:val="142"/>
              <w:jc w:val="right"/>
              <w:rPr>
                <w:rFonts w:hAnsi="標楷體"/>
                <w:spacing w:val="-20"/>
                <w:w w:val="90"/>
                <w:szCs w:val="24"/>
              </w:rPr>
            </w:pPr>
            <w:r w:rsidRPr="00CC65C8">
              <w:rPr>
                <w:rFonts w:hAnsi="標楷體" w:hint="eastAsia"/>
                <w:spacing w:val="-20"/>
                <w:w w:val="90"/>
                <w:szCs w:val="24"/>
              </w:rPr>
              <w:t xml:space="preserve">500 </w:t>
            </w:r>
          </w:p>
        </w:tc>
        <w:tc>
          <w:tcPr>
            <w:tcW w:w="1211" w:type="dxa"/>
            <w:shd w:val="clear" w:color="auto" w:fill="auto"/>
            <w:noWrap/>
            <w:vAlign w:val="center"/>
            <w:hideMark/>
          </w:tcPr>
          <w:p w14:paraId="64881EC3" w14:textId="77777777" w:rsidR="00EB546F" w:rsidRPr="00CC65C8" w:rsidRDefault="00EB546F" w:rsidP="00EE321A">
            <w:pPr>
              <w:pStyle w:val="142"/>
              <w:jc w:val="right"/>
              <w:rPr>
                <w:rFonts w:hAnsi="標楷體"/>
                <w:spacing w:val="-20"/>
                <w:w w:val="90"/>
                <w:szCs w:val="24"/>
              </w:rPr>
            </w:pPr>
            <w:r w:rsidRPr="00CC65C8">
              <w:rPr>
                <w:rFonts w:hAnsi="標楷體"/>
                <w:spacing w:val="-20"/>
                <w:w w:val="90"/>
                <w:szCs w:val="24"/>
              </w:rPr>
              <w:t>602</w:t>
            </w:r>
            <w:r w:rsidRPr="00CC65C8">
              <w:rPr>
                <w:rFonts w:hAnsi="標楷體" w:hint="eastAsia"/>
                <w:spacing w:val="-20"/>
                <w:w w:val="90"/>
                <w:szCs w:val="24"/>
              </w:rPr>
              <w:t xml:space="preserve"> </w:t>
            </w:r>
          </w:p>
        </w:tc>
        <w:tc>
          <w:tcPr>
            <w:tcW w:w="1417" w:type="dxa"/>
            <w:vAlign w:val="center"/>
          </w:tcPr>
          <w:p w14:paraId="5511184C" w14:textId="77777777" w:rsidR="00EB546F" w:rsidRPr="00CC65C8" w:rsidRDefault="00EB546F" w:rsidP="0094169A">
            <w:pPr>
              <w:pStyle w:val="142"/>
              <w:jc w:val="both"/>
              <w:rPr>
                <w:rFonts w:hAnsi="標楷體"/>
                <w:spacing w:val="-20"/>
                <w:w w:val="90"/>
                <w:szCs w:val="24"/>
              </w:rPr>
            </w:pPr>
            <w:r w:rsidRPr="00CC65C8">
              <w:rPr>
                <w:rFonts w:hAnsi="標楷體" w:hint="eastAsia"/>
                <w:spacing w:val="-20"/>
                <w:w w:val="90"/>
                <w:szCs w:val="24"/>
              </w:rPr>
              <w:t>113</w:t>
            </w:r>
            <w:r w:rsidRPr="00CC65C8">
              <w:rPr>
                <w:rFonts w:hAnsi="標楷體" w:hint="eastAsia"/>
                <w:spacing w:val="-20"/>
                <w:w w:val="90"/>
                <w:szCs w:val="24"/>
                <w:lang w:eastAsia="zh-HK"/>
              </w:rPr>
              <w:t>年</w:t>
            </w:r>
            <w:r w:rsidRPr="00CC65C8">
              <w:rPr>
                <w:rFonts w:hAnsi="標楷體" w:hint="eastAsia"/>
                <w:spacing w:val="-20"/>
                <w:w w:val="90"/>
                <w:szCs w:val="24"/>
              </w:rPr>
              <w:t>12</w:t>
            </w:r>
            <w:r w:rsidRPr="00CC65C8">
              <w:rPr>
                <w:rFonts w:hAnsi="標楷體" w:hint="eastAsia"/>
                <w:spacing w:val="-20"/>
                <w:w w:val="90"/>
                <w:szCs w:val="24"/>
                <w:lang w:eastAsia="zh-HK"/>
              </w:rPr>
              <w:t>月</w:t>
            </w:r>
            <w:r w:rsidRPr="00CC65C8">
              <w:rPr>
                <w:rFonts w:hAnsi="標楷體" w:hint="eastAsia"/>
                <w:spacing w:val="-20"/>
                <w:w w:val="90"/>
                <w:szCs w:val="24"/>
              </w:rPr>
              <w:t>30</w:t>
            </w:r>
            <w:r w:rsidRPr="00CC65C8">
              <w:rPr>
                <w:rFonts w:hAnsi="標楷體" w:hint="eastAsia"/>
                <w:spacing w:val="-20"/>
                <w:w w:val="90"/>
                <w:szCs w:val="24"/>
                <w:lang w:eastAsia="zh-HK"/>
              </w:rPr>
              <w:t>日</w:t>
            </w:r>
          </w:p>
        </w:tc>
      </w:tr>
    </w:tbl>
    <w:p w14:paraId="5FA4D159" w14:textId="77777777" w:rsidR="00EB546F" w:rsidRPr="00CC65C8" w:rsidRDefault="00EB546F" w:rsidP="003A7E50">
      <w:pPr>
        <w:adjustRightInd w:val="0"/>
        <w:spacing w:line="280" w:lineRule="exact"/>
        <w:ind w:leftChars="-19" w:left="600" w:hangingChars="269" w:hanging="654"/>
        <w:rPr>
          <w:rFonts w:hAnsi="標楷體"/>
          <w:b/>
          <w:sz w:val="24"/>
          <w:szCs w:val="24"/>
        </w:rPr>
      </w:pPr>
      <w:r w:rsidRPr="00CC65C8">
        <w:rPr>
          <w:rFonts w:hint="eastAsia"/>
          <w:sz w:val="24"/>
          <w:szCs w:val="24"/>
          <w:lang w:eastAsia="zh-HK"/>
        </w:rPr>
        <w:t>資料來源：表列</w:t>
      </w:r>
      <w:r w:rsidRPr="00CC65C8">
        <w:rPr>
          <w:rFonts w:hint="eastAsia"/>
          <w:sz w:val="24"/>
          <w:szCs w:val="24"/>
        </w:rPr>
        <w:t>各</w:t>
      </w:r>
      <w:r w:rsidRPr="00CC65C8">
        <w:rPr>
          <w:rFonts w:hint="eastAsia"/>
          <w:sz w:val="24"/>
          <w:szCs w:val="24"/>
          <w:lang w:eastAsia="zh-HK"/>
        </w:rPr>
        <w:t>區國稅局提供</w:t>
      </w:r>
      <w:r w:rsidRPr="00CC65C8">
        <w:rPr>
          <w:rFonts w:hint="eastAsia"/>
          <w:sz w:val="24"/>
          <w:szCs w:val="24"/>
        </w:rPr>
        <w:t>。</w:t>
      </w:r>
    </w:p>
    <w:p w14:paraId="51003C91" w14:textId="77777777" w:rsidR="00EB546F" w:rsidRPr="00E365C6" w:rsidRDefault="00EB546F" w:rsidP="00FA664A">
      <w:pPr>
        <w:adjustRightInd w:val="0"/>
        <w:spacing w:beforeLines="25" w:before="127" w:line="400" w:lineRule="exact"/>
        <w:ind w:leftChars="-19" w:left="709" w:hangingChars="269" w:hanging="763"/>
      </w:pPr>
      <w:r w:rsidRPr="00E365C6">
        <w:rPr>
          <w:rFonts w:hint="eastAsia"/>
          <w:b/>
        </w:rPr>
        <w:t xml:space="preserve">表2　</w:t>
      </w:r>
      <w:r w:rsidRPr="00E365C6">
        <w:rPr>
          <w:rFonts w:hAnsi="標楷體" w:hint="eastAsia"/>
          <w:b/>
        </w:rPr>
        <w:t xml:space="preserve">臺北國稅局109至113年度核發證交稅及期交稅代徵獎金預算編列及執行情形概況表                        </w:t>
      </w:r>
      <w:r w:rsidRPr="00E365C6">
        <w:rPr>
          <w:rFonts w:hint="eastAsia"/>
          <w:sz w:val="24"/>
        </w:rPr>
        <w:t>單位：新臺幣千元</w:t>
      </w:r>
    </w:p>
    <w:tbl>
      <w:tblPr>
        <w:tblW w:w="8665"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30"/>
        <w:gridCol w:w="1369"/>
        <w:gridCol w:w="1843"/>
        <w:gridCol w:w="1417"/>
        <w:gridCol w:w="1843"/>
        <w:gridCol w:w="1563"/>
      </w:tblGrid>
      <w:tr w:rsidR="00EB546F" w:rsidRPr="00E365C6" w14:paraId="07A1461A" w14:textId="77777777" w:rsidTr="00FA664A">
        <w:tc>
          <w:tcPr>
            <w:tcW w:w="630" w:type="dxa"/>
            <w:vAlign w:val="center"/>
            <w:hideMark/>
          </w:tcPr>
          <w:p w14:paraId="11205C79"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年度</w:t>
            </w:r>
          </w:p>
        </w:tc>
        <w:tc>
          <w:tcPr>
            <w:tcW w:w="1369" w:type="dxa"/>
            <w:vAlign w:val="center"/>
            <w:hideMark/>
          </w:tcPr>
          <w:p w14:paraId="2188409C"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法定預算數</w:t>
            </w:r>
          </w:p>
        </w:tc>
        <w:tc>
          <w:tcPr>
            <w:tcW w:w="1843" w:type="dxa"/>
            <w:vAlign w:val="center"/>
            <w:hideMark/>
          </w:tcPr>
          <w:p w14:paraId="0323726C"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第一預備金動支數</w:t>
            </w:r>
          </w:p>
        </w:tc>
        <w:tc>
          <w:tcPr>
            <w:tcW w:w="1417" w:type="dxa"/>
            <w:vAlign w:val="center"/>
            <w:hideMark/>
          </w:tcPr>
          <w:p w14:paraId="01E9533C" w14:textId="77777777" w:rsidR="00EB546F" w:rsidRPr="00E365C6" w:rsidRDefault="00EB546F" w:rsidP="00FA664A">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預算勻支</w:t>
            </w:r>
          </w:p>
          <w:p w14:paraId="6F2AC88A" w14:textId="77777777" w:rsidR="00EB546F" w:rsidRPr="00E365C6" w:rsidRDefault="00EB546F" w:rsidP="00FA664A">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流入數</w:t>
            </w:r>
          </w:p>
        </w:tc>
        <w:tc>
          <w:tcPr>
            <w:tcW w:w="1843" w:type="dxa"/>
            <w:vAlign w:val="center"/>
            <w:hideMark/>
          </w:tcPr>
          <w:p w14:paraId="575C3942"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第二預備金動支數</w:t>
            </w:r>
          </w:p>
        </w:tc>
        <w:tc>
          <w:tcPr>
            <w:tcW w:w="1563" w:type="dxa"/>
            <w:vAlign w:val="center"/>
            <w:hideMark/>
          </w:tcPr>
          <w:p w14:paraId="080D772A" w14:textId="77777777" w:rsidR="00EB546F" w:rsidRPr="00E365C6" w:rsidRDefault="00EB546F" w:rsidP="0013160B">
            <w:pPr>
              <w:keepNext/>
              <w:keepLines/>
              <w:widowControl/>
              <w:spacing w:line="280" w:lineRule="exact"/>
              <w:ind w:leftChars="0" w:left="0" w:firstLineChars="0" w:firstLine="0"/>
              <w:jc w:val="center"/>
              <w:rPr>
                <w:rFonts w:hAnsi="標楷體"/>
                <w:b/>
                <w:spacing w:val="-20"/>
                <w:kern w:val="28"/>
                <w:sz w:val="24"/>
                <w:szCs w:val="24"/>
              </w:rPr>
            </w:pPr>
            <w:r w:rsidRPr="00E365C6">
              <w:rPr>
                <w:rFonts w:hAnsi="標楷體" w:hint="eastAsia"/>
                <w:b/>
                <w:spacing w:val="-20"/>
                <w:kern w:val="28"/>
                <w:sz w:val="24"/>
                <w:szCs w:val="24"/>
              </w:rPr>
              <w:t>決算數</w:t>
            </w:r>
          </w:p>
        </w:tc>
      </w:tr>
      <w:tr w:rsidR="00EB546F" w:rsidRPr="00E365C6" w14:paraId="1615624B" w14:textId="77777777" w:rsidTr="00FA664A">
        <w:tc>
          <w:tcPr>
            <w:tcW w:w="630" w:type="dxa"/>
          </w:tcPr>
          <w:p w14:paraId="510AFDA1"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09</w:t>
            </w:r>
          </w:p>
        </w:tc>
        <w:tc>
          <w:tcPr>
            <w:tcW w:w="1369" w:type="dxa"/>
          </w:tcPr>
          <w:p w14:paraId="2DB0ED72"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6</w:t>
            </w:r>
            <w:r w:rsidRPr="00E365C6">
              <w:rPr>
                <w:rFonts w:hAnsi="標楷體"/>
                <w:spacing w:val="-20"/>
                <w:kern w:val="28"/>
                <w:sz w:val="24"/>
                <w:szCs w:val="24"/>
              </w:rPr>
              <w:t>2,546</w:t>
            </w:r>
          </w:p>
        </w:tc>
        <w:tc>
          <w:tcPr>
            <w:tcW w:w="1843" w:type="dxa"/>
          </w:tcPr>
          <w:p w14:paraId="7791EDBA"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3459E511"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7</w:t>
            </w:r>
            <w:r w:rsidRPr="00E365C6">
              <w:rPr>
                <w:rFonts w:hAnsi="標楷體"/>
                <w:spacing w:val="-20"/>
                <w:kern w:val="28"/>
                <w:sz w:val="24"/>
                <w:szCs w:val="24"/>
              </w:rPr>
              <w:t>02</w:t>
            </w:r>
          </w:p>
        </w:tc>
        <w:tc>
          <w:tcPr>
            <w:tcW w:w="1843" w:type="dxa"/>
          </w:tcPr>
          <w:p w14:paraId="77B5979C"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6,689</w:t>
            </w:r>
          </w:p>
        </w:tc>
        <w:tc>
          <w:tcPr>
            <w:tcW w:w="1563" w:type="dxa"/>
          </w:tcPr>
          <w:p w14:paraId="0C86451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8</w:t>
            </w:r>
            <w:r w:rsidRPr="00E365C6">
              <w:rPr>
                <w:rFonts w:hAnsi="標楷體"/>
                <w:spacing w:val="-20"/>
                <w:kern w:val="28"/>
                <w:sz w:val="24"/>
                <w:szCs w:val="24"/>
              </w:rPr>
              <w:t>0,337</w:t>
            </w:r>
          </w:p>
        </w:tc>
      </w:tr>
      <w:tr w:rsidR="00EB546F" w:rsidRPr="00E365C6" w14:paraId="3AE6790A" w14:textId="77777777" w:rsidTr="00FA664A">
        <w:tc>
          <w:tcPr>
            <w:tcW w:w="630" w:type="dxa"/>
          </w:tcPr>
          <w:p w14:paraId="4D68900B"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10</w:t>
            </w:r>
          </w:p>
        </w:tc>
        <w:tc>
          <w:tcPr>
            <w:tcW w:w="1369" w:type="dxa"/>
          </w:tcPr>
          <w:p w14:paraId="3F6AC3B2"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5</w:t>
            </w:r>
            <w:r w:rsidRPr="00E365C6">
              <w:rPr>
                <w:rFonts w:hAnsi="標楷體"/>
                <w:spacing w:val="-20"/>
                <w:kern w:val="28"/>
                <w:sz w:val="24"/>
                <w:szCs w:val="24"/>
              </w:rPr>
              <w:t>7,363</w:t>
            </w:r>
          </w:p>
        </w:tc>
        <w:tc>
          <w:tcPr>
            <w:tcW w:w="1843" w:type="dxa"/>
          </w:tcPr>
          <w:p w14:paraId="7DE26B5D"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723DB79B"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2</w:t>
            </w:r>
            <w:r w:rsidRPr="00E365C6">
              <w:rPr>
                <w:rFonts w:hAnsi="標楷體"/>
                <w:spacing w:val="-20"/>
                <w:kern w:val="28"/>
                <w:sz w:val="24"/>
                <w:szCs w:val="24"/>
              </w:rPr>
              <w:t>,230</w:t>
            </w:r>
          </w:p>
        </w:tc>
        <w:tc>
          <w:tcPr>
            <w:tcW w:w="1843" w:type="dxa"/>
          </w:tcPr>
          <w:p w14:paraId="44B9BA02"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8</w:t>
            </w:r>
            <w:r w:rsidRPr="00E365C6">
              <w:rPr>
                <w:rFonts w:hAnsi="標楷體"/>
                <w:spacing w:val="-20"/>
                <w:kern w:val="28"/>
                <w:sz w:val="24"/>
                <w:szCs w:val="24"/>
              </w:rPr>
              <w:t>7,546</w:t>
            </w:r>
          </w:p>
        </w:tc>
        <w:tc>
          <w:tcPr>
            <w:tcW w:w="1563" w:type="dxa"/>
          </w:tcPr>
          <w:p w14:paraId="2421AC94"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47,539</w:t>
            </w:r>
          </w:p>
        </w:tc>
      </w:tr>
      <w:tr w:rsidR="00EB546F" w:rsidRPr="00E365C6" w14:paraId="76E063BE" w14:textId="77777777" w:rsidTr="00FA664A">
        <w:tc>
          <w:tcPr>
            <w:tcW w:w="630" w:type="dxa"/>
          </w:tcPr>
          <w:p w14:paraId="36BE5537"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11</w:t>
            </w:r>
          </w:p>
        </w:tc>
        <w:tc>
          <w:tcPr>
            <w:tcW w:w="1369" w:type="dxa"/>
          </w:tcPr>
          <w:p w14:paraId="3ED7FDFD"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07,170</w:t>
            </w:r>
          </w:p>
        </w:tc>
        <w:tc>
          <w:tcPr>
            <w:tcW w:w="1843" w:type="dxa"/>
          </w:tcPr>
          <w:p w14:paraId="7F37B909"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17C27E37"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9</w:t>
            </w:r>
            <w:r w:rsidRPr="00E365C6">
              <w:rPr>
                <w:rFonts w:hAnsi="標楷體"/>
                <w:spacing w:val="-20"/>
                <w:kern w:val="28"/>
                <w:sz w:val="24"/>
                <w:szCs w:val="24"/>
              </w:rPr>
              <w:t>,804</w:t>
            </w:r>
          </w:p>
        </w:tc>
        <w:tc>
          <w:tcPr>
            <w:tcW w:w="1843" w:type="dxa"/>
          </w:tcPr>
          <w:p w14:paraId="1B70C5D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0</w:t>
            </w:r>
          </w:p>
        </w:tc>
        <w:tc>
          <w:tcPr>
            <w:tcW w:w="1563" w:type="dxa"/>
          </w:tcPr>
          <w:p w14:paraId="5062BC5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17,374</w:t>
            </w:r>
          </w:p>
        </w:tc>
      </w:tr>
      <w:tr w:rsidR="00EB546F" w:rsidRPr="00E365C6" w14:paraId="734E5C7C" w14:textId="77777777" w:rsidTr="00FA664A">
        <w:tc>
          <w:tcPr>
            <w:tcW w:w="630" w:type="dxa"/>
          </w:tcPr>
          <w:p w14:paraId="195F5FD2"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12</w:t>
            </w:r>
          </w:p>
        </w:tc>
        <w:tc>
          <w:tcPr>
            <w:tcW w:w="1369" w:type="dxa"/>
          </w:tcPr>
          <w:p w14:paraId="7AEBAF10"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9</w:t>
            </w:r>
            <w:r w:rsidRPr="00E365C6">
              <w:rPr>
                <w:rFonts w:hAnsi="標楷體"/>
                <w:spacing w:val="-20"/>
                <w:kern w:val="28"/>
                <w:sz w:val="24"/>
                <w:szCs w:val="24"/>
              </w:rPr>
              <w:t>4,874</w:t>
            </w:r>
          </w:p>
        </w:tc>
        <w:tc>
          <w:tcPr>
            <w:tcW w:w="1843" w:type="dxa"/>
          </w:tcPr>
          <w:p w14:paraId="3EA7E65C"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4A3D207A"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2,260</w:t>
            </w:r>
          </w:p>
        </w:tc>
        <w:tc>
          <w:tcPr>
            <w:tcW w:w="1843" w:type="dxa"/>
          </w:tcPr>
          <w:p w14:paraId="2613C5FC"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9</w:t>
            </w:r>
            <w:r w:rsidRPr="00E365C6">
              <w:rPr>
                <w:rFonts w:hAnsi="標楷體"/>
                <w:spacing w:val="-20"/>
                <w:kern w:val="28"/>
                <w:sz w:val="24"/>
                <w:szCs w:val="24"/>
              </w:rPr>
              <w:t>,175</w:t>
            </w:r>
          </w:p>
        </w:tc>
        <w:tc>
          <w:tcPr>
            <w:tcW w:w="1563" w:type="dxa"/>
          </w:tcPr>
          <w:p w14:paraId="5F9F09F8"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16,709</w:t>
            </w:r>
          </w:p>
        </w:tc>
      </w:tr>
      <w:tr w:rsidR="00EB546F" w:rsidRPr="00E365C6" w14:paraId="7408C39B" w14:textId="77777777" w:rsidTr="00FA664A">
        <w:tc>
          <w:tcPr>
            <w:tcW w:w="630" w:type="dxa"/>
          </w:tcPr>
          <w:p w14:paraId="203F08BF" w14:textId="77777777" w:rsidR="00EB546F" w:rsidRPr="00E365C6" w:rsidRDefault="00EB546F" w:rsidP="0013160B">
            <w:pPr>
              <w:keepNext/>
              <w:keepLines/>
              <w:widowControl/>
              <w:spacing w:line="280" w:lineRule="exact"/>
              <w:ind w:leftChars="0" w:left="0" w:firstLineChars="0" w:firstLine="0"/>
              <w:jc w:val="center"/>
              <w:rPr>
                <w:rFonts w:hAnsi="標楷體"/>
                <w:spacing w:val="-20"/>
                <w:kern w:val="28"/>
                <w:sz w:val="24"/>
                <w:szCs w:val="24"/>
              </w:rPr>
            </w:pPr>
            <w:r w:rsidRPr="00E365C6">
              <w:rPr>
                <w:rFonts w:hAnsi="標楷體" w:hint="eastAsia"/>
                <w:spacing w:val="-20"/>
                <w:kern w:val="28"/>
                <w:sz w:val="24"/>
                <w:szCs w:val="24"/>
              </w:rPr>
              <w:t>113</w:t>
            </w:r>
          </w:p>
        </w:tc>
        <w:tc>
          <w:tcPr>
            <w:tcW w:w="1369" w:type="dxa"/>
          </w:tcPr>
          <w:p w14:paraId="2D3F3911"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128</w:t>
            </w:r>
            <w:r w:rsidRPr="00E365C6">
              <w:rPr>
                <w:rFonts w:hAnsi="標楷體"/>
                <w:spacing w:val="-20"/>
                <w:kern w:val="28"/>
                <w:sz w:val="24"/>
                <w:szCs w:val="24"/>
              </w:rPr>
              <w:t>,087</w:t>
            </w:r>
          </w:p>
        </w:tc>
        <w:tc>
          <w:tcPr>
            <w:tcW w:w="1843" w:type="dxa"/>
          </w:tcPr>
          <w:p w14:paraId="6D7D050F"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4</w:t>
            </w:r>
            <w:r w:rsidRPr="00E365C6">
              <w:rPr>
                <w:rFonts w:hAnsi="標楷體"/>
                <w:spacing w:val="-20"/>
                <w:kern w:val="28"/>
                <w:sz w:val="24"/>
                <w:szCs w:val="24"/>
              </w:rPr>
              <w:t>00</w:t>
            </w:r>
          </w:p>
        </w:tc>
        <w:tc>
          <w:tcPr>
            <w:tcW w:w="1417" w:type="dxa"/>
          </w:tcPr>
          <w:p w14:paraId="70380004"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2</w:t>
            </w:r>
            <w:r w:rsidRPr="00E365C6">
              <w:rPr>
                <w:rFonts w:hAnsi="標楷體"/>
                <w:spacing w:val="-20"/>
                <w:kern w:val="28"/>
                <w:sz w:val="24"/>
                <w:szCs w:val="24"/>
              </w:rPr>
              <w:t>5,028</w:t>
            </w:r>
          </w:p>
        </w:tc>
        <w:tc>
          <w:tcPr>
            <w:tcW w:w="1843" w:type="dxa"/>
          </w:tcPr>
          <w:p w14:paraId="2F658520"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2</w:t>
            </w:r>
            <w:r w:rsidRPr="00E365C6">
              <w:rPr>
                <w:rFonts w:hAnsi="標楷體"/>
                <w:spacing w:val="-20"/>
                <w:kern w:val="28"/>
                <w:sz w:val="24"/>
                <w:szCs w:val="24"/>
              </w:rPr>
              <w:t>6,443</w:t>
            </w:r>
          </w:p>
        </w:tc>
        <w:tc>
          <w:tcPr>
            <w:tcW w:w="1563" w:type="dxa"/>
          </w:tcPr>
          <w:p w14:paraId="64B0F736" w14:textId="77777777" w:rsidR="00EB546F" w:rsidRPr="00E365C6" w:rsidRDefault="00EB546F" w:rsidP="0013160B">
            <w:pPr>
              <w:keepNext/>
              <w:keepLines/>
              <w:widowControl/>
              <w:spacing w:line="280" w:lineRule="exact"/>
              <w:ind w:leftChars="0" w:left="0" w:firstLineChars="0" w:firstLine="0"/>
              <w:jc w:val="right"/>
              <w:rPr>
                <w:rFonts w:hAnsi="標楷體"/>
                <w:spacing w:val="-20"/>
                <w:kern w:val="28"/>
                <w:sz w:val="24"/>
                <w:szCs w:val="24"/>
              </w:rPr>
            </w:pPr>
            <w:r w:rsidRPr="00E365C6">
              <w:rPr>
                <w:rFonts w:hAnsi="標楷體" w:hint="eastAsia"/>
                <w:spacing w:val="-20"/>
                <w:kern w:val="28"/>
                <w:sz w:val="24"/>
                <w:szCs w:val="24"/>
              </w:rPr>
              <w:t>1</w:t>
            </w:r>
            <w:r w:rsidRPr="00E365C6">
              <w:rPr>
                <w:rFonts w:hAnsi="標楷體"/>
                <w:spacing w:val="-20"/>
                <w:kern w:val="28"/>
                <w:sz w:val="24"/>
                <w:szCs w:val="24"/>
              </w:rPr>
              <w:t>79,958</w:t>
            </w:r>
          </w:p>
        </w:tc>
      </w:tr>
    </w:tbl>
    <w:p w14:paraId="0F450E38" w14:textId="77777777" w:rsidR="00EB546F" w:rsidRPr="00E365C6" w:rsidRDefault="00EB546F" w:rsidP="00FA664A">
      <w:pPr>
        <w:pStyle w:val="a5"/>
        <w:spacing w:line="280" w:lineRule="exact"/>
        <w:ind w:leftChars="-19" w:left="1133" w:hangingChars="488" w:hanging="1187"/>
        <w:rPr>
          <w:rFonts w:hAnsi="標楷體"/>
          <w:b w:val="0"/>
          <w:sz w:val="24"/>
          <w:szCs w:val="24"/>
        </w:rPr>
      </w:pPr>
      <w:r w:rsidRPr="00E365C6">
        <w:rPr>
          <w:rFonts w:hAnsi="標楷體" w:hint="eastAsia"/>
          <w:b w:val="0"/>
          <w:sz w:val="24"/>
          <w:szCs w:val="24"/>
        </w:rPr>
        <w:t>說    明：表列「預算勻支流入數」均係自國稅稽徵業務項下業務費或自檢舉人獎金流入。</w:t>
      </w:r>
    </w:p>
    <w:p w14:paraId="673F2606" w14:textId="77777777" w:rsidR="00EB546F" w:rsidRPr="00E365C6" w:rsidRDefault="00EB546F" w:rsidP="00FA664A">
      <w:pPr>
        <w:adjustRightInd w:val="0"/>
        <w:spacing w:line="280" w:lineRule="exact"/>
        <w:ind w:leftChars="-19" w:left="600" w:hangingChars="269" w:hanging="654"/>
      </w:pPr>
      <w:r w:rsidRPr="00E365C6">
        <w:rPr>
          <w:rFonts w:hAnsi="標楷體" w:hint="eastAsia"/>
          <w:sz w:val="24"/>
          <w:szCs w:val="24"/>
        </w:rPr>
        <w:t>資料來源：財政部臺北國稅局。</w:t>
      </w:r>
    </w:p>
    <w:p w14:paraId="7CA2B068" w14:textId="77777777" w:rsidR="00EB546F" w:rsidRPr="00E365C6" w:rsidRDefault="00EB546F" w:rsidP="00C91171">
      <w:pPr>
        <w:pStyle w:val="ae"/>
        <w:rPr>
          <w:rFonts w:hAnsi="標楷體"/>
        </w:rPr>
      </w:pPr>
      <w:r w:rsidRPr="00E365C6">
        <w:rPr>
          <w:rFonts w:hAnsi="標楷體" w:hint="eastAsia"/>
        </w:rPr>
        <w:t>(分機:8657石桂鳳)</w:t>
      </w:r>
    </w:p>
    <w:sectPr w:rsidR="00EB546F" w:rsidRPr="00E365C6"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64568F"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685371A4"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64568F">
      <w:rPr>
        <w:rStyle w:val="af5"/>
        <w:noProof/>
      </w:rPr>
      <w:t>3</w:t>
    </w:r>
    <w:r>
      <w:rPr>
        <w:rStyle w:val="af5"/>
      </w:rPr>
      <w:fldChar w:fldCharType="end"/>
    </w:r>
  </w:p>
  <w:p w14:paraId="29C1FABB" w14:textId="77777777" w:rsidR="00B84D17" w:rsidRPr="0060523D" w:rsidRDefault="0064568F"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64568F"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08568C22" w14:textId="77777777" w:rsidR="00EB546F" w:rsidRPr="003A3F9D" w:rsidRDefault="00EB546F" w:rsidP="006A582D">
      <w:pPr>
        <w:pStyle w:val="af6"/>
        <w:spacing w:line="280" w:lineRule="exact"/>
        <w:ind w:leftChars="51" w:left="195" w:hangingChars="21" w:hanging="51"/>
        <w:jc w:val="both"/>
        <w:rPr>
          <w:rStyle w:val="af8"/>
          <w:sz w:val="24"/>
          <w:szCs w:val="24"/>
        </w:rPr>
      </w:pPr>
      <w:r w:rsidRPr="003A3F9D">
        <w:rPr>
          <w:rStyle w:val="af8"/>
          <w:sz w:val="24"/>
          <w:szCs w:val="24"/>
        </w:rPr>
        <w:footnoteRef/>
      </w:r>
      <w:r w:rsidRPr="00B568DC">
        <w:rPr>
          <w:rStyle w:val="af8"/>
          <w:rFonts w:hint="eastAsia"/>
          <w:sz w:val="24"/>
          <w:szCs w:val="24"/>
          <w:vertAlign w:val="baseline"/>
        </w:rPr>
        <w:t>證券交易稅條例第8條</w:t>
      </w:r>
      <w:r w:rsidRPr="00B568DC">
        <w:rPr>
          <w:rFonts w:hint="eastAsia"/>
          <w:sz w:val="24"/>
          <w:szCs w:val="24"/>
        </w:rPr>
        <w:t>規定</w:t>
      </w:r>
      <w:r w:rsidRPr="00B568DC">
        <w:rPr>
          <w:rFonts w:hAnsi="標楷體" w:hint="eastAsia"/>
          <w:sz w:val="24"/>
          <w:szCs w:val="24"/>
        </w:rPr>
        <w:t>：「</w:t>
      </w:r>
      <w:r w:rsidRPr="00B568DC">
        <w:rPr>
          <w:rStyle w:val="af8"/>
          <w:rFonts w:hint="eastAsia"/>
          <w:sz w:val="24"/>
          <w:szCs w:val="24"/>
          <w:vertAlign w:val="baseline"/>
        </w:rPr>
        <w:t>代徵人依照法定程序及期限完成其代徵義務者，該管稽徵機關應按其代徵稅額給與千分之一之獎金。但每一代徵人每年以新臺幣2</w:t>
      </w:r>
      <w:r w:rsidRPr="00B568DC">
        <w:rPr>
          <w:sz w:val="24"/>
          <w:szCs w:val="24"/>
        </w:rPr>
        <w:t>,400</w:t>
      </w:r>
      <w:r w:rsidRPr="00B568DC">
        <w:rPr>
          <w:rStyle w:val="af8"/>
          <w:rFonts w:hint="eastAsia"/>
          <w:sz w:val="24"/>
          <w:szCs w:val="24"/>
          <w:vertAlign w:val="baseline"/>
        </w:rPr>
        <w:t>萬元為限。</w:t>
      </w:r>
      <w:r w:rsidRPr="003A3F9D">
        <w:rPr>
          <w:rFonts w:hAnsi="標楷體" w:hint="eastAsia"/>
          <w:sz w:val="24"/>
          <w:szCs w:val="24"/>
        </w:rPr>
        <w:t>」</w:t>
      </w:r>
    </w:p>
  </w:footnote>
  <w:footnote w:id="2">
    <w:p w14:paraId="7B4A9BB0" w14:textId="77777777" w:rsidR="00EB546F" w:rsidRPr="00CB3F87" w:rsidRDefault="00EB546F" w:rsidP="006A582D">
      <w:pPr>
        <w:pStyle w:val="af6"/>
        <w:spacing w:line="280" w:lineRule="exact"/>
        <w:ind w:leftChars="51" w:left="195" w:hangingChars="21" w:hanging="51"/>
        <w:jc w:val="both"/>
      </w:pPr>
      <w:r w:rsidRPr="00033051">
        <w:rPr>
          <w:rStyle w:val="af8"/>
          <w:sz w:val="24"/>
          <w:szCs w:val="24"/>
        </w:rPr>
        <w:footnoteRef/>
      </w:r>
      <w:r w:rsidRPr="003A3F9D">
        <w:rPr>
          <w:rFonts w:hint="eastAsia"/>
          <w:sz w:val="24"/>
          <w:szCs w:val="24"/>
        </w:rPr>
        <w:t>期貨</w:t>
      </w:r>
      <w:r w:rsidRPr="00B568DC">
        <w:rPr>
          <w:rStyle w:val="af8"/>
          <w:rFonts w:hint="eastAsia"/>
          <w:sz w:val="24"/>
          <w:szCs w:val="24"/>
          <w:vertAlign w:val="baseline"/>
        </w:rPr>
        <w:t>交易稅條例第4條</w:t>
      </w:r>
      <w:r>
        <w:rPr>
          <w:rFonts w:hint="eastAsia"/>
          <w:sz w:val="24"/>
          <w:szCs w:val="24"/>
        </w:rPr>
        <w:t>規定</w:t>
      </w:r>
      <w:r w:rsidRPr="003A3F9D">
        <w:rPr>
          <w:rFonts w:hAnsi="標楷體" w:hint="eastAsia"/>
          <w:sz w:val="24"/>
          <w:szCs w:val="24"/>
        </w:rPr>
        <w:t>：「代徵人依照法定程序及期限完成其代徵義務者，該管稽徵機關應按其代徵稅額給與千分之一獎金。但每一代徵人每年代徵獎金以新臺幣2</w:t>
      </w:r>
      <w:r w:rsidRPr="003A3F9D">
        <w:rPr>
          <w:rFonts w:hAnsi="標楷體"/>
          <w:sz w:val="24"/>
          <w:szCs w:val="24"/>
        </w:rPr>
        <w:t>,400</w:t>
      </w:r>
      <w:r w:rsidRPr="003A3F9D">
        <w:rPr>
          <w:rFonts w:hAnsi="標楷體" w:hint="eastAsia"/>
          <w:sz w:val="24"/>
          <w:szCs w:val="24"/>
        </w:rPr>
        <w:t>萬元為限。」</w:t>
      </w:r>
    </w:p>
  </w:footnote>
  <w:footnote w:id="3">
    <w:p w14:paraId="784396A3" w14:textId="77777777" w:rsidR="00EB546F" w:rsidRPr="00CC65C8" w:rsidRDefault="00EB546F" w:rsidP="006A464E">
      <w:pPr>
        <w:pStyle w:val="af6"/>
        <w:spacing w:line="280" w:lineRule="exact"/>
        <w:ind w:leftChars="51" w:left="195" w:hangingChars="21" w:hanging="51"/>
        <w:jc w:val="both"/>
        <w:rPr>
          <w:sz w:val="24"/>
          <w:szCs w:val="24"/>
        </w:rPr>
      </w:pPr>
      <w:r w:rsidRPr="00CC65C8">
        <w:rPr>
          <w:rStyle w:val="af8"/>
          <w:sz w:val="24"/>
          <w:szCs w:val="24"/>
        </w:rPr>
        <w:footnoteRef/>
      </w:r>
      <w:r w:rsidRPr="00CC65C8">
        <w:rPr>
          <w:rFonts w:hint="eastAsia"/>
          <w:sz w:val="24"/>
          <w:szCs w:val="24"/>
        </w:rPr>
        <w:t>各機關單位預算執行要點第31點第1項</w:t>
      </w:r>
      <w:r w:rsidRPr="00CC65C8">
        <w:rPr>
          <w:rFonts w:hAnsi="標楷體" w:hint="eastAsia"/>
          <w:sz w:val="24"/>
          <w:szCs w:val="24"/>
        </w:rPr>
        <w:t>：「各機關有合於預算法第70條各款情事者，經檢討年度預算相關經費確實無法容納，得申請動支第二預備金。惟動支時，應衡酌執行能力，避免於年度結束申請保留，並應避免每年以相同事由申請動支第二預備金。」</w:t>
      </w:r>
      <w:r w:rsidRPr="00CC65C8">
        <w:rPr>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64568F"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64568F"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64568F"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68F"/>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69C48-ABBF-4877-AA2F-0BFF7065E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268</Words>
  <Characters>1531</Characters>
  <Application>Microsoft Office Word</Application>
  <DocSecurity>0</DocSecurity>
  <Lines>12</Lines>
  <Paragraphs>3</Paragraphs>
  <ScaleCrop>false</ScaleCrop>
  <Company>HOME</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