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7E6B8C73" w14:textId="77777777" w:rsidR="00EB546F" w:rsidRPr="00797436" w:rsidRDefault="00EB546F" w:rsidP="006B1ABF">
      <w:pPr>
        <w:pStyle w:val="14"/>
        <w:ind w:left="567" w:hanging="567"/>
      </w:pPr>
      <w:bookmarkStart w:id="1" w:name="_Toc161996610"/>
      <w:bookmarkStart w:id="2" w:name="_Toc193976073"/>
      <w:r>
        <w:rPr>
          <w:rFonts w:hint="eastAsia"/>
        </w:rPr>
        <w:t>第10項、國有財產署及所屬</w:t>
      </w:r>
      <w:bookmarkEnd w:id="1"/>
      <w:bookmarkEnd w:id="2"/>
    </w:p>
    <w:p w14:paraId="7EF80279" w14:textId="77777777" w:rsidR="00EB546F" w:rsidRPr="00C21689" w:rsidRDefault="00EB546F" w:rsidP="006B1ABF">
      <w:pPr>
        <w:pStyle w:val="a5"/>
        <w:ind w:left="482" w:hangingChars="170" w:hanging="482"/>
      </w:pPr>
      <w:r w:rsidRPr="00C21689">
        <w:rPr>
          <w:rFonts w:hint="eastAsia"/>
        </w:rPr>
        <w:t>一、</w:t>
      </w:r>
      <w:r w:rsidRPr="00BB4677">
        <w:rPr>
          <w:rFonts w:hint="eastAsia"/>
          <w:spacing w:val="-2"/>
        </w:rPr>
        <w:t>為辦理繳納國有非公用土地地價稅動支第二預備金，與預算法規定尚無不符，惟</w:t>
      </w:r>
      <w:r>
        <w:rPr>
          <w:rFonts w:hint="eastAsia"/>
          <w:spacing w:val="-2"/>
        </w:rPr>
        <w:t>已</w:t>
      </w:r>
      <w:r w:rsidRPr="00BB4677">
        <w:rPr>
          <w:rFonts w:hint="eastAsia"/>
          <w:spacing w:val="-2"/>
        </w:rPr>
        <w:t>連續</w:t>
      </w:r>
      <w:r>
        <w:rPr>
          <w:rFonts w:hint="eastAsia"/>
          <w:spacing w:val="-2"/>
        </w:rPr>
        <w:t>4</w:t>
      </w:r>
      <w:r w:rsidRPr="00BB4677">
        <w:rPr>
          <w:rFonts w:hint="eastAsia"/>
          <w:spacing w:val="-2"/>
        </w:rPr>
        <w:t>年經費不敷，允宜核實編列預算</w:t>
      </w:r>
    </w:p>
    <w:p w14:paraId="0B83CEFA" w14:textId="77777777" w:rsidR="00EB546F" w:rsidRPr="003469B6" w:rsidRDefault="00EB546F" w:rsidP="006B1ABF">
      <w:pPr>
        <w:ind w:left="566" w:firstLine="566"/>
      </w:pPr>
      <w:r>
        <w:rPr>
          <w:rFonts w:hint="eastAsia"/>
        </w:rPr>
        <w:t>國有財產署及所屬(以下簡稱國產署)為</w:t>
      </w:r>
      <w:r w:rsidRPr="00430A09">
        <w:rPr>
          <w:rFonts w:hint="eastAsia"/>
        </w:rPr>
        <w:t>辦理</w:t>
      </w:r>
      <w:r w:rsidRPr="0071750B">
        <w:rPr>
          <w:rFonts w:hint="eastAsia"/>
        </w:rPr>
        <w:t>繳納國有非公用土地地價稅</w:t>
      </w:r>
      <w:r w:rsidRPr="00503A1F">
        <w:rPr>
          <w:rFonts w:hint="eastAsia"/>
        </w:rPr>
        <w:t>所需經費不敷</w:t>
      </w:r>
      <w:r w:rsidRPr="0078764D">
        <w:rPr>
          <w:rFonts w:hint="eastAsia"/>
        </w:rPr>
        <w:t>，動支第二預備</w:t>
      </w:r>
      <w:r>
        <w:rPr>
          <w:rFonts w:hint="eastAsia"/>
        </w:rPr>
        <w:t>金6,</w:t>
      </w:r>
      <w:r>
        <w:t>5</w:t>
      </w:r>
      <w:r>
        <w:rPr>
          <w:rFonts w:hint="eastAsia"/>
        </w:rPr>
        <w:t>67萬4千元</w:t>
      </w:r>
      <w:r w:rsidRPr="003469B6">
        <w:rPr>
          <w:rFonts w:hint="eastAsia"/>
        </w:rPr>
        <w:t>。</w:t>
      </w:r>
      <w:r>
        <w:rPr>
          <w:rFonts w:hint="eastAsia"/>
        </w:rPr>
        <w:t>茲就其</w:t>
      </w:r>
      <w:r w:rsidRPr="007C3C96">
        <w:rPr>
          <w:rFonts w:hint="eastAsia"/>
        </w:rPr>
        <w:t>動支條件</w:t>
      </w:r>
      <w:r>
        <w:rPr>
          <w:rFonts w:hint="eastAsia"/>
        </w:rPr>
        <w:t>、原因及執行情形等評估說明如次</w:t>
      </w:r>
      <w:r w:rsidRPr="003469B6">
        <w:rPr>
          <w:rFonts w:hint="eastAsia"/>
        </w:rPr>
        <w:t>：</w:t>
      </w:r>
    </w:p>
    <w:p w14:paraId="5AA7F967" w14:textId="77777777" w:rsidR="00EB546F" w:rsidRPr="00D03853" w:rsidRDefault="00EB546F" w:rsidP="006B1ABF">
      <w:pPr>
        <w:pStyle w:val="a7"/>
        <w:ind w:left="849" w:hanging="283"/>
        <w:rPr>
          <w:rFonts w:hAnsi="標楷體"/>
        </w:rPr>
      </w:pPr>
      <w:r>
        <w:rPr>
          <w:rFonts w:hAnsi="標楷體" w:cs="標楷體" w:hint="eastAsia"/>
          <w:b/>
          <w:bCs/>
        </w:rPr>
        <w:t>(一)</w:t>
      </w:r>
      <w:r w:rsidRPr="003469B6">
        <w:rPr>
          <w:rFonts w:hAnsi="標楷體" w:cs="標楷體" w:hint="eastAsia"/>
          <w:b/>
          <w:bCs/>
        </w:rPr>
        <w:t>動支條件：</w:t>
      </w:r>
      <w:r w:rsidRPr="003469B6">
        <w:rPr>
          <w:rFonts w:hAnsi="標楷體" w:hint="eastAsia"/>
        </w:rPr>
        <w:t>依預算法第70條</w:t>
      </w:r>
      <w:r>
        <w:rPr>
          <w:rFonts w:hAnsi="標楷體" w:hint="eastAsia"/>
        </w:rPr>
        <w:t>第2款</w:t>
      </w:r>
      <w:r w:rsidRPr="003469B6">
        <w:rPr>
          <w:rFonts w:hAnsi="標楷體" w:hint="eastAsia"/>
        </w:rPr>
        <w:t>規定</w:t>
      </w:r>
      <w:r>
        <w:rPr>
          <w:rFonts w:hAnsi="標楷體" w:hint="eastAsia"/>
        </w:rPr>
        <w:t>：「原列計畫費用因增加業務量致增加經費時」申請</w:t>
      </w:r>
      <w:r w:rsidRPr="003469B6">
        <w:rPr>
          <w:rFonts w:hAnsi="標楷體" w:hint="eastAsia"/>
        </w:rPr>
        <w:t>動支</w:t>
      </w:r>
      <w:r w:rsidRPr="00D03853">
        <w:rPr>
          <w:rFonts w:hAnsi="標楷體" w:hint="eastAsia"/>
        </w:rPr>
        <w:t>。</w:t>
      </w:r>
      <w:r>
        <w:rPr>
          <w:rFonts w:hAnsi="標楷體" w:hint="eastAsia"/>
        </w:rPr>
        <w:t>本案</w:t>
      </w:r>
      <w:r>
        <w:rPr>
          <w:rFonts w:hint="eastAsia"/>
        </w:rPr>
        <w:t>動支數超過5,</w:t>
      </w:r>
      <w:r>
        <w:t>000</w:t>
      </w:r>
      <w:r>
        <w:rPr>
          <w:rFonts w:hint="eastAsia"/>
        </w:rPr>
        <w:t>萬元，行政院已依預算法第22條第3項規定，於1</w:t>
      </w:r>
      <w:r>
        <w:t>1</w:t>
      </w:r>
      <w:r>
        <w:rPr>
          <w:rFonts w:hint="eastAsia"/>
        </w:rPr>
        <w:t>3年1</w:t>
      </w:r>
      <w:r>
        <w:t>2</w:t>
      </w:r>
      <w:r>
        <w:rPr>
          <w:rFonts w:hint="eastAsia"/>
        </w:rPr>
        <w:t>月25日函送本院備查。</w:t>
      </w:r>
    </w:p>
    <w:p w14:paraId="7917C12D" w14:textId="77777777" w:rsidR="00EB546F" w:rsidRDefault="00EB546F" w:rsidP="0059360A">
      <w:pPr>
        <w:pStyle w:val="a7"/>
        <w:ind w:left="849" w:hanging="283"/>
      </w:pPr>
      <w:r>
        <w:rPr>
          <w:rFonts w:hAnsi="標楷體" w:hint="eastAsia"/>
          <w:b/>
          <w:bCs/>
          <w:szCs w:val="20"/>
        </w:rPr>
        <w:t>(二)</w:t>
      </w:r>
      <w:r w:rsidRPr="00D03853">
        <w:rPr>
          <w:rFonts w:hAnsi="標楷體" w:hint="eastAsia"/>
          <w:b/>
          <w:bCs/>
          <w:szCs w:val="20"/>
        </w:rPr>
        <w:t>動支原因</w:t>
      </w:r>
      <w:r>
        <w:rPr>
          <w:rFonts w:hAnsi="標楷體" w:hint="eastAsia"/>
          <w:b/>
          <w:bCs/>
          <w:szCs w:val="20"/>
        </w:rPr>
        <w:t>及執行情形</w:t>
      </w:r>
      <w:r w:rsidRPr="003469B6">
        <w:rPr>
          <w:rFonts w:hAnsi="標楷體" w:cs="標楷體" w:hint="eastAsia"/>
          <w:b/>
          <w:bCs/>
        </w:rPr>
        <w:t>：</w:t>
      </w:r>
      <w:r>
        <w:rPr>
          <w:rFonts w:hint="eastAsia"/>
        </w:rPr>
        <w:t>國產署經管國有非公用房地應繳之地價稅及房屋稅採收支併列方式編列預算，113年度各項房地租金及權利金等歲入預算數計45億620萬元，地價稅及房屋稅歲出預算數計9億124萬元，包含地價稅8億9,052萬3千元及房屋稅1</w:t>
      </w:r>
      <w:r>
        <w:t>,071</w:t>
      </w:r>
      <w:r>
        <w:rPr>
          <w:rFonts w:hint="eastAsia"/>
        </w:rPr>
        <w:t>萬7千元。其中該署北區及中區分署113年度國有非公用土地地價稅經費執行數7億1,636萬7千元(詳表1)，經檢討由原預算編列6億4,851萬3千元及預算調應數218萬元後，仍不敷6,567萬4千元，爰申請動支</w:t>
      </w:r>
      <w:r w:rsidRPr="006B1F55">
        <w:rPr>
          <w:rFonts w:hint="eastAsia"/>
        </w:rPr>
        <w:t>第二預備金</w:t>
      </w:r>
      <w:r>
        <w:rPr>
          <w:rFonts w:hint="eastAsia"/>
        </w:rPr>
        <w:t>支應</w:t>
      </w:r>
      <w:r w:rsidRPr="006B1F55">
        <w:rPr>
          <w:rFonts w:hint="eastAsia"/>
        </w:rPr>
        <w:t>，列帳科目為</w:t>
      </w:r>
      <w:r>
        <w:rPr>
          <w:rFonts w:hint="eastAsia"/>
        </w:rPr>
        <w:t>「</w:t>
      </w:r>
      <w:r w:rsidRPr="006B1F55">
        <w:rPr>
          <w:rFonts w:hint="eastAsia"/>
        </w:rPr>
        <w:t>國有財產業務</w:t>
      </w:r>
      <w:r>
        <w:rPr>
          <w:rFonts w:hint="eastAsia"/>
        </w:rPr>
        <w:t>-</w:t>
      </w:r>
      <w:r w:rsidRPr="006B1F55">
        <w:rPr>
          <w:rFonts w:hint="eastAsia"/>
        </w:rPr>
        <w:t>業務費-稅捐及規費</w:t>
      </w:r>
      <w:r>
        <w:rPr>
          <w:rFonts w:hint="eastAsia"/>
        </w:rPr>
        <w:t>」</w:t>
      </w:r>
      <w:r w:rsidRPr="00302BCF">
        <w:rPr>
          <w:rFonts w:hAnsi="標楷體" w:hint="eastAsia"/>
        </w:rPr>
        <w:t>，</w:t>
      </w:r>
      <w:r>
        <w:rPr>
          <w:rFonts w:hAnsi="標楷體" w:hint="eastAsia"/>
        </w:rPr>
        <w:t>全數</w:t>
      </w:r>
      <w:r w:rsidRPr="00F95C92">
        <w:rPr>
          <w:rFonts w:hAnsi="標楷體" w:hint="eastAsia"/>
        </w:rPr>
        <w:t>於</w:t>
      </w:r>
      <w:r>
        <w:rPr>
          <w:rFonts w:hAnsi="標楷體" w:cs="細明體" w:hint="eastAsia"/>
        </w:rPr>
        <w:t>1</w:t>
      </w:r>
      <w:r>
        <w:rPr>
          <w:rFonts w:hAnsi="標楷體" w:cs="細明體"/>
        </w:rPr>
        <w:t>1</w:t>
      </w:r>
      <w:r>
        <w:rPr>
          <w:rFonts w:hAnsi="標楷體" w:cs="細明體" w:hint="eastAsia"/>
        </w:rPr>
        <w:t>3年12月執行完畢</w:t>
      </w:r>
      <w:r w:rsidRPr="006B1F55">
        <w:rPr>
          <w:rFonts w:hint="eastAsia"/>
        </w:rPr>
        <w:t>。</w:t>
      </w:r>
    </w:p>
    <w:p w14:paraId="1F5AD69B" w14:textId="77777777" w:rsidR="00EB546F" w:rsidRDefault="00EB546F" w:rsidP="00B078E6">
      <w:pPr>
        <w:pStyle w:val="142"/>
        <w:spacing w:line="400" w:lineRule="exact"/>
        <w:ind w:left="1205" w:hangingChars="425" w:hanging="1205"/>
      </w:pPr>
      <w:r>
        <w:rPr>
          <w:rFonts w:hint="eastAsia"/>
          <w:b/>
          <w:sz w:val="28"/>
        </w:rPr>
        <w:t xml:space="preserve">    </w:t>
      </w:r>
      <w:r w:rsidRPr="005B4036">
        <w:rPr>
          <w:rFonts w:hint="eastAsia"/>
          <w:b/>
          <w:sz w:val="28"/>
        </w:rPr>
        <w:t>表1</w:t>
      </w:r>
      <w:r>
        <w:rPr>
          <w:rFonts w:hint="eastAsia"/>
          <w:b/>
          <w:sz w:val="28"/>
        </w:rPr>
        <w:t xml:space="preserve"> 國產署</w:t>
      </w:r>
      <w:r w:rsidRPr="00691E2E">
        <w:rPr>
          <w:rFonts w:hint="eastAsia"/>
          <w:b/>
          <w:sz w:val="28"/>
        </w:rPr>
        <w:t>北區及中區分署</w:t>
      </w:r>
      <w:r>
        <w:rPr>
          <w:rFonts w:hint="eastAsia"/>
          <w:b/>
          <w:sz w:val="28"/>
        </w:rPr>
        <w:t>113年度辦理繳納</w:t>
      </w:r>
      <w:r w:rsidRPr="00C71E21">
        <w:rPr>
          <w:rFonts w:hint="eastAsia"/>
          <w:b/>
          <w:sz w:val="28"/>
        </w:rPr>
        <w:t>國有非公用土地地價稅</w:t>
      </w:r>
      <w:r>
        <w:rPr>
          <w:rFonts w:hint="eastAsia"/>
          <w:b/>
          <w:sz w:val="28"/>
        </w:rPr>
        <w:t>執行</w:t>
      </w:r>
      <w:r w:rsidRPr="00456539">
        <w:rPr>
          <w:rFonts w:hint="eastAsia"/>
          <w:b/>
          <w:sz w:val="28"/>
        </w:rPr>
        <w:t>概況表</w:t>
      </w:r>
      <w:r>
        <w:rPr>
          <w:rFonts w:hint="eastAsia"/>
          <w:b/>
          <w:sz w:val="28"/>
        </w:rPr>
        <w:t xml:space="preserve">                 </w:t>
      </w:r>
      <w:r>
        <w:rPr>
          <w:b/>
          <w:sz w:val="28"/>
        </w:rPr>
        <w:t xml:space="preserve"> </w:t>
      </w:r>
      <w:r>
        <w:rPr>
          <w:rFonts w:hint="eastAsia"/>
          <w:b/>
          <w:sz w:val="28"/>
        </w:rPr>
        <w:t xml:space="preserve">     </w:t>
      </w:r>
      <w:r>
        <w:rPr>
          <w:b/>
          <w:sz w:val="28"/>
        </w:rPr>
        <w:t xml:space="preserve">   </w:t>
      </w: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87"/>
        <w:gridCol w:w="1588"/>
        <w:gridCol w:w="1587"/>
        <w:gridCol w:w="1588"/>
        <w:gridCol w:w="1588"/>
      </w:tblGrid>
      <w:tr w:rsidR="00EB546F" w14:paraId="72AEDE33" w14:textId="77777777" w:rsidTr="00691E2E">
        <w:trPr>
          <w:trHeight w:val="283"/>
        </w:trPr>
        <w:tc>
          <w:tcPr>
            <w:tcW w:w="1587" w:type="dxa"/>
            <w:shd w:val="clear" w:color="auto" w:fill="auto"/>
            <w:vAlign w:val="center"/>
          </w:tcPr>
          <w:p w14:paraId="7AE7CA80" w14:textId="77777777" w:rsidR="00EB546F" w:rsidRPr="001E494C" w:rsidRDefault="00EB546F" w:rsidP="00CF2324">
            <w:pPr>
              <w:pStyle w:val="142"/>
              <w:jc w:val="center"/>
              <w:rPr>
                <w:b/>
                <w:color w:val="000000"/>
              </w:rPr>
            </w:pPr>
            <w:r>
              <w:rPr>
                <w:rFonts w:hint="eastAsia"/>
                <w:b/>
                <w:color w:val="000000"/>
              </w:rPr>
              <w:t>分署</w:t>
            </w:r>
          </w:p>
        </w:tc>
        <w:tc>
          <w:tcPr>
            <w:tcW w:w="1588" w:type="dxa"/>
            <w:shd w:val="clear" w:color="auto" w:fill="auto"/>
            <w:vAlign w:val="center"/>
          </w:tcPr>
          <w:p w14:paraId="29509AAB"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預算數</w:t>
            </w:r>
          </w:p>
        </w:tc>
        <w:tc>
          <w:tcPr>
            <w:tcW w:w="1587" w:type="dxa"/>
            <w:shd w:val="clear" w:color="auto" w:fill="auto"/>
            <w:vAlign w:val="center"/>
          </w:tcPr>
          <w:p w14:paraId="144A69DD" w14:textId="77777777" w:rsidR="00EB546F" w:rsidRDefault="00EB546F" w:rsidP="00CF2324">
            <w:pPr>
              <w:pStyle w:val="142"/>
              <w:jc w:val="center"/>
              <w:rPr>
                <w:rFonts w:cs="新細明體"/>
                <w:b/>
                <w:color w:val="000000"/>
                <w:szCs w:val="24"/>
              </w:rPr>
            </w:pPr>
            <w:r>
              <w:rPr>
                <w:rFonts w:cs="新細明體" w:hint="eastAsia"/>
                <w:b/>
                <w:color w:val="000000"/>
                <w:szCs w:val="24"/>
              </w:rPr>
              <w:t>預算</w:t>
            </w:r>
          </w:p>
          <w:p w14:paraId="05CC11AA"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調應數</w:t>
            </w:r>
          </w:p>
        </w:tc>
        <w:tc>
          <w:tcPr>
            <w:tcW w:w="1588" w:type="dxa"/>
            <w:shd w:val="clear" w:color="auto" w:fill="auto"/>
            <w:vAlign w:val="center"/>
          </w:tcPr>
          <w:p w14:paraId="00CE5A16"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動支第二預備金</w:t>
            </w:r>
          </w:p>
        </w:tc>
        <w:tc>
          <w:tcPr>
            <w:tcW w:w="1588" w:type="dxa"/>
            <w:shd w:val="clear" w:color="auto" w:fill="auto"/>
            <w:vAlign w:val="center"/>
          </w:tcPr>
          <w:p w14:paraId="0762C1BB" w14:textId="77777777" w:rsidR="00EB546F" w:rsidRPr="001E494C" w:rsidRDefault="00EB546F" w:rsidP="00CF2324">
            <w:pPr>
              <w:pStyle w:val="142"/>
              <w:jc w:val="center"/>
              <w:rPr>
                <w:rFonts w:cs="新細明體"/>
                <w:b/>
                <w:color w:val="000000"/>
                <w:szCs w:val="24"/>
              </w:rPr>
            </w:pPr>
            <w:r>
              <w:rPr>
                <w:rFonts w:cs="新細明體" w:hint="eastAsia"/>
                <w:b/>
                <w:color w:val="000000"/>
                <w:szCs w:val="24"/>
              </w:rPr>
              <w:t>決算數</w:t>
            </w:r>
          </w:p>
        </w:tc>
      </w:tr>
      <w:tr w:rsidR="00EB546F" w14:paraId="6AB7E262" w14:textId="77777777" w:rsidTr="00691E2E">
        <w:trPr>
          <w:trHeight w:val="283"/>
        </w:trPr>
        <w:tc>
          <w:tcPr>
            <w:tcW w:w="1587" w:type="dxa"/>
            <w:shd w:val="clear" w:color="auto" w:fill="auto"/>
            <w:vAlign w:val="center"/>
          </w:tcPr>
          <w:p w14:paraId="398F49DE" w14:textId="77777777" w:rsidR="00EB546F" w:rsidRDefault="00EB546F" w:rsidP="00CF2324">
            <w:pPr>
              <w:pStyle w:val="142"/>
              <w:jc w:val="both"/>
              <w:rPr>
                <w:color w:val="000000"/>
              </w:rPr>
            </w:pPr>
            <w:r>
              <w:rPr>
                <w:rFonts w:hint="eastAsia"/>
                <w:color w:val="000000"/>
              </w:rPr>
              <w:t>北區分署</w:t>
            </w:r>
          </w:p>
        </w:tc>
        <w:tc>
          <w:tcPr>
            <w:tcW w:w="1588" w:type="dxa"/>
            <w:shd w:val="clear" w:color="auto" w:fill="auto"/>
            <w:vAlign w:val="center"/>
          </w:tcPr>
          <w:p w14:paraId="4911AB21" w14:textId="77777777" w:rsidR="00EB546F" w:rsidRPr="00090AC2" w:rsidRDefault="00EB546F" w:rsidP="00CF2324">
            <w:pPr>
              <w:pStyle w:val="142"/>
              <w:jc w:val="right"/>
              <w:rPr>
                <w:rFonts w:cs="新細明體"/>
                <w:color w:val="000000"/>
                <w:szCs w:val="24"/>
              </w:rPr>
            </w:pPr>
            <w:r>
              <w:rPr>
                <w:rFonts w:cs="新細明體" w:hint="eastAsia"/>
                <w:color w:val="000000"/>
                <w:szCs w:val="24"/>
              </w:rPr>
              <w:t>49</w:t>
            </w:r>
            <w:r>
              <w:rPr>
                <w:rFonts w:cs="新細明體"/>
                <w:color w:val="000000"/>
                <w:szCs w:val="24"/>
              </w:rPr>
              <w:t>7,015</w:t>
            </w:r>
          </w:p>
        </w:tc>
        <w:tc>
          <w:tcPr>
            <w:tcW w:w="1587" w:type="dxa"/>
            <w:shd w:val="clear" w:color="auto" w:fill="auto"/>
            <w:vAlign w:val="center"/>
          </w:tcPr>
          <w:p w14:paraId="45DEF6E4" w14:textId="77777777" w:rsidR="00EB546F" w:rsidRPr="00090AC2" w:rsidRDefault="00EB546F" w:rsidP="00CF2324">
            <w:pPr>
              <w:pStyle w:val="142"/>
              <w:jc w:val="right"/>
              <w:rPr>
                <w:rFonts w:cs="新細明體"/>
                <w:color w:val="000000"/>
                <w:szCs w:val="24"/>
              </w:rPr>
            </w:pPr>
            <w:r>
              <w:rPr>
                <w:rFonts w:cs="新細明體" w:hint="eastAsia"/>
                <w:color w:val="000000"/>
                <w:szCs w:val="24"/>
              </w:rPr>
              <w:t>399</w:t>
            </w:r>
          </w:p>
        </w:tc>
        <w:tc>
          <w:tcPr>
            <w:tcW w:w="1588" w:type="dxa"/>
            <w:shd w:val="clear" w:color="auto" w:fill="auto"/>
            <w:vAlign w:val="center"/>
          </w:tcPr>
          <w:p w14:paraId="15B263DE" w14:textId="77777777" w:rsidR="00EB546F" w:rsidRPr="00090AC2" w:rsidRDefault="00EB546F" w:rsidP="00CF2324">
            <w:pPr>
              <w:pStyle w:val="142"/>
              <w:jc w:val="right"/>
              <w:rPr>
                <w:rFonts w:cs="新細明體"/>
                <w:color w:val="000000"/>
                <w:szCs w:val="24"/>
              </w:rPr>
            </w:pPr>
            <w:r>
              <w:rPr>
                <w:rFonts w:cs="新細明體" w:hint="eastAsia"/>
                <w:color w:val="000000"/>
                <w:szCs w:val="24"/>
              </w:rPr>
              <w:t>48,</w:t>
            </w:r>
            <w:r>
              <w:rPr>
                <w:rFonts w:cs="新細明體"/>
                <w:color w:val="000000"/>
                <w:szCs w:val="24"/>
              </w:rPr>
              <w:t>141</w:t>
            </w:r>
          </w:p>
        </w:tc>
        <w:tc>
          <w:tcPr>
            <w:tcW w:w="1588" w:type="dxa"/>
            <w:shd w:val="clear" w:color="auto" w:fill="auto"/>
            <w:vAlign w:val="center"/>
          </w:tcPr>
          <w:p w14:paraId="77AE09B8" w14:textId="77777777" w:rsidR="00EB546F" w:rsidRPr="00090AC2" w:rsidRDefault="00EB546F" w:rsidP="00CF2324">
            <w:pPr>
              <w:pStyle w:val="142"/>
              <w:jc w:val="right"/>
              <w:rPr>
                <w:color w:val="000000"/>
                <w:szCs w:val="24"/>
              </w:rPr>
            </w:pPr>
            <w:r>
              <w:rPr>
                <w:rFonts w:hint="eastAsia"/>
                <w:color w:val="000000"/>
                <w:szCs w:val="24"/>
              </w:rPr>
              <w:t>545</w:t>
            </w:r>
            <w:r>
              <w:rPr>
                <w:color w:val="000000"/>
                <w:szCs w:val="24"/>
              </w:rPr>
              <w:t>,</w:t>
            </w:r>
            <w:r>
              <w:rPr>
                <w:rFonts w:hint="eastAsia"/>
                <w:color w:val="000000"/>
                <w:szCs w:val="24"/>
              </w:rPr>
              <w:t>555</w:t>
            </w:r>
          </w:p>
        </w:tc>
      </w:tr>
      <w:tr w:rsidR="00EB546F" w14:paraId="6722B9B6" w14:textId="77777777" w:rsidTr="00691E2E">
        <w:trPr>
          <w:trHeight w:val="283"/>
        </w:trPr>
        <w:tc>
          <w:tcPr>
            <w:tcW w:w="1587" w:type="dxa"/>
            <w:shd w:val="clear" w:color="auto" w:fill="auto"/>
          </w:tcPr>
          <w:p w14:paraId="2B74C443" w14:textId="77777777" w:rsidR="00EB546F" w:rsidRDefault="00EB546F" w:rsidP="00CF2324">
            <w:pPr>
              <w:pStyle w:val="142"/>
              <w:rPr>
                <w:color w:val="000000"/>
              </w:rPr>
            </w:pPr>
            <w:r>
              <w:rPr>
                <w:rFonts w:hint="eastAsia"/>
                <w:color w:val="000000"/>
              </w:rPr>
              <w:t>中區分署</w:t>
            </w:r>
          </w:p>
        </w:tc>
        <w:tc>
          <w:tcPr>
            <w:tcW w:w="1588" w:type="dxa"/>
            <w:shd w:val="clear" w:color="auto" w:fill="auto"/>
            <w:vAlign w:val="center"/>
          </w:tcPr>
          <w:p w14:paraId="3999FF14" w14:textId="77777777" w:rsidR="00EB546F" w:rsidRPr="00090AC2" w:rsidRDefault="00EB546F" w:rsidP="00CF2324">
            <w:pPr>
              <w:pStyle w:val="142"/>
              <w:jc w:val="right"/>
              <w:rPr>
                <w:rFonts w:cs="新細明體"/>
                <w:color w:val="000000"/>
                <w:szCs w:val="24"/>
              </w:rPr>
            </w:pPr>
            <w:r>
              <w:rPr>
                <w:rFonts w:cs="新細明體" w:hint="eastAsia"/>
                <w:color w:val="000000"/>
                <w:szCs w:val="24"/>
              </w:rPr>
              <w:t>1</w:t>
            </w:r>
            <w:r>
              <w:rPr>
                <w:rFonts w:cs="新細明體"/>
                <w:color w:val="000000"/>
                <w:szCs w:val="24"/>
              </w:rPr>
              <w:t>51,498</w:t>
            </w:r>
          </w:p>
        </w:tc>
        <w:tc>
          <w:tcPr>
            <w:tcW w:w="1587" w:type="dxa"/>
            <w:shd w:val="clear" w:color="auto" w:fill="auto"/>
            <w:vAlign w:val="center"/>
          </w:tcPr>
          <w:p w14:paraId="63DB79B5" w14:textId="77777777" w:rsidR="00EB546F" w:rsidRPr="00090AC2" w:rsidRDefault="00EB546F" w:rsidP="00CF2324">
            <w:pPr>
              <w:pStyle w:val="142"/>
              <w:jc w:val="right"/>
              <w:rPr>
                <w:rFonts w:cs="新細明體"/>
                <w:color w:val="000000"/>
                <w:szCs w:val="24"/>
              </w:rPr>
            </w:pPr>
            <w:r>
              <w:rPr>
                <w:rFonts w:cs="新細明體" w:hint="eastAsia"/>
                <w:color w:val="000000"/>
                <w:szCs w:val="24"/>
              </w:rPr>
              <w:t>1</w:t>
            </w:r>
            <w:r>
              <w:rPr>
                <w:rFonts w:cs="新細明體"/>
                <w:color w:val="000000"/>
                <w:szCs w:val="24"/>
              </w:rPr>
              <w:t>,</w:t>
            </w:r>
            <w:r>
              <w:rPr>
                <w:rFonts w:cs="新細明體" w:hint="eastAsia"/>
                <w:color w:val="000000"/>
                <w:szCs w:val="24"/>
              </w:rPr>
              <w:t>7</w:t>
            </w:r>
            <w:r>
              <w:rPr>
                <w:rFonts w:cs="新細明體"/>
                <w:color w:val="000000"/>
                <w:szCs w:val="24"/>
              </w:rPr>
              <w:t>81</w:t>
            </w:r>
          </w:p>
        </w:tc>
        <w:tc>
          <w:tcPr>
            <w:tcW w:w="1588" w:type="dxa"/>
            <w:shd w:val="clear" w:color="auto" w:fill="auto"/>
            <w:vAlign w:val="center"/>
          </w:tcPr>
          <w:p w14:paraId="75D8ED9E" w14:textId="77777777" w:rsidR="00EB546F" w:rsidRPr="00090AC2" w:rsidRDefault="00EB546F" w:rsidP="00CF2324">
            <w:pPr>
              <w:pStyle w:val="142"/>
              <w:jc w:val="right"/>
              <w:rPr>
                <w:rFonts w:cs="新細明體"/>
                <w:color w:val="000000"/>
                <w:szCs w:val="24"/>
              </w:rPr>
            </w:pPr>
            <w:r>
              <w:rPr>
                <w:rFonts w:cs="新細明體" w:hint="eastAsia"/>
                <w:color w:val="000000"/>
                <w:szCs w:val="24"/>
              </w:rPr>
              <w:t>1</w:t>
            </w:r>
            <w:r>
              <w:rPr>
                <w:rFonts w:cs="新細明體"/>
                <w:color w:val="000000"/>
                <w:szCs w:val="24"/>
              </w:rPr>
              <w:t>7,533</w:t>
            </w:r>
          </w:p>
        </w:tc>
        <w:tc>
          <w:tcPr>
            <w:tcW w:w="1588" w:type="dxa"/>
            <w:shd w:val="clear" w:color="auto" w:fill="auto"/>
            <w:vAlign w:val="center"/>
          </w:tcPr>
          <w:p w14:paraId="1E20B093" w14:textId="77777777" w:rsidR="00EB546F" w:rsidRPr="00090AC2" w:rsidRDefault="00EB546F" w:rsidP="00B078E6">
            <w:pPr>
              <w:pStyle w:val="142"/>
              <w:jc w:val="right"/>
              <w:rPr>
                <w:rFonts w:cs="新細明體"/>
                <w:color w:val="000000"/>
                <w:szCs w:val="24"/>
              </w:rPr>
            </w:pPr>
            <w:r>
              <w:rPr>
                <w:rFonts w:cs="新細明體" w:hint="eastAsia"/>
                <w:color w:val="000000"/>
                <w:szCs w:val="24"/>
              </w:rPr>
              <w:t>1</w:t>
            </w:r>
            <w:r>
              <w:rPr>
                <w:rFonts w:cs="新細明體"/>
                <w:color w:val="000000"/>
                <w:szCs w:val="24"/>
              </w:rPr>
              <w:t>70,812</w:t>
            </w:r>
          </w:p>
        </w:tc>
      </w:tr>
      <w:tr w:rsidR="00EB546F" w14:paraId="2DFE26CD" w14:textId="77777777" w:rsidTr="00691E2E">
        <w:trPr>
          <w:trHeight w:val="283"/>
        </w:trPr>
        <w:tc>
          <w:tcPr>
            <w:tcW w:w="1587" w:type="dxa"/>
            <w:shd w:val="clear" w:color="auto" w:fill="auto"/>
          </w:tcPr>
          <w:p w14:paraId="3A3B71CE" w14:textId="77777777" w:rsidR="00EB546F" w:rsidRDefault="00EB546F" w:rsidP="00CF2324">
            <w:pPr>
              <w:pStyle w:val="142"/>
              <w:rPr>
                <w:color w:val="000000"/>
              </w:rPr>
            </w:pPr>
            <w:r>
              <w:rPr>
                <w:rFonts w:hint="eastAsia"/>
                <w:color w:val="000000"/>
              </w:rPr>
              <w:t>合計</w:t>
            </w:r>
          </w:p>
        </w:tc>
        <w:tc>
          <w:tcPr>
            <w:tcW w:w="1588" w:type="dxa"/>
            <w:shd w:val="clear" w:color="auto" w:fill="auto"/>
            <w:vAlign w:val="center"/>
          </w:tcPr>
          <w:p w14:paraId="1589BAE3" w14:textId="77777777" w:rsidR="00EB546F" w:rsidRPr="00090AC2" w:rsidRDefault="00EB546F" w:rsidP="00691E2E">
            <w:pPr>
              <w:pStyle w:val="142"/>
              <w:jc w:val="right"/>
              <w:rPr>
                <w:rFonts w:cs="新細明體"/>
                <w:color w:val="000000"/>
                <w:szCs w:val="24"/>
              </w:rPr>
            </w:pPr>
            <w:r>
              <w:rPr>
                <w:rFonts w:cs="新細明體" w:hint="eastAsia"/>
                <w:color w:val="000000"/>
                <w:szCs w:val="24"/>
              </w:rPr>
              <w:t>648</w:t>
            </w:r>
            <w:r>
              <w:rPr>
                <w:rFonts w:cs="新細明體"/>
                <w:color w:val="000000"/>
                <w:szCs w:val="24"/>
              </w:rPr>
              <w:t>,5</w:t>
            </w:r>
            <w:r>
              <w:rPr>
                <w:rFonts w:cs="新細明體" w:hint="eastAsia"/>
                <w:color w:val="000000"/>
                <w:szCs w:val="24"/>
              </w:rPr>
              <w:t>1</w:t>
            </w:r>
            <w:r>
              <w:rPr>
                <w:rFonts w:cs="新細明體"/>
                <w:color w:val="000000"/>
                <w:szCs w:val="24"/>
              </w:rPr>
              <w:t>3</w:t>
            </w:r>
          </w:p>
        </w:tc>
        <w:tc>
          <w:tcPr>
            <w:tcW w:w="1587" w:type="dxa"/>
            <w:shd w:val="clear" w:color="auto" w:fill="auto"/>
            <w:vAlign w:val="center"/>
          </w:tcPr>
          <w:p w14:paraId="5FD36224" w14:textId="77777777" w:rsidR="00EB546F" w:rsidRPr="00090AC2" w:rsidRDefault="00EB546F" w:rsidP="00CF2324">
            <w:pPr>
              <w:pStyle w:val="142"/>
              <w:jc w:val="right"/>
              <w:rPr>
                <w:rFonts w:cs="新細明體"/>
                <w:color w:val="000000"/>
                <w:szCs w:val="24"/>
              </w:rPr>
            </w:pPr>
            <w:r>
              <w:rPr>
                <w:rFonts w:cs="新細明體" w:hint="eastAsia"/>
                <w:color w:val="000000"/>
                <w:szCs w:val="24"/>
              </w:rPr>
              <w:t>2</w:t>
            </w:r>
            <w:r>
              <w:rPr>
                <w:rFonts w:cs="新細明體"/>
                <w:color w:val="000000"/>
                <w:szCs w:val="24"/>
              </w:rPr>
              <w:t>,180</w:t>
            </w:r>
          </w:p>
        </w:tc>
        <w:tc>
          <w:tcPr>
            <w:tcW w:w="1588" w:type="dxa"/>
            <w:shd w:val="clear" w:color="auto" w:fill="auto"/>
            <w:vAlign w:val="center"/>
          </w:tcPr>
          <w:p w14:paraId="4B68EA73" w14:textId="77777777" w:rsidR="00EB546F" w:rsidRPr="00090AC2" w:rsidRDefault="00EB546F" w:rsidP="00CF2324">
            <w:pPr>
              <w:pStyle w:val="142"/>
              <w:jc w:val="right"/>
              <w:rPr>
                <w:rFonts w:cs="新細明體"/>
                <w:color w:val="000000"/>
                <w:szCs w:val="24"/>
              </w:rPr>
            </w:pPr>
            <w:r>
              <w:rPr>
                <w:rFonts w:cs="新細明體" w:hint="eastAsia"/>
                <w:color w:val="000000"/>
                <w:szCs w:val="24"/>
              </w:rPr>
              <w:t>6</w:t>
            </w:r>
            <w:r>
              <w:rPr>
                <w:rFonts w:cs="新細明體"/>
                <w:color w:val="000000"/>
                <w:szCs w:val="24"/>
              </w:rPr>
              <w:t>5,674</w:t>
            </w:r>
          </w:p>
        </w:tc>
        <w:tc>
          <w:tcPr>
            <w:tcW w:w="1588" w:type="dxa"/>
            <w:shd w:val="clear" w:color="auto" w:fill="auto"/>
            <w:vAlign w:val="center"/>
          </w:tcPr>
          <w:p w14:paraId="12F722C9" w14:textId="77777777" w:rsidR="00EB546F" w:rsidRPr="00090AC2" w:rsidRDefault="00EB546F" w:rsidP="00691E2E">
            <w:pPr>
              <w:pStyle w:val="142"/>
              <w:jc w:val="right"/>
              <w:rPr>
                <w:rFonts w:cs="新細明體"/>
                <w:color w:val="000000"/>
                <w:szCs w:val="24"/>
              </w:rPr>
            </w:pPr>
            <w:r>
              <w:rPr>
                <w:rFonts w:cs="新細明體" w:hint="eastAsia"/>
                <w:color w:val="000000"/>
                <w:szCs w:val="24"/>
              </w:rPr>
              <w:t>716</w:t>
            </w:r>
            <w:r>
              <w:rPr>
                <w:rFonts w:cs="新細明體"/>
                <w:color w:val="000000"/>
                <w:szCs w:val="24"/>
              </w:rPr>
              <w:t>,</w:t>
            </w:r>
            <w:r>
              <w:rPr>
                <w:rFonts w:cs="新細明體" w:hint="eastAsia"/>
                <w:color w:val="000000"/>
                <w:szCs w:val="24"/>
              </w:rPr>
              <w:t>367</w:t>
            </w:r>
          </w:p>
        </w:tc>
      </w:tr>
    </w:tbl>
    <w:p w14:paraId="0A235FA4" w14:textId="77777777" w:rsidR="00EB546F" w:rsidRDefault="00EB546F" w:rsidP="00B078E6">
      <w:pPr>
        <w:pStyle w:val="142"/>
      </w:pPr>
      <w:r>
        <w:rPr>
          <w:rFonts w:hint="eastAsia"/>
        </w:rPr>
        <w:t xml:space="preserve">     </w:t>
      </w:r>
      <w:r w:rsidRPr="001E494C">
        <w:rPr>
          <w:rFonts w:hint="eastAsia"/>
          <w:color w:val="000000"/>
        </w:rPr>
        <w:t>資料來源：財政部</w:t>
      </w:r>
      <w:r>
        <w:rPr>
          <w:rFonts w:hint="eastAsia"/>
          <w:color w:val="000000"/>
        </w:rPr>
        <w:t>國產署</w:t>
      </w:r>
      <w:r w:rsidRPr="0047628E">
        <w:rPr>
          <w:rFonts w:hint="eastAsia"/>
        </w:rPr>
        <w:t>。</w:t>
      </w:r>
    </w:p>
    <w:p w14:paraId="0A18CFE7" w14:textId="77777777" w:rsidR="00EB546F" w:rsidRDefault="00EB546F" w:rsidP="00B80BE2">
      <w:pPr>
        <w:pStyle w:val="a7"/>
        <w:ind w:left="849" w:hanging="283"/>
      </w:pPr>
      <w:r>
        <w:rPr>
          <w:rFonts w:hint="eastAsia"/>
          <w:b/>
        </w:rPr>
        <w:lastRenderedPageBreak/>
        <w:t>(三)</w:t>
      </w:r>
      <w:r w:rsidRPr="00DE5F3A">
        <w:rPr>
          <w:rFonts w:hint="eastAsia"/>
          <w:b/>
        </w:rPr>
        <w:t>評估意見</w:t>
      </w:r>
      <w:r>
        <w:rPr>
          <w:rFonts w:hint="eastAsia"/>
          <w:b/>
        </w:rPr>
        <w:t>：</w:t>
      </w:r>
      <w:r>
        <w:rPr>
          <w:rFonts w:hint="eastAsia"/>
        </w:rPr>
        <w:t>國有財產署及所屬為</w:t>
      </w:r>
      <w:r w:rsidRPr="00503A1F">
        <w:rPr>
          <w:rFonts w:hint="eastAsia"/>
        </w:rPr>
        <w:t>辦理</w:t>
      </w:r>
      <w:r w:rsidRPr="0071750B">
        <w:rPr>
          <w:rFonts w:hint="eastAsia"/>
        </w:rPr>
        <w:t>繳納</w:t>
      </w:r>
      <w:r>
        <w:rPr>
          <w:rFonts w:hint="eastAsia"/>
        </w:rPr>
        <w:t>經管</w:t>
      </w:r>
      <w:r w:rsidRPr="0071750B">
        <w:rPr>
          <w:rFonts w:hint="eastAsia"/>
        </w:rPr>
        <w:t>國有非公用土地地價稅</w:t>
      </w:r>
      <w:r w:rsidRPr="00503A1F">
        <w:rPr>
          <w:rFonts w:hint="eastAsia"/>
        </w:rPr>
        <w:t>所需經費不敷</w:t>
      </w:r>
      <w:r>
        <w:rPr>
          <w:rFonts w:hint="eastAsia"/>
        </w:rPr>
        <w:t>，申請</w:t>
      </w:r>
      <w:r w:rsidRPr="004659EB">
        <w:rPr>
          <w:rFonts w:hint="eastAsia"/>
        </w:rPr>
        <w:t>動支第二預備金</w:t>
      </w:r>
      <w:r>
        <w:rPr>
          <w:rFonts w:hint="eastAsia"/>
        </w:rPr>
        <w:t>，與</w:t>
      </w:r>
      <w:r w:rsidRPr="00426F37">
        <w:rPr>
          <w:rFonts w:hint="eastAsia"/>
        </w:rPr>
        <w:t>預算法</w:t>
      </w:r>
      <w:r>
        <w:rPr>
          <w:rFonts w:hint="eastAsia"/>
        </w:rPr>
        <w:t>第70條</w:t>
      </w:r>
      <w:r w:rsidRPr="00426F37">
        <w:rPr>
          <w:rFonts w:hint="eastAsia"/>
        </w:rPr>
        <w:t>第</w:t>
      </w:r>
      <w:r>
        <w:rPr>
          <w:rFonts w:hint="eastAsia"/>
        </w:rPr>
        <w:t>2</w:t>
      </w:r>
      <w:r w:rsidRPr="00426F37">
        <w:rPr>
          <w:rFonts w:hint="eastAsia"/>
        </w:rPr>
        <w:t>款</w:t>
      </w:r>
      <w:r>
        <w:rPr>
          <w:rFonts w:hint="eastAsia"/>
        </w:rPr>
        <w:t>：</w:t>
      </w:r>
      <w:r w:rsidRPr="00426F37">
        <w:rPr>
          <w:rFonts w:hint="eastAsia"/>
        </w:rPr>
        <w:t>「</w:t>
      </w:r>
      <w:r w:rsidRPr="00C361D6">
        <w:rPr>
          <w:rFonts w:hint="eastAsia"/>
        </w:rPr>
        <w:t>原列計畫費用因增加業務量致增加經費時</w:t>
      </w:r>
      <w:r w:rsidRPr="00426F37">
        <w:rPr>
          <w:rFonts w:hint="eastAsia"/>
        </w:rPr>
        <w:t>」</w:t>
      </w:r>
      <w:r>
        <w:rPr>
          <w:rFonts w:hint="eastAsia"/>
        </w:rPr>
        <w:t>規定尚無不符</w:t>
      </w:r>
      <w:r w:rsidRPr="0071750B">
        <w:rPr>
          <w:rFonts w:hint="eastAsia"/>
        </w:rPr>
        <w:t>；惟</w:t>
      </w:r>
      <w:r>
        <w:rPr>
          <w:rFonts w:hint="eastAsia"/>
        </w:rPr>
        <w:t>該署</w:t>
      </w:r>
      <w:r w:rsidRPr="00297D12">
        <w:rPr>
          <w:rFonts w:hint="eastAsia"/>
        </w:rPr>
        <w:t>繳納國有非公用土地地價稅</w:t>
      </w:r>
      <w:r>
        <w:rPr>
          <w:rFonts w:hint="eastAsia"/>
        </w:rPr>
        <w:t>近4年度(110至11</w:t>
      </w:r>
      <w:r>
        <w:t>3</w:t>
      </w:r>
      <w:r w:rsidRPr="0071750B">
        <w:rPr>
          <w:rFonts w:hint="eastAsia"/>
        </w:rPr>
        <w:t>年度</w:t>
      </w:r>
      <w:r>
        <w:rPr>
          <w:rStyle w:val="af8"/>
        </w:rPr>
        <w:footnoteReference w:id="1"/>
      </w:r>
      <w:r>
        <w:rPr>
          <w:rFonts w:hint="eastAsia"/>
        </w:rPr>
        <w:t>)均因所需經費不敷而動支第二預備金</w:t>
      </w:r>
      <w:r w:rsidRPr="0071750B">
        <w:rPr>
          <w:rFonts w:hint="eastAsia"/>
        </w:rPr>
        <w:t>，</w:t>
      </w:r>
      <w:r>
        <w:rPr>
          <w:rFonts w:hint="eastAsia"/>
        </w:rPr>
        <w:t>與</w:t>
      </w:r>
      <w:r w:rsidRPr="007279EA">
        <w:rPr>
          <w:rFonts w:hint="eastAsia"/>
        </w:rPr>
        <w:t>各機關單位預算執行要點</w:t>
      </w:r>
      <w:r>
        <w:rPr>
          <w:rFonts w:hint="eastAsia"/>
        </w:rPr>
        <w:t>第31點第1項</w:t>
      </w:r>
      <w:r>
        <w:rPr>
          <w:rStyle w:val="af8"/>
        </w:rPr>
        <w:footnoteReference w:id="2"/>
      </w:r>
      <w:r>
        <w:rPr>
          <w:rFonts w:hint="eastAsia"/>
        </w:rPr>
        <w:t>應避免每年以相同事由申請動支第二預備金之規定未合，</w:t>
      </w:r>
      <w:r w:rsidRPr="0071750B">
        <w:rPr>
          <w:rFonts w:hint="eastAsia"/>
        </w:rPr>
        <w:t>允宜</w:t>
      </w:r>
      <w:r>
        <w:rPr>
          <w:rFonts w:hint="eastAsia"/>
        </w:rPr>
        <w:t>核</w:t>
      </w:r>
      <w:r w:rsidRPr="0071750B">
        <w:rPr>
          <w:rFonts w:hint="eastAsia"/>
        </w:rPr>
        <w:t>實編列預算，俾符實際。</w:t>
      </w:r>
    </w:p>
    <w:p w14:paraId="74EC82AB" w14:textId="77777777" w:rsidR="00EB546F" w:rsidRPr="00B03C66" w:rsidRDefault="00EB546F" w:rsidP="006B1ABF">
      <w:pPr>
        <w:pStyle w:val="ae"/>
      </w:pPr>
      <w:r w:rsidRPr="00D03853">
        <w:rPr>
          <w:rFonts w:hint="eastAsia"/>
        </w:rPr>
        <w:t>(分機：86</w:t>
      </w:r>
      <w:r>
        <w:rPr>
          <w:rFonts w:hint="eastAsia"/>
        </w:rPr>
        <w:t>61</w:t>
      </w:r>
      <w:r w:rsidRPr="00D03853">
        <w:rPr>
          <w:rFonts w:hint="eastAsia"/>
        </w:rPr>
        <w:t xml:space="preserve"> </w:t>
      </w:r>
      <w:r>
        <w:rPr>
          <w:rFonts w:hint="eastAsia"/>
        </w:rPr>
        <w:t>鄧凱文</w:t>
      </w:r>
      <w:r w:rsidRPr="00D03853">
        <w:rPr>
          <w:rFonts w:hint="eastAsia"/>
        </w:rPr>
        <w:t>）</w:t>
      </w:r>
    </w:p>
    <w:sectPr w:rsidR="00EB546F" w:rsidRPr="00B03C66"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A16E9A"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0E43D855"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A16E9A">
      <w:rPr>
        <w:rStyle w:val="af5"/>
        <w:noProof/>
      </w:rPr>
      <w:t>2</w:t>
    </w:r>
    <w:r>
      <w:rPr>
        <w:rStyle w:val="af5"/>
      </w:rPr>
      <w:fldChar w:fldCharType="end"/>
    </w:r>
  </w:p>
  <w:p w14:paraId="29C1FABB" w14:textId="77777777" w:rsidR="00B84D17" w:rsidRPr="0060523D" w:rsidRDefault="00A16E9A"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A16E9A"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305DCB57" w14:textId="77777777" w:rsidR="00EB546F" w:rsidRPr="00B80BE2" w:rsidRDefault="00EB546F" w:rsidP="00B80BE2">
      <w:pPr>
        <w:pStyle w:val="142"/>
        <w:ind w:left="195" w:hangingChars="80" w:hanging="195"/>
        <w:jc w:val="both"/>
      </w:pPr>
      <w:r>
        <w:rPr>
          <w:rStyle w:val="af8"/>
        </w:rPr>
        <w:footnoteRef/>
      </w:r>
      <w:r>
        <w:t xml:space="preserve"> </w:t>
      </w:r>
      <w:r>
        <w:rPr>
          <w:rFonts w:hint="eastAsia"/>
        </w:rPr>
        <w:t>110至113年度分別動支第二預備金6,448萬9千元、6,862萬7千元、3,512萬4千元及6</w:t>
      </w:r>
      <w:r>
        <w:t>,567</w:t>
      </w:r>
      <w:r>
        <w:rPr>
          <w:rFonts w:hint="eastAsia"/>
        </w:rPr>
        <w:t>萬4千元。</w:t>
      </w:r>
    </w:p>
  </w:footnote>
  <w:footnote w:id="2">
    <w:p w14:paraId="194E8DC4" w14:textId="77777777" w:rsidR="00EB546F" w:rsidRDefault="00EB546F" w:rsidP="00735AFB">
      <w:pPr>
        <w:pStyle w:val="142"/>
        <w:ind w:left="195" w:hangingChars="80" w:hanging="195"/>
        <w:jc w:val="both"/>
      </w:pPr>
      <w:r>
        <w:rPr>
          <w:rStyle w:val="af8"/>
        </w:rPr>
        <w:footnoteRef/>
      </w:r>
      <w:r>
        <w:rPr>
          <w:rFonts w:hint="eastAsia"/>
        </w:rPr>
        <w:t xml:space="preserve"> </w:t>
      </w:r>
      <w:r w:rsidRPr="007279EA">
        <w:rPr>
          <w:rFonts w:hint="eastAsia"/>
        </w:rPr>
        <w:t>各機關單位預算執行要點第31點第1項</w:t>
      </w:r>
      <w:r>
        <w:rPr>
          <w:rFonts w:hint="eastAsia"/>
        </w:rPr>
        <w:t>規定：「各機關有合於預算法第70條各款情事者，經檢討年度預算相關經費確實無法容納，得申請動支第二預備金。惟動支時，應衡酌執行能力，避免於年度結束申請保留，並應避免每年以相同事由申請動支第二預備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A16E9A"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A16E9A"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A16E9A"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16E9A"/>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CE710-5CA8-42D0-8625-5927BCF25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147</Words>
  <Characters>838</Characters>
  <Application>Microsoft Office Word</Application>
  <DocSecurity>0</DocSecurity>
  <Lines>6</Lines>
  <Paragraphs>1</Paragraphs>
  <ScaleCrop>false</ScaleCrop>
  <Company>HOME</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