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9F77D4" w:rsidRDefault="00DD7682" w:rsidP="000752FE">
      <w:pPr>
        <w:pStyle w:val="aa"/>
        <w:rPr>
          <w:spacing w:val="-2"/>
        </w:rPr>
      </w:pPr>
      <w:bookmarkStart w:id="0" w:name="_Toc338354636"/>
      <w:bookmarkStart w:id="1" w:name="_GoBack"/>
      <w:bookmarkEnd w:id="1"/>
      <w:r w:rsidRPr="009F77D4">
        <w:rPr>
          <w:rFonts w:hint="eastAsia"/>
          <w:spacing w:val="-2"/>
        </w:rPr>
        <w:t>臺灣鐵路</w:t>
      </w:r>
      <w:r w:rsidR="009F77D4" w:rsidRPr="009F77D4">
        <w:rPr>
          <w:rFonts w:hint="eastAsia"/>
          <w:spacing w:val="-2"/>
        </w:rPr>
        <w:t>管理局</w:t>
      </w:r>
      <w:r w:rsidR="005D42AA">
        <w:rPr>
          <w:rFonts w:hint="eastAsia"/>
          <w:spacing w:val="-2"/>
        </w:rPr>
        <w:t>11</w:t>
      </w:r>
      <w:r w:rsidR="005D42AA">
        <w:rPr>
          <w:spacing w:val="-2"/>
        </w:rPr>
        <w:t>2</w:t>
      </w:r>
      <w:r w:rsidRPr="009F77D4">
        <w:rPr>
          <w:rFonts w:hint="eastAsia"/>
          <w:spacing w:val="-2"/>
        </w:rPr>
        <w:t>年度營業</w:t>
      </w:r>
      <w:r w:rsidR="009F77D4" w:rsidRPr="009F77D4">
        <w:rPr>
          <w:rFonts w:hint="eastAsia"/>
          <w:spacing w:val="-2"/>
        </w:rPr>
        <w:t>決算</w:t>
      </w:r>
      <w:r w:rsidRPr="009F77D4">
        <w:rPr>
          <w:rFonts w:hint="eastAsia"/>
          <w:spacing w:val="-2"/>
        </w:rPr>
        <w:t>評估報告</w:t>
      </w:r>
    </w:p>
    <w:p w:rsidR="00F2741F" w:rsidRDefault="00F2741F" w:rsidP="0035424F">
      <w:pPr>
        <w:pStyle w:val="14"/>
        <w:ind w:left="567" w:hanging="567"/>
      </w:pPr>
      <w:bookmarkStart w:id="2" w:name="_Toc464659949"/>
      <w:bookmarkStart w:id="3" w:name="_Toc464660056"/>
      <w:bookmarkStart w:id="4" w:name="_Toc343154953"/>
      <w:bookmarkStart w:id="5" w:name="_Toc109763724"/>
      <w:bookmarkStart w:id="6" w:name="_Toc53731294"/>
      <w:bookmarkStart w:id="7" w:name="_Toc109658028"/>
      <w:bookmarkStart w:id="8" w:name="_Toc117349514"/>
      <w:bookmarkStart w:id="9" w:name="_Toc58645593"/>
      <w:bookmarkStart w:id="10" w:name="_Toc58646211"/>
      <w:bookmarkStart w:id="11" w:name="_Toc61147923"/>
      <w:bookmarkStart w:id="12" w:name="_Toc93770451"/>
      <w:bookmarkStart w:id="13" w:name="_Toc194074840"/>
      <w:r>
        <w:rPr>
          <w:rFonts w:hint="eastAsia"/>
        </w:rPr>
        <w:t>一、</w:t>
      </w:r>
      <w:r w:rsidR="00E21BF7">
        <w:rPr>
          <w:rFonts w:hint="eastAsia"/>
        </w:rPr>
        <w:t>1</w:t>
      </w:r>
      <w:r w:rsidR="00E21BF7">
        <w:t>12</w:t>
      </w:r>
      <w:r w:rsidR="00E21BF7">
        <w:rPr>
          <w:rFonts w:hint="eastAsia"/>
        </w:rPr>
        <w:t>年度持續虧損</w:t>
      </w:r>
      <w:r w:rsidR="003B6BCC">
        <w:rPr>
          <w:rFonts w:hint="eastAsia"/>
        </w:rPr>
        <w:t>逾百億元</w:t>
      </w:r>
      <w:r w:rsidR="00E21BF7">
        <w:rPr>
          <w:rFonts w:hint="eastAsia"/>
        </w:rPr>
        <w:t>，</w:t>
      </w:r>
      <w:r w:rsidR="00C535B6">
        <w:rPr>
          <w:rFonts w:hint="eastAsia"/>
        </w:rPr>
        <w:t>且</w:t>
      </w:r>
      <w:r w:rsidR="00E125B8">
        <w:rPr>
          <w:rFonts w:hint="eastAsia"/>
        </w:rPr>
        <w:t>112年底短期債務</w:t>
      </w:r>
      <w:r w:rsidR="00C535B6">
        <w:rPr>
          <w:rFonts w:hint="eastAsia"/>
        </w:rPr>
        <w:t>尚有3</w:t>
      </w:r>
      <w:r w:rsidR="00C535B6">
        <w:t>3</w:t>
      </w:r>
      <w:r w:rsidR="00C535B6">
        <w:rPr>
          <w:rFonts w:hint="eastAsia"/>
        </w:rPr>
        <w:t>億</w:t>
      </w:r>
      <w:r w:rsidR="00473DEA">
        <w:rPr>
          <w:rFonts w:hint="eastAsia"/>
        </w:rPr>
        <w:t>元</w:t>
      </w:r>
      <w:r w:rsidR="00C535B6">
        <w:rPr>
          <w:rFonts w:hint="eastAsia"/>
        </w:rPr>
        <w:t>未能於公司化時移轉</w:t>
      </w:r>
      <w:r w:rsidR="00473DEA">
        <w:rPr>
          <w:rFonts w:hint="eastAsia"/>
        </w:rPr>
        <w:t>歸零，</w:t>
      </w:r>
      <w:r w:rsidR="00E21BF7" w:rsidRPr="00E21BF7">
        <w:rPr>
          <w:rFonts w:hint="eastAsia"/>
        </w:rPr>
        <w:t>允宜研謀</w:t>
      </w:r>
      <w:r w:rsidR="003B6BCC">
        <w:rPr>
          <w:rFonts w:hint="eastAsia"/>
        </w:rPr>
        <w:t>提升</w:t>
      </w:r>
      <w:r w:rsidR="00E21BF7" w:rsidRPr="00E21BF7">
        <w:rPr>
          <w:rFonts w:hint="eastAsia"/>
        </w:rPr>
        <w:t>營運績效</w:t>
      </w:r>
      <w:r w:rsidR="00F1016E">
        <w:rPr>
          <w:rFonts w:hint="eastAsia"/>
        </w:rPr>
        <w:t>及</w:t>
      </w:r>
      <w:r w:rsidR="003B6BCC">
        <w:rPr>
          <w:rFonts w:hint="eastAsia"/>
        </w:rPr>
        <w:t>債務管理成效，俾永續經營</w:t>
      </w:r>
      <w:bookmarkEnd w:id="13"/>
    </w:p>
    <w:p w:rsidR="007F61CA" w:rsidRPr="00A66A30" w:rsidRDefault="00550274" w:rsidP="00F1016E">
      <w:pPr>
        <w:ind w:left="566" w:firstLine="566"/>
      </w:pPr>
      <w:r w:rsidRPr="00550274">
        <w:rPr>
          <w:rFonts w:hint="eastAsia"/>
        </w:rPr>
        <w:t>臺灣鐵路管理局(以下簡稱臺鐵)</w:t>
      </w:r>
      <w:r w:rsidR="003600D1" w:rsidRPr="003600D1">
        <w:rPr>
          <w:rFonts w:hint="eastAsia"/>
        </w:rPr>
        <w:t>112年度</w:t>
      </w:r>
      <w:r>
        <w:rPr>
          <w:rFonts w:hint="eastAsia"/>
        </w:rPr>
        <w:t>「</w:t>
      </w:r>
      <w:r w:rsidR="003600D1" w:rsidRPr="003600D1">
        <w:rPr>
          <w:rFonts w:hint="eastAsia"/>
        </w:rPr>
        <w:t>本期淨損</w:t>
      </w:r>
      <w:r>
        <w:rPr>
          <w:rFonts w:hint="eastAsia"/>
        </w:rPr>
        <w:t>」決算數</w:t>
      </w:r>
      <w:r w:rsidR="003600D1" w:rsidRPr="003600D1">
        <w:rPr>
          <w:rFonts w:hint="eastAsia"/>
        </w:rPr>
        <w:t>114億2,982萬9千元，較111年度</w:t>
      </w:r>
      <w:r>
        <w:rPr>
          <w:rFonts w:hint="eastAsia"/>
        </w:rPr>
        <w:t>「本期</w:t>
      </w:r>
      <w:r w:rsidR="003600D1" w:rsidRPr="003600D1">
        <w:rPr>
          <w:rFonts w:hint="eastAsia"/>
        </w:rPr>
        <w:t>淨損</w:t>
      </w:r>
      <w:r>
        <w:rPr>
          <w:rFonts w:hint="eastAsia"/>
        </w:rPr>
        <w:t>」決算數</w:t>
      </w:r>
      <w:r w:rsidR="003600D1" w:rsidRPr="003600D1">
        <w:rPr>
          <w:rFonts w:hint="eastAsia"/>
        </w:rPr>
        <w:t>111億1,456萬</w:t>
      </w:r>
      <w:r>
        <w:rPr>
          <w:rFonts w:hint="eastAsia"/>
        </w:rPr>
        <w:t>元增加</w:t>
      </w:r>
      <w:r w:rsidR="003600D1" w:rsidRPr="003600D1">
        <w:rPr>
          <w:rFonts w:hint="eastAsia"/>
        </w:rPr>
        <w:t>3億1,526萬8千元</w:t>
      </w:r>
      <w:r w:rsidR="00616EE9">
        <w:rPr>
          <w:rStyle w:val="af6"/>
        </w:rPr>
        <w:footnoteReference w:id="1"/>
      </w:r>
      <w:r w:rsidR="003600D1" w:rsidRPr="003600D1">
        <w:rPr>
          <w:rFonts w:hint="eastAsia"/>
        </w:rPr>
        <w:t>(增幅</w:t>
      </w:r>
      <w:r>
        <w:rPr>
          <w:rFonts w:hint="eastAsia"/>
        </w:rPr>
        <w:t>2</w:t>
      </w:r>
      <w:r w:rsidR="003600D1" w:rsidRPr="003600D1">
        <w:rPr>
          <w:rFonts w:hint="eastAsia"/>
        </w:rPr>
        <w:t>.84%)</w:t>
      </w:r>
      <w:r w:rsidR="00E125B8">
        <w:rPr>
          <w:rFonts w:hint="eastAsia"/>
        </w:rPr>
        <w:t>；</w:t>
      </w:r>
      <w:r w:rsidR="00E125B8" w:rsidRPr="00A66A30">
        <w:rPr>
          <w:rFonts w:hint="eastAsia"/>
        </w:rPr>
        <w:t>另1</w:t>
      </w:r>
      <w:r w:rsidR="00E125B8" w:rsidRPr="00A66A30">
        <w:t>12</w:t>
      </w:r>
      <w:r w:rsidR="00E125B8" w:rsidRPr="00A66A30">
        <w:rPr>
          <w:rFonts w:hint="eastAsia"/>
        </w:rPr>
        <w:t>年底</w:t>
      </w:r>
      <w:r>
        <w:rPr>
          <w:rFonts w:hint="eastAsia"/>
        </w:rPr>
        <w:t>「</w:t>
      </w:r>
      <w:r w:rsidR="00E125B8" w:rsidRPr="00A66A30">
        <w:rPr>
          <w:rFonts w:hint="eastAsia"/>
        </w:rPr>
        <w:t>短期債務</w:t>
      </w:r>
      <w:r>
        <w:rPr>
          <w:rFonts w:hint="eastAsia"/>
        </w:rPr>
        <w:t>」決算數</w:t>
      </w:r>
      <w:r w:rsidR="00B1281E" w:rsidRPr="00A66A30">
        <w:rPr>
          <w:rFonts w:hint="eastAsia"/>
        </w:rPr>
        <w:t>1,732億</w:t>
      </w:r>
      <w:r w:rsidR="00A66A30" w:rsidRPr="00A66A30">
        <w:rPr>
          <w:rFonts w:hint="eastAsia"/>
        </w:rPr>
        <w:t>1</w:t>
      </w:r>
      <w:r w:rsidR="00A66A30" w:rsidRPr="00A66A30">
        <w:t>,000</w:t>
      </w:r>
      <w:r w:rsidR="00A66A30" w:rsidRPr="00A66A30">
        <w:rPr>
          <w:rFonts w:hint="eastAsia"/>
        </w:rPr>
        <w:t>萬</w:t>
      </w:r>
      <w:r w:rsidR="00B1281E" w:rsidRPr="00A66A30">
        <w:rPr>
          <w:rFonts w:hint="eastAsia"/>
        </w:rPr>
        <w:t>元。</w:t>
      </w:r>
      <w:r w:rsidR="00F1016E" w:rsidRPr="00A66A30">
        <w:rPr>
          <w:rFonts w:hint="eastAsia"/>
        </w:rPr>
        <w:t>經查：</w:t>
      </w:r>
    </w:p>
    <w:p w:rsidR="00F2741F" w:rsidRPr="000065F9" w:rsidRDefault="00F2741F" w:rsidP="00F2741F">
      <w:pPr>
        <w:pStyle w:val="a5"/>
        <w:ind w:left="849" w:hanging="283"/>
        <w:rPr>
          <w:b/>
        </w:rPr>
      </w:pPr>
      <w:r w:rsidRPr="000065F9">
        <w:rPr>
          <w:rFonts w:hint="eastAsia"/>
          <w:b/>
        </w:rPr>
        <w:t>(</w:t>
      </w:r>
      <w:r w:rsidR="00C535B6">
        <w:rPr>
          <w:rFonts w:hint="eastAsia"/>
          <w:b/>
        </w:rPr>
        <w:t>一</w:t>
      </w:r>
      <w:r w:rsidRPr="000065F9">
        <w:rPr>
          <w:rFonts w:hint="eastAsia"/>
          <w:b/>
        </w:rPr>
        <w:t>)</w:t>
      </w:r>
      <w:r w:rsidR="00E37A89">
        <w:rPr>
          <w:b/>
        </w:rPr>
        <w:t>112</w:t>
      </w:r>
      <w:r w:rsidR="00E37A89">
        <w:rPr>
          <w:rFonts w:hint="eastAsia"/>
          <w:b/>
        </w:rPr>
        <w:t>年度客運人次雖有回升，惟仍持續</w:t>
      </w:r>
      <w:r w:rsidRPr="00EF0E99">
        <w:rPr>
          <w:rFonts w:hint="eastAsia"/>
          <w:b/>
        </w:rPr>
        <w:t>虧損，允宜研謀改善</w:t>
      </w:r>
    </w:p>
    <w:p w:rsidR="00F2741F" w:rsidRDefault="001C1AF2" w:rsidP="00F2741F">
      <w:pPr>
        <w:pStyle w:val="22"/>
        <w:ind w:left="850" w:firstLine="566"/>
      </w:pPr>
      <w:r w:rsidRPr="001C1AF2">
        <w:rPr>
          <w:rFonts w:hint="eastAsia"/>
        </w:rPr>
        <w:t>臺鐵</w:t>
      </w:r>
      <w:r w:rsidR="00243873">
        <w:rPr>
          <w:rFonts w:hint="eastAsia"/>
        </w:rPr>
        <w:t>1</w:t>
      </w:r>
      <w:r w:rsidR="00243873">
        <w:t>08</w:t>
      </w:r>
      <w:r w:rsidR="00243873">
        <w:rPr>
          <w:rFonts w:hint="eastAsia"/>
        </w:rPr>
        <w:t>至1</w:t>
      </w:r>
      <w:r w:rsidR="00243873">
        <w:t>11</w:t>
      </w:r>
      <w:r w:rsidR="00243873">
        <w:rPr>
          <w:rFonts w:hint="eastAsia"/>
        </w:rPr>
        <w:t>年度因</w:t>
      </w:r>
      <w:r w:rsidRPr="001C1AF2">
        <w:rPr>
          <w:rFonts w:hint="eastAsia"/>
        </w:rPr>
        <w:t>受</w:t>
      </w:r>
      <w:r w:rsidR="00473DEA">
        <w:rPr>
          <w:rFonts w:hint="eastAsia"/>
        </w:rPr>
        <w:t>新冠</w:t>
      </w:r>
      <w:r w:rsidRPr="001C1AF2">
        <w:rPr>
          <w:rFonts w:hint="eastAsia"/>
        </w:rPr>
        <w:t>疫情影響</w:t>
      </w:r>
      <w:r w:rsidR="00473DEA" w:rsidRPr="00473DEA">
        <w:rPr>
          <w:rFonts w:hint="eastAsia"/>
        </w:rPr>
        <w:t>客運人次</w:t>
      </w:r>
      <w:r w:rsidRPr="001C1AF2">
        <w:rPr>
          <w:rFonts w:hint="eastAsia"/>
        </w:rPr>
        <w:t>由108年度2</w:t>
      </w:r>
      <w:r w:rsidR="00A66A30">
        <w:rPr>
          <w:rFonts w:hint="eastAsia"/>
        </w:rPr>
        <w:t>億3</w:t>
      </w:r>
      <w:r w:rsidR="00A66A30">
        <w:t>,615</w:t>
      </w:r>
      <w:r w:rsidR="00A66A30">
        <w:rPr>
          <w:rFonts w:hint="eastAsia"/>
        </w:rPr>
        <w:t>萬餘</w:t>
      </w:r>
      <w:r w:rsidRPr="001C1AF2">
        <w:rPr>
          <w:rFonts w:hint="eastAsia"/>
        </w:rPr>
        <w:t>人次，降至111年度1</w:t>
      </w:r>
      <w:r w:rsidR="00A66A30">
        <w:rPr>
          <w:rFonts w:hint="eastAsia"/>
        </w:rPr>
        <w:t>億</w:t>
      </w:r>
      <w:r w:rsidRPr="001C1AF2">
        <w:rPr>
          <w:rFonts w:hint="eastAsia"/>
        </w:rPr>
        <w:t>7</w:t>
      </w:r>
      <w:r w:rsidR="00A66A30">
        <w:t>,025</w:t>
      </w:r>
      <w:r w:rsidR="00A66A30">
        <w:rPr>
          <w:rFonts w:hint="eastAsia"/>
        </w:rPr>
        <w:t>萬</w:t>
      </w:r>
      <w:r w:rsidRPr="001C1AF2">
        <w:rPr>
          <w:rFonts w:hint="eastAsia"/>
        </w:rPr>
        <w:t>餘人次，為因應疫情對客運量</w:t>
      </w:r>
      <w:r w:rsidR="00243873">
        <w:rPr>
          <w:rFonts w:hint="eastAsia"/>
        </w:rPr>
        <w:t>能</w:t>
      </w:r>
      <w:r w:rsidRPr="001C1AF2">
        <w:rPr>
          <w:rFonts w:hint="eastAsia"/>
        </w:rPr>
        <w:t>之衝擊</w:t>
      </w:r>
      <w:r w:rsidR="00243873">
        <w:rPr>
          <w:rFonts w:hint="eastAsia"/>
        </w:rPr>
        <w:t>，臺鐵</w:t>
      </w:r>
      <w:r w:rsidRPr="001C1AF2">
        <w:rPr>
          <w:rFonts w:hint="eastAsia"/>
        </w:rPr>
        <w:t>採取包括：1.配合於連續假期及各縣市政府辦理地方特色及主題活動時加開列車；2.配合新車投入調整編組運用；3.配合各縣市政府推行TPASS通勤月票及社福卡點數搭乘臺鐵等相關措施，雖112年度客運人次已回升至2億1,930萬餘人次</w:t>
      </w:r>
      <w:r w:rsidR="00243873" w:rsidRPr="00243873">
        <w:rPr>
          <w:rFonts w:hint="eastAsia"/>
        </w:rPr>
        <w:t>(詳表1)</w:t>
      </w:r>
      <w:r>
        <w:rPr>
          <w:rFonts w:hint="eastAsia"/>
        </w:rPr>
        <w:t>，惟</w:t>
      </w:r>
      <w:r w:rsidR="00F2741F" w:rsidRPr="00F02DA0">
        <w:rPr>
          <w:rFonts w:hint="eastAsia"/>
        </w:rPr>
        <w:t>臺鐵</w:t>
      </w:r>
      <w:r w:rsidR="00F2741F">
        <w:rPr>
          <w:rFonts w:hint="eastAsia"/>
        </w:rPr>
        <w:t>虧損</w:t>
      </w:r>
      <w:r w:rsidR="00DA1A40">
        <w:rPr>
          <w:rFonts w:hint="eastAsia"/>
        </w:rPr>
        <w:t>仍由</w:t>
      </w:r>
      <w:r w:rsidR="00F2741F" w:rsidRPr="00F02DA0">
        <w:rPr>
          <w:rFonts w:hint="eastAsia"/>
        </w:rPr>
        <w:t>10</w:t>
      </w:r>
      <w:r w:rsidR="00F2741F">
        <w:t>8</w:t>
      </w:r>
      <w:r w:rsidR="00B70C0B">
        <w:rPr>
          <w:rFonts w:hint="eastAsia"/>
        </w:rPr>
        <w:t>及1</w:t>
      </w:r>
      <w:r w:rsidR="00B70C0B">
        <w:t>09</w:t>
      </w:r>
      <w:r w:rsidR="00B70C0B">
        <w:rPr>
          <w:rFonts w:hint="eastAsia"/>
        </w:rPr>
        <w:t>年度分別為</w:t>
      </w:r>
      <w:r w:rsidR="00DA1A40">
        <w:rPr>
          <w:rFonts w:hint="eastAsia"/>
        </w:rPr>
        <w:t>3</w:t>
      </w:r>
      <w:r w:rsidR="00DA1A40">
        <w:t>2</w:t>
      </w:r>
      <w:r w:rsidR="00DA1A40">
        <w:rPr>
          <w:rFonts w:hint="eastAsia"/>
        </w:rPr>
        <w:t>億餘元及6</w:t>
      </w:r>
      <w:r w:rsidR="00DA1A40">
        <w:t>7</w:t>
      </w:r>
      <w:r w:rsidR="00DA1A40">
        <w:rPr>
          <w:rFonts w:hint="eastAsia"/>
        </w:rPr>
        <w:t>億餘元</w:t>
      </w:r>
      <w:r w:rsidR="00815F8E">
        <w:rPr>
          <w:rFonts w:hint="eastAsia"/>
        </w:rPr>
        <w:t>，</w:t>
      </w:r>
      <w:r w:rsidR="00605CB2">
        <w:rPr>
          <w:rFonts w:hint="eastAsia"/>
        </w:rPr>
        <w:t>於</w:t>
      </w:r>
      <w:r w:rsidR="00815F8E">
        <w:rPr>
          <w:rFonts w:hint="eastAsia"/>
        </w:rPr>
        <w:t>1</w:t>
      </w:r>
      <w:r w:rsidR="00815F8E">
        <w:t>10</w:t>
      </w:r>
      <w:r w:rsidR="00F2741F" w:rsidRPr="00F02DA0">
        <w:rPr>
          <w:rFonts w:hint="eastAsia"/>
        </w:rPr>
        <w:t>至112年度虧損</w:t>
      </w:r>
      <w:r w:rsidR="00815F8E">
        <w:rPr>
          <w:rFonts w:hint="eastAsia"/>
        </w:rPr>
        <w:t>擴大</w:t>
      </w:r>
      <w:r w:rsidR="00473DEA">
        <w:rPr>
          <w:rFonts w:hint="eastAsia"/>
        </w:rPr>
        <w:t>為</w:t>
      </w:r>
      <w:r w:rsidR="00243873">
        <w:rPr>
          <w:rFonts w:hint="eastAsia"/>
        </w:rPr>
        <w:t>逾百億元，且</w:t>
      </w:r>
      <w:r w:rsidR="00E37A89">
        <w:rPr>
          <w:rFonts w:hint="eastAsia"/>
        </w:rPr>
        <w:t>1</w:t>
      </w:r>
      <w:r w:rsidR="00E37A89">
        <w:t>12</w:t>
      </w:r>
      <w:r w:rsidR="00E37A89">
        <w:rPr>
          <w:rFonts w:hint="eastAsia"/>
        </w:rPr>
        <w:t>年</w:t>
      </w:r>
      <w:r w:rsidR="00243873">
        <w:rPr>
          <w:rFonts w:hint="eastAsia"/>
        </w:rPr>
        <w:t>度虧損</w:t>
      </w:r>
      <w:r w:rsidR="00E37A89" w:rsidRPr="00E37A89">
        <w:rPr>
          <w:rFonts w:hint="eastAsia"/>
        </w:rPr>
        <w:t>114億2,982萬9千元，較111年度</w:t>
      </w:r>
      <w:r w:rsidR="00243873">
        <w:rPr>
          <w:rFonts w:hint="eastAsia"/>
        </w:rPr>
        <w:t>虧損</w:t>
      </w:r>
      <w:r w:rsidR="00E37A89" w:rsidRPr="00E37A89">
        <w:rPr>
          <w:rFonts w:hint="eastAsia"/>
        </w:rPr>
        <w:t>111億1,456</w:t>
      </w:r>
      <w:r w:rsidR="00E37A89">
        <w:rPr>
          <w:rFonts w:hint="eastAsia"/>
        </w:rPr>
        <w:t>萬</w:t>
      </w:r>
      <w:r w:rsidR="00616EE9">
        <w:rPr>
          <w:rFonts w:hint="eastAsia"/>
        </w:rPr>
        <w:t>元</w:t>
      </w:r>
      <w:r w:rsidR="00E37A89">
        <w:rPr>
          <w:rFonts w:hint="eastAsia"/>
        </w:rPr>
        <w:t>增加</w:t>
      </w:r>
      <w:r w:rsidR="00E37A89" w:rsidRPr="00E37A89">
        <w:rPr>
          <w:rFonts w:hint="eastAsia"/>
        </w:rPr>
        <w:t>3億1,526萬8千元(增幅</w:t>
      </w:r>
      <w:r w:rsidR="00243873">
        <w:rPr>
          <w:rFonts w:hint="eastAsia"/>
        </w:rPr>
        <w:t>2</w:t>
      </w:r>
      <w:r w:rsidR="00E37A89" w:rsidRPr="00E37A89">
        <w:rPr>
          <w:rFonts w:hint="eastAsia"/>
        </w:rPr>
        <w:t>.84%)</w:t>
      </w:r>
      <w:r w:rsidR="00F2741F">
        <w:rPr>
          <w:rFonts w:hint="eastAsia"/>
        </w:rPr>
        <w:t>(詳表</w:t>
      </w:r>
      <w:r w:rsidR="00815F8E">
        <w:rPr>
          <w:rFonts w:hint="eastAsia"/>
        </w:rPr>
        <w:t>2</w:t>
      </w:r>
      <w:r w:rsidR="00F2741F">
        <w:t>)</w:t>
      </w:r>
      <w:r w:rsidR="00F2741F">
        <w:rPr>
          <w:rFonts w:hint="eastAsia"/>
        </w:rPr>
        <w:t>，面對</w:t>
      </w:r>
      <w:r w:rsidR="00F2741F" w:rsidRPr="00A55559">
        <w:rPr>
          <w:rFonts w:hint="eastAsia"/>
        </w:rPr>
        <w:t>近年即將規劃、設計或增建之高鐵</w:t>
      </w:r>
      <w:r w:rsidR="00F2741F">
        <w:rPr>
          <w:rStyle w:val="af6"/>
        </w:rPr>
        <w:footnoteReference w:id="2"/>
      </w:r>
      <w:r w:rsidR="00F2741F" w:rsidRPr="00A55559">
        <w:rPr>
          <w:rFonts w:hint="eastAsia"/>
        </w:rPr>
        <w:t>及</w:t>
      </w:r>
      <w:r w:rsidR="00F2741F">
        <w:rPr>
          <w:rFonts w:hint="eastAsia"/>
        </w:rPr>
        <w:t>捷運</w:t>
      </w:r>
      <w:r w:rsidR="00F2741F">
        <w:rPr>
          <w:rStyle w:val="af6"/>
        </w:rPr>
        <w:footnoteReference w:id="3"/>
      </w:r>
      <w:r w:rsidR="00F2741F">
        <w:rPr>
          <w:rFonts w:hint="eastAsia"/>
        </w:rPr>
        <w:t>等</w:t>
      </w:r>
      <w:r w:rsidR="00F2741F" w:rsidRPr="00A55559">
        <w:rPr>
          <w:rFonts w:hint="eastAsia"/>
        </w:rPr>
        <w:t>相關軌道建設</w:t>
      </w:r>
      <w:r w:rsidR="00F2741F">
        <w:rPr>
          <w:rFonts w:hint="eastAsia"/>
        </w:rPr>
        <w:t>投入公共運輸，</w:t>
      </w:r>
      <w:r w:rsidR="00815F8E">
        <w:rPr>
          <w:rFonts w:hint="eastAsia"/>
        </w:rPr>
        <w:t>恐</w:t>
      </w:r>
      <w:r w:rsidR="00AC1163">
        <w:rPr>
          <w:rFonts w:hint="eastAsia"/>
        </w:rPr>
        <w:t>對臺鐵</w:t>
      </w:r>
      <w:r w:rsidR="00F2741F">
        <w:rPr>
          <w:rFonts w:hint="eastAsia"/>
        </w:rPr>
        <w:t>營運產生</w:t>
      </w:r>
      <w:r w:rsidR="00815F8E">
        <w:rPr>
          <w:rFonts w:hint="eastAsia"/>
        </w:rPr>
        <w:t>衝擊</w:t>
      </w:r>
      <w:r w:rsidR="00F2741F" w:rsidRPr="00A55559">
        <w:rPr>
          <w:rFonts w:hint="eastAsia"/>
        </w:rPr>
        <w:t>，</w:t>
      </w:r>
      <w:r w:rsidR="00F2741F">
        <w:rPr>
          <w:rFonts w:hint="eastAsia"/>
        </w:rPr>
        <w:lastRenderedPageBreak/>
        <w:t>亟待研謀</w:t>
      </w:r>
      <w:r w:rsidR="00F2741F" w:rsidRPr="000B538C">
        <w:rPr>
          <w:rFonts w:hint="eastAsia"/>
        </w:rPr>
        <w:t>提升營運量能</w:t>
      </w:r>
      <w:r w:rsidR="00AC1163">
        <w:rPr>
          <w:rFonts w:hint="eastAsia"/>
        </w:rPr>
        <w:t>等開源節流之</w:t>
      </w:r>
      <w:r w:rsidR="00F2741F" w:rsidRPr="000B538C">
        <w:rPr>
          <w:rFonts w:hint="eastAsia"/>
        </w:rPr>
        <w:t>作法</w:t>
      </w:r>
      <w:r w:rsidR="00815F8E">
        <w:rPr>
          <w:rFonts w:hint="eastAsia"/>
        </w:rPr>
        <w:t>，俾</w:t>
      </w:r>
      <w:r w:rsidR="00F2741F" w:rsidRPr="007D403C">
        <w:rPr>
          <w:rFonts w:hint="eastAsia"/>
        </w:rPr>
        <w:t>強化競爭力並改善</w:t>
      </w:r>
      <w:r w:rsidR="00815F8E">
        <w:rPr>
          <w:rFonts w:hint="eastAsia"/>
        </w:rPr>
        <w:t>持續虧損情形</w:t>
      </w:r>
      <w:r w:rsidR="00F2741F">
        <w:rPr>
          <w:rFonts w:hint="eastAsia"/>
        </w:rPr>
        <w:t>。</w:t>
      </w:r>
    </w:p>
    <w:p w:rsidR="001C1AF2" w:rsidRDefault="001C1AF2" w:rsidP="00473DEA">
      <w:pPr>
        <w:pStyle w:val="a5"/>
        <w:ind w:leftChars="0" w:left="850" w:hangingChars="300" w:hanging="850"/>
        <w:rPr>
          <w:b/>
        </w:rPr>
      </w:pPr>
      <w:r>
        <w:rPr>
          <w:rFonts w:hint="eastAsia"/>
          <w:b/>
        </w:rPr>
        <w:t>表1 臺鐵1</w:t>
      </w:r>
      <w:r w:rsidR="00815F8E">
        <w:rPr>
          <w:b/>
        </w:rPr>
        <w:t>08</w:t>
      </w:r>
      <w:r>
        <w:rPr>
          <w:rFonts w:hint="eastAsia"/>
          <w:b/>
        </w:rPr>
        <w:t>至</w:t>
      </w:r>
      <w:r>
        <w:rPr>
          <w:b/>
        </w:rPr>
        <w:t>11</w:t>
      </w:r>
      <w:r w:rsidR="00815F8E">
        <w:rPr>
          <w:b/>
        </w:rPr>
        <w:t>2</w:t>
      </w:r>
      <w:r>
        <w:rPr>
          <w:rFonts w:hint="eastAsia"/>
          <w:b/>
        </w:rPr>
        <w:t>年度客運人次</w:t>
      </w:r>
      <w:r w:rsidR="00DE25D9">
        <w:rPr>
          <w:rFonts w:hint="eastAsia"/>
          <w:b/>
        </w:rPr>
        <w:t>統計表</w:t>
      </w:r>
    </w:p>
    <w:tbl>
      <w:tblPr>
        <w:tblW w:w="854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79"/>
        <w:gridCol w:w="3969"/>
      </w:tblGrid>
      <w:tr w:rsidR="001C1AF2" w:rsidRPr="000F360E" w:rsidTr="00473DEA">
        <w:trPr>
          <w:trHeight w:val="345"/>
          <w:tblHeader/>
        </w:trPr>
        <w:tc>
          <w:tcPr>
            <w:tcW w:w="4579" w:type="dxa"/>
            <w:shd w:val="clear" w:color="auto" w:fill="auto"/>
            <w:noWrap/>
            <w:vAlign w:val="center"/>
          </w:tcPr>
          <w:p w:rsidR="001C1AF2" w:rsidRPr="000F360E" w:rsidRDefault="001C1AF2" w:rsidP="00E125B8">
            <w:pPr>
              <w:spacing w:line="280" w:lineRule="exact"/>
              <w:ind w:leftChars="0" w:left="0" w:firstLineChars="0" w:firstLine="0"/>
              <w:jc w:val="center"/>
              <w:rPr>
                <w:b/>
                <w:sz w:val="24"/>
              </w:rPr>
            </w:pPr>
            <w:r w:rsidRPr="000F360E">
              <w:rPr>
                <w:rFonts w:hint="eastAsia"/>
                <w:b/>
                <w:sz w:val="24"/>
              </w:rPr>
              <w:t>年度</w:t>
            </w:r>
          </w:p>
        </w:tc>
        <w:tc>
          <w:tcPr>
            <w:tcW w:w="3969" w:type="dxa"/>
            <w:shd w:val="clear" w:color="auto" w:fill="auto"/>
            <w:noWrap/>
          </w:tcPr>
          <w:p w:rsidR="001C1AF2" w:rsidRPr="000F360E" w:rsidRDefault="001C1AF2" w:rsidP="00E125B8">
            <w:pPr>
              <w:spacing w:line="280" w:lineRule="exact"/>
              <w:ind w:leftChars="0" w:left="0" w:firstLineChars="0" w:firstLine="0"/>
              <w:jc w:val="center"/>
              <w:rPr>
                <w:b/>
                <w:sz w:val="24"/>
              </w:rPr>
            </w:pPr>
            <w:r w:rsidRPr="000F360E">
              <w:rPr>
                <w:rFonts w:hint="eastAsia"/>
                <w:b/>
                <w:sz w:val="24"/>
              </w:rPr>
              <w:t>人數(人次</w:t>
            </w:r>
            <w:r w:rsidRPr="000F360E">
              <w:rPr>
                <w:b/>
                <w:sz w:val="24"/>
              </w:rPr>
              <w:t>)</w:t>
            </w:r>
          </w:p>
        </w:tc>
      </w:tr>
      <w:tr w:rsidR="001C1AF2" w:rsidRPr="002C1469" w:rsidTr="00473DEA">
        <w:trPr>
          <w:trHeight w:val="345"/>
        </w:trPr>
        <w:tc>
          <w:tcPr>
            <w:tcW w:w="4579" w:type="dxa"/>
            <w:shd w:val="clear" w:color="auto" w:fill="auto"/>
            <w:noWrap/>
            <w:vAlign w:val="center"/>
            <w:hideMark/>
          </w:tcPr>
          <w:p w:rsidR="001C1AF2" w:rsidRPr="002C1469" w:rsidRDefault="001C1AF2" w:rsidP="00E125B8">
            <w:pPr>
              <w:spacing w:line="280" w:lineRule="exact"/>
              <w:ind w:leftChars="0" w:left="0" w:firstLineChars="0" w:firstLine="0"/>
              <w:jc w:val="center"/>
              <w:rPr>
                <w:sz w:val="24"/>
              </w:rPr>
            </w:pPr>
            <w:r w:rsidRPr="002C1469">
              <w:rPr>
                <w:rFonts w:hint="eastAsia"/>
                <w:sz w:val="24"/>
              </w:rPr>
              <w:t>108</w:t>
            </w:r>
          </w:p>
        </w:tc>
        <w:tc>
          <w:tcPr>
            <w:tcW w:w="3969" w:type="dxa"/>
            <w:shd w:val="clear" w:color="auto" w:fill="auto"/>
            <w:noWrap/>
            <w:vAlign w:val="center"/>
            <w:hideMark/>
          </w:tcPr>
          <w:p w:rsidR="001C1AF2" w:rsidRPr="002C1469" w:rsidRDefault="001C1AF2" w:rsidP="00E125B8">
            <w:pPr>
              <w:spacing w:line="280" w:lineRule="exact"/>
              <w:ind w:leftChars="0" w:left="0" w:firstLineChars="0" w:firstLine="0"/>
              <w:jc w:val="right"/>
              <w:rPr>
                <w:sz w:val="24"/>
              </w:rPr>
            </w:pPr>
            <w:r w:rsidRPr="002C1469">
              <w:rPr>
                <w:rFonts w:hint="eastAsia"/>
                <w:sz w:val="24"/>
              </w:rPr>
              <w:t>236,151,449</w:t>
            </w:r>
          </w:p>
        </w:tc>
      </w:tr>
      <w:tr w:rsidR="001C1AF2" w:rsidRPr="002C1469" w:rsidTr="00473DEA">
        <w:trPr>
          <w:trHeight w:val="345"/>
        </w:trPr>
        <w:tc>
          <w:tcPr>
            <w:tcW w:w="4579" w:type="dxa"/>
            <w:shd w:val="clear" w:color="auto" w:fill="auto"/>
            <w:noWrap/>
            <w:vAlign w:val="center"/>
            <w:hideMark/>
          </w:tcPr>
          <w:p w:rsidR="001C1AF2" w:rsidRPr="002C1469" w:rsidRDefault="001C1AF2" w:rsidP="00E125B8">
            <w:pPr>
              <w:spacing w:line="280" w:lineRule="exact"/>
              <w:ind w:leftChars="0" w:left="0" w:firstLineChars="0" w:firstLine="0"/>
              <w:jc w:val="center"/>
              <w:rPr>
                <w:sz w:val="24"/>
              </w:rPr>
            </w:pPr>
            <w:r w:rsidRPr="002C1469">
              <w:rPr>
                <w:rFonts w:hint="eastAsia"/>
                <w:sz w:val="24"/>
              </w:rPr>
              <w:t>109</w:t>
            </w:r>
          </w:p>
        </w:tc>
        <w:tc>
          <w:tcPr>
            <w:tcW w:w="3969" w:type="dxa"/>
            <w:shd w:val="clear" w:color="auto" w:fill="auto"/>
            <w:noWrap/>
            <w:vAlign w:val="center"/>
            <w:hideMark/>
          </w:tcPr>
          <w:p w:rsidR="001C1AF2" w:rsidRPr="002C1469" w:rsidRDefault="001C1AF2" w:rsidP="00E125B8">
            <w:pPr>
              <w:spacing w:line="280" w:lineRule="exact"/>
              <w:ind w:leftChars="0" w:left="0" w:firstLineChars="0" w:firstLine="0"/>
              <w:jc w:val="right"/>
              <w:rPr>
                <w:sz w:val="24"/>
              </w:rPr>
            </w:pPr>
            <w:r w:rsidRPr="002C1469">
              <w:rPr>
                <w:rFonts w:hint="eastAsia"/>
                <w:sz w:val="24"/>
              </w:rPr>
              <w:t>203,520,929</w:t>
            </w:r>
          </w:p>
        </w:tc>
      </w:tr>
      <w:tr w:rsidR="001C1AF2" w:rsidRPr="002C1469" w:rsidTr="00473DEA">
        <w:trPr>
          <w:trHeight w:val="345"/>
        </w:trPr>
        <w:tc>
          <w:tcPr>
            <w:tcW w:w="4579" w:type="dxa"/>
            <w:shd w:val="clear" w:color="auto" w:fill="auto"/>
            <w:noWrap/>
            <w:vAlign w:val="center"/>
            <w:hideMark/>
          </w:tcPr>
          <w:p w:rsidR="001C1AF2" w:rsidRPr="002C1469" w:rsidRDefault="001C1AF2" w:rsidP="00E125B8">
            <w:pPr>
              <w:spacing w:line="280" w:lineRule="exact"/>
              <w:ind w:leftChars="0" w:left="0" w:firstLineChars="0" w:firstLine="0"/>
              <w:jc w:val="center"/>
              <w:rPr>
                <w:sz w:val="24"/>
              </w:rPr>
            </w:pPr>
            <w:r w:rsidRPr="002C1469">
              <w:rPr>
                <w:rFonts w:hint="eastAsia"/>
                <w:sz w:val="24"/>
              </w:rPr>
              <w:t>110</w:t>
            </w:r>
          </w:p>
        </w:tc>
        <w:tc>
          <w:tcPr>
            <w:tcW w:w="3969" w:type="dxa"/>
            <w:shd w:val="clear" w:color="auto" w:fill="auto"/>
            <w:noWrap/>
            <w:vAlign w:val="center"/>
            <w:hideMark/>
          </w:tcPr>
          <w:p w:rsidR="001C1AF2" w:rsidRPr="002C1469" w:rsidRDefault="001C1AF2" w:rsidP="00E125B8">
            <w:pPr>
              <w:spacing w:line="280" w:lineRule="exact"/>
              <w:ind w:leftChars="0" w:left="0" w:firstLineChars="0" w:firstLine="0"/>
              <w:jc w:val="right"/>
              <w:rPr>
                <w:sz w:val="24"/>
              </w:rPr>
            </w:pPr>
            <w:r w:rsidRPr="002C1469">
              <w:rPr>
                <w:rFonts w:hint="eastAsia"/>
                <w:sz w:val="24"/>
              </w:rPr>
              <w:t>154,927,066</w:t>
            </w:r>
          </w:p>
        </w:tc>
      </w:tr>
      <w:tr w:rsidR="001C1AF2" w:rsidRPr="002C1469" w:rsidTr="00473DEA">
        <w:trPr>
          <w:trHeight w:val="345"/>
        </w:trPr>
        <w:tc>
          <w:tcPr>
            <w:tcW w:w="4579" w:type="dxa"/>
            <w:shd w:val="clear" w:color="auto" w:fill="auto"/>
            <w:noWrap/>
            <w:vAlign w:val="center"/>
            <w:hideMark/>
          </w:tcPr>
          <w:p w:rsidR="001C1AF2" w:rsidRPr="002C1469" w:rsidRDefault="001C1AF2" w:rsidP="00E125B8">
            <w:pPr>
              <w:spacing w:line="280" w:lineRule="exact"/>
              <w:ind w:leftChars="0" w:left="0" w:firstLineChars="0" w:firstLine="0"/>
              <w:jc w:val="center"/>
              <w:rPr>
                <w:sz w:val="24"/>
              </w:rPr>
            </w:pPr>
            <w:r w:rsidRPr="002C1469">
              <w:rPr>
                <w:rFonts w:hint="eastAsia"/>
                <w:sz w:val="24"/>
              </w:rPr>
              <w:t>111</w:t>
            </w:r>
          </w:p>
        </w:tc>
        <w:tc>
          <w:tcPr>
            <w:tcW w:w="3969" w:type="dxa"/>
            <w:shd w:val="clear" w:color="auto" w:fill="auto"/>
            <w:noWrap/>
            <w:vAlign w:val="center"/>
            <w:hideMark/>
          </w:tcPr>
          <w:p w:rsidR="001C1AF2" w:rsidRPr="002C1469" w:rsidRDefault="001C1AF2" w:rsidP="00E125B8">
            <w:pPr>
              <w:spacing w:line="280" w:lineRule="exact"/>
              <w:ind w:leftChars="0" w:left="0" w:firstLineChars="0" w:firstLine="0"/>
              <w:jc w:val="right"/>
              <w:rPr>
                <w:sz w:val="24"/>
              </w:rPr>
            </w:pPr>
            <w:r w:rsidRPr="002C1469">
              <w:rPr>
                <w:rFonts w:hint="eastAsia"/>
                <w:sz w:val="24"/>
              </w:rPr>
              <w:t>170,254,450</w:t>
            </w:r>
          </w:p>
        </w:tc>
      </w:tr>
      <w:tr w:rsidR="001C1AF2" w:rsidRPr="002C1469" w:rsidTr="00473DEA">
        <w:trPr>
          <w:trHeight w:val="345"/>
        </w:trPr>
        <w:tc>
          <w:tcPr>
            <w:tcW w:w="4579" w:type="dxa"/>
            <w:shd w:val="clear" w:color="auto" w:fill="auto"/>
            <w:noWrap/>
            <w:vAlign w:val="center"/>
            <w:hideMark/>
          </w:tcPr>
          <w:p w:rsidR="001C1AF2" w:rsidRPr="002C1469" w:rsidRDefault="001C1AF2" w:rsidP="00E125B8">
            <w:pPr>
              <w:spacing w:line="280" w:lineRule="exact"/>
              <w:ind w:leftChars="0" w:left="0" w:firstLineChars="0" w:firstLine="0"/>
              <w:jc w:val="center"/>
              <w:rPr>
                <w:sz w:val="24"/>
              </w:rPr>
            </w:pPr>
            <w:r w:rsidRPr="002C1469">
              <w:rPr>
                <w:rFonts w:hint="eastAsia"/>
                <w:sz w:val="24"/>
              </w:rPr>
              <w:t>112</w:t>
            </w:r>
          </w:p>
        </w:tc>
        <w:tc>
          <w:tcPr>
            <w:tcW w:w="3969" w:type="dxa"/>
            <w:shd w:val="clear" w:color="auto" w:fill="auto"/>
            <w:noWrap/>
            <w:vAlign w:val="center"/>
            <w:hideMark/>
          </w:tcPr>
          <w:p w:rsidR="001C1AF2" w:rsidRPr="002C1469" w:rsidRDefault="001C1AF2" w:rsidP="00E125B8">
            <w:pPr>
              <w:spacing w:line="280" w:lineRule="exact"/>
              <w:ind w:leftChars="0" w:left="0" w:firstLineChars="0" w:firstLine="0"/>
              <w:jc w:val="right"/>
              <w:rPr>
                <w:sz w:val="24"/>
              </w:rPr>
            </w:pPr>
            <w:r w:rsidRPr="002C1469">
              <w:rPr>
                <w:rFonts w:hint="eastAsia"/>
                <w:sz w:val="24"/>
              </w:rPr>
              <w:t>219,308,388</w:t>
            </w:r>
          </w:p>
        </w:tc>
      </w:tr>
    </w:tbl>
    <w:p w:rsidR="001C1AF2" w:rsidRPr="002C1469" w:rsidRDefault="001C1AF2" w:rsidP="00473DEA">
      <w:pPr>
        <w:pStyle w:val="142"/>
      </w:pPr>
      <w:r w:rsidRPr="002C1469">
        <w:rPr>
          <w:rFonts w:hint="eastAsia"/>
        </w:rPr>
        <w:t>資料來源：臺鐵。</w:t>
      </w:r>
    </w:p>
    <w:p w:rsidR="00F2741F" w:rsidRPr="00F516EB" w:rsidRDefault="00F2741F" w:rsidP="00F2741F">
      <w:pPr>
        <w:ind w:leftChars="0" w:left="567" w:hangingChars="200" w:hanging="567"/>
        <w:rPr>
          <w:b/>
        </w:rPr>
      </w:pPr>
      <w:r w:rsidRPr="00F516EB">
        <w:rPr>
          <w:rFonts w:hint="eastAsia"/>
          <w:b/>
        </w:rPr>
        <w:t>表</w:t>
      </w:r>
      <w:r w:rsidR="00815F8E">
        <w:rPr>
          <w:rFonts w:hint="eastAsia"/>
          <w:b/>
        </w:rPr>
        <w:t>2</w:t>
      </w:r>
      <w:r w:rsidRPr="00F516EB">
        <w:rPr>
          <w:rFonts w:hint="eastAsia"/>
          <w:b/>
        </w:rPr>
        <w:t xml:space="preserve">  臺鐵10</w:t>
      </w:r>
      <w:r>
        <w:rPr>
          <w:b/>
        </w:rPr>
        <w:t>8</w:t>
      </w:r>
      <w:r>
        <w:rPr>
          <w:rFonts w:hint="eastAsia"/>
          <w:b/>
        </w:rPr>
        <w:t>至</w:t>
      </w:r>
      <w:r w:rsidRPr="00F516EB">
        <w:rPr>
          <w:rFonts w:hint="eastAsia"/>
          <w:b/>
        </w:rPr>
        <w:t>11</w:t>
      </w:r>
      <w:r w:rsidR="00B70C0B">
        <w:rPr>
          <w:b/>
        </w:rPr>
        <w:t>2</w:t>
      </w:r>
      <w:r w:rsidRPr="00F516EB">
        <w:rPr>
          <w:rFonts w:hint="eastAsia"/>
          <w:b/>
        </w:rPr>
        <w:t>年度簡明損益表</w:t>
      </w:r>
      <w:r>
        <w:rPr>
          <w:rFonts w:hint="eastAsia"/>
          <w:b/>
        </w:rPr>
        <w:t xml:space="preserve"> </w:t>
      </w:r>
      <w:r>
        <w:rPr>
          <w:b/>
        </w:rPr>
        <w:t xml:space="preserve">         </w:t>
      </w:r>
      <w:r w:rsidR="00243873">
        <w:rPr>
          <w:b/>
        </w:rPr>
        <w:t xml:space="preserve"> </w:t>
      </w:r>
      <w:r>
        <w:rPr>
          <w:b/>
        </w:rPr>
        <w:t xml:space="preserve">  </w:t>
      </w:r>
      <w:r w:rsidRPr="00F516EB">
        <w:rPr>
          <w:rFonts w:hint="eastAsia"/>
          <w:sz w:val="24"/>
          <w:szCs w:val="24"/>
        </w:rPr>
        <w:t>單位：新臺幣</w:t>
      </w:r>
      <w:r>
        <w:rPr>
          <w:rFonts w:hint="eastAsia"/>
          <w:sz w:val="24"/>
          <w:szCs w:val="24"/>
        </w:rPr>
        <w:t>千</w:t>
      </w:r>
      <w:r w:rsidRPr="00F516EB">
        <w:rPr>
          <w:rFonts w:hint="eastAsia"/>
          <w:sz w:val="24"/>
          <w:szCs w:val="24"/>
        </w:rPr>
        <w:t>元</w:t>
      </w:r>
    </w:p>
    <w:tbl>
      <w:tblPr>
        <w:tblW w:w="8457"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1"/>
        <w:gridCol w:w="1402"/>
        <w:gridCol w:w="1446"/>
        <w:gridCol w:w="1446"/>
        <w:gridCol w:w="1446"/>
        <w:gridCol w:w="1446"/>
      </w:tblGrid>
      <w:tr w:rsidR="00F2741F" w:rsidRPr="00243873" w:rsidTr="00243873">
        <w:trPr>
          <w:trHeight w:val="340"/>
          <w:tblHeader/>
        </w:trPr>
        <w:tc>
          <w:tcPr>
            <w:tcW w:w="1271" w:type="dxa"/>
            <w:shd w:val="clear" w:color="000000" w:fill="FFFFFF"/>
            <w:vAlign w:val="center"/>
            <w:hideMark/>
          </w:tcPr>
          <w:p w:rsidR="00F2741F" w:rsidRPr="00243873" w:rsidRDefault="00F2741F" w:rsidP="00243873">
            <w:pPr>
              <w:pStyle w:val="142"/>
              <w:jc w:val="center"/>
              <w:rPr>
                <w:b/>
              </w:rPr>
            </w:pPr>
            <w:r w:rsidRPr="00243873">
              <w:rPr>
                <w:rFonts w:hint="eastAsia"/>
                <w:b/>
              </w:rPr>
              <w:t>年度</w:t>
            </w:r>
          </w:p>
        </w:tc>
        <w:tc>
          <w:tcPr>
            <w:tcW w:w="1402" w:type="dxa"/>
            <w:shd w:val="clear" w:color="000000" w:fill="FFFFFF"/>
            <w:vAlign w:val="center"/>
            <w:hideMark/>
          </w:tcPr>
          <w:p w:rsidR="00F2741F" w:rsidRPr="00243873" w:rsidRDefault="00F2741F" w:rsidP="00243873">
            <w:pPr>
              <w:pStyle w:val="142"/>
              <w:jc w:val="center"/>
              <w:rPr>
                <w:b/>
              </w:rPr>
            </w:pPr>
            <w:r w:rsidRPr="00243873">
              <w:rPr>
                <w:rFonts w:hint="eastAsia"/>
                <w:b/>
              </w:rPr>
              <w:t>108</w:t>
            </w:r>
          </w:p>
        </w:tc>
        <w:tc>
          <w:tcPr>
            <w:tcW w:w="1446" w:type="dxa"/>
            <w:shd w:val="clear" w:color="000000" w:fill="FFFFFF"/>
            <w:vAlign w:val="center"/>
            <w:hideMark/>
          </w:tcPr>
          <w:p w:rsidR="00F2741F" w:rsidRPr="00243873" w:rsidRDefault="00F2741F" w:rsidP="00243873">
            <w:pPr>
              <w:pStyle w:val="142"/>
              <w:jc w:val="center"/>
              <w:rPr>
                <w:b/>
              </w:rPr>
            </w:pPr>
            <w:r w:rsidRPr="00243873">
              <w:rPr>
                <w:rFonts w:hint="eastAsia"/>
                <w:b/>
              </w:rPr>
              <w:t>109</w:t>
            </w:r>
          </w:p>
        </w:tc>
        <w:tc>
          <w:tcPr>
            <w:tcW w:w="1446" w:type="dxa"/>
            <w:shd w:val="clear" w:color="000000" w:fill="FFFFFF"/>
            <w:vAlign w:val="center"/>
            <w:hideMark/>
          </w:tcPr>
          <w:p w:rsidR="00F2741F" w:rsidRPr="00243873" w:rsidRDefault="00F2741F" w:rsidP="00243873">
            <w:pPr>
              <w:pStyle w:val="142"/>
              <w:jc w:val="center"/>
              <w:rPr>
                <w:b/>
              </w:rPr>
            </w:pPr>
            <w:r w:rsidRPr="00243873">
              <w:rPr>
                <w:rFonts w:hint="eastAsia"/>
                <w:b/>
              </w:rPr>
              <w:t>110</w:t>
            </w:r>
          </w:p>
        </w:tc>
        <w:tc>
          <w:tcPr>
            <w:tcW w:w="1446" w:type="dxa"/>
            <w:shd w:val="clear" w:color="000000" w:fill="FFFFFF"/>
            <w:vAlign w:val="center"/>
            <w:hideMark/>
          </w:tcPr>
          <w:p w:rsidR="00F2741F" w:rsidRPr="00243873" w:rsidRDefault="00F2741F" w:rsidP="00243873">
            <w:pPr>
              <w:pStyle w:val="142"/>
              <w:jc w:val="center"/>
              <w:rPr>
                <w:b/>
              </w:rPr>
            </w:pPr>
            <w:r w:rsidRPr="00243873">
              <w:rPr>
                <w:rFonts w:hint="eastAsia"/>
                <w:b/>
              </w:rPr>
              <w:t>111</w:t>
            </w:r>
          </w:p>
        </w:tc>
        <w:tc>
          <w:tcPr>
            <w:tcW w:w="1446" w:type="dxa"/>
            <w:shd w:val="clear" w:color="000000" w:fill="FFFFFF"/>
            <w:vAlign w:val="center"/>
            <w:hideMark/>
          </w:tcPr>
          <w:p w:rsidR="00F2741F" w:rsidRPr="00243873" w:rsidRDefault="00F2741F" w:rsidP="00243873">
            <w:pPr>
              <w:pStyle w:val="142"/>
              <w:jc w:val="center"/>
              <w:rPr>
                <w:b/>
              </w:rPr>
            </w:pPr>
            <w:r w:rsidRPr="00243873">
              <w:rPr>
                <w:rFonts w:hint="eastAsia"/>
                <w:b/>
              </w:rPr>
              <w:t>112</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營業收入</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26,084,500</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23,787,376</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19,575,957</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26,468,052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31,927,052</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營業成本</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27,033,941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28,403,084</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28,539,522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34,526,104</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37,495,111</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營業毛利</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-949,441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-4,615,708</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-8,963,565</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-8,058,052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-5,568,059</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營業費用</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1,278,004</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1,260,515</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1,405,638</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1,525,471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1,727,257</w:t>
            </w:r>
          </w:p>
        </w:tc>
      </w:tr>
      <w:tr w:rsidR="00F2741F" w:rsidRPr="00243873" w:rsidTr="00243873">
        <w:trPr>
          <w:trHeight w:val="340"/>
        </w:trPr>
        <w:tc>
          <w:tcPr>
            <w:tcW w:w="1271" w:type="dxa"/>
            <w:shd w:val="clear" w:color="000000" w:fill="FFFFFF"/>
            <w:vAlign w:val="center"/>
            <w:hideMark/>
          </w:tcPr>
          <w:p w:rsidR="00F2741F" w:rsidRPr="00243873" w:rsidRDefault="00F2741F" w:rsidP="00DD4A96">
            <w:pPr>
              <w:pStyle w:val="142"/>
            </w:pPr>
            <w:r w:rsidRPr="00243873">
              <w:rPr>
                <w:rFonts w:hint="eastAsia"/>
              </w:rPr>
              <w:t>營業</w:t>
            </w:r>
            <w:r w:rsidR="00DD4A96">
              <w:rPr>
                <w:rFonts w:hint="eastAsia"/>
              </w:rPr>
              <w:t>損失</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-2,227,445</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-5,876,223</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-10,639,202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-9,583,523</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-7,295,317</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營業外收入</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2,564,391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2,181,761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1,774,350</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2,601,655</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1,518,156</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營業外費用</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3,618,811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3,045,208</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3,347,992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4,132,692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5,652,668</w:t>
            </w:r>
          </w:p>
        </w:tc>
      </w:tr>
      <w:tr w:rsidR="00F2741F" w:rsidRPr="00243873" w:rsidTr="00243873">
        <w:trPr>
          <w:trHeight w:val="340"/>
        </w:trPr>
        <w:tc>
          <w:tcPr>
            <w:tcW w:w="1271" w:type="dxa"/>
            <w:shd w:val="clear" w:color="000000" w:fill="FFFFFF"/>
            <w:vAlign w:val="center"/>
            <w:hideMark/>
          </w:tcPr>
          <w:p w:rsidR="00F2741F" w:rsidRPr="00243873" w:rsidRDefault="00243873" w:rsidP="00DD4A96">
            <w:pPr>
              <w:pStyle w:val="142"/>
            </w:pPr>
            <w:r w:rsidRPr="00243873">
              <w:rPr>
                <w:rFonts w:hint="eastAsia"/>
              </w:rPr>
              <w:t>本期淨損</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-3,281,865</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-6,739,670</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-11,942,844</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-11,114,560</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-11,429,829</w:t>
            </w:r>
          </w:p>
        </w:tc>
      </w:tr>
    </w:tbl>
    <w:p w:rsidR="00243873" w:rsidRDefault="00243873" w:rsidP="00F2741F">
      <w:pPr>
        <w:pStyle w:val="142"/>
      </w:pPr>
      <w:r>
        <w:rPr>
          <w:rFonts w:hint="eastAsia"/>
        </w:rPr>
        <w:t xml:space="preserve">說 </w:t>
      </w:r>
      <w:r>
        <w:t xml:space="preserve">   </w:t>
      </w:r>
      <w:r>
        <w:rPr>
          <w:rFonts w:hint="eastAsia"/>
        </w:rPr>
        <w:t>明：表內均為決算審定數。</w:t>
      </w:r>
    </w:p>
    <w:p w:rsidR="00F2741F" w:rsidRDefault="00F2741F" w:rsidP="00F2741F">
      <w:pPr>
        <w:pStyle w:val="142"/>
      </w:pPr>
      <w:r>
        <w:rPr>
          <w:rFonts w:hint="eastAsia"/>
        </w:rPr>
        <w:t>資料來源：臺鐵。</w:t>
      </w:r>
    </w:p>
    <w:p w:rsidR="007F61CA" w:rsidRDefault="007F61CA" w:rsidP="007F61CA">
      <w:pPr>
        <w:pStyle w:val="a5"/>
        <w:ind w:left="849" w:hanging="283"/>
        <w:rPr>
          <w:b/>
        </w:rPr>
      </w:pPr>
      <w:r w:rsidRPr="00697596">
        <w:rPr>
          <w:rFonts w:hint="eastAsia"/>
          <w:b/>
        </w:rPr>
        <w:t>(</w:t>
      </w:r>
      <w:r w:rsidR="00B70C0B">
        <w:rPr>
          <w:rFonts w:hint="eastAsia"/>
          <w:b/>
        </w:rPr>
        <w:t>二</w:t>
      </w:r>
      <w:r w:rsidRPr="00697596">
        <w:rPr>
          <w:rFonts w:hint="eastAsia"/>
          <w:b/>
        </w:rPr>
        <w:t>)</w:t>
      </w:r>
      <w:r w:rsidR="00F1016E">
        <w:rPr>
          <w:rFonts w:hint="eastAsia"/>
          <w:b/>
        </w:rPr>
        <w:t>雖</w:t>
      </w:r>
      <w:r w:rsidR="00695FF6">
        <w:rPr>
          <w:rFonts w:hint="eastAsia"/>
          <w:b/>
        </w:rPr>
        <w:t>政府已</w:t>
      </w:r>
      <w:r>
        <w:rPr>
          <w:rFonts w:hint="eastAsia"/>
          <w:b/>
        </w:rPr>
        <w:t>成立</w:t>
      </w:r>
      <w:r w:rsidR="00695FF6">
        <w:rPr>
          <w:rFonts w:hint="eastAsia"/>
          <w:b/>
        </w:rPr>
        <w:t>基金</w:t>
      </w:r>
      <w:r>
        <w:rPr>
          <w:rFonts w:hint="eastAsia"/>
          <w:b/>
        </w:rPr>
        <w:t>承接臺</w:t>
      </w:r>
      <w:r w:rsidRPr="00AF4DA7">
        <w:rPr>
          <w:rFonts w:hint="eastAsia"/>
          <w:b/>
        </w:rPr>
        <w:t>鐵既存短期債務</w:t>
      </w:r>
      <w:r>
        <w:rPr>
          <w:rFonts w:hint="eastAsia"/>
          <w:b/>
        </w:rPr>
        <w:t>，惟因臺鐵未妥善控管，</w:t>
      </w:r>
      <w:r w:rsidR="00DE25D9">
        <w:rPr>
          <w:rFonts w:hint="eastAsia"/>
          <w:b/>
        </w:rPr>
        <w:t>迄</w:t>
      </w:r>
      <w:r w:rsidR="00A63141">
        <w:rPr>
          <w:rFonts w:hint="eastAsia"/>
          <w:b/>
        </w:rPr>
        <w:t>1</w:t>
      </w:r>
      <w:r w:rsidR="00A63141">
        <w:rPr>
          <w:b/>
        </w:rPr>
        <w:t>12</w:t>
      </w:r>
      <w:r w:rsidR="00A63141">
        <w:rPr>
          <w:rFonts w:hint="eastAsia"/>
          <w:b/>
        </w:rPr>
        <w:t>年底</w:t>
      </w:r>
      <w:r w:rsidR="00DE25D9">
        <w:rPr>
          <w:rFonts w:hint="eastAsia"/>
          <w:b/>
        </w:rPr>
        <w:t>時，</w:t>
      </w:r>
      <w:r w:rsidR="00DD4A96">
        <w:rPr>
          <w:rFonts w:hint="eastAsia"/>
          <w:b/>
        </w:rPr>
        <w:t>「</w:t>
      </w:r>
      <w:r>
        <w:rPr>
          <w:rFonts w:hint="eastAsia"/>
          <w:b/>
        </w:rPr>
        <w:t>短期債務</w:t>
      </w:r>
      <w:r w:rsidR="00DD4A96">
        <w:rPr>
          <w:rFonts w:hint="eastAsia"/>
          <w:b/>
        </w:rPr>
        <w:t>」</w:t>
      </w:r>
      <w:r w:rsidR="00DE25D9">
        <w:rPr>
          <w:rFonts w:hint="eastAsia"/>
          <w:b/>
        </w:rPr>
        <w:t>仍有3</w:t>
      </w:r>
      <w:r w:rsidR="00DE25D9">
        <w:rPr>
          <w:b/>
        </w:rPr>
        <w:t>3</w:t>
      </w:r>
      <w:r w:rsidR="00DE25D9">
        <w:rPr>
          <w:rFonts w:hint="eastAsia"/>
          <w:b/>
        </w:rPr>
        <w:t>億元</w:t>
      </w:r>
      <w:r w:rsidR="00A63141">
        <w:rPr>
          <w:rFonts w:hint="eastAsia"/>
          <w:b/>
        </w:rPr>
        <w:t>無法</w:t>
      </w:r>
      <w:r w:rsidR="00DE25D9">
        <w:rPr>
          <w:rFonts w:hint="eastAsia"/>
          <w:b/>
        </w:rPr>
        <w:t>於</w:t>
      </w:r>
      <w:r w:rsidR="00DD4A96">
        <w:rPr>
          <w:rFonts w:hint="eastAsia"/>
          <w:b/>
        </w:rPr>
        <w:t>公司化時</w:t>
      </w:r>
      <w:r w:rsidR="00DE25D9">
        <w:rPr>
          <w:rFonts w:hint="eastAsia"/>
          <w:b/>
        </w:rPr>
        <w:t>一併</w:t>
      </w:r>
      <w:r w:rsidR="00A63141">
        <w:rPr>
          <w:rFonts w:hint="eastAsia"/>
          <w:b/>
        </w:rPr>
        <w:t>移轉</w:t>
      </w:r>
    </w:p>
    <w:p w:rsidR="007F61CA" w:rsidRDefault="007F61CA" w:rsidP="007F61CA">
      <w:pPr>
        <w:pStyle w:val="22"/>
        <w:ind w:left="850" w:firstLine="566"/>
      </w:pPr>
      <w:r w:rsidRPr="00EF0E99">
        <w:rPr>
          <w:rFonts w:hint="eastAsia"/>
        </w:rPr>
        <w:t>為</w:t>
      </w:r>
      <w:r w:rsidRPr="00A0581C">
        <w:rPr>
          <w:rFonts w:hint="eastAsia"/>
        </w:rPr>
        <w:t>履行臺鐵歷史包袱所造成債務由政府負擔之承諾，</w:t>
      </w:r>
      <w:r>
        <w:rPr>
          <w:rFonts w:hint="eastAsia"/>
        </w:rPr>
        <w:t>鐵道局於112年11月24日召開「臺鐵局撥入資產及債務管理基金債務承接工作會議」，依會議結論請臺鐵112年底</w:t>
      </w:r>
      <w:r w:rsidR="00DD4A96">
        <w:rPr>
          <w:rFonts w:hint="eastAsia"/>
        </w:rPr>
        <w:t>「</w:t>
      </w:r>
      <w:r>
        <w:rPr>
          <w:rFonts w:hint="eastAsia"/>
        </w:rPr>
        <w:t>短期債務</w:t>
      </w:r>
      <w:r w:rsidR="00DD4A96">
        <w:rPr>
          <w:rFonts w:hint="eastAsia"/>
        </w:rPr>
        <w:t>」</w:t>
      </w:r>
      <w:r>
        <w:rPr>
          <w:rFonts w:hint="eastAsia"/>
        </w:rPr>
        <w:t>需控管在1,699.11億元內</w:t>
      </w:r>
      <w:r>
        <w:rPr>
          <w:rStyle w:val="af6"/>
        </w:rPr>
        <w:footnoteReference w:id="4"/>
      </w:r>
      <w:r>
        <w:rPr>
          <w:rFonts w:hint="eastAsia"/>
        </w:rPr>
        <w:t>，後於臺鐵1</w:t>
      </w:r>
      <w:r>
        <w:t>13</w:t>
      </w:r>
      <w:r>
        <w:rPr>
          <w:rFonts w:hint="eastAsia"/>
        </w:rPr>
        <w:t>年1月1日公司化時，已</w:t>
      </w:r>
      <w:r w:rsidRPr="0087068E">
        <w:rPr>
          <w:rFonts w:hint="eastAsia"/>
        </w:rPr>
        <w:t>增設「臺鐵局撥入資產及債務管理基金」</w:t>
      </w:r>
      <w:r w:rsidRPr="00700482">
        <w:rPr>
          <w:rFonts w:hint="eastAsia"/>
        </w:rPr>
        <w:t>承接臺鐵轉入既有</w:t>
      </w:r>
      <w:r w:rsidRPr="00700482">
        <w:rPr>
          <w:rFonts w:hint="eastAsia"/>
        </w:rPr>
        <w:lastRenderedPageBreak/>
        <w:t>短期債務1,699</w:t>
      </w:r>
      <w:r>
        <w:rPr>
          <w:rFonts w:hint="eastAsia"/>
        </w:rPr>
        <w:t>.</w:t>
      </w:r>
      <w:r>
        <w:t>1</w:t>
      </w:r>
      <w:r w:rsidRPr="00700482">
        <w:rPr>
          <w:rFonts w:hint="eastAsia"/>
        </w:rPr>
        <w:t>億元</w:t>
      </w:r>
      <w:r>
        <w:rPr>
          <w:rFonts w:hint="eastAsia"/>
        </w:rPr>
        <w:t>，惟因臺鐵未依前開會議結論有效控管債務，致1</w:t>
      </w:r>
      <w:r>
        <w:t>12</w:t>
      </w:r>
      <w:r>
        <w:rPr>
          <w:rFonts w:hint="eastAsia"/>
        </w:rPr>
        <w:t>年底</w:t>
      </w:r>
      <w:r w:rsidR="00DD4A96">
        <w:rPr>
          <w:rFonts w:hint="eastAsia"/>
        </w:rPr>
        <w:t>「</w:t>
      </w:r>
      <w:r>
        <w:rPr>
          <w:rFonts w:hint="eastAsia"/>
        </w:rPr>
        <w:t>短期債務</w:t>
      </w:r>
      <w:r w:rsidR="00DD4A96">
        <w:rPr>
          <w:rFonts w:hint="eastAsia"/>
        </w:rPr>
        <w:t>」</w:t>
      </w:r>
      <w:r>
        <w:rPr>
          <w:rFonts w:hint="eastAsia"/>
        </w:rPr>
        <w:t>1</w:t>
      </w:r>
      <w:r>
        <w:t>,732.1</w:t>
      </w:r>
      <w:r>
        <w:rPr>
          <w:rFonts w:hint="eastAsia"/>
        </w:rPr>
        <w:t>億元</w:t>
      </w:r>
      <w:r w:rsidR="00473DEA">
        <w:rPr>
          <w:rFonts w:hint="eastAsia"/>
        </w:rPr>
        <w:t>無法全數移轉由該基金承接</w:t>
      </w:r>
      <w:r>
        <w:rPr>
          <w:rFonts w:hint="eastAsia"/>
        </w:rPr>
        <w:t>，故公司化時尚留有</w:t>
      </w:r>
      <w:r w:rsidR="00DD4A96">
        <w:rPr>
          <w:rFonts w:hint="eastAsia"/>
        </w:rPr>
        <w:t>「</w:t>
      </w:r>
      <w:r>
        <w:rPr>
          <w:rFonts w:hint="eastAsia"/>
        </w:rPr>
        <w:t>短期債務</w:t>
      </w:r>
      <w:r w:rsidR="00DD4A96">
        <w:rPr>
          <w:rFonts w:hint="eastAsia"/>
        </w:rPr>
        <w:t>」</w:t>
      </w:r>
      <w:r>
        <w:rPr>
          <w:rFonts w:hint="eastAsia"/>
        </w:rPr>
        <w:t>3</w:t>
      </w:r>
      <w:r>
        <w:t>3</w:t>
      </w:r>
      <w:r>
        <w:rPr>
          <w:rFonts w:hint="eastAsia"/>
        </w:rPr>
        <w:t>億元</w:t>
      </w:r>
      <w:r w:rsidR="00C811D8">
        <w:rPr>
          <w:rFonts w:hint="eastAsia"/>
        </w:rPr>
        <w:t>，顯見臺鐵之財務控管容有強化空間</w:t>
      </w:r>
      <w:r>
        <w:rPr>
          <w:rFonts w:hint="eastAsia"/>
        </w:rPr>
        <w:t>。</w:t>
      </w:r>
    </w:p>
    <w:p w:rsidR="00473DEA" w:rsidRPr="00342CD5" w:rsidRDefault="00473DEA" w:rsidP="00A7642F">
      <w:pPr>
        <w:ind w:left="566" w:firstLine="566"/>
      </w:pPr>
      <w:r w:rsidRPr="00EC5F92">
        <w:rPr>
          <w:rFonts w:hint="eastAsia"/>
        </w:rPr>
        <w:t>綜上，</w:t>
      </w:r>
      <w:r w:rsidR="00E37A89">
        <w:rPr>
          <w:rFonts w:hint="eastAsia"/>
        </w:rPr>
        <w:t>臺鐵</w:t>
      </w:r>
      <w:r w:rsidR="00E37A89" w:rsidRPr="00342CD5">
        <w:rPr>
          <w:rFonts w:hint="eastAsia"/>
        </w:rPr>
        <w:t>1</w:t>
      </w:r>
      <w:r w:rsidR="00E37A89" w:rsidRPr="00342CD5">
        <w:t>12</w:t>
      </w:r>
      <w:r w:rsidR="00A52F31">
        <w:rPr>
          <w:rFonts w:hint="eastAsia"/>
        </w:rPr>
        <w:t>年度</w:t>
      </w:r>
      <w:r w:rsidR="00DD4A96">
        <w:rPr>
          <w:rFonts w:hint="eastAsia"/>
        </w:rPr>
        <w:t>仍持續虧損逾百億元，且「</w:t>
      </w:r>
      <w:r w:rsidR="00E37A89" w:rsidRPr="00342CD5">
        <w:rPr>
          <w:rFonts w:hint="eastAsia"/>
        </w:rPr>
        <w:t>本期淨損</w:t>
      </w:r>
      <w:r w:rsidR="00DD4A96">
        <w:rPr>
          <w:rFonts w:hint="eastAsia"/>
        </w:rPr>
        <w:t>」</w:t>
      </w:r>
      <w:r w:rsidR="00E37A89" w:rsidRPr="00342CD5">
        <w:rPr>
          <w:rFonts w:hint="eastAsia"/>
        </w:rPr>
        <w:t>114億2,982萬9千元，較111年度</w:t>
      </w:r>
      <w:r w:rsidR="00DD4A96" w:rsidRPr="00DD4A96">
        <w:rPr>
          <w:rFonts w:hint="eastAsia"/>
        </w:rPr>
        <w:t>「本期淨損」</w:t>
      </w:r>
      <w:r w:rsidR="00E37A89" w:rsidRPr="00342CD5">
        <w:rPr>
          <w:rFonts w:hint="eastAsia"/>
        </w:rPr>
        <w:t>111億1,456萬</w:t>
      </w:r>
      <w:r w:rsidR="00DE25D9">
        <w:rPr>
          <w:rFonts w:hint="eastAsia"/>
        </w:rPr>
        <w:t>元</w:t>
      </w:r>
      <w:r w:rsidR="00E37A89" w:rsidRPr="00342CD5">
        <w:rPr>
          <w:rFonts w:hint="eastAsia"/>
        </w:rPr>
        <w:t>增加3億1,526萬8千元(增幅</w:t>
      </w:r>
      <w:r w:rsidR="00DD4A96">
        <w:rPr>
          <w:rFonts w:hint="eastAsia"/>
        </w:rPr>
        <w:t>2</w:t>
      </w:r>
      <w:r w:rsidR="00E37A89" w:rsidRPr="00342CD5">
        <w:rPr>
          <w:rFonts w:hint="eastAsia"/>
        </w:rPr>
        <w:t>.84%)，</w:t>
      </w:r>
      <w:r w:rsidRPr="00342CD5">
        <w:rPr>
          <w:rFonts w:hint="eastAsia"/>
        </w:rPr>
        <w:t>允宜研謀</w:t>
      </w:r>
      <w:r w:rsidR="004F5463">
        <w:rPr>
          <w:rFonts w:hint="eastAsia"/>
        </w:rPr>
        <w:t>開源節流</w:t>
      </w:r>
      <w:r w:rsidR="00C7029F">
        <w:rPr>
          <w:rFonts w:hint="eastAsia"/>
        </w:rPr>
        <w:t>各項措施</w:t>
      </w:r>
      <w:r w:rsidR="004F5463">
        <w:rPr>
          <w:rFonts w:hint="eastAsia"/>
        </w:rPr>
        <w:t>，以</w:t>
      </w:r>
      <w:r w:rsidR="00DD4A96" w:rsidRPr="00DD4A96">
        <w:rPr>
          <w:rFonts w:hint="eastAsia"/>
        </w:rPr>
        <w:t>面對未來高鐵及捷運之競爭</w:t>
      </w:r>
      <w:r w:rsidR="00DD4A96">
        <w:rPr>
          <w:rFonts w:hint="eastAsia"/>
        </w:rPr>
        <w:t>，並</w:t>
      </w:r>
      <w:r w:rsidR="00E37A89" w:rsidRPr="00342CD5">
        <w:rPr>
          <w:rFonts w:hint="eastAsia"/>
        </w:rPr>
        <w:t>改善營運績效。另臺鐵未能有效控管債務，致112年底</w:t>
      </w:r>
      <w:r w:rsidR="00DD4A96">
        <w:rPr>
          <w:rFonts w:hint="eastAsia"/>
        </w:rPr>
        <w:t>「</w:t>
      </w:r>
      <w:r w:rsidR="00E37A89" w:rsidRPr="00342CD5">
        <w:rPr>
          <w:rFonts w:hint="eastAsia"/>
        </w:rPr>
        <w:t>短期債務</w:t>
      </w:r>
      <w:r w:rsidR="00DD4A96">
        <w:rPr>
          <w:rFonts w:hint="eastAsia"/>
        </w:rPr>
        <w:t>」</w:t>
      </w:r>
      <w:r w:rsidR="00A52F31" w:rsidRPr="00A52F31">
        <w:rPr>
          <w:rFonts w:hint="eastAsia"/>
        </w:rPr>
        <w:t>1,732</w:t>
      </w:r>
      <w:r w:rsidR="00C7029F">
        <w:rPr>
          <w:rFonts w:hint="eastAsia"/>
        </w:rPr>
        <w:t>億</w:t>
      </w:r>
      <w:r w:rsidR="00A52F31" w:rsidRPr="00A52F31">
        <w:rPr>
          <w:rFonts w:hint="eastAsia"/>
        </w:rPr>
        <w:t>1</w:t>
      </w:r>
      <w:r w:rsidR="00C7029F">
        <w:rPr>
          <w:rFonts w:hint="eastAsia"/>
        </w:rPr>
        <w:t>千</w:t>
      </w:r>
      <w:r w:rsidR="00A52F31" w:rsidRPr="00A52F31">
        <w:rPr>
          <w:rFonts w:hint="eastAsia"/>
        </w:rPr>
        <w:t>元</w:t>
      </w:r>
      <w:r w:rsidR="00A52F31">
        <w:rPr>
          <w:rFonts w:hint="eastAsia"/>
        </w:rPr>
        <w:t>，超過政府承諾臺鐵公司化時承接</w:t>
      </w:r>
      <w:r w:rsidR="005E47A8">
        <w:rPr>
          <w:rFonts w:hint="eastAsia"/>
        </w:rPr>
        <w:t>額度</w:t>
      </w:r>
      <w:r w:rsidR="00A52F31">
        <w:rPr>
          <w:rFonts w:hint="eastAsia"/>
        </w:rPr>
        <w:t>，</w:t>
      </w:r>
      <w:r w:rsidR="005E47A8">
        <w:rPr>
          <w:rFonts w:hint="eastAsia"/>
        </w:rPr>
        <w:t>仍有</w:t>
      </w:r>
      <w:r w:rsidR="00E37A89" w:rsidRPr="00342CD5">
        <w:rPr>
          <w:rFonts w:hint="eastAsia"/>
        </w:rPr>
        <w:t>33億元</w:t>
      </w:r>
      <w:r w:rsidRPr="00342CD5">
        <w:rPr>
          <w:rFonts w:hint="eastAsia"/>
        </w:rPr>
        <w:t>未能於公司化時移轉歸零，</w:t>
      </w:r>
      <w:r w:rsidR="00BC154A" w:rsidRPr="00342CD5">
        <w:rPr>
          <w:rFonts w:hint="eastAsia"/>
        </w:rPr>
        <w:t>允宜持續強化債務管理成效，</w:t>
      </w:r>
      <w:r w:rsidRPr="00342CD5">
        <w:rPr>
          <w:rFonts w:hint="eastAsia"/>
        </w:rPr>
        <w:t>以維臺鐵之</w:t>
      </w:r>
      <w:r w:rsidR="00BC154A" w:rsidRPr="00342CD5">
        <w:rPr>
          <w:rFonts w:hint="eastAsia"/>
        </w:rPr>
        <w:t>財務健全</w:t>
      </w:r>
      <w:r w:rsidRPr="00342CD5">
        <w:rPr>
          <w:rFonts w:hint="eastAsia"/>
        </w:rPr>
        <w:t>。</w:t>
      </w:r>
    </w:p>
    <w:bookmarkEnd w:id="2"/>
    <w:bookmarkEnd w:id="3"/>
    <w:bookmarkEnd w:id="4"/>
    <w:bookmarkEnd w:id="5"/>
    <w:bookmarkEnd w:id="6"/>
    <w:bookmarkEnd w:id="7"/>
    <w:bookmarkEnd w:id="8"/>
    <w:bookmarkEnd w:id="0"/>
    <w:bookmarkEnd w:id="9"/>
    <w:bookmarkEnd w:id="10"/>
    <w:bookmarkEnd w:id="11"/>
    <w:bookmarkEnd w:id="12"/>
    <w:sectPr w:rsidR="00473DEA" w:rsidRPr="00342CD5"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59E" w:rsidRDefault="0071059E" w:rsidP="00712B70">
      <w:pPr>
        <w:spacing w:line="240" w:lineRule="auto"/>
        <w:ind w:left="560" w:firstLine="560"/>
      </w:pPr>
      <w:r>
        <w:separator/>
      </w:r>
    </w:p>
  </w:endnote>
  <w:endnote w:type="continuationSeparator" w:id="0">
    <w:p w:rsidR="0071059E" w:rsidRDefault="0071059E"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rsidP="00295DD9">
    <w:pPr>
      <w:pStyle w:val="af1"/>
      <w:ind w:leftChars="0" w:left="566" w:firstLineChars="0" w:firstLine="566"/>
      <w:jc w:val="center"/>
    </w:pPr>
    <w:r>
      <w:fldChar w:fldCharType="begin"/>
    </w:r>
    <w:r>
      <w:instrText>PAGE   \* MERGEFORMAT</w:instrText>
    </w:r>
    <w:r>
      <w:fldChar w:fldCharType="separate"/>
    </w:r>
    <w:r w:rsidR="00DA5651" w:rsidRPr="00DA565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59E" w:rsidRDefault="0071059E" w:rsidP="00E854DA">
      <w:pPr>
        <w:spacing w:line="240" w:lineRule="auto"/>
        <w:ind w:leftChars="210" w:left="588" w:firstLine="560"/>
      </w:pPr>
      <w:r>
        <w:separator/>
      </w:r>
    </w:p>
  </w:footnote>
  <w:footnote w:type="continuationSeparator" w:id="0">
    <w:p w:rsidR="0071059E" w:rsidRDefault="0071059E" w:rsidP="00712B70">
      <w:pPr>
        <w:spacing w:line="240" w:lineRule="auto"/>
        <w:ind w:left="560" w:firstLine="560"/>
      </w:pPr>
      <w:r>
        <w:continuationSeparator/>
      </w:r>
    </w:p>
  </w:footnote>
  <w:footnote w:id="1">
    <w:p w:rsidR="00616EE9" w:rsidRDefault="00616EE9" w:rsidP="00616EE9">
      <w:pPr>
        <w:pStyle w:val="142"/>
        <w:ind w:left="73" w:hangingChars="30" w:hanging="73"/>
        <w:jc w:val="both"/>
        <w:rPr>
          <w:rFonts w:hint="eastAsia"/>
        </w:rPr>
      </w:pPr>
      <w:r>
        <w:rPr>
          <w:rStyle w:val="af6"/>
        </w:rPr>
        <w:footnoteRef/>
      </w:r>
      <w:r w:rsidR="00DE25D9">
        <w:rPr>
          <w:rFonts w:hint="eastAsia"/>
        </w:rPr>
        <w:t>以未取千元前之</w:t>
      </w:r>
      <w:r w:rsidR="00DE25D9" w:rsidRPr="00DE25D9">
        <w:rPr>
          <w:rFonts w:hint="eastAsia"/>
        </w:rPr>
        <w:t>112年度「本期淨損」決算數114億2,982萬</w:t>
      </w:r>
      <w:r w:rsidR="00DE25D9">
        <w:rPr>
          <w:rFonts w:hint="eastAsia"/>
        </w:rPr>
        <w:t>8</w:t>
      </w:r>
      <w:r w:rsidR="00DE25D9">
        <w:t>,737</w:t>
      </w:r>
      <w:r w:rsidR="00DE25D9" w:rsidRPr="00DE25D9">
        <w:rPr>
          <w:rFonts w:hint="eastAsia"/>
        </w:rPr>
        <w:t>元</w:t>
      </w:r>
      <w:r w:rsidR="00DE25D9">
        <w:rPr>
          <w:rFonts w:hint="eastAsia"/>
        </w:rPr>
        <w:t>及</w:t>
      </w:r>
      <w:r w:rsidR="00DE25D9" w:rsidRPr="00DE25D9">
        <w:rPr>
          <w:rFonts w:hint="eastAsia"/>
        </w:rPr>
        <w:t>111年度「本期淨損」決算數111億1,456萬</w:t>
      </w:r>
      <w:r w:rsidR="00DE25D9">
        <w:rPr>
          <w:rFonts w:hint="eastAsia"/>
        </w:rPr>
        <w:t>0</w:t>
      </w:r>
      <w:r w:rsidR="00DE25D9">
        <w:t>,</w:t>
      </w:r>
      <w:r w:rsidR="00DE25D9">
        <w:rPr>
          <w:rFonts w:hint="eastAsia"/>
        </w:rPr>
        <w:t>4</w:t>
      </w:r>
      <w:r w:rsidR="00DE25D9">
        <w:t>38</w:t>
      </w:r>
      <w:r w:rsidR="00DE25D9" w:rsidRPr="00DE25D9">
        <w:rPr>
          <w:rFonts w:hint="eastAsia"/>
        </w:rPr>
        <w:t>元</w:t>
      </w:r>
      <w:r w:rsidR="00DE25D9">
        <w:rPr>
          <w:rFonts w:hint="eastAsia"/>
        </w:rPr>
        <w:t>，計算差額，二者相減差額3億1</w:t>
      </w:r>
      <w:r w:rsidR="00DE25D9">
        <w:t>,526</w:t>
      </w:r>
      <w:r w:rsidR="00DE25D9">
        <w:rPr>
          <w:rFonts w:hint="eastAsia"/>
        </w:rPr>
        <w:t>萬</w:t>
      </w:r>
      <w:r w:rsidR="00DE25D9">
        <w:t>7,935</w:t>
      </w:r>
      <w:r w:rsidR="00DE25D9">
        <w:rPr>
          <w:rFonts w:hint="eastAsia"/>
        </w:rPr>
        <w:t>元。</w:t>
      </w:r>
    </w:p>
  </w:footnote>
  <w:footnote w:id="2">
    <w:p w:rsidR="00DD4A96" w:rsidRPr="008833B7" w:rsidRDefault="00DD4A96" w:rsidP="00F2741F">
      <w:pPr>
        <w:pStyle w:val="142"/>
        <w:ind w:left="73" w:hangingChars="30" w:hanging="73"/>
        <w:jc w:val="both"/>
      </w:pPr>
      <w:r>
        <w:rPr>
          <w:rStyle w:val="af6"/>
        </w:rPr>
        <w:footnoteRef/>
      </w:r>
      <w:r>
        <w:t xml:space="preserve"> </w:t>
      </w:r>
      <w:r>
        <w:rPr>
          <w:rFonts w:hint="eastAsia"/>
        </w:rPr>
        <w:t>例如</w:t>
      </w:r>
      <w:r w:rsidRPr="008833B7">
        <w:rPr>
          <w:rFonts w:hint="eastAsia"/>
        </w:rPr>
        <w:t>高鐵延伸屏東及宜蘭之規劃作業</w:t>
      </w:r>
      <w:r>
        <w:rPr>
          <w:rFonts w:hint="eastAsia"/>
        </w:rPr>
        <w:t>。</w:t>
      </w:r>
    </w:p>
  </w:footnote>
  <w:footnote w:id="3">
    <w:p w:rsidR="00DD4A96" w:rsidRPr="00A55559" w:rsidRDefault="00DD4A96" w:rsidP="00F2741F">
      <w:pPr>
        <w:pStyle w:val="142"/>
        <w:ind w:left="73" w:hangingChars="30" w:hanging="73"/>
        <w:jc w:val="both"/>
      </w:pPr>
      <w:r>
        <w:rPr>
          <w:rStyle w:val="af6"/>
        </w:rPr>
        <w:footnoteRef/>
      </w:r>
      <w:r>
        <w:t xml:space="preserve"> </w:t>
      </w:r>
      <w:r>
        <w:rPr>
          <w:rFonts w:hint="eastAsia"/>
        </w:rPr>
        <w:t>例如臺北都會區大眾捷運系統環狀線北環段及南環段暨周邊土地開發計畫、臺北都會區大眾捷運系統三鶯線建設計畫、桃園都會區大眾捷運系統航空城捷運線暨土地整合發展計畫、臺中捷運藍線建設計畫、高雄都會區大眾捷運系統都會線（黃線）建設及周邊土地開發計畫、</w:t>
      </w:r>
      <w:r w:rsidRPr="00A55559">
        <w:rPr>
          <w:rFonts w:hint="eastAsia"/>
        </w:rPr>
        <w:t>臺南市先進運輸(大眾捷運)系統第1期藍線建設及周邊土地開發計畫</w:t>
      </w:r>
      <w:r>
        <w:rPr>
          <w:rFonts w:hint="eastAsia"/>
        </w:rPr>
        <w:t>、</w:t>
      </w:r>
      <w:r w:rsidRPr="00A55559">
        <w:rPr>
          <w:rFonts w:hint="eastAsia"/>
        </w:rPr>
        <w:t>基隆南港間通勤軌道建設計畫</w:t>
      </w:r>
      <w:r>
        <w:rPr>
          <w:rFonts w:hint="eastAsia"/>
        </w:rPr>
        <w:t>等。</w:t>
      </w:r>
    </w:p>
  </w:footnote>
  <w:footnote w:id="4">
    <w:p w:rsidR="00DD4A96" w:rsidRPr="000C29AE" w:rsidRDefault="00DD4A96" w:rsidP="007F61CA">
      <w:pPr>
        <w:pStyle w:val="142"/>
        <w:ind w:leftChars="-20" w:left="65" w:hangingChars="50" w:hanging="122"/>
        <w:jc w:val="both"/>
      </w:pPr>
      <w:r>
        <w:rPr>
          <w:rStyle w:val="af6"/>
        </w:rPr>
        <w:footnoteRef/>
      </w:r>
      <w:r>
        <w:t xml:space="preserve"> </w:t>
      </w:r>
      <w:r w:rsidRPr="000C29AE">
        <w:rPr>
          <w:rFonts w:hint="eastAsia"/>
        </w:rPr>
        <w:t>112年11月24日「臺鐵局撥入資產及債務管理基金債務承接工作會議」</w:t>
      </w:r>
      <w:r>
        <w:rPr>
          <w:rFonts w:hint="eastAsia"/>
        </w:rPr>
        <w:t>會議紀錄之會議結論第(一</w:t>
      </w:r>
      <w:r>
        <w:t>)</w:t>
      </w:r>
      <w:r>
        <w:rPr>
          <w:rFonts w:hint="eastAsia"/>
        </w:rPr>
        <w:t>、1。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6"/>
  </w:num>
  <w:num w:numId="3">
    <w:abstractNumId w:val="4"/>
  </w:num>
  <w:num w:numId="4">
    <w:abstractNumId w:val="2"/>
  </w:num>
  <w:num w:numId="5">
    <w:abstractNumId w:val="3"/>
  </w:num>
  <w:num w:numId="6">
    <w:abstractNumId w:val="7"/>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2F19"/>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64DA"/>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4536"/>
    <w:rsid w:val="00045462"/>
    <w:rsid w:val="00045A42"/>
    <w:rsid w:val="00045C65"/>
    <w:rsid w:val="00046803"/>
    <w:rsid w:val="00046F54"/>
    <w:rsid w:val="00047284"/>
    <w:rsid w:val="00047DF0"/>
    <w:rsid w:val="00047F3F"/>
    <w:rsid w:val="00050390"/>
    <w:rsid w:val="000506C3"/>
    <w:rsid w:val="00050E0A"/>
    <w:rsid w:val="00052216"/>
    <w:rsid w:val="00052D0C"/>
    <w:rsid w:val="00053FE1"/>
    <w:rsid w:val="00054BC7"/>
    <w:rsid w:val="000551D0"/>
    <w:rsid w:val="000558E9"/>
    <w:rsid w:val="00055CFB"/>
    <w:rsid w:val="000567F4"/>
    <w:rsid w:val="0005708A"/>
    <w:rsid w:val="00060503"/>
    <w:rsid w:val="0006064C"/>
    <w:rsid w:val="00060A19"/>
    <w:rsid w:val="00060A40"/>
    <w:rsid w:val="00061087"/>
    <w:rsid w:val="00061761"/>
    <w:rsid w:val="00061AF5"/>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E1B"/>
    <w:rsid w:val="00091273"/>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1CC7"/>
    <w:rsid w:val="000A202B"/>
    <w:rsid w:val="000A2098"/>
    <w:rsid w:val="000A29AA"/>
    <w:rsid w:val="000A2C05"/>
    <w:rsid w:val="000A2CE5"/>
    <w:rsid w:val="000A3033"/>
    <w:rsid w:val="000A376A"/>
    <w:rsid w:val="000A37DD"/>
    <w:rsid w:val="000A3AD7"/>
    <w:rsid w:val="000A3C0A"/>
    <w:rsid w:val="000A42AD"/>
    <w:rsid w:val="000A4B7E"/>
    <w:rsid w:val="000A5465"/>
    <w:rsid w:val="000A5B8D"/>
    <w:rsid w:val="000A5ED4"/>
    <w:rsid w:val="000A6852"/>
    <w:rsid w:val="000A68A8"/>
    <w:rsid w:val="000A6CD9"/>
    <w:rsid w:val="000A6D13"/>
    <w:rsid w:val="000A7EFF"/>
    <w:rsid w:val="000B04E0"/>
    <w:rsid w:val="000B055E"/>
    <w:rsid w:val="000B1C94"/>
    <w:rsid w:val="000B1F39"/>
    <w:rsid w:val="000B2615"/>
    <w:rsid w:val="000B2905"/>
    <w:rsid w:val="000B2F21"/>
    <w:rsid w:val="000B2F8D"/>
    <w:rsid w:val="000B36B0"/>
    <w:rsid w:val="000B3E2D"/>
    <w:rsid w:val="000B3EC2"/>
    <w:rsid w:val="000B44EB"/>
    <w:rsid w:val="000B467F"/>
    <w:rsid w:val="000B4AE6"/>
    <w:rsid w:val="000B4D9D"/>
    <w:rsid w:val="000B4EDC"/>
    <w:rsid w:val="000B5857"/>
    <w:rsid w:val="000B5A6E"/>
    <w:rsid w:val="000B5BA2"/>
    <w:rsid w:val="000B60B9"/>
    <w:rsid w:val="000B6238"/>
    <w:rsid w:val="000B650D"/>
    <w:rsid w:val="000B6875"/>
    <w:rsid w:val="000B6CE5"/>
    <w:rsid w:val="000B7EF4"/>
    <w:rsid w:val="000C0878"/>
    <w:rsid w:val="000C19B3"/>
    <w:rsid w:val="000C1FD5"/>
    <w:rsid w:val="000C2161"/>
    <w:rsid w:val="000C3961"/>
    <w:rsid w:val="000C3BB5"/>
    <w:rsid w:val="000C3DD5"/>
    <w:rsid w:val="000C516F"/>
    <w:rsid w:val="000C5BD5"/>
    <w:rsid w:val="000C5C01"/>
    <w:rsid w:val="000C6BCF"/>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C12"/>
    <w:rsid w:val="000E4FDD"/>
    <w:rsid w:val="000E57EE"/>
    <w:rsid w:val="000E5B5A"/>
    <w:rsid w:val="000E5E02"/>
    <w:rsid w:val="000E5FC2"/>
    <w:rsid w:val="000E62DD"/>
    <w:rsid w:val="000E6C01"/>
    <w:rsid w:val="000E732E"/>
    <w:rsid w:val="000E755B"/>
    <w:rsid w:val="000E77BD"/>
    <w:rsid w:val="000E7917"/>
    <w:rsid w:val="000E7BB7"/>
    <w:rsid w:val="000F04AB"/>
    <w:rsid w:val="000F088C"/>
    <w:rsid w:val="000F0D78"/>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33E0"/>
    <w:rsid w:val="00133E2C"/>
    <w:rsid w:val="00135792"/>
    <w:rsid w:val="0013587B"/>
    <w:rsid w:val="00135B62"/>
    <w:rsid w:val="00136575"/>
    <w:rsid w:val="00136A8C"/>
    <w:rsid w:val="001372F7"/>
    <w:rsid w:val="00137737"/>
    <w:rsid w:val="0014053F"/>
    <w:rsid w:val="0014058D"/>
    <w:rsid w:val="00141073"/>
    <w:rsid w:val="0014174E"/>
    <w:rsid w:val="00141FCE"/>
    <w:rsid w:val="00142CBA"/>
    <w:rsid w:val="00143347"/>
    <w:rsid w:val="001441FE"/>
    <w:rsid w:val="001461EA"/>
    <w:rsid w:val="0014686E"/>
    <w:rsid w:val="0014689D"/>
    <w:rsid w:val="00147347"/>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0BFC"/>
    <w:rsid w:val="001613E3"/>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739"/>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3435"/>
    <w:rsid w:val="0018367D"/>
    <w:rsid w:val="001838FD"/>
    <w:rsid w:val="001848FC"/>
    <w:rsid w:val="0018587F"/>
    <w:rsid w:val="00185BDA"/>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CC"/>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5140"/>
    <w:rsid w:val="001B5AC2"/>
    <w:rsid w:val="001B618E"/>
    <w:rsid w:val="001B664B"/>
    <w:rsid w:val="001B6D3A"/>
    <w:rsid w:val="001B6F9C"/>
    <w:rsid w:val="001B7010"/>
    <w:rsid w:val="001B75FE"/>
    <w:rsid w:val="001C1AF2"/>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13AC"/>
    <w:rsid w:val="001D1771"/>
    <w:rsid w:val="001D1D62"/>
    <w:rsid w:val="001D215D"/>
    <w:rsid w:val="001D2162"/>
    <w:rsid w:val="001D2F79"/>
    <w:rsid w:val="001D38C1"/>
    <w:rsid w:val="001D3B19"/>
    <w:rsid w:val="001D3C83"/>
    <w:rsid w:val="001D43C9"/>
    <w:rsid w:val="001D45F3"/>
    <w:rsid w:val="001D48B2"/>
    <w:rsid w:val="001D4F75"/>
    <w:rsid w:val="001D5360"/>
    <w:rsid w:val="001D558E"/>
    <w:rsid w:val="001D5AB0"/>
    <w:rsid w:val="001D5DC1"/>
    <w:rsid w:val="001D6565"/>
    <w:rsid w:val="001D6732"/>
    <w:rsid w:val="001D6C11"/>
    <w:rsid w:val="001D723E"/>
    <w:rsid w:val="001D7E78"/>
    <w:rsid w:val="001E0784"/>
    <w:rsid w:val="001E0AF8"/>
    <w:rsid w:val="001E1EAB"/>
    <w:rsid w:val="001E25E1"/>
    <w:rsid w:val="001E2769"/>
    <w:rsid w:val="001E3E03"/>
    <w:rsid w:val="001E4BDB"/>
    <w:rsid w:val="001E4D42"/>
    <w:rsid w:val="001E4F9E"/>
    <w:rsid w:val="001E5107"/>
    <w:rsid w:val="001E5533"/>
    <w:rsid w:val="001E58FF"/>
    <w:rsid w:val="001E59E9"/>
    <w:rsid w:val="001E5BBC"/>
    <w:rsid w:val="001E5CC1"/>
    <w:rsid w:val="001E6D91"/>
    <w:rsid w:val="001E7313"/>
    <w:rsid w:val="001E75E7"/>
    <w:rsid w:val="001E7CAF"/>
    <w:rsid w:val="001E7F0F"/>
    <w:rsid w:val="001E7FD0"/>
    <w:rsid w:val="001F03EC"/>
    <w:rsid w:val="001F0BF8"/>
    <w:rsid w:val="001F1363"/>
    <w:rsid w:val="001F139A"/>
    <w:rsid w:val="001F1F48"/>
    <w:rsid w:val="001F2B5E"/>
    <w:rsid w:val="001F2FE7"/>
    <w:rsid w:val="001F3373"/>
    <w:rsid w:val="001F33F1"/>
    <w:rsid w:val="001F38D0"/>
    <w:rsid w:val="001F3E8F"/>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873"/>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ACC"/>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9C4"/>
    <w:rsid w:val="00264D77"/>
    <w:rsid w:val="002654C9"/>
    <w:rsid w:val="00265C35"/>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4BCC"/>
    <w:rsid w:val="002750F3"/>
    <w:rsid w:val="00275493"/>
    <w:rsid w:val="00275846"/>
    <w:rsid w:val="00275FB4"/>
    <w:rsid w:val="002763B3"/>
    <w:rsid w:val="00277219"/>
    <w:rsid w:val="002777EC"/>
    <w:rsid w:val="002778E1"/>
    <w:rsid w:val="0027792C"/>
    <w:rsid w:val="002779C8"/>
    <w:rsid w:val="00281260"/>
    <w:rsid w:val="00281668"/>
    <w:rsid w:val="00281B1D"/>
    <w:rsid w:val="00281D5E"/>
    <w:rsid w:val="00282C5A"/>
    <w:rsid w:val="00283445"/>
    <w:rsid w:val="00283641"/>
    <w:rsid w:val="0028494D"/>
    <w:rsid w:val="002850D8"/>
    <w:rsid w:val="002859A7"/>
    <w:rsid w:val="00285DC6"/>
    <w:rsid w:val="00286A67"/>
    <w:rsid w:val="00286A7E"/>
    <w:rsid w:val="00286B87"/>
    <w:rsid w:val="00286D24"/>
    <w:rsid w:val="00286F31"/>
    <w:rsid w:val="0029104F"/>
    <w:rsid w:val="002915F2"/>
    <w:rsid w:val="00291F70"/>
    <w:rsid w:val="0029286B"/>
    <w:rsid w:val="00292ED7"/>
    <w:rsid w:val="002939DB"/>
    <w:rsid w:val="00293BDB"/>
    <w:rsid w:val="00293F29"/>
    <w:rsid w:val="00294304"/>
    <w:rsid w:val="00294F1C"/>
    <w:rsid w:val="0029522B"/>
    <w:rsid w:val="00295DD9"/>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393"/>
    <w:rsid w:val="002B282C"/>
    <w:rsid w:val="002B2901"/>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17A6"/>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6C"/>
    <w:rsid w:val="002F7A05"/>
    <w:rsid w:val="003000AB"/>
    <w:rsid w:val="003000EC"/>
    <w:rsid w:val="00300B5E"/>
    <w:rsid w:val="003014D2"/>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049"/>
    <w:rsid w:val="0031723A"/>
    <w:rsid w:val="00317285"/>
    <w:rsid w:val="00317292"/>
    <w:rsid w:val="00317FBF"/>
    <w:rsid w:val="0032006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7D1"/>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448"/>
    <w:rsid w:val="0033263D"/>
    <w:rsid w:val="003328A3"/>
    <w:rsid w:val="003329FF"/>
    <w:rsid w:val="003332EB"/>
    <w:rsid w:val="00333347"/>
    <w:rsid w:val="0033364C"/>
    <w:rsid w:val="003338C7"/>
    <w:rsid w:val="0033439A"/>
    <w:rsid w:val="00334485"/>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CD5"/>
    <w:rsid w:val="003438A7"/>
    <w:rsid w:val="003438CF"/>
    <w:rsid w:val="00343C25"/>
    <w:rsid w:val="00345860"/>
    <w:rsid w:val="00345DEE"/>
    <w:rsid w:val="00345F6E"/>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00D1"/>
    <w:rsid w:val="00360363"/>
    <w:rsid w:val="00361723"/>
    <w:rsid w:val="00361B3E"/>
    <w:rsid w:val="00361B5E"/>
    <w:rsid w:val="003637F8"/>
    <w:rsid w:val="00364048"/>
    <w:rsid w:val="003647FD"/>
    <w:rsid w:val="00364B36"/>
    <w:rsid w:val="00364CE4"/>
    <w:rsid w:val="00364DFE"/>
    <w:rsid w:val="0036656D"/>
    <w:rsid w:val="00366694"/>
    <w:rsid w:val="00367311"/>
    <w:rsid w:val="003673CC"/>
    <w:rsid w:val="003706F3"/>
    <w:rsid w:val="00370B18"/>
    <w:rsid w:val="00370C43"/>
    <w:rsid w:val="003718D4"/>
    <w:rsid w:val="0037214A"/>
    <w:rsid w:val="00372BA0"/>
    <w:rsid w:val="00373FDE"/>
    <w:rsid w:val="00374A53"/>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76F"/>
    <w:rsid w:val="00394EAF"/>
    <w:rsid w:val="00396361"/>
    <w:rsid w:val="00396E88"/>
    <w:rsid w:val="00396EFB"/>
    <w:rsid w:val="003973F4"/>
    <w:rsid w:val="00397AEA"/>
    <w:rsid w:val="00397B51"/>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6BCC"/>
    <w:rsid w:val="003B7FB3"/>
    <w:rsid w:val="003C02B0"/>
    <w:rsid w:val="003C0BFC"/>
    <w:rsid w:val="003C10F2"/>
    <w:rsid w:val="003C310C"/>
    <w:rsid w:val="003C3369"/>
    <w:rsid w:val="003C36BB"/>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1EC5"/>
    <w:rsid w:val="003E2566"/>
    <w:rsid w:val="003E258A"/>
    <w:rsid w:val="003E262C"/>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1DBB"/>
    <w:rsid w:val="003F213C"/>
    <w:rsid w:val="003F22A4"/>
    <w:rsid w:val="003F24A4"/>
    <w:rsid w:val="003F30FA"/>
    <w:rsid w:val="003F39C5"/>
    <w:rsid w:val="003F4002"/>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3CC"/>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3D19"/>
    <w:rsid w:val="00424297"/>
    <w:rsid w:val="00424434"/>
    <w:rsid w:val="004248FC"/>
    <w:rsid w:val="00424D49"/>
    <w:rsid w:val="004250E1"/>
    <w:rsid w:val="00425766"/>
    <w:rsid w:val="0042578D"/>
    <w:rsid w:val="00426A53"/>
    <w:rsid w:val="00430221"/>
    <w:rsid w:val="00430296"/>
    <w:rsid w:val="00430CFB"/>
    <w:rsid w:val="00432CBB"/>
    <w:rsid w:val="00432CE7"/>
    <w:rsid w:val="0043480E"/>
    <w:rsid w:val="00434E0F"/>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4B58"/>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DA"/>
    <w:rsid w:val="004657B6"/>
    <w:rsid w:val="00465924"/>
    <w:rsid w:val="00465F82"/>
    <w:rsid w:val="0046680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3DE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CC4"/>
    <w:rsid w:val="004D3F1B"/>
    <w:rsid w:val="004D47C5"/>
    <w:rsid w:val="004D4A63"/>
    <w:rsid w:val="004D4F64"/>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463"/>
    <w:rsid w:val="004F5BED"/>
    <w:rsid w:val="004F5C5C"/>
    <w:rsid w:val="004F6359"/>
    <w:rsid w:val="004F688A"/>
    <w:rsid w:val="004F6A01"/>
    <w:rsid w:val="004F70D8"/>
    <w:rsid w:val="004F7323"/>
    <w:rsid w:val="004F7482"/>
    <w:rsid w:val="004F7B7F"/>
    <w:rsid w:val="00500B4D"/>
    <w:rsid w:val="0050125F"/>
    <w:rsid w:val="0050137F"/>
    <w:rsid w:val="00501AB6"/>
    <w:rsid w:val="00501DF3"/>
    <w:rsid w:val="00502382"/>
    <w:rsid w:val="00502703"/>
    <w:rsid w:val="00502C95"/>
    <w:rsid w:val="00503B98"/>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1973"/>
    <w:rsid w:val="00541DC1"/>
    <w:rsid w:val="00542FFE"/>
    <w:rsid w:val="005435EA"/>
    <w:rsid w:val="00543A9C"/>
    <w:rsid w:val="00543FBA"/>
    <w:rsid w:val="00544029"/>
    <w:rsid w:val="00544286"/>
    <w:rsid w:val="00544AF0"/>
    <w:rsid w:val="00545186"/>
    <w:rsid w:val="005454B2"/>
    <w:rsid w:val="0054614A"/>
    <w:rsid w:val="00546977"/>
    <w:rsid w:val="00550274"/>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77FA9"/>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C4F"/>
    <w:rsid w:val="00591E5A"/>
    <w:rsid w:val="00592717"/>
    <w:rsid w:val="00592899"/>
    <w:rsid w:val="00592A58"/>
    <w:rsid w:val="005931BD"/>
    <w:rsid w:val="0059346F"/>
    <w:rsid w:val="00593499"/>
    <w:rsid w:val="00593D5B"/>
    <w:rsid w:val="00594D44"/>
    <w:rsid w:val="00594DCD"/>
    <w:rsid w:val="0059564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50F"/>
    <w:rsid w:val="005A1926"/>
    <w:rsid w:val="005A287D"/>
    <w:rsid w:val="005A2B65"/>
    <w:rsid w:val="005A2C4A"/>
    <w:rsid w:val="005A2DBF"/>
    <w:rsid w:val="005A2F7D"/>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41D1"/>
    <w:rsid w:val="005C438C"/>
    <w:rsid w:val="005C44B7"/>
    <w:rsid w:val="005C4B94"/>
    <w:rsid w:val="005C4CBB"/>
    <w:rsid w:val="005C5797"/>
    <w:rsid w:val="005C5E03"/>
    <w:rsid w:val="005C72F1"/>
    <w:rsid w:val="005D05A7"/>
    <w:rsid w:val="005D133F"/>
    <w:rsid w:val="005D1745"/>
    <w:rsid w:val="005D1965"/>
    <w:rsid w:val="005D1A6A"/>
    <w:rsid w:val="005D1C56"/>
    <w:rsid w:val="005D1CE4"/>
    <w:rsid w:val="005D28F3"/>
    <w:rsid w:val="005D42AA"/>
    <w:rsid w:val="005D4632"/>
    <w:rsid w:val="005D4D81"/>
    <w:rsid w:val="005D5863"/>
    <w:rsid w:val="005D5C90"/>
    <w:rsid w:val="005D6A60"/>
    <w:rsid w:val="005D709B"/>
    <w:rsid w:val="005D7F3A"/>
    <w:rsid w:val="005E037F"/>
    <w:rsid w:val="005E0AD4"/>
    <w:rsid w:val="005E0CE2"/>
    <w:rsid w:val="005E10ED"/>
    <w:rsid w:val="005E11A9"/>
    <w:rsid w:val="005E2231"/>
    <w:rsid w:val="005E258A"/>
    <w:rsid w:val="005E25F0"/>
    <w:rsid w:val="005E28AF"/>
    <w:rsid w:val="005E2DEC"/>
    <w:rsid w:val="005E3270"/>
    <w:rsid w:val="005E47A8"/>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17A9"/>
    <w:rsid w:val="00601D81"/>
    <w:rsid w:val="006029A8"/>
    <w:rsid w:val="0060307B"/>
    <w:rsid w:val="0060310A"/>
    <w:rsid w:val="00603B52"/>
    <w:rsid w:val="00604383"/>
    <w:rsid w:val="006045A4"/>
    <w:rsid w:val="006052EB"/>
    <w:rsid w:val="00605834"/>
    <w:rsid w:val="00605BA2"/>
    <w:rsid w:val="00605C8B"/>
    <w:rsid w:val="00605CB2"/>
    <w:rsid w:val="00606041"/>
    <w:rsid w:val="00606167"/>
    <w:rsid w:val="006067E0"/>
    <w:rsid w:val="006074E0"/>
    <w:rsid w:val="0060760A"/>
    <w:rsid w:val="0061035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EE9"/>
    <w:rsid w:val="00616FFB"/>
    <w:rsid w:val="0061755D"/>
    <w:rsid w:val="00617E13"/>
    <w:rsid w:val="00620134"/>
    <w:rsid w:val="00620E5E"/>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F8B"/>
    <w:rsid w:val="006320BB"/>
    <w:rsid w:val="006321F1"/>
    <w:rsid w:val="00632B30"/>
    <w:rsid w:val="00632E8C"/>
    <w:rsid w:val="006336E6"/>
    <w:rsid w:val="0063374C"/>
    <w:rsid w:val="00633B98"/>
    <w:rsid w:val="00633F86"/>
    <w:rsid w:val="0063513C"/>
    <w:rsid w:val="006352DF"/>
    <w:rsid w:val="006360D4"/>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699E"/>
    <w:rsid w:val="006670A2"/>
    <w:rsid w:val="00667172"/>
    <w:rsid w:val="00667512"/>
    <w:rsid w:val="00667734"/>
    <w:rsid w:val="00667CC0"/>
    <w:rsid w:val="00670DEF"/>
    <w:rsid w:val="00670ECB"/>
    <w:rsid w:val="00670F8B"/>
    <w:rsid w:val="00672375"/>
    <w:rsid w:val="0067252B"/>
    <w:rsid w:val="00672CAE"/>
    <w:rsid w:val="0067302B"/>
    <w:rsid w:val="006732D2"/>
    <w:rsid w:val="00673750"/>
    <w:rsid w:val="00673A0C"/>
    <w:rsid w:val="0067431C"/>
    <w:rsid w:val="006746E8"/>
    <w:rsid w:val="0067537B"/>
    <w:rsid w:val="00675C25"/>
    <w:rsid w:val="00676372"/>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F64"/>
    <w:rsid w:val="0069466F"/>
    <w:rsid w:val="00694679"/>
    <w:rsid w:val="00694EAD"/>
    <w:rsid w:val="006953EE"/>
    <w:rsid w:val="0069546E"/>
    <w:rsid w:val="00695B76"/>
    <w:rsid w:val="00695FF6"/>
    <w:rsid w:val="006960C9"/>
    <w:rsid w:val="00696A5E"/>
    <w:rsid w:val="00696AAC"/>
    <w:rsid w:val="00696B01"/>
    <w:rsid w:val="00696FE1"/>
    <w:rsid w:val="006977A9"/>
    <w:rsid w:val="00697B22"/>
    <w:rsid w:val="00697D25"/>
    <w:rsid w:val="006A0BBB"/>
    <w:rsid w:val="006A24EB"/>
    <w:rsid w:val="006A2A2E"/>
    <w:rsid w:val="006A2DD7"/>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44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2EA7"/>
    <w:rsid w:val="006C30FB"/>
    <w:rsid w:val="006C32B8"/>
    <w:rsid w:val="006C33BD"/>
    <w:rsid w:val="006C4B4E"/>
    <w:rsid w:val="006C4C35"/>
    <w:rsid w:val="006C5110"/>
    <w:rsid w:val="006C52B6"/>
    <w:rsid w:val="006C5717"/>
    <w:rsid w:val="006C57B5"/>
    <w:rsid w:val="006C5B55"/>
    <w:rsid w:val="006C5BEC"/>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103CE"/>
    <w:rsid w:val="0071059E"/>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A71"/>
    <w:rsid w:val="00720DEB"/>
    <w:rsid w:val="00721B07"/>
    <w:rsid w:val="00721B69"/>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1EF2"/>
    <w:rsid w:val="00732629"/>
    <w:rsid w:val="00732926"/>
    <w:rsid w:val="00733694"/>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C75"/>
    <w:rsid w:val="007464AE"/>
    <w:rsid w:val="007468C1"/>
    <w:rsid w:val="00746E01"/>
    <w:rsid w:val="00746F35"/>
    <w:rsid w:val="007471AA"/>
    <w:rsid w:val="00747268"/>
    <w:rsid w:val="007477FA"/>
    <w:rsid w:val="00747D69"/>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67E7F"/>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C68"/>
    <w:rsid w:val="00780F3E"/>
    <w:rsid w:val="00780F9E"/>
    <w:rsid w:val="00781822"/>
    <w:rsid w:val="007820BE"/>
    <w:rsid w:val="00782139"/>
    <w:rsid w:val="007823AC"/>
    <w:rsid w:val="0078282B"/>
    <w:rsid w:val="00782A9A"/>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905"/>
    <w:rsid w:val="007B498C"/>
    <w:rsid w:val="007B514D"/>
    <w:rsid w:val="007B52F1"/>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11BB"/>
    <w:rsid w:val="007D1346"/>
    <w:rsid w:val="007D1393"/>
    <w:rsid w:val="007D206F"/>
    <w:rsid w:val="007D22F7"/>
    <w:rsid w:val="007D35B0"/>
    <w:rsid w:val="007D4E6C"/>
    <w:rsid w:val="007D52CF"/>
    <w:rsid w:val="007D537B"/>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571F"/>
    <w:rsid w:val="007F61CA"/>
    <w:rsid w:val="007F6353"/>
    <w:rsid w:val="007F6485"/>
    <w:rsid w:val="007F6EAE"/>
    <w:rsid w:val="007F750E"/>
    <w:rsid w:val="007F78C7"/>
    <w:rsid w:val="008018A8"/>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297"/>
    <w:rsid w:val="0081460E"/>
    <w:rsid w:val="008148C3"/>
    <w:rsid w:val="00814DAF"/>
    <w:rsid w:val="00815959"/>
    <w:rsid w:val="00815C8B"/>
    <w:rsid w:val="00815F8E"/>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720F"/>
    <w:rsid w:val="00827452"/>
    <w:rsid w:val="0082789D"/>
    <w:rsid w:val="00827975"/>
    <w:rsid w:val="008301BF"/>
    <w:rsid w:val="008304BF"/>
    <w:rsid w:val="00830D40"/>
    <w:rsid w:val="00830EF4"/>
    <w:rsid w:val="008313DB"/>
    <w:rsid w:val="0083278E"/>
    <w:rsid w:val="0083364D"/>
    <w:rsid w:val="00833E31"/>
    <w:rsid w:val="00834BC8"/>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921"/>
    <w:rsid w:val="00853A53"/>
    <w:rsid w:val="00855C2F"/>
    <w:rsid w:val="00855EE3"/>
    <w:rsid w:val="00856029"/>
    <w:rsid w:val="008560A8"/>
    <w:rsid w:val="00856119"/>
    <w:rsid w:val="00860FB9"/>
    <w:rsid w:val="0086103A"/>
    <w:rsid w:val="008617B3"/>
    <w:rsid w:val="0086225D"/>
    <w:rsid w:val="008628EE"/>
    <w:rsid w:val="00862D22"/>
    <w:rsid w:val="00862DF3"/>
    <w:rsid w:val="00862F28"/>
    <w:rsid w:val="00864F82"/>
    <w:rsid w:val="00865388"/>
    <w:rsid w:val="00865541"/>
    <w:rsid w:val="008655E1"/>
    <w:rsid w:val="00865D04"/>
    <w:rsid w:val="008673D3"/>
    <w:rsid w:val="0086792D"/>
    <w:rsid w:val="008700EA"/>
    <w:rsid w:val="0087124E"/>
    <w:rsid w:val="008717D9"/>
    <w:rsid w:val="00871D1B"/>
    <w:rsid w:val="008721B4"/>
    <w:rsid w:val="00872431"/>
    <w:rsid w:val="008725A9"/>
    <w:rsid w:val="00873244"/>
    <w:rsid w:val="00873A38"/>
    <w:rsid w:val="008740FC"/>
    <w:rsid w:val="00874612"/>
    <w:rsid w:val="008748D6"/>
    <w:rsid w:val="00875CA9"/>
    <w:rsid w:val="0087601A"/>
    <w:rsid w:val="008762C0"/>
    <w:rsid w:val="00876385"/>
    <w:rsid w:val="00876AA0"/>
    <w:rsid w:val="00876B68"/>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23D7"/>
    <w:rsid w:val="0089293B"/>
    <w:rsid w:val="00893C52"/>
    <w:rsid w:val="00894C83"/>
    <w:rsid w:val="00894D03"/>
    <w:rsid w:val="0089515C"/>
    <w:rsid w:val="008957E6"/>
    <w:rsid w:val="008961E8"/>
    <w:rsid w:val="00896816"/>
    <w:rsid w:val="008972FB"/>
    <w:rsid w:val="00897E32"/>
    <w:rsid w:val="008A037B"/>
    <w:rsid w:val="008A09BF"/>
    <w:rsid w:val="008A114D"/>
    <w:rsid w:val="008A16C4"/>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1493"/>
    <w:rsid w:val="008C1496"/>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C79E0"/>
    <w:rsid w:val="008D07A4"/>
    <w:rsid w:val="008D0B11"/>
    <w:rsid w:val="008D120D"/>
    <w:rsid w:val="008D1744"/>
    <w:rsid w:val="008D22B7"/>
    <w:rsid w:val="008D2AB5"/>
    <w:rsid w:val="008D4EAB"/>
    <w:rsid w:val="008D4EFD"/>
    <w:rsid w:val="008D52CD"/>
    <w:rsid w:val="008D6E39"/>
    <w:rsid w:val="008D71A3"/>
    <w:rsid w:val="008D7EE4"/>
    <w:rsid w:val="008E050E"/>
    <w:rsid w:val="008E07C1"/>
    <w:rsid w:val="008E09BD"/>
    <w:rsid w:val="008E0C4B"/>
    <w:rsid w:val="008E150C"/>
    <w:rsid w:val="008E349A"/>
    <w:rsid w:val="008E372A"/>
    <w:rsid w:val="008E39C1"/>
    <w:rsid w:val="008E4C0F"/>
    <w:rsid w:val="008E5562"/>
    <w:rsid w:val="008E5BEE"/>
    <w:rsid w:val="008E5DDE"/>
    <w:rsid w:val="008E60CF"/>
    <w:rsid w:val="008E770E"/>
    <w:rsid w:val="008E788D"/>
    <w:rsid w:val="008E796D"/>
    <w:rsid w:val="008E7A43"/>
    <w:rsid w:val="008F04B5"/>
    <w:rsid w:val="008F0CDE"/>
    <w:rsid w:val="008F13FC"/>
    <w:rsid w:val="008F1662"/>
    <w:rsid w:val="008F21ED"/>
    <w:rsid w:val="008F2B21"/>
    <w:rsid w:val="008F3518"/>
    <w:rsid w:val="008F35E0"/>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854"/>
    <w:rsid w:val="00903B51"/>
    <w:rsid w:val="00903DF4"/>
    <w:rsid w:val="0090429F"/>
    <w:rsid w:val="0090447C"/>
    <w:rsid w:val="0090469C"/>
    <w:rsid w:val="009046E3"/>
    <w:rsid w:val="009047BE"/>
    <w:rsid w:val="00904D11"/>
    <w:rsid w:val="00904FE7"/>
    <w:rsid w:val="00905C17"/>
    <w:rsid w:val="00906A27"/>
    <w:rsid w:val="00906A38"/>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18DE"/>
    <w:rsid w:val="00921A6C"/>
    <w:rsid w:val="00922836"/>
    <w:rsid w:val="009229FA"/>
    <w:rsid w:val="00923573"/>
    <w:rsid w:val="009238CB"/>
    <w:rsid w:val="00924059"/>
    <w:rsid w:val="00924604"/>
    <w:rsid w:val="0092520D"/>
    <w:rsid w:val="009257B4"/>
    <w:rsid w:val="00925D59"/>
    <w:rsid w:val="00926A31"/>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61DF"/>
    <w:rsid w:val="009374BD"/>
    <w:rsid w:val="00940398"/>
    <w:rsid w:val="00940635"/>
    <w:rsid w:val="00941676"/>
    <w:rsid w:val="00942069"/>
    <w:rsid w:val="009426B9"/>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3935"/>
    <w:rsid w:val="009641D6"/>
    <w:rsid w:val="00964476"/>
    <w:rsid w:val="0096465B"/>
    <w:rsid w:val="00964C6C"/>
    <w:rsid w:val="0096550E"/>
    <w:rsid w:val="00965513"/>
    <w:rsid w:val="00965724"/>
    <w:rsid w:val="00965799"/>
    <w:rsid w:val="009664DF"/>
    <w:rsid w:val="00966CA1"/>
    <w:rsid w:val="00966F2A"/>
    <w:rsid w:val="009674BA"/>
    <w:rsid w:val="009678B7"/>
    <w:rsid w:val="009678DD"/>
    <w:rsid w:val="00970171"/>
    <w:rsid w:val="009702FB"/>
    <w:rsid w:val="009708C7"/>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83"/>
    <w:rsid w:val="00984109"/>
    <w:rsid w:val="00984214"/>
    <w:rsid w:val="00984514"/>
    <w:rsid w:val="00984BEC"/>
    <w:rsid w:val="0098597A"/>
    <w:rsid w:val="009859EF"/>
    <w:rsid w:val="0098672B"/>
    <w:rsid w:val="00986AFC"/>
    <w:rsid w:val="00986E1B"/>
    <w:rsid w:val="00987056"/>
    <w:rsid w:val="009874FF"/>
    <w:rsid w:val="00987545"/>
    <w:rsid w:val="00990071"/>
    <w:rsid w:val="00990647"/>
    <w:rsid w:val="009919D4"/>
    <w:rsid w:val="00991F2F"/>
    <w:rsid w:val="00991FCD"/>
    <w:rsid w:val="0099248A"/>
    <w:rsid w:val="009925AF"/>
    <w:rsid w:val="00993A5B"/>
    <w:rsid w:val="00993EE5"/>
    <w:rsid w:val="009946A4"/>
    <w:rsid w:val="00994F11"/>
    <w:rsid w:val="00994F53"/>
    <w:rsid w:val="00995468"/>
    <w:rsid w:val="0099558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59F5"/>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324"/>
    <w:rsid w:val="009D5457"/>
    <w:rsid w:val="009D550A"/>
    <w:rsid w:val="009D6007"/>
    <w:rsid w:val="009D62E4"/>
    <w:rsid w:val="009D6B6A"/>
    <w:rsid w:val="009D73A0"/>
    <w:rsid w:val="009D74AD"/>
    <w:rsid w:val="009D79D5"/>
    <w:rsid w:val="009D7C65"/>
    <w:rsid w:val="009D7C82"/>
    <w:rsid w:val="009E0128"/>
    <w:rsid w:val="009E15D1"/>
    <w:rsid w:val="009E16B0"/>
    <w:rsid w:val="009E17EC"/>
    <w:rsid w:val="009E1EDD"/>
    <w:rsid w:val="009E2A67"/>
    <w:rsid w:val="009E2AE5"/>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1936"/>
    <w:rsid w:val="00A2293F"/>
    <w:rsid w:val="00A22DC6"/>
    <w:rsid w:val="00A230DA"/>
    <w:rsid w:val="00A23152"/>
    <w:rsid w:val="00A23376"/>
    <w:rsid w:val="00A2337B"/>
    <w:rsid w:val="00A23458"/>
    <w:rsid w:val="00A23B5A"/>
    <w:rsid w:val="00A23E3F"/>
    <w:rsid w:val="00A23EE6"/>
    <w:rsid w:val="00A25671"/>
    <w:rsid w:val="00A257E5"/>
    <w:rsid w:val="00A263D6"/>
    <w:rsid w:val="00A26B73"/>
    <w:rsid w:val="00A27237"/>
    <w:rsid w:val="00A2725E"/>
    <w:rsid w:val="00A276CB"/>
    <w:rsid w:val="00A27FCC"/>
    <w:rsid w:val="00A307E8"/>
    <w:rsid w:val="00A30B1A"/>
    <w:rsid w:val="00A30F34"/>
    <w:rsid w:val="00A313E1"/>
    <w:rsid w:val="00A318E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2F31"/>
    <w:rsid w:val="00A531FE"/>
    <w:rsid w:val="00A53A69"/>
    <w:rsid w:val="00A53C9D"/>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141"/>
    <w:rsid w:val="00A63FD5"/>
    <w:rsid w:val="00A645D1"/>
    <w:rsid w:val="00A64AE6"/>
    <w:rsid w:val="00A64B0A"/>
    <w:rsid w:val="00A66A30"/>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642F"/>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BF8"/>
    <w:rsid w:val="00AB4DD3"/>
    <w:rsid w:val="00AB51B6"/>
    <w:rsid w:val="00AB597C"/>
    <w:rsid w:val="00AB5E40"/>
    <w:rsid w:val="00AB60B1"/>
    <w:rsid w:val="00AB614B"/>
    <w:rsid w:val="00AB6C5B"/>
    <w:rsid w:val="00AB6D67"/>
    <w:rsid w:val="00AB6DC2"/>
    <w:rsid w:val="00AB7C17"/>
    <w:rsid w:val="00AB7E27"/>
    <w:rsid w:val="00AC0798"/>
    <w:rsid w:val="00AC1163"/>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153E"/>
    <w:rsid w:val="00AD184C"/>
    <w:rsid w:val="00AD214A"/>
    <w:rsid w:val="00AD2CBB"/>
    <w:rsid w:val="00AD2E21"/>
    <w:rsid w:val="00AD4470"/>
    <w:rsid w:val="00AD448B"/>
    <w:rsid w:val="00AD489C"/>
    <w:rsid w:val="00AD4DB2"/>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5DD"/>
    <w:rsid w:val="00B00CDA"/>
    <w:rsid w:val="00B00F7C"/>
    <w:rsid w:val="00B012E2"/>
    <w:rsid w:val="00B01F4A"/>
    <w:rsid w:val="00B0209F"/>
    <w:rsid w:val="00B02402"/>
    <w:rsid w:val="00B0246C"/>
    <w:rsid w:val="00B024FE"/>
    <w:rsid w:val="00B02C27"/>
    <w:rsid w:val="00B03011"/>
    <w:rsid w:val="00B03748"/>
    <w:rsid w:val="00B041DF"/>
    <w:rsid w:val="00B04200"/>
    <w:rsid w:val="00B044F7"/>
    <w:rsid w:val="00B046A6"/>
    <w:rsid w:val="00B0518B"/>
    <w:rsid w:val="00B05579"/>
    <w:rsid w:val="00B05C84"/>
    <w:rsid w:val="00B05D85"/>
    <w:rsid w:val="00B0667A"/>
    <w:rsid w:val="00B06D3A"/>
    <w:rsid w:val="00B06EF9"/>
    <w:rsid w:val="00B076D2"/>
    <w:rsid w:val="00B07A73"/>
    <w:rsid w:val="00B104A4"/>
    <w:rsid w:val="00B1100D"/>
    <w:rsid w:val="00B1157B"/>
    <w:rsid w:val="00B116B8"/>
    <w:rsid w:val="00B11921"/>
    <w:rsid w:val="00B11C44"/>
    <w:rsid w:val="00B11CE2"/>
    <w:rsid w:val="00B12282"/>
    <w:rsid w:val="00B12779"/>
    <w:rsid w:val="00B1281E"/>
    <w:rsid w:val="00B141B1"/>
    <w:rsid w:val="00B14D25"/>
    <w:rsid w:val="00B150D6"/>
    <w:rsid w:val="00B15A66"/>
    <w:rsid w:val="00B160F5"/>
    <w:rsid w:val="00B1630D"/>
    <w:rsid w:val="00B165F0"/>
    <w:rsid w:val="00B1691C"/>
    <w:rsid w:val="00B16F35"/>
    <w:rsid w:val="00B17DF5"/>
    <w:rsid w:val="00B17F14"/>
    <w:rsid w:val="00B20059"/>
    <w:rsid w:val="00B204B4"/>
    <w:rsid w:val="00B20B70"/>
    <w:rsid w:val="00B2171B"/>
    <w:rsid w:val="00B217AE"/>
    <w:rsid w:val="00B22496"/>
    <w:rsid w:val="00B231A0"/>
    <w:rsid w:val="00B23DAD"/>
    <w:rsid w:val="00B23ECB"/>
    <w:rsid w:val="00B24171"/>
    <w:rsid w:val="00B24523"/>
    <w:rsid w:val="00B24B08"/>
    <w:rsid w:val="00B24C7A"/>
    <w:rsid w:val="00B25E3A"/>
    <w:rsid w:val="00B26E97"/>
    <w:rsid w:val="00B274DC"/>
    <w:rsid w:val="00B302E7"/>
    <w:rsid w:val="00B31180"/>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E1"/>
    <w:rsid w:val="00B50E76"/>
    <w:rsid w:val="00B50FA9"/>
    <w:rsid w:val="00B51539"/>
    <w:rsid w:val="00B51DB3"/>
    <w:rsid w:val="00B522CA"/>
    <w:rsid w:val="00B522FF"/>
    <w:rsid w:val="00B5260B"/>
    <w:rsid w:val="00B5268A"/>
    <w:rsid w:val="00B52763"/>
    <w:rsid w:val="00B534EB"/>
    <w:rsid w:val="00B54060"/>
    <w:rsid w:val="00B54465"/>
    <w:rsid w:val="00B54FBC"/>
    <w:rsid w:val="00B5514B"/>
    <w:rsid w:val="00B556AB"/>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C0B"/>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13C9"/>
    <w:rsid w:val="00BA20F2"/>
    <w:rsid w:val="00BA256F"/>
    <w:rsid w:val="00BA28CD"/>
    <w:rsid w:val="00BA32DE"/>
    <w:rsid w:val="00BA46D0"/>
    <w:rsid w:val="00BA4B21"/>
    <w:rsid w:val="00BA4F4F"/>
    <w:rsid w:val="00BA5ED7"/>
    <w:rsid w:val="00BA61BA"/>
    <w:rsid w:val="00BA62AA"/>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14A"/>
    <w:rsid w:val="00BB76CE"/>
    <w:rsid w:val="00BB7E6C"/>
    <w:rsid w:val="00BC0C63"/>
    <w:rsid w:val="00BC0E03"/>
    <w:rsid w:val="00BC1102"/>
    <w:rsid w:val="00BC154A"/>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7DFD"/>
    <w:rsid w:val="00BF00C6"/>
    <w:rsid w:val="00BF03A4"/>
    <w:rsid w:val="00BF120E"/>
    <w:rsid w:val="00BF123B"/>
    <w:rsid w:val="00BF1A26"/>
    <w:rsid w:val="00BF2FDD"/>
    <w:rsid w:val="00BF34B3"/>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951"/>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6D8"/>
    <w:rsid w:val="00C40D06"/>
    <w:rsid w:val="00C40F55"/>
    <w:rsid w:val="00C411B1"/>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5B6"/>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29F"/>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1D8"/>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926"/>
    <w:rsid w:val="00CA5AF0"/>
    <w:rsid w:val="00CA5E2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B15"/>
    <w:rsid w:val="00CB7D8D"/>
    <w:rsid w:val="00CC00C2"/>
    <w:rsid w:val="00CC0997"/>
    <w:rsid w:val="00CC0B50"/>
    <w:rsid w:val="00CC21EA"/>
    <w:rsid w:val="00CC25FD"/>
    <w:rsid w:val="00CC3120"/>
    <w:rsid w:val="00CC313F"/>
    <w:rsid w:val="00CC358D"/>
    <w:rsid w:val="00CC3D2E"/>
    <w:rsid w:val="00CC3EA6"/>
    <w:rsid w:val="00CC4638"/>
    <w:rsid w:val="00CC506D"/>
    <w:rsid w:val="00CC5171"/>
    <w:rsid w:val="00CC5263"/>
    <w:rsid w:val="00CC5E18"/>
    <w:rsid w:val="00CC5F32"/>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433"/>
    <w:rsid w:val="00CD5305"/>
    <w:rsid w:val="00CD5604"/>
    <w:rsid w:val="00CD569C"/>
    <w:rsid w:val="00CD5986"/>
    <w:rsid w:val="00CD5C9A"/>
    <w:rsid w:val="00CD5CF0"/>
    <w:rsid w:val="00CD5F20"/>
    <w:rsid w:val="00CD69E0"/>
    <w:rsid w:val="00CD6D54"/>
    <w:rsid w:val="00CD73BE"/>
    <w:rsid w:val="00CD79C1"/>
    <w:rsid w:val="00CE0102"/>
    <w:rsid w:val="00CE017E"/>
    <w:rsid w:val="00CE03F2"/>
    <w:rsid w:val="00CE098D"/>
    <w:rsid w:val="00CE09AF"/>
    <w:rsid w:val="00CE111C"/>
    <w:rsid w:val="00CE1754"/>
    <w:rsid w:val="00CE1BE3"/>
    <w:rsid w:val="00CE1C0A"/>
    <w:rsid w:val="00CE1D83"/>
    <w:rsid w:val="00CE1EBC"/>
    <w:rsid w:val="00CE2197"/>
    <w:rsid w:val="00CE248A"/>
    <w:rsid w:val="00CE2567"/>
    <w:rsid w:val="00CE2E57"/>
    <w:rsid w:val="00CE3048"/>
    <w:rsid w:val="00CE3845"/>
    <w:rsid w:val="00CE3853"/>
    <w:rsid w:val="00CE3AA2"/>
    <w:rsid w:val="00CE4197"/>
    <w:rsid w:val="00CE4955"/>
    <w:rsid w:val="00CE56A7"/>
    <w:rsid w:val="00CE576F"/>
    <w:rsid w:val="00CE5C93"/>
    <w:rsid w:val="00CE5D28"/>
    <w:rsid w:val="00CE6ED8"/>
    <w:rsid w:val="00CE7CDE"/>
    <w:rsid w:val="00CF08DC"/>
    <w:rsid w:val="00CF183A"/>
    <w:rsid w:val="00CF23B3"/>
    <w:rsid w:val="00CF271E"/>
    <w:rsid w:val="00CF2B88"/>
    <w:rsid w:val="00CF2E3F"/>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31DD"/>
    <w:rsid w:val="00D1330D"/>
    <w:rsid w:val="00D13A99"/>
    <w:rsid w:val="00D146C8"/>
    <w:rsid w:val="00D14F3E"/>
    <w:rsid w:val="00D155CA"/>
    <w:rsid w:val="00D15787"/>
    <w:rsid w:val="00D15ACC"/>
    <w:rsid w:val="00D15CF1"/>
    <w:rsid w:val="00D16785"/>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0F16"/>
    <w:rsid w:val="00D319BA"/>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46FEB"/>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44B"/>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3E5B"/>
    <w:rsid w:val="00D94395"/>
    <w:rsid w:val="00D955A3"/>
    <w:rsid w:val="00D95679"/>
    <w:rsid w:val="00D95958"/>
    <w:rsid w:val="00D9625A"/>
    <w:rsid w:val="00D9641C"/>
    <w:rsid w:val="00D97D8A"/>
    <w:rsid w:val="00DA0505"/>
    <w:rsid w:val="00DA0CCB"/>
    <w:rsid w:val="00DA100D"/>
    <w:rsid w:val="00DA1051"/>
    <w:rsid w:val="00DA167F"/>
    <w:rsid w:val="00DA1A40"/>
    <w:rsid w:val="00DA1BAF"/>
    <w:rsid w:val="00DA1CE6"/>
    <w:rsid w:val="00DA1D37"/>
    <w:rsid w:val="00DA2B9D"/>
    <w:rsid w:val="00DA4022"/>
    <w:rsid w:val="00DA4106"/>
    <w:rsid w:val="00DA43A4"/>
    <w:rsid w:val="00DA4806"/>
    <w:rsid w:val="00DA5476"/>
    <w:rsid w:val="00DA5651"/>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7BA"/>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290D"/>
    <w:rsid w:val="00DC3B0A"/>
    <w:rsid w:val="00DC43C5"/>
    <w:rsid w:val="00DC4A18"/>
    <w:rsid w:val="00DC4E8A"/>
    <w:rsid w:val="00DC4ED9"/>
    <w:rsid w:val="00DC5348"/>
    <w:rsid w:val="00DC565A"/>
    <w:rsid w:val="00DC5A22"/>
    <w:rsid w:val="00DC5B3B"/>
    <w:rsid w:val="00DC649A"/>
    <w:rsid w:val="00DC7474"/>
    <w:rsid w:val="00DC762B"/>
    <w:rsid w:val="00DC79C7"/>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4A96"/>
    <w:rsid w:val="00DD5028"/>
    <w:rsid w:val="00DD579B"/>
    <w:rsid w:val="00DD64CD"/>
    <w:rsid w:val="00DD6B38"/>
    <w:rsid w:val="00DD6B48"/>
    <w:rsid w:val="00DD6EEB"/>
    <w:rsid w:val="00DD704F"/>
    <w:rsid w:val="00DD749E"/>
    <w:rsid w:val="00DD7682"/>
    <w:rsid w:val="00DD7740"/>
    <w:rsid w:val="00DD7ABB"/>
    <w:rsid w:val="00DE107A"/>
    <w:rsid w:val="00DE1B18"/>
    <w:rsid w:val="00DE25D9"/>
    <w:rsid w:val="00DE3121"/>
    <w:rsid w:val="00DE326A"/>
    <w:rsid w:val="00DE3F1E"/>
    <w:rsid w:val="00DE3F5B"/>
    <w:rsid w:val="00DE48A5"/>
    <w:rsid w:val="00DE48FC"/>
    <w:rsid w:val="00DE49FF"/>
    <w:rsid w:val="00DE52F5"/>
    <w:rsid w:val="00DE5571"/>
    <w:rsid w:val="00DE569A"/>
    <w:rsid w:val="00DE5777"/>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236A"/>
    <w:rsid w:val="00E125B8"/>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1BF7"/>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37A89"/>
    <w:rsid w:val="00E4010A"/>
    <w:rsid w:val="00E40E0E"/>
    <w:rsid w:val="00E41113"/>
    <w:rsid w:val="00E41301"/>
    <w:rsid w:val="00E416C2"/>
    <w:rsid w:val="00E41AAB"/>
    <w:rsid w:val="00E420E0"/>
    <w:rsid w:val="00E4223E"/>
    <w:rsid w:val="00E42703"/>
    <w:rsid w:val="00E42945"/>
    <w:rsid w:val="00E43644"/>
    <w:rsid w:val="00E43A1F"/>
    <w:rsid w:val="00E43C13"/>
    <w:rsid w:val="00E43D26"/>
    <w:rsid w:val="00E44444"/>
    <w:rsid w:val="00E445BA"/>
    <w:rsid w:val="00E44E2E"/>
    <w:rsid w:val="00E45358"/>
    <w:rsid w:val="00E45992"/>
    <w:rsid w:val="00E508DB"/>
    <w:rsid w:val="00E5093C"/>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005"/>
    <w:rsid w:val="00E7151E"/>
    <w:rsid w:val="00E7276F"/>
    <w:rsid w:val="00E73A40"/>
    <w:rsid w:val="00E73BEA"/>
    <w:rsid w:val="00E73D90"/>
    <w:rsid w:val="00E74143"/>
    <w:rsid w:val="00E744F3"/>
    <w:rsid w:val="00E75596"/>
    <w:rsid w:val="00E75708"/>
    <w:rsid w:val="00E75862"/>
    <w:rsid w:val="00E76035"/>
    <w:rsid w:val="00E7640C"/>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EC6"/>
    <w:rsid w:val="00E960A7"/>
    <w:rsid w:val="00E96493"/>
    <w:rsid w:val="00E9702E"/>
    <w:rsid w:val="00E97FCE"/>
    <w:rsid w:val="00EA068C"/>
    <w:rsid w:val="00EA0E8C"/>
    <w:rsid w:val="00EA1F27"/>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B0A79"/>
    <w:rsid w:val="00EB12D9"/>
    <w:rsid w:val="00EB148C"/>
    <w:rsid w:val="00EB14F8"/>
    <w:rsid w:val="00EB24C1"/>
    <w:rsid w:val="00EB281A"/>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766"/>
    <w:rsid w:val="00EB676B"/>
    <w:rsid w:val="00EB70E4"/>
    <w:rsid w:val="00EB72BB"/>
    <w:rsid w:val="00EB79F6"/>
    <w:rsid w:val="00EB7E32"/>
    <w:rsid w:val="00EC0AB0"/>
    <w:rsid w:val="00EC0DD3"/>
    <w:rsid w:val="00EC1379"/>
    <w:rsid w:val="00EC1893"/>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5E21"/>
    <w:rsid w:val="00EF61C4"/>
    <w:rsid w:val="00EF68FC"/>
    <w:rsid w:val="00EF723D"/>
    <w:rsid w:val="00EF72C6"/>
    <w:rsid w:val="00EF7BD6"/>
    <w:rsid w:val="00EF7F65"/>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62F"/>
    <w:rsid w:val="00F05AEB"/>
    <w:rsid w:val="00F067C7"/>
    <w:rsid w:val="00F06881"/>
    <w:rsid w:val="00F06D2A"/>
    <w:rsid w:val="00F1016E"/>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C93"/>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1F"/>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256"/>
    <w:rsid w:val="00F710CC"/>
    <w:rsid w:val="00F7156F"/>
    <w:rsid w:val="00F7181E"/>
    <w:rsid w:val="00F72999"/>
    <w:rsid w:val="00F72F98"/>
    <w:rsid w:val="00F73995"/>
    <w:rsid w:val="00F73D98"/>
    <w:rsid w:val="00F73E34"/>
    <w:rsid w:val="00F73FBA"/>
    <w:rsid w:val="00F744BF"/>
    <w:rsid w:val="00F74817"/>
    <w:rsid w:val="00F74E19"/>
    <w:rsid w:val="00F7533A"/>
    <w:rsid w:val="00F757E5"/>
    <w:rsid w:val="00F759FF"/>
    <w:rsid w:val="00F76C0B"/>
    <w:rsid w:val="00F771DB"/>
    <w:rsid w:val="00F77591"/>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6A68"/>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C7A"/>
    <w:rsid w:val="00FD4F27"/>
    <w:rsid w:val="00FD54D1"/>
    <w:rsid w:val="00FD55C2"/>
    <w:rsid w:val="00FD5791"/>
    <w:rsid w:val="00FD5DC4"/>
    <w:rsid w:val="00FD5DD7"/>
    <w:rsid w:val="00FD5E45"/>
    <w:rsid w:val="00FD67AB"/>
    <w:rsid w:val="00FD6824"/>
    <w:rsid w:val="00FD695E"/>
    <w:rsid w:val="00FD69A3"/>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41BC1B5-D839-4BB3-93B4-D657D2424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left="0" w:firstLineChars="0" w:firstLine="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0FEBD-6155-4F5E-88DF-112705D12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278</Words>
  <Characters>1589</Characters>
  <Application>Microsoft Office Word</Application>
  <DocSecurity>0</DocSecurity>
  <Lines>13</Lines>
  <Paragraphs>3</Paragraphs>
  <ScaleCrop>false</ScaleCrop>
  <Company/>
  <LinksUpToDate>false</LinksUpToDate>
  <CharactersWithSpaces>1864</CharactersWithSpaces>
  <SharedDoc>false</SharedDoc>
  <HLinks>
    <vt:vector size="18" baseType="variant">
      <vt:variant>
        <vt:i4>1966138</vt:i4>
      </vt:variant>
      <vt:variant>
        <vt:i4>14</vt:i4>
      </vt:variant>
      <vt:variant>
        <vt:i4>0</vt:i4>
      </vt:variant>
      <vt:variant>
        <vt:i4>5</vt:i4>
      </vt:variant>
      <vt:variant>
        <vt:lpwstr/>
      </vt:variant>
      <vt:variant>
        <vt:lpwstr>_Toc194074842</vt:lpwstr>
      </vt:variant>
      <vt:variant>
        <vt:i4>1966138</vt:i4>
      </vt:variant>
      <vt:variant>
        <vt:i4>8</vt:i4>
      </vt:variant>
      <vt:variant>
        <vt:i4>0</vt:i4>
      </vt:variant>
      <vt:variant>
        <vt:i4>5</vt:i4>
      </vt:variant>
      <vt:variant>
        <vt:lpwstr/>
      </vt:variant>
      <vt:variant>
        <vt:lpwstr>_Toc194074841</vt:lpwstr>
      </vt:variant>
      <vt:variant>
        <vt:i4>1966138</vt:i4>
      </vt:variant>
      <vt:variant>
        <vt:i4>2</vt:i4>
      </vt:variant>
      <vt:variant>
        <vt:i4>0</vt:i4>
      </vt:variant>
      <vt:variant>
        <vt:i4>5</vt:i4>
      </vt:variant>
      <vt:variant>
        <vt:lpwstr/>
      </vt:variant>
      <vt:variant>
        <vt:lpwstr>_Toc194074840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2025-04-07T02:12:00Z</cp:lastPrinted>
  <dcterms:created xsi:type="dcterms:W3CDTF">2025-04-09T02:55:00Z</dcterms:created>
  <dcterms:modified xsi:type="dcterms:W3CDTF">2025-04-09T02:55:00Z</dcterms:modified>
</cp:coreProperties>
</file>