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35D" w:rsidRPr="009F5C10" w:rsidRDefault="0028035D"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9F5C10">
        <w:rPr>
          <w:rFonts w:hAnsi="標楷體" w:hint="eastAsia"/>
          <w:b/>
          <w:bCs/>
          <w:sz w:val="36"/>
        </w:rPr>
        <w:t>臺灣港務股份有限公司</w:t>
      </w:r>
      <w:r w:rsidR="004A1930" w:rsidRPr="009F5C10">
        <w:rPr>
          <w:rFonts w:hAnsi="標楷體" w:hint="eastAsia"/>
          <w:b/>
          <w:bCs/>
          <w:sz w:val="36"/>
        </w:rPr>
        <w:t>11</w:t>
      </w:r>
      <w:r w:rsidR="00133DCD" w:rsidRPr="009F5C10">
        <w:rPr>
          <w:rFonts w:hAnsi="標楷體" w:hint="eastAsia"/>
          <w:b/>
          <w:bCs/>
          <w:sz w:val="36"/>
        </w:rPr>
        <w:t>2</w:t>
      </w:r>
      <w:r w:rsidRPr="009F5C10">
        <w:rPr>
          <w:rFonts w:hAnsi="標楷體" w:hint="eastAsia"/>
          <w:b/>
          <w:bCs/>
          <w:sz w:val="36"/>
        </w:rPr>
        <w:t>年度營業決算評估報告</w:t>
      </w:r>
    </w:p>
    <w:p w:rsidR="00EC6BDD" w:rsidRPr="009F5C10" w:rsidRDefault="00504790" w:rsidP="00EC6BDD">
      <w:pPr>
        <w:pStyle w:val="14"/>
        <w:ind w:left="568" w:hanging="568"/>
        <w:rPr>
          <w:rFonts w:hAnsi="標楷體"/>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37544345"/>
      <w:bookmarkStart w:id="28" w:name="_Toc147846384"/>
      <w:bookmarkStart w:id="29" w:name="_Toc96008979"/>
      <w:bookmarkStart w:id="30" w:name="_Toc193722528"/>
      <w:bookmarkEnd w:id="2"/>
      <w:bookmarkEnd w:id="3"/>
      <w:bookmarkEnd w:id="4"/>
      <w:bookmarkEnd w:id="5"/>
      <w:bookmarkEnd w:id="6"/>
      <w:r w:rsidRPr="009F5C10">
        <w:rPr>
          <w:rFonts w:hAnsi="標楷體" w:hint="eastAsia"/>
        </w:rPr>
        <w:t>一、</w:t>
      </w:r>
      <w:r w:rsidR="00EC6BDD" w:rsidRPr="009F5C10">
        <w:rPr>
          <w:rFonts w:hAnsi="標楷體" w:hint="eastAsia"/>
        </w:rPr>
        <w:t>我國國際商港貨櫃量近5年來減幅</w:t>
      </w:r>
      <w:r w:rsidR="00AD5BEB" w:rsidRPr="009F5C10">
        <w:rPr>
          <w:rFonts w:hAnsi="標楷體" w:hint="eastAsia"/>
        </w:rPr>
        <w:t>11.12</w:t>
      </w:r>
      <w:r w:rsidR="00EC6BDD" w:rsidRPr="009F5C10">
        <w:rPr>
          <w:rFonts w:hAnsi="標楷體" w:hint="eastAsia"/>
        </w:rPr>
        <w:t>%，允宜滾動檢討各項因應措施之辦理成效，以提升我國國際商港競爭力</w:t>
      </w:r>
      <w:bookmarkEnd w:id="30"/>
    </w:p>
    <w:bookmarkEnd w:id="29"/>
    <w:p w:rsidR="00504790" w:rsidRPr="009F5C10" w:rsidRDefault="00504790" w:rsidP="00504790">
      <w:pPr>
        <w:ind w:left="567" w:firstLine="567"/>
        <w:rPr>
          <w:rFonts w:hAnsi="標楷體" w:hint="eastAsia"/>
        </w:rPr>
      </w:pPr>
      <w:r w:rsidRPr="009F5C10">
        <w:rPr>
          <w:rFonts w:hAnsi="標楷體" w:hint="eastAsia"/>
        </w:rPr>
        <w:t>臺灣港務股份有限公司(以下簡稱港務公司)1</w:t>
      </w:r>
      <w:r w:rsidRPr="009F5C10">
        <w:rPr>
          <w:rFonts w:hAnsi="標楷體"/>
        </w:rPr>
        <w:t>1</w:t>
      </w:r>
      <w:r w:rsidR="0072093E" w:rsidRPr="009F5C10">
        <w:rPr>
          <w:rFonts w:hAnsi="標楷體" w:hint="eastAsia"/>
        </w:rPr>
        <w:t>2</w:t>
      </w:r>
      <w:r w:rsidRPr="009F5C10">
        <w:rPr>
          <w:rFonts w:hAnsi="標楷體" w:hint="eastAsia"/>
        </w:rPr>
        <w:t>年度</w:t>
      </w:r>
      <w:r w:rsidR="00796DA3" w:rsidRPr="009F5C10">
        <w:rPr>
          <w:rFonts w:hAnsi="標楷體" w:hint="eastAsia"/>
        </w:rPr>
        <w:t>「棧埠收入</w:t>
      </w:r>
      <w:r w:rsidR="00610963" w:rsidRPr="009F5C10">
        <w:rPr>
          <w:rFonts w:hAnsi="標楷體" w:hint="eastAsia"/>
        </w:rPr>
        <w:t>」項下「</w:t>
      </w:r>
      <w:r w:rsidR="00796DA3" w:rsidRPr="009F5C10">
        <w:rPr>
          <w:rFonts w:hAnsi="標楷體" w:hint="eastAsia"/>
        </w:rPr>
        <w:t>裝卸收入」決算數4</w:t>
      </w:r>
      <w:r w:rsidR="003D19B1" w:rsidRPr="009F5C10">
        <w:rPr>
          <w:rFonts w:hAnsi="標楷體" w:hint="eastAsia"/>
        </w:rPr>
        <w:t>7</w:t>
      </w:r>
      <w:r w:rsidR="00796DA3" w:rsidRPr="009F5C10">
        <w:rPr>
          <w:rFonts w:hAnsi="標楷體" w:hint="eastAsia"/>
        </w:rPr>
        <w:t>億</w:t>
      </w:r>
      <w:r w:rsidR="003D19B1" w:rsidRPr="009F5C10">
        <w:rPr>
          <w:rFonts w:hAnsi="標楷體" w:hint="eastAsia"/>
        </w:rPr>
        <w:t>3</w:t>
      </w:r>
      <w:r w:rsidR="006C2783" w:rsidRPr="009F5C10">
        <w:rPr>
          <w:rFonts w:hAnsi="標楷體" w:hint="eastAsia"/>
        </w:rPr>
        <w:t>,3</w:t>
      </w:r>
      <w:r w:rsidR="003D19B1" w:rsidRPr="009F5C10">
        <w:rPr>
          <w:rFonts w:hAnsi="標楷體" w:hint="eastAsia"/>
        </w:rPr>
        <w:t>96</w:t>
      </w:r>
      <w:r w:rsidR="00796DA3" w:rsidRPr="009F5C10">
        <w:rPr>
          <w:rFonts w:hAnsi="標楷體" w:hint="eastAsia"/>
        </w:rPr>
        <w:t>萬</w:t>
      </w:r>
      <w:r w:rsidR="003D19B1" w:rsidRPr="009F5C10">
        <w:rPr>
          <w:rFonts w:hAnsi="標楷體" w:hint="eastAsia"/>
        </w:rPr>
        <w:t>3</w:t>
      </w:r>
      <w:r w:rsidR="00C46C1A" w:rsidRPr="009F5C10">
        <w:rPr>
          <w:rFonts w:hAnsi="標楷體" w:hint="eastAsia"/>
        </w:rPr>
        <w:t>千</w:t>
      </w:r>
      <w:r w:rsidR="00796DA3" w:rsidRPr="009F5C10">
        <w:rPr>
          <w:rFonts w:hAnsi="標楷體" w:hint="eastAsia"/>
        </w:rPr>
        <w:t>元</w:t>
      </w:r>
      <w:r w:rsidR="00610963" w:rsidRPr="009F5C10">
        <w:rPr>
          <w:rFonts w:hAnsi="標楷體" w:hint="eastAsia"/>
        </w:rPr>
        <w:t>、</w:t>
      </w:r>
      <w:r w:rsidR="00796DA3" w:rsidRPr="009F5C10">
        <w:rPr>
          <w:rFonts w:hAnsi="標楷體" w:hint="eastAsia"/>
        </w:rPr>
        <w:t>「貨櫃業務收入」決算數2</w:t>
      </w:r>
      <w:r w:rsidR="006C2783" w:rsidRPr="009F5C10">
        <w:rPr>
          <w:rFonts w:hAnsi="標楷體"/>
        </w:rPr>
        <w:t>4</w:t>
      </w:r>
      <w:r w:rsidR="00796DA3" w:rsidRPr="009F5C10">
        <w:rPr>
          <w:rFonts w:hAnsi="標楷體" w:hint="eastAsia"/>
        </w:rPr>
        <w:t>億</w:t>
      </w:r>
      <w:r w:rsidR="003D19B1" w:rsidRPr="009F5C10">
        <w:rPr>
          <w:rFonts w:hAnsi="標楷體" w:hint="eastAsia"/>
        </w:rPr>
        <w:t>4</w:t>
      </w:r>
      <w:r w:rsidR="00796DA3" w:rsidRPr="009F5C10">
        <w:rPr>
          <w:rFonts w:hAnsi="標楷體" w:hint="eastAsia"/>
        </w:rPr>
        <w:t>,</w:t>
      </w:r>
      <w:r w:rsidR="003D19B1" w:rsidRPr="009F5C10">
        <w:rPr>
          <w:rFonts w:hAnsi="標楷體" w:hint="eastAsia"/>
        </w:rPr>
        <w:t>435</w:t>
      </w:r>
      <w:r w:rsidR="00796DA3" w:rsidRPr="009F5C10">
        <w:rPr>
          <w:rFonts w:hAnsi="標楷體" w:hint="eastAsia"/>
        </w:rPr>
        <w:t>萬</w:t>
      </w:r>
      <w:r w:rsidR="006C2783" w:rsidRPr="009F5C10">
        <w:rPr>
          <w:rFonts w:hAnsi="標楷體" w:hint="eastAsia"/>
        </w:rPr>
        <w:t>3</w:t>
      </w:r>
      <w:r w:rsidR="00796DA3" w:rsidRPr="009F5C10">
        <w:rPr>
          <w:rFonts w:hAnsi="標楷體" w:hint="eastAsia"/>
        </w:rPr>
        <w:t>千元，裝卸業務收入</w:t>
      </w:r>
      <w:r w:rsidR="00610963" w:rsidRPr="009F5C10">
        <w:rPr>
          <w:rFonts w:hAnsi="標楷體" w:hint="eastAsia"/>
        </w:rPr>
        <w:t>合計</w:t>
      </w:r>
      <w:r w:rsidR="00796DA3" w:rsidRPr="009F5C10">
        <w:rPr>
          <w:rFonts w:hAnsi="標楷體" w:hint="eastAsia"/>
        </w:rPr>
        <w:t>決算數</w:t>
      </w:r>
      <w:r w:rsidR="00610963" w:rsidRPr="009F5C10">
        <w:rPr>
          <w:rFonts w:hAnsi="標楷體" w:hint="eastAsia"/>
        </w:rPr>
        <w:t>為</w:t>
      </w:r>
      <w:r w:rsidR="006C2783" w:rsidRPr="009F5C10">
        <w:rPr>
          <w:rFonts w:hAnsi="標楷體" w:hint="eastAsia"/>
        </w:rPr>
        <w:t>7</w:t>
      </w:r>
      <w:r w:rsidR="003D19B1" w:rsidRPr="009F5C10">
        <w:rPr>
          <w:rFonts w:hAnsi="標楷體"/>
        </w:rPr>
        <w:t>1</w:t>
      </w:r>
      <w:r w:rsidR="00796DA3" w:rsidRPr="009F5C10">
        <w:rPr>
          <w:rFonts w:hAnsi="標楷體" w:hint="eastAsia"/>
        </w:rPr>
        <w:t>億</w:t>
      </w:r>
      <w:r w:rsidR="003D19B1" w:rsidRPr="009F5C10">
        <w:rPr>
          <w:rFonts w:hAnsi="標楷體"/>
        </w:rPr>
        <w:t>7</w:t>
      </w:r>
      <w:r w:rsidR="00796DA3" w:rsidRPr="009F5C10">
        <w:rPr>
          <w:rFonts w:hAnsi="標楷體" w:hint="eastAsia"/>
        </w:rPr>
        <w:t>,</w:t>
      </w:r>
      <w:r w:rsidR="003D19B1" w:rsidRPr="009F5C10">
        <w:rPr>
          <w:rFonts w:hAnsi="標楷體"/>
        </w:rPr>
        <w:t>8</w:t>
      </w:r>
      <w:r w:rsidR="00D65669" w:rsidRPr="009F5C10">
        <w:rPr>
          <w:rFonts w:hAnsi="標楷體" w:hint="eastAsia"/>
        </w:rPr>
        <w:t>3</w:t>
      </w:r>
      <w:r w:rsidR="003D19B1" w:rsidRPr="009F5C10">
        <w:rPr>
          <w:rFonts w:hAnsi="標楷體"/>
        </w:rPr>
        <w:t>1</w:t>
      </w:r>
      <w:r w:rsidR="00796DA3" w:rsidRPr="009F5C10">
        <w:rPr>
          <w:rFonts w:hAnsi="標楷體" w:hint="eastAsia"/>
        </w:rPr>
        <w:t>萬</w:t>
      </w:r>
      <w:r w:rsidR="003D19B1" w:rsidRPr="009F5C10">
        <w:rPr>
          <w:rFonts w:hAnsi="標楷體"/>
        </w:rPr>
        <w:t>6</w:t>
      </w:r>
      <w:r w:rsidR="00796DA3" w:rsidRPr="009F5C10">
        <w:rPr>
          <w:rFonts w:hAnsi="標楷體" w:hint="eastAsia"/>
        </w:rPr>
        <w:t>千元，較預算數</w:t>
      </w:r>
      <w:r w:rsidR="003D19B1" w:rsidRPr="009F5C10">
        <w:rPr>
          <w:rFonts w:hAnsi="標楷體" w:hint="eastAsia"/>
        </w:rPr>
        <w:t>7</w:t>
      </w:r>
      <w:r w:rsidR="003D19B1" w:rsidRPr="009F5C10">
        <w:rPr>
          <w:rFonts w:hAnsi="標楷體"/>
        </w:rPr>
        <w:t>1</w:t>
      </w:r>
      <w:r w:rsidR="00796DA3" w:rsidRPr="009F5C10">
        <w:rPr>
          <w:rFonts w:hAnsi="標楷體" w:hint="eastAsia"/>
        </w:rPr>
        <w:t>億</w:t>
      </w:r>
      <w:r w:rsidR="003D19B1" w:rsidRPr="009F5C10">
        <w:rPr>
          <w:rFonts w:hAnsi="標楷體"/>
        </w:rPr>
        <w:t>4,840</w:t>
      </w:r>
      <w:r w:rsidR="00796DA3" w:rsidRPr="009F5C10">
        <w:rPr>
          <w:rFonts w:hAnsi="標楷體" w:hint="eastAsia"/>
        </w:rPr>
        <w:t>萬</w:t>
      </w:r>
      <w:r w:rsidR="003D19B1" w:rsidRPr="009F5C10">
        <w:rPr>
          <w:rFonts w:hAnsi="標楷體" w:hint="eastAsia"/>
        </w:rPr>
        <w:t>5</w:t>
      </w:r>
      <w:r w:rsidR="00796DA3" w:rsidRPr="009F5C10">
        <w:rPr>
          <w:rFonts w:hAnsi="標楷體" w:hint="eastAsia"/>
        </w:rPr>
        <w:t>千元</w:t>
      </w:r>
      <w:r w:rsidR="00F4576F">
        <w:rPr>
          <w:rFonts w:hAnsi="標楷體" w:hint="eastAsia"/>
        </w:rPr>
        <w:t>增加</w:t>
      </w:r>
      <w:r w:rsidR="003D19B1" w:rsidRPr="009F5C10">
        <w:rPr>
          <w:rFonts w:hAnsi="標楷體" w:hint="eastAsia"/>
        </w:rPr>
        <w:t>2</w:t>
      </w:r>
      <w:r w:rsidR="00796DA3" w:rsidRPr="009F5C10">
        <w:rPr>
          <w:rFonts w:hAnsi="標楷體" w:hint="eastAsia"/>
        </w:rPr>
        <w:t>,</w:t>
      </w:r>
      <w:r w:rsidR="003D19B1" w:rsidRPr="009F5C10">
        <w:rPr>
          <w:rFonts w:hAnsi="標楷體" w:hint="eastAsia"/>
        </w:rPr>
        <w:t>991</w:t>
      </w:r>
      <w:r w:rsidR="00796DA3" w:rsidRPr="009F5C10">
        <w:rPr>
          <w:rFonts w:hAnsi="標楷體" w:hint="eastAsia"/>
        </w:rPr>
        <w:t>萬</w:t>
      </w:r>
      <w:r w:rsidR="00D65669" w:rsidRPr="009F5C10">
        <w:rPr>
          <w:rFonts w:hAnsi="標楷體" w:hint="eastAsia"/>
        </w:rPr>
        <w:t>1</w:t>
      </w:r>
      <w:r w:rsidR="00796DA3" w:rsidRPr="009F5C10">
        <w:rPr>
          <w:rFonts w:hAnsi="標楷體" w:hint="eastAsia"/>
        </w:rPr>
        <w:t>千元(</w:t>
      </w:r>
      <w:r w:rsidR="00F4576F">
        <w:rPr>
          <w:rFonts w:hAnsi="標楷體" w:hint="eastAsia"/>
        </w:rPr>
        <w:t>增</w:t>
      </w:r>
      <w:r w:rsidR="00610963" w:rsidRPr="009F5C10">
        <w:rPr>
          <w:rFonts w:hAnsi="標楷體" w:hint="eastAsia"/>
        </w:rPr>
        <w:t>幅</w:t>
      </w:r>
      <w:r w:rsidR="00D65669" w:rsidRPr="009F5C10">
        <w:rPr>
          <w:rFonts w:hAnsi="標楷體" w:hint="eastAsia"/>
        </w:rPr>
        <w:t>0.42</w:t>
      </w:r>
      <w:r w:rsidR="00796DA3" w:rsidRPr="009F5C10">
        <w:rPr>
          <w:rFonts w:hAnsi="標楷體" w:hint="eastAsia"/>
        </w:rPr>
        <w:t>%)</w:t>
      </w:r>
      <w:r w:rsidR="00C46C1A" w:rsidRPr="009F5C10">
        <w:rPr>
          <w:rFonts w:hAnsi="標楷體" w:hint="eastAsia"/>
        </w:rPr>
        <w:t>；</w:t>
      </w:r>
      <w:r w:rsidR="00E64C44" w:rsidRPr="009F5C10">
        <w:rPr>
          <w:rFonts w:hAnsi="標楷體" w:hint="eastAsia"/>
        </w:rPr>
        <w:t>裝卸業務</w:t>
      </w:r>
      <w:r w:rsidR="00C62687" w:rsidRPr="009F5C10">
        <w:rPr>
          <w:rFonts w:hAnsi="標楷體" w:hint="eastAsia"/>
        </w:rPr>
        <w:t>貨櫃</w:t>
      </w:r>
      <w:r w:rsidR="00C46C1A" w:rsidRPr="009F5C10">
        <w:rPr>
          <w:rFonts w:hAnsi="標楷體" w:hint="eastAsia"/>
        </w:rPr>
        <w:t>量實際值</w:t>
      </w:r>
      <w:r w:rsidR="00610963" w:rsidRPr="009F5C10">
        <w:rPr>
          <w:rFonts w:hAnsi="標楷體" w:hint="eastAsia"/>
        </w:rPr>
        <w:t>為</w:t>
      </w:r>
      <w:r w:rsidR="00C46C1A" w:rsidRPr="009F5C10">
        <w:rPr>
          <w:rFonts w:hAnsi="標楷體" w:hint="eastAsia"/>
        </w:rPr>
        <w:t>1,</w:t>
      </w:r>
      <w:r w:rsidR="0063059C" w:rsidRPr="009F5C10">
        <w:rPr>
          <w:rFonts w:hAnsi="標楷體" w:hint="eastAsia"/>
        </w:rPr>
        <w:t>359</w:t>
      </w:r>
      <w:r w:rsidR="00C46C1A" w:rsidRPr="009F5C10">
        <w:rPr>
          <w:rFonts w:hAnsi="標楷體" w:hint="eastAsia"/>
        </w:rPr>
        <w:t>.</w:t>
      </w:r>
      <w:r w:rsidR="0063059C" w:rsidRPr="009F5C10">
        <w:rPr>
          <w:rFonts w:hAnsi="標楷體" w:hint="eastAsia"/>
        </w:rPr>
        <w:t>7</w:t>
      </w:r>
      <w:r w:rsidR="00C46C1A" w:rsidRPr="009F5C10">
        <w:rPr>
          <w:rFonts w:hAnsi="標楷體" w:hint="eastAsia"/>
        </w:rPr>
        <w:t>萬</w:t>
      </w:r>
      <w:r w:rsidR="00D0313F" w:rsidRPr="009F5C10">
        <w:rPr>
          <w:rFonts w:hAnsi="標楷體" w:cs="Arial"/>
          <w:shd w:val="clear" w:color="auto" w:fill="FFFFFF"/>
        </w:rPr>
        <w:t>20呎標準貨櫃</w:t>
      </w:r>
      <w:r w:rsidR="00B8677E" w:rsidRPr="009F5C10">
        <w:rPr>
          <w:rFonts w:hAnsi="標楷體" w:cs="Arial" w:hint="eastAsia"/>
          <w:shd w:val="clear" w:color="auto" w:fill="FFFFFF"/>
        </w:rPr>
        <w:t>(</w:t>
      </w:r>
      <w:r w:rsidR="00D0313F" w:rsidRPr="009F5C10">
        <w:rPr>
          <w:rFonts w:hAnsi="標楷體" w:cs="Arial" w:hint="eastAsia"/>
          <w:shd w:val="clear" w:color="auto" w:fill="FFFFFF"/>
        </w:rPr>
        <w:t>以下簡稱</w:t>
      </w:r>
      <w:r w:rsidR="00D0313F" w:rsidRPr="009F5C10">
        <w:rPr>
          <w:rStyle w:val="aff9"/>
          <w:rFonts w:hAnsi="標楷體" w:cs="Arial"/>
          <w:i w:val="0"/>
          <w:iCs w:val="0"/>
          <w:shd w:val="clear" w:color="auto" w:fill="FFFFFF"/>
        </w:rPr>
        <w:t>TEU</w:t>
      </w:r>
      <w:r w:rsidR="00B8677E" w:rsidRPr="009F5C10">
        <w:rPr>
          <w:rFonts w:hAnsi="標楷體" w:cs="Arial"/>
          <w:shd w:val="clear" w:color="auto" w:fill="FFFFFF"/>
        </w:rPr>
        <w:t>)</w:t>
      </w:r>
      <w:r w:rsidR="00C46C1A" w:rsidRPr="009F5C10">
        <w:rPr>
          <w:rFonts w:hAnsi="標楷體" w:hint="eastAsia"/>
        </w:rPr>
        <w:t>，</w:t>
      </w:r>
      <w:r w:rsidR="0063059C" w:rsidRPr="009F5C10">
        <w:rPr>
          <w:rFonts w:hAnsi="標楷體" w:hint="eastAsia"/>
        </w:rPr>
        <w:t>較</w:t>
      </w:r>
      <w:r w:rsidR="00E64C44" w:rsidRPr="009F5C10">
        <w:rPr>
          <w:rFonts w:hAnsi="標楷體" w:hint="eastAsia"/>
        </w:rPr>
        <w:t>營運目標1,5</w:t>
      </w:r>
      <w:r w:rsidR="00C62687" w:rsidRPr="009F5C10">
        <w:rPr>
          <w:rFonts w:hAnsi="標楷體" w:hint="eastAsia"/>
        </w:rPr>
        <w:t>3</w:t>
      </w:r>
      <w:r w:rsidR="0063059C" w:rsidRPr="009F5C10">
        <w:rPr>
          <w:rFonts w:hAnsi="標楷體" w:hint="eastAsia"/>
        </w:rPr>
        <w:t>4</w:t>
      </w:r>
      <w:r w:rsidR="00E64C44" w:rsidRPr="009F5C10">
        <w:rPr>
          <w:rFonts w:hAnsi="標楷體" w:hint="eastAsia"/>
        </w:rPr>
        <w:t>萬TEU</w:t>
      </w:r>
      <w:r w:rsidR="0063059C" w:rsidRPr="009F5C10">
        <w:rPr>
          <w:rFonts w:hAnsi="標楷體" w:hint="eastAsia"/>
        </w:rPr>
        <w:t>減少174.3萬T</w:t>
      </w:r>
      <w:r w:rsidR="0063059C" w:rsidRPr="009F5C10">
        <w:rPr>
          <w:rFonts w:hAnsi="標楷體"/>
        </w:rPr>
        <w:t>EU</w:t>
      </w:r>
      <w:r w:rsidR="0063059C" w:rsidRPr="009F5C10">
        <w:rPr>
          <w:rFonts w:hAnsi="標楷體" w:hint="eastAsia"/>
        </w:rPr>
        <w:t>(減幅11.36%)</w:t>
      </w:r>
      <w:r w:rsidRPr="009F5C10">
        <w:rPr>
          <w:rFonts w:hAnsi="標楷體" w:hint="eastAsia"/>
        </w:rPr>
        <w:t>。經查：</w:t>
      </w:r>
    </w:p>
    <w:p w:rsidR="00F437E7" w:rsidRPr="009F5C10" w:rsidRDefault="00F437E7" w:rsidP="00F437E7">
      <w:pPr>
        <w:pStyle w:val="afa"/>
        <w:ind w:left="851" w:hanging="284"/>
        <w:rPr>
          <w:rFonts w:hAnsi="標楷體" w:hint="eastAsia"/>
          <w:b/>
        </w:rPr>
      </w:pPr>
      <w:r w:rsidRPr="009F5C10">
        <w:rPr>
          <w:rFonts w:hAnsi="標楷體" w:hint="eastAsia"/>
          <w:b/>
        </w:rPr>
        <w:t>(一</w:t>
      </w:r>
      <w:r w:rsidRPr="009F5C10">
        <w:rPr>
          <w:rFonts w:hAnsi="標楷體"/>
          <w:b/>
        </w:rPr>
        <w:t>)</w:t>
      </w:r>
      <w:r w:rsidRPr="009F5C10">
        <w:rPr>
          <w:rFonts w:hAnsi="標楷體" w:hint="eastAsia"/>
          <w:b/>
        </w:rPr>
        <w:t>我國國際商港貨櫃量</w:t>
      </w:r>
      <w:r w:rsidR="004D5DA5" w:rsidRPr="009F5C10">
        <w:rPr>
          <w:rFonts w:hAnsi="標楷體" w:hint="eastAsia"/>
          <w:b/>
        </w:rPr>
        <w:t>近5年來整體貨櫃量減幅11.12%</w:t>
      </w:r>
    </w:p>
    <w:p w:rsidR="00F437E7" w:rsidRPr="009F5C10" w:rsidRDefault="00F437E7" w:rsidP="004D5DA5">
      <w:pPr>
        <w:pStyle w:val="2"/>
        <w:ind w:left="850" w:firstLine="567"/>
        <w:rPr>
          <w:rFonts w:hAnsi="標楷體"/>
        </w:rPr>
      </w:pPr>
      <w:r w:rsidRPr="009F5C10">
        <w:rPr>
          <w:rFonts w:hAnsi="標楷體" w:hint="eastAsia"/>
        </w:rPr>
        <w:t>我國國際商港整體貨櫃量由108年度1</w:t>
      </w:r>
      <w:r w:rsidRPr="009F5C10">
        <w:rPr>
          <w:rFonts w:hAnsi="標楷體"/>
        </w:rPr>
        <w:t>,529.</w:t>
      </w:r>
      <w:r w:rsidRPr="009F5C10">
        <w:rPr>
          <w:rFonts w:hAnsi="標楷體" w:hint="eastAsia"/>
        </w:rPr>
        <w:t>8萬T</w:t>
      </w:r>
      <w:r w:rsidRPr="009F5C10">
        <w:rPr>
          <w:rFonts w:hAnsi="標楷體"/>
        </w:rPr>
        <w:t>EU</w:t>
      </w:r>
      <w:r w:rsidR="00594C3F" w:rsidRPr="009F5C10">
        <w:rPr>
          <w:rFonts w:hAnsi="標楷體" w:hint="eastAsia"/>
        </w:rPr>
        <w:t>概</w:t>
      </w:r>
      <w:r w:rsidRPr="009F5C10">
        <w:rPr>
          <w:rFonts w:hAnsi="標楷體" w:hint="eastAsia"/>
        </w:rPr>
        <w:t>減少至112年度1</w:t>
      </w:r>
      <w:r w:rsidRPr="009F5C10">
        <w:rPr>
          <w:rFonts w:hAnsi="標楷體"/>
        </w:rPr>
        <w:t>,359</w:t>
      </w:r>
      <w:r w:rsidRPr="009F5C10">
        <w:rPr>
          <w:rFonts w:hAnsi="標楷體" w:hint="eastAsia"/>
        </w:rPr>
        <w:t>.7萬</w:t>
      </w:r>
      <w:r w:rsidRPr="009F5C10">
        <w:rPr>
          <w:rFonts w:hAnsi="標楷體"/>
        </w:rPr>
        <w:t>TEU</w:t>
      </w:r>
      <w:r w:rsidRPr="009F5C10">
        <w:rPr>
          <w:rFonts w:hAnsi="標楷體" w:hint="eastAsia"/>
        </w:rPr>
        <w:t>，近5年來減幅11.</w:t>
      </w:r>
      <w:r w:rsidRPr="009F5C10">
        <w:rPr>
          <w:rFonts w:hAnsi="標楷體"/>
        </w:rPr>
        <w:t>1</w:t>
      </w:r>
      <w:r w:rsidRPr="009F5C10">
        <w:rPr>
          <w:rFonts w:hAnsi="標楷體" w:hint="eastAsia"/>
        </w:rPr>
        <w:t>2%，其中112年度</w:t>
      </w:r>
      <w:r w:rsidR="00684859" w:rsidRPr="009F5C10">
        <w:rPr>
          <w:rFonts w:hAnsi="標楷體" w:hint="eastAsia"/>
        </w:rPr>
        <w:t>較111年度</w:t>
      </w:r>
      <w:r w:rsidRPr="009F5C10">
        <w:rPr>
          <w:rFonts w:hAnsi="標楷體" w:hint="eastAsia"/>
        </w:rPr>
        <w:t>減幅7.45%，</w:t>
      </w:r>
      <w:r w:rsidR="004D5DA5" w:rsidRPr="009F5C10">
        <w:rPr>
          <w:rFonts w:hAnsi="標楷體" w:hint="eastAsia"/>
        </w:rPr>
        <w:t>為</w:t>
      </w:r>
      <w:r w:rsidRPr="009F5C10">
        <w:rPr>
          <w:rFonts w:hAnsi="標楷體" w:hint="eastAsia"/>
        </w:rPr>
        <w:t>108年度以來之最大減幅</w:t>
      </w:r>
      <w:r w:rsidR="004D5DA5" w:rsidRPr="009F5C10">
        <w:rPr>
          <w:rFonts w:hAnsi="標楷體" w:hint="eastAsia"/>
        </w:rPr>
        <w:t>(詳表1)，</w:t>
      </w:r>
      <w:r w:rsidRPr="009F5C10">
        <w:rPr>
          <w:rFonts w:hAnsi="標楷體" w:hint="eastAsia"/>
          <w:bCs/>
        </w:rPr>
        <w:t>據港務公司說明，</w:t>
      </w:r>
      <w:r w:rsidR="004D5DA5" w:rsidRPr="009F5C10">
        <w:rPr>
          <w:rFonts w:hAnsi="標楷體"/>
          <w:bCs/>
        </w:rPr>
        <w:t>112</w:t>
      </w:r>
      <w:r w:rsidR="004D5DA5" w:rsidRPr="009F5C10">
        <w:rPr>
          <w:rFonts w:hAnsi="標楷體" w:hint="eastAsia"/>
          <w:bCs/>
        </w:rPr>
        <w:t>年度</w:t>
      </w:r>
      <w:r w:rsidRPr="009F5C10">
        <w:rPr>
          <w:rFonts w:hAnsi="標楷體" w:hint="eastAsia"/>
        </w:rPr>
        <w:t>因烏俄戰爭持續及地緣軍事衝突導致能源價格居高</w:t>
      </w:r>
      <w:r w:rsidR="00594C3F" w:rsidRPr="009F5C10">
        <w:rPr>
          <w:rFonts w:hAnsi="標楷體" w:hint="eastAsia"/>
        </w:rPr>
        <w:t>，</w:t>
      </w:r>
      <w:r w:rsidRPr="009F5C10">
        <w:rPr>
          <w:rFonts w:hAnsi="標楷體" w:hint="eastAsia"/>
        </w:rPr>
        <w:t>面臨通膨及央行升息等措施，致各國消費需求疲弱，連帶造成我國進出口貿易量下滑，使得112年度對外進出口貿易量衰退6.3%，造成全臺貨</w:t>
      </w:r>
      <w:r w:rsidR="00594C3F" w:rsidRPr="009F5C10">
        <w:rPr>
          <w:rFonts w:hAnsi="標楷體" w:hint="eastAsia"/>
        </w:rPr>
        <w:t>櫃</w:t>
      </w:r>
      <w:r w:rsidRPr="009F5C10">
        <w:rPr>
          <w:rFonts w:hAnsi="標楷體" w:hint="eastAsia"/>
        </w:rPr>
        <w:t>量因而衰減</w:t>
      </w:r>
      <w:r w:rsidRPr="009F5C10">
        <w:rPr>
          <w:rFonts w:hAnsi="標楷體"/>
        </w:rPr>
        <w:t>。</w:t>
      </w:r>
    </w:p>
    <w:p w:rsidR="00F437E7" w:rsidRPr="009F5C10" w:rsidRDefault="00F437E7" w:rsidP="00027514">
      <w:pPr>
        <w:spacing w:line="400" w:lineRule="exact"/>
        <w:ind w:leftChars="0" w:left="0" w:firstLineChars="0" w:firstLine="0"/>
        <w:rPr>
          <w:rFonts w:hAnsi="標楷體"/>
          <w:b/>
        </w:rPr>
      </w:pPr>
      <w:r w:rsidRPr="009F5C10">
        <w:rPr>
          <w:rFonts w:hAnsi="標楷體" w:hint="eastAsia"/>
          <w:b/>
          <w:lang w:eastAsia="zh-HK"/>
        </w:rPr>
        <w:t>表</w:t>
      </w:r>
      <w:r w:rsidR="000B54CE" w:rsidRPr="009F5C10">
        <w:rPr>
          <w:rFonts w:hAnsi="標楷體" w:hint="eastAsia"/>
          <w:b/>
        </w:rPr>
        <w:t xml:space="preserve">1 </w:t>
      </w:r>
      <w:r w:rsidRPr="009F5C10">
        <w:rPr>
          <w:rFonts w:hAnsi="標楷體" w:hint="eastAsia"/>
          <w:b/>
        </w:rPr>
        <w:t>我國國際商港</w:t>
      </w:r>
      <w:r w:rsidR="000B54CE" w:rsidRPr="009F5C10">
        <w:rPr>
          <w:rFonts w:hAnsi="標楷體" w:hint="eastAsia"/>
          <w:b/>
        </w:rPr>
        <w:t>1</w:t>
      </w:r>
      <w:r w:rsidR="000B54CE" w:rsidRPr="009F5C10">
        <w:rPr>
          <w:rFonts w:hAnsi="標楷體"/>
          <w:b/>
        </w:rPr>
        <w:t>0</w:t>
      </w:r>
      <w:r w:rsidR="000B54CE" w:rsidRPr="009F5C10">
        <w:rPr>
          <w:rFonts w:hAnsi="標楷體" w:hint="eastAsia"/>
          <w:b/>
        </w:rPr>
        <w:t>8至</w:t>
      </w:r>
      <w:r w:rsidR="000B54CE" w:rsidRPr="009F5C10">
        <w:rPr>
          <w:rFonts w:hAnsi="標楷體"/>
          <w:b/>
        </w:rPr>
        <w:t>11</w:t>
      </w:r>
      <w:r w:rsidR="000B54CE" w:rsidRPr="009F5C10">
        <w:rPr>
          <w:rFonts w:hAnsi="標楷體" w:hint="eastAsia"/>
          <w:b/>
        </w:rPr>
        <w:t>2年度</w:t>
      </w:r>
      <w:r w:rsidRPr="009F5C10">
        <w:rPr>
          <w:rFonts w:hAnsi="標楷體" w:hint="eastAsia"/>
          <w:b/>
        </w:rPr>
        <w:t>貨櫃裝卸量概況</w:t>
      </w:r>
      <w:r w:rsidR="00684859" w:rsidRPr="009F5C10">
        <w:rPr>
          <w:rFonts w:hAnsi="標楷體" w:hint="eastAsia"/>
          <w:b/>
        </w:rPr>
        <w:t>表</w:t>
      </w:r>
    </w:p>
    <w:p w:rsidR="00F437E7" w:rsidRPr="009F5C10" w:rsidRDefault="00F437E7" w:rsidP="00027514">
      <w:pPr>
        <w:pStyle w:val="142"/>
        <w:spacing w:line="240" w:lineRule="exact"/>
        <w:ind w:left="567" w:firstLine="567"/>
        <w:jc w:val="right"/>
        <w:rPr>
          <w:rFonts w:hAnsi="標楷體"/>
        </w:rPr>
      </w:pPr>
      <w:r w:rsidRPr="009F5C10">
        <w:rPr>
          <w:rFonts w:hAnsi="標楷體" w:hint="eastAsia"/>
        </w:rPr>
        <w:t>單位：萬TEU；%</w:t>
      </w:r>
    </w:p>
    <w:tbl>
      <w:tblPr>
        <w:tblW w:w="84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4"/>
        <w:gridCol w:w="766"/>
        <w:gridCol w:w="725"/>
        <w:gridCol w:w="734"/>
        <w:gridCol w:w="706"/>
        <w:gridCol w:w="817"/>
        <w:gridCol w:w="706"/>
        <w:gridCol w:w="793"/>
        <w:gridCol w:w="795"/>
        <w:gridCol w:w="793"/>
        <w:gridCol w:w="782"/>
      </w:tblGrid>
      <w:tr w:rsidR="00F437E7" w:rsidRPr="009F5C10" w:rsidTr="00EC1E27">
        <w:trPr>
          <w:trHeight w:hRule="exact" w:val="281"/>
          <w:tblHeader/>
          <w:jc w:val="center"/>
        </w:trPr>
        <w:tc>
          <w:tcPr>
            <w:tcW w:w="864" w:type="dxa"/>
            <w:vMerge w:val="restart"/>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年度</w:t>
            </w:r>
          </w:p>
        </w:tc>
        <w:tc>
          <w:tcPr>
            <w:tcW w:w="1491"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總計</w:t>
            </w:r>
          </w:p>
        </w:tc>
        <w:tc>
          <w:tcPr>
            <w:tcW w:w="1440"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hint="eastAsia"/>
                <w:spacing w:val="-20"/>
              </w:rPr>
              <w:t>基隆</w:t>
            </w:r>
            <w:r w:rsidRPr="009F5C10">
              <w:rPr>
                <w:rFonts w:hAnsi="標楷體"/>
                <w:spacing w:val="-20"/>
              </w:rPr>
              <w:t>港</w:t>
            </w:r>
          </w:p>
        </w:tc>
        <w:tc>
          <w:tcPr>
            <w:tcW w:w="1523"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hint="eastAsia"/>
                <w:spacing w:val="-20"/>
              </w:rPr>
              <w:t>高雄</w:t>
            </w:r>
            <w:r w:rsidRPr="009F5C10">
              <w:rPr>
                <w:rFonts w:hAnsi="標楷體"/>
                <w:spacing w:val="-20"/>
              </w:rPr>
              <w:t>港</w:t>
            </w:r>
          </w:p>
        </w:tc>
        <w:tc>
          <w:tcPr>
            <w:tcW w:w="1588"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臺中港</w:t>
            </w:r>
          </w:p>
        </w:tc>
        <w:tc>
          <w:tcPr>
            <w:tcW w:w="1575"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臺北港</w:t>
            </w:r>
          </w:p>
        </w:tc>
      </w:tr>
      <w:tr w:rsidR="00820E5C" w:rsidRPr="009F5C10" w:rsidTr="00820E5C">
        <w:trPr>
          <w:trHeight w:hRule="exact" w:val="313"/>
          <w:tblHeader/>
          <w:jc w:val="center"/>
        </w:trPr>
        <w:tc>
          <w:tcPr>
            <w:tcW w:w="864" w:type="dxa"/>
            <w:vMerge/>
            <w:shd w:val="clear" w:color="auto" w:fill="auto"/>
            <w:noWrap/>
            <w:vAlign w:val="center"/>
            <w:hideMark/>
          </w:tcPr>
          <w:p w:rsidR="00F437E7" w:rsidRPr="009F5C10" w:rsidRDefault="00F437E7" w:rsidP="00985CD0">
            <w:pPr>
              <w:pStyle w:val="142"/>
              <w:jc w:val="center"/>
              <w:rPr>
                <w:rFonts w:hAnsi="標楷體"/>
                <w:spacing w:val="-20"/>
              </w:rPr>
            </w:pPr>
          </w:p>
        </w:tc>
        <w:tc>
          <w:tcPr>
            <w:tcW w:w="766"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24"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734"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06"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817"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06"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793"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94"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793"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81"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r>
      <w:tr w:rsidR="00F437E7" w:rsidRPr="009F5C10" w:rsidTr="00EC1E27">
        <w:trPr>
          <w:trHeight w:val="281"/>
          <w:jc w:val="center"/>
        </w:trPr>
        <w:tc>
          <w:tcPr>
            <w:tcW w:w="864" w:type="dxa"/>
            <w:shd w:val="clear" w:color="auto" w:fill="auto"/>
            <w:noWrap/>
            <w:vAlign w:val="center"/>
            <w:hideMark/>
          </w:tcPr>
          <w:p w:rsidR="00F437E7" w:rsidRPr="009F5C10" w:rsidRDefault="00F437E7" w:rsidP="00985CD0">
            <w:pPr>
              <w:pStyle w:val="142"/>
              <w:rPr>
                <w:rFonts w:hAnsi="標楷體"/>
                <w:spacing w:val="-20"/>
              </w:rPr>
            </w:pPr>
            <w:r w:rsidRPr="009F5C10">
              <w:rPr>
                <w:rFonts w:hAnsi="標楷體"/>
                <w:spacing w:val="-20"/>
              </w:rPr>
              <w:t>108</w:t>
            </w:r>
            <w:r w:rsidRPr="009F5C10">
              <w:rPr>
                <w:rFonts w:hAnsi="標楷體" w:hint="eastAsia"/>
                <w:spacing w:val="-20"/>
              </w:rPr>
              <w:t xml:space="preserve"> </w:t>
            </w:r>
            <w:r w:rsidR="003A4182" w:rsidRPr="009F5C10">
              <w:rPr>
                <w:rFonts w:hAnsi="標楷體"/>
                <w:spacing w:val="-20"/>
              </w:rPr>
              <w:t>A</w:t>
            </w:r>
          </w:p>
        </w:tc>
        <w:tc>
          <w:tcPr>
            <w:tcW w:w="76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1,529.8</w:t>
            </w:r>
          </w:p>
        </w:tc>
        <w:tc>
          <w:tcPr>
            <w:tcW w:w="72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-0.15</w:t>
            </w:r>
          </w:p>
        </w:tc>
        <w:tc>
          <w:tcPr>
            <w:tcW w:w="73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145.5</w:t>
            </w:r>
          </w:p>
        </w:tc>
        <w:tc>
          <w:tcPr>
            <w:tcW w:w="70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-1.13</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w:t>
            </w:r>
            <w:r w:rsidRPr="009F5C10">
              <w:rPr>
                <w:rFonts w:hAnsi="標楷體"/>
                <w:spacing w:val="-20"/>
              </w:rPr>
              <w:t>,</w:t>
            </w:r>
            <w:r w:rsidRPr="009F5C10">
              <w:rPr>
                <w:rFonts w:hAnsi="標楷體" w:hint="eastAsia"/>
                <w:spacing w:val="-20"/>
              </w:rPr>
              <w:t>042.9</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-0.16</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179.4</w:t>
            </w:r>
          </w:p>
        </w:tc>
        <w:tc>
          <w:tcPr>
            <w:tcW w:w="79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2.86</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162.0</w:t>
            </w:r>
          </w:p>
        </w:tc>
        <w:tc>
          <w:tcPr>
            <w:tcW w:w="781"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-2.39</w:t>
            </w:r>
          </w:p>
        </w:tc>
      </w:tr>
      <w:tr w:rsidR="00F437E7" w:rsidRPr="009F5C10" w:rsidTr="00EC1E27">
        <w:trPr>
          <w:trHeight w:val="281"/>
          <w:jc w:val="center"/>
        </w:trPr>
        <w:tc>
          <w:tcPr>
            <w:tcW w:w="864" w:type="dxa"/>
            <w:shd w:val="clear" w:color="auto" w:fill="auto"/>
            <w:noWrap/>
            <w:vAlign w:val="center"/>
            <w:hideMark/>
          </w:tcPr>
          <w:p w:rsidR="00F437E7" w:rsidRPr="009F5C10" w:rsidRDefault="00F437E7" w:rsidP="00985CD0">
            <w:pPr>
              <w:pStyle w:val="142"/>
              <w:rPr>
                <w:rFonts w:hAnsi="標楷體"/>
                <w:spacing w:val="-20"/>
              </w:rPr>
            </w:pPr>
            <w:r w:rsidRPr="009F5C10">
              <w:rPr>
                <w:rFonts w:hAnsi="標楷體"/>
                <w:spacing w:val="-20"/>
              </w:rPr>
              <w:t>109</w:t>
            </w:r>
          </w:p>
        </w:tc>
        <w:tc>
          <w:tcPr>
            <w:tcW w:w="76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1,459.4</w:t>
            </w:r>
          </w:p>
        </w:tc>
        <w:tc>
          <w:tcPr>
            <w:tcW w:w="72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-4.61</w:t>
            </w:r>
          </w:p>
        </w:tc>
        <w:tc>
          <w:tcPr>
            <w:tcW w:w="73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153.3</w:t>
            </w:r>
          </w:p>
        </w:tc>
        <w:tc>
          <w:tcPr>
            <w:tcW w:w="70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5.33</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962.2</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-7.74</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182.1</w:t>
            </w:r>
          </w:p>
        </w:tc>
        <w:tc>
          <w:tcPr>
            <w:tcW w:w="79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1.51</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161.8</w:t>
            </w:r>
          </w:p>
        </w:tc>
        <w:tc>
          <w:tcPr>
            <w:tcW w:w="781"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-0.14</w:t>
            </w:r>
          </w:p>
        </w:tc>
      </w:tr>
      <w:tr w:rsidR="00F437E7" w:rsidRPr="009F5C10" w:rsidTr="00EC1E27">
        <w:trPr>
          <w:trHeight w:val="239"/>
          <w:jc w:val="center"/>
        </w:trPr>
        <w:tc>
          <w:tcPr>
            <w:tcW w:w="864" w:type="dxa"/>
            <w:shd w:val="clear" w:color="auto" w:fill="auto"/>
            <w:noWrap/>
            <w:vAlign w:val="center"/>
            <w:hideMark/>
          </w:tcPr>
          <w:p w:rsidR="00F437E7" w:rsidRPr="009F5C10" w:rsidRDefault="00F437E7" w:rsidP="00985CD0">
            <w:pPr>
              <w:pStyle w:val="142"/>
              <w:rPr>
                <w:rFonts w:hAnsi="標楷體"/>
                <w:spacing w:val="-20"/>
              </w:rPr>
            </w:pPr>
            <w:r w:rsidRPr="009F5C10">
              <w:rPr>
                <w:rFonts w:hAnsi="標楷體"/>
                <w:spacing w:val="-20"/>
              </w:rPr>
              <w:t>110</w:t>
            </w:r>
          </w:p>
        </w:tc>
        <w:tc>
          <w:tcPr>
            <w:tcW w:w="76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1,545.5</w:t>
            </w:r>
          </w:p>
        </w:tc>
        <w:tc>
          <w:tcPr>
            <w:tcW w:w="72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5.90</w:t>
            </w:r>
          </w:p>
        </w:tc>
        <w:tc>
          <w:tcPr>
            <w:tcW w:w="73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160.1</w:t>
            </w:r>
          </w:p>
        </w:tc>
        <w:tc>
          <w:tcPr>
            <w:tcW w:w="70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4.48</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986.4</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2.52</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197.9</w:t>
            </w:r>
          </w:p>
        </w:tc>
        <w:tc>
          <w:tcPr>
            <w:tcW w:w="79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8.69</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200.9</w:t>
            </w:r>
          </w:p>
        </w:tc>
        <w:tc>
          <w:tcPr>
            <w:tcW w:w="781"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24.16</w:t>
            </w:r>
          </w:p>
        </w:tc>
      </w:tr>
      <w:tr w:rsidR="00F437E7" w:rsidRPr="009F5C10" w:rsidTr="00EC1E27">
        <w:trPr>
          <w:trHeight w:val="269"/>
          <w:jc w:val="center"/>
        </w:trPr>
        <w:tc>
          <w:tcPr>
            <w:tcW w:w="864" w:type="dxa"/>
            <w:shd w:val="clear" w:color="auto" w:fill="auto"/>
            <w:noWrap/>
            <w:vAlign w:val="center"/>
          </w:tcPr>
          <w:p w:rsidR="00F437E7" w:rsidRPr="009F5C10" w:rsidRDefault="00F437E7" w:rsidP="00985CD0">
            <w:pPr>
              <w:pStyle w:val="142"/>
              <w:rPr>
                <w:rFonts w:hAnsi="標楷體"/>
                <w:spacing w:val="-20"/>
              </w:rPr>
            </w:pPr>
            <w:r w:rsidRPr="009F5C10">
              <w:rPr>
                <w:rFonts w:hAnsi="標楷體"/>
                <w:spacing w:val="-20"/>
              </w:rPr>
              <w:t>111</w:t>
            </w:r>
          </w:p>
        </w:tc>
        <w:tc>
          <w:tcPr>
            <w:tcW w:w="76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1,469.2</w:t>
            </w:r>
          </w:p>
        </w:tc>
        <w:tc>
          <w:tcPr>
            <w:tcW w:w="724"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-4.94</w:t>
            </w:r>
          </w:p>
        </w:tc>
        <w:tc>
          <w:tcPr>
            <w:tcW w:w="734"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162.3</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1.33</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949.2</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-3.78</w:t>
            </w:r>
          </w:p>
        </w:tc>
        <w:tc>
          <w:tcPr>
            <w:tcW w:w="793"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178.5</w:t>
            </w:r>
          </w:p>
        </w:tc>
        <w:tc>
          <w:tcPr>
            <w:tcW w:w="794"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-9.80</w:t>
            </w:r>
          </w:p>
        </w:tc>
        <w:tc>
          <w:tcPr>
            <w:tcW w:w="793"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179.0</w:t>
            </w:r>
          </w:p>
        </w:tc>
        <w:tc>
          <w:tcPr>
            <w:tcW w:w="781"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-10.91</w:t>
            </w:r>
          </w:p>
        </w:tc>
      </w:tr>
      <w:tr w:rsidR="004E3539" w:rsidRPr="009F5C10" w:rsidTr="00156FFE">
        <w:trPr>
          <w:trHeight w:val="281"/>
          <w:jc w:val="center"/>
        </w:trPr>
        <w:tc>
          <w:tcPr>
            <w:tcW w:w="864" w:type="dxa"/>
            <w:tcBorders>
              <w:bottom w:val="double" w:sz="4" w:space="0" w:color="auto"/>
            </w:tcBorders>
            <w:shd w:val="clear" w:color="auto" w:fill="auto"/>
            <w:noWrap/>
            <w:vAlign w:val="center"/>
          </w:tcPr>
          <w:p w:rsidR="00F437E7" w:rsidRPr="009F5C10" w:rsidRDefault="00F437E7" w:rsidP="00985CD0">
            <w:pPr>
              <w:pStyle w:val="142"/>
              <w:rPr>
                <w:rFonts w:hAnsi="標楷體"/>
                <w:spacing w:val="-20"/>
              </w:rPr>
            </w:pPr>
            <w:r w:rsidRPr="009F5C10">
              <w:rPr>
                <w:rFonts w:hAnsi="標楷體" w:hint="eastAsia"/>
                <w:spacing w:val="-20"/>
              </w:rPr>
              <w:t>1</w:t>
            </w:r>
            <w:r w:rsidRPr="009F5C10">
              <w:rPr>
                <w:rFonts w:hAnsi="標楷體"/>
                <w:spacing w:val="-20"/>
              </w:rPr>
              <w:t>12</w:t>
            </w:r>
            <w:r w:rsidRPr="009F5C10">
              <w:rPr>
                <w:rFonts w:hAnsi="標楷體" w:hint="eastAsia"/>
                <w:spacing w:val="-20"/>
              </w:rPr>
              <w:t xml:space="preserve"> </w:t>
            </w:r>
            <w:r w:rsidR="003A4182" w:rsidRPr="009F5C10">
              <w:rPr>
                <w:rFonts w:hAnsi="標楷體"/>
                <w:spacing w:val="-20"/>
              </w:rPr>
              <w:t>B</w:t>
            </w:r>
          </w:p>
        </w:tc>
        <w:tc>
          <w:tcPr>
            <w:tcW w:w="766"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1,359.7</w:t>
            </w:r>
          </w:p>
        </w:tc>
        <w:tc>
          <w:tcPr>
            <w:tcW w:w="724"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-7.45</w:t>
            </w:r>
          </w:p>
        </w:tc>
        <w:tc>
          <w:tcPr>
            <w:tcW w:w="734"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153.3</w:t>
            </w:r>
          </w:p>
        </w:tc>
        <w:tc>
          <w:tcPr>
            <w:tcW w:w="706"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-5.52</w:t>
            </w:r>
          </w:p>
        </w:tc>
        <w:tc>
          <w:tcPr>
            <w:tcW w:w="817"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883.4</w:t>
            </w:r>
          </w:p>
        </w:tc>
        <w:tc>
          <w:tcPr>
            <w:tcW w:w="706"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-6.93</w:t>
            </w:r>
          </w:p>
        </w:tc>
        <w:tc>
          <w:tcPr>
            <w:tcW w:w="793"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161.0</w:t>
            </w:r>
          </w:p>
        </w:tc>
        <w:tc>
          <w:tcPr>
            <w:tcW w:w="794"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-9.81</w:t>
            </w:r>
          </w:p>
        </w:tc>
        <w:tc>
          <w:tcPr>
            <w:tcW w:w="793"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161.8</w:t>
            </w:r>
          </w:p>
        </w:tc>
        <w:tc>
          <w:tcPr>
            <w:tcW w:w="781"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-9.62</w:t>
            </w:r>
          </w:p>
        </w:tc>
      </w:tr>
      <w:tr w:rsidR="004E3539" w:rsidRPr="009F5C10" w:rsidTr="00156FFE">
        <w:trPr>
          <w:trHeight w:val="281"/>
          <w:jc w:val="center"/>
        </w:trPr>
        <w:tc>
          <w:tcPr>
            <w:tcW w:w="864" w:type="dxa"/>
            <w:tcBorders>
              <w:top w:val="double" w:sz="4" w:space="0" w:color="auto"/>
            </w:tcBorders>
            <w:shd w:val="clear" w:color="auto" w:fill="auto"/>
            <w:noWrap/>
            <w:vAlign w:val="center"/>
          </w:tcPr>
          <w:p w:rsidR="00F437E7" w:rsidRPr="009F5C10" w:rsidRDefault="00F437E7" w:rsidP="00985CD0">
            <w:pPr>
              <w:pStyle w:val="142"/>
              <w:rPr>
                <w:rFonts w:hAnsi="標楷體"/>
                <w:spacing w:val="-20"/>
              </w:rPr>
            </w:pPr>
            <w:r w:rsidRPr="009F5C10">
              <w:rPr>
                <w:rFonts w:hAnsi="標楷體" w:hint="eastAsia"/>
                <w:spacing w:val="-20"/>
              </w:rPr>
              <w:t>108-112</w:t>
            </w:r>
          </w:p>
          <w:p w:rsidR="00F437E7" w:rsidRPr="009F5C10" w:rsidRDefault="003A4182" w:rsidP="00985CD0">
            <w:pPr>
              <w:pStyle w:val="142"/>
              <w:rPr>
                <w:rFonts w:hAnsi="標楷體" w:hint="eastAsia"/>
                <w:spacing w:val="-20"/>
              </w:rPr>
            </w:pPr>
            <w:r w:rsidRPr="009F5C10">
              <w:rPr>
                <w:rFonts w:hAnsi="標楷體" w:hint="eastAsia"/>
                <w:spacing w:val="-20"/>
              </w:rPr>
              <w:t xml:space="preserve">變動 </w:t>
            </w:r>
            <w:r w:rsidR="00A548D4" w:rsidRPr="009F5C10">
              <w:rPr>
                <w:rFonts w:hAnsi="標楷體"/>
                <w:spacing w:val="-20"/>
              </w:rPr>
              <w:t>B</w:t>
            </w:r>
            <w:r w:rsidR="00F4576F">
              <w:rPr>
                <w:rFonts w:hAnsi="標楷體" w:hint="eastAsia"/>
                <w:spacing w:val="-20"/>
              </w:rPr>
              <w:t>-</w:t>
            </w:r>
            <w:r w:rsidR="00F4576F">
              <w:rPr>
                <w:rFonts w:hAnsi="標楷體"/>
                <w:spacing w:val="-20"/>
              </w:rPr>
              <w:t>A</w:t>
            </w:r>
          </w:p>
        </w:tc>
        <w:tc>
          <w:tcPr>
            <w:tcW w:w="766"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-170.1</w:t>
            </w:r>
          </w:p>
        </w:tc>
        <w:tc>
          <w:tcPr>
            <w:tcW w:w="724" w:type="dxa"/>
            <w:tcBorders>
              <w:top w:val="double" w:sz="4" w:space="0" w:color="auto"/>
            </w:tcBorders>
            <w:shd w:val="clear" w:color="auto" w:fill="auto"/>
            <w:noWrap/>
            <w:vAlign w:val="center"/>
          </w:tcPr>
          <w:p w:rsidR="00F437E7" w:rsidRPr="009F5C10" w:rsidRDefault="00F437E7" w:rsidP="00985CD0">
            <w:pPr>
              <w:pStyle w:val="142"/>
              <w:jc w:val="right"/>
              <w:rPr>
                <w:rFonts w:hAnsi="標楷體"/>
                <w:b/>
                <w:bCs/>
                <w:spacing w:val="-20"/>
              </w:rPr>
            </w:pPr>
            <w:r w:rsidRPr="009F5C10">
              <w:rPr>
                <w:rFonts w:hAnsi="標楷體" w:hint="eastAsia"/>
                <w:b/>
                <w:bCs/>
                <w:spacing w:val="-20"/>
              </w:rPr>
              <w:t>-11.12</w:t>
            </w:r>
          </w:p>
        </w:tc>
        <w:tc>
          <w:tcPr>
            <w:tcW w:w="734"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7.8</w:t>
            </w:r>
          </w:p>
        </w:tc>
        <w:tc>
          <w:tcPr>
            <w:tcW w:w="706"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5.36</w:t>
            </w:r>
          </w:p>
        </w:tc>
        <w:tc>
          <w:tcPr>
            <w:tcW w:w="817"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-159.5</w:t>
            </w:r>
          </w:p>
        </w:tc>
        <w:tc>
          <w:tcPr>
            <w:tcW w:w="706"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w:t>
            </w:r>
            <w:r w:rsidRPr="009F5C10">
              <w:rPr>
                <w:rFonts w:hAnsi="標楷體" w:hint="eastAsia"/>
                <w:b/>
                <w:bCs/>
                <w:spacing w:val="-20"/>
              </w:rPr>
              <w:t>15.29</w:t>
            </w:r>
          </w:p>
        </w:tc>
        <w:tc>
          <w:tcPr>
            <w:tcW w:w="793"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-18.4</w:t>
            </w:r>
          </w:p>
        </w:tc>
        <w:tc>
          <w:tcPr>
            <w:tcW w:w="794"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-10.26</w:t>
            </w:r>
          </w:p>
        </w:tc>
        <w:tc>
          <w:tcPr>
            <w:tcW w:w="793"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-0.2</w:t>
            </w:r>
          </w:p>
        </w:tc>
        <w:tc>
          <w:tcPr>
            <w:tcW w:w="781"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-0.12</w:t>
            </w:r>
          </w:p>
        </w:tc>
      </w:tr>
    </w:tbl>
    <w:p w:rsidR="00F437E7" w:rsidRPr="009F5C10" w:rsidRDefault="00F437E7" w:rsidP="00F437E7">
      <w:pPr>
        <w:pStyle w:val="142"/>
        <w:ind w:left="1176" w:hangingChars="483" w:hanging="1176"/>
        <w:rPr>
          <w:rFonts w:hAnsi="標楷體"/>
        </w:rPr>
      </w:pPr>
      <w:r w:rsidRPr="009F5C10">
        <w:rPr>
          <w:rFonts w:hAnsi="標楷體" w:hint="eastAsia"/>
        </w:rPr>
        <w:t>說    明：1.總計除表列4商港外，並含蘇澳港及安平港。</w:t>
      </w:r>
    </w:p>
    <w:p w:rsidR="00C245D6" w:rsidRPr="009F5C10" w:rsidRDefault="00C245D6" w:rsidP="00C245D6">
      <w:pPr>
        <w:pStyle w:val="142"/>
        <w:ind w:leftChars="415" w:left="1498" w:hangingChars="132" w:hanging="321"/>
        <w:rPr>
          <w:rFonts w:hAnsi="標楷體" w:hint="eastAsia"/>
        </w:rPr>
      </w:pPr>
      <w:r w:rsidRPr="009F5C10">
        <w:rPr>
          <w:rFonts w:hAnsi="標楷體" w:hint="eastAsia"/>
        </w:rPr>
        <w:t>2.108至112年度各年度增減率</w:t>
      </w:r>
      <w:r w:rsidR="00594C3F" w:rsidRPr="009F5C10">
        <w:rPr>
          <w:rFonts w:hAnsi="標楷體" w:hint="eastAsia"/>
        </w:rPr>
        <w:t>係與</w:t>
      </w:r>
      <w:r w:rsidRPr="009F5C10">
        <w:rPr>
          <w:rFonts w:hAnsi="標楷體" w:hint="eastAsia"/>
        </w:rPr>
        <w:t>上</w:t>
      </w:r>
      <w:r w:rsidR="00594C3F" w:rsidRPr="009F5C10">
        <w:rPr>
          <w:rFonts w:hAnsi="標楷體" w:hint="eastAsia"/>
        </w:rPr>
        <w:t>一</w:t>
      </w:r>
      <w:r w:rsidRPr="009F5C10">
        <w:rPr>
          <w:rFonts w:hAnsi="標楷體" w:hint="eastAsia"/>
        </w:rPr>
        <w:t>年</w:t>
      </w:r>
      <w:r w:rsidR="00594C3F" w:rsidRPr="009F5C10">
        <w:rPr>
          <w:rFonts w:hAnsi="標楷體" w:hint="eastAsia"/>
        </w:rPr>
        <w:t>度相較</w:t>
      </w:r>
      <w:r w:rsidRPr="009F5C10">
        <w:rPr>
          <w:rFonts w:hAnsi="標楷體" w:hint="eastAsia"/>
        </w:rPr>
        <w:t>；「</w:t>
      </w:r>
      <w:r w:rsidRPr="009F5C10">
        <w:rPr>
          <w:rFonts w:hAnsi="標楷體" w:hint="eastAsia"/>
          <w:spacing w:val="-20"/>
        </w:rPr>
        <w:t>108-112變動</w:t>
      </w:r>
      <w:r w:rsidRPr="009F5C10">
        <w:rPr>
          <w:rFonts w:hAnsi="標楷體" w:hint="eastAsia"/>
        </w:rPr>
        <w:t>」增減率</w:t>
      </w:r>
      <w:r w:rsidR="00594C3F" w:rsidRPr="009F5C10">
        <w:rPr>
          <w:rFonts w:hAnsi="標楷體" w:hint="eastAsia"/>
        </w:rPr>
        <w:t>則</w:t>
      </w:r>
      <w:r w:rsidRPr="009F5C10">
        <w:rPr>
          <w:rFonts w:hAnsi="標楷體" w:hint="eastAsia"/>
        </w:rPr>
        <w:t>係</w:t>
      </w:r>
      <w:r w:rsidR="00F4576F">
        <w:rPr>
          <w:rFonts w:hAnsi="標楷體" w:hint="eastAsia"/>
        </w:rPr>
        <w:t>1</w:t>
      </w:r>
      <w:r w:rsidR="00F4576F">
        <w:rPr>
          <w:rFonts w:hAnsi="標楷體"/>
        </w:rPr>
        <w:t>12</w:t>
      </w:r>
      <w:r w:rsidRPr="009F5C10">
        <w:rPr>
          <w:rFonts w:hAnsi="標楷體" w:hint="eastAsia"/>
        </w:rPr>
        <w:t>與108年度相較。</w:t>
      </w:r>
    </w:p>
    <w:p w:rsidR="00F437E7" w:rsidRPr="009F5C10" w:rsidRDefault="00F437E7" w:rsidP="00F437E7">
      <w:pPr>
        <w:pStyle w:val="142"/>
        <w:ind w:left="1176" w:hangingChars="483" w:hanging="1176"/>
        <w:rPr>
          <w:rFonts w:hAnsi="標楷體" w:hint="eastAsia"/>
        </w:rPr>
      </w:pPr>
      <w:r w:rsidRPr="009F5C10">
        <w:rPr>
          <w:rFonts w:hAnsi="標楷體" w:hint="eastAsia"/>
        </w:rPr>
        <w:t>資料來源：港務公司</w:t>
      </w:r>
      <w:r w:rsidR="00684859" w:rsidRPr="009F5C10">
        <w:rPr>
          <w:rFonts w:hAnsi="標楷體" w:hint="eastAsia"/>
        </w:rPr>
        <w:t>；本中心整理。</w:t>
      </w:r>
    </w:p>
    <w:p w:rsidR="00F437E7" w:rsidRPr="009F5C10" w:rsidRDefault="00F437E7" w:rsidP="00F437E7">
      <w:pPr>
        <w:pStyle w:val="afa"/>
        <w:ind w:left="851" w:hanging="284"/>
        <w:rPr>
          <w:rFonts w:hAnsi="標楷體"/>
          <w:b/>
        </w:rPr>
      </w:pPr>
      <w:r w:rsidRPr="009F5C10">
        <w:rPr>
          <w:rFonts w:hAnsi="標楷體" w:hint="eastAsia"/>
          <w:b/>
        </w:rPr>
        <w:lastRenderedPageBreak/>
        <w:t>(二)</w:t>
      </w:r>
      <w:r w:rsidR="004D5DA5" w:rsidRPr="009F5C10">
        <w:rPr>
          <w:rFonts w:hAnsi="標楷體" w:hint="eastAsia"/>
          <w:b/>
        </w:rPr>
        <w:t>高雄港貨櫃量</w:t>
      </w:r>
      <w:r w:rsidR="00F4576F">
        <w:rPr>
          <w:rFonts w:hAnsi="標楷體"/>
          <w:b/>
        </w:rPr>
        <w:t>112</w:t>
      </w:r>
      <w:r w:rsidR="00633493" w:rsidRPr="009F5C10">
        <w:rPr>
          <w:rFonts w:hAnsi="標楷體" w:hint="eastAsia"/>
          <w:b/>
        </w:rPr>
        <w:t>年減幅較其他鄰近</w:t>
      </w:r>
      <w:r w:rsidR="003D1157" w:rsidRPr="009F5C10">
        <w:rPr>
          <w:rFonts w:hAnsi="標楷體" w:hint="eastAsia"/>
          <w:b/>
        </w:rPr>
        <w:t>主要競爭港口</w:t>
      </w:r>
      <w:r w:rsidR="00633493" w:rsidRPr="009F5C10">
        <w:rPr>
          <w:rFonts w:hAnsi="標楷體" w:hint="eastAsia"/>
          <w:b/>
        </w:rPr>
        <w:t>為深</w:t>
      </w:r>
    </w:p>
    <w:p w:rsidR="00F756C4" w:rsidRPr="009F5C10" w:rsidRDefault="004D5DA5" w:rsidP="00C250E9">
      <w:pPr>
        <w:pStyle w:val="2"/>
        <w:ind w:leftChars="339" w:left="961" w:firstLine="567"/>
        <w:rPr>
          <w:rFonts w:hAnsi="標楷體"/>
        </w:rPr>
      </w:pPr>
      <w:r w:rsidRPr="009F5C10">
        <w:rPr>
          <w:rFonts w:hAnsi="標楷體" w:hint="eastAsia"/>
        </w:rPr>
        <w:t>高雄港</w:t>
      </w:r>
      <w:r w:rsidR="003D1157" w:rsidRPr="009F5C10">
        <w:rPr>
          <w:rFonts w:hAnsi="標楷體" w:hint="eastAsia"/>
        </w:rPr>
        <w:t>貨櫃量</w:t>
      </w:r>
      <w:r w:rsidRPr="009F5C10">
        <w:rPr>
          <w:rFonts w:hAnsi="標楷體" w:hint="eastAsia"/>
        </w:rPr>
        <w:t>由108年度1</w:t>
      </w:r>
      <w:r w:rsidRPr="009F5C10">
        <w:rPr>
          <w:rFonts w:hAnsi="標楷體"/>
        </w:rPr>
        <w:t>,</w:t>
      </w:r>
      <w:r w:rsidRPr="009F5C10">
        <w:rPr>
          <w:rFonts w:hAnsi="標楷體" w:hint="eastAsia"/>
        </w:rPr>
        <w:t>042.9萬T</w:t>
      </w:r>
      <w:r w:rsidRPr="009F5C10">
        <w:rPr>
          <w:rFonts w:hAnsi="標楷體"/>
        </w:rPr>
        <w:t>EU</w:t>
      </w:r>
      <w:r w:rsidR="0036715A" w:rsidRPr="009F5C10">
        <w:rPr>
          <w:rFonts w:hAnsi="標楷體" w:hint="eastAsia"/>
        </w:rPr>
        <w:t>概</w:t>
      </w:r>
      <w:r w:rsidRPr="009F5C10">
        <w:rPr>
          <w:rFonts w:hAnsi="標楷體" w:hint="eastAsia"/>
        </w:rPr>
        <w:t>下降至112年度</w:t>
      </w:r>
      <w:r w:rsidRPr="009F5C10">
        <w:rPr>
          <w:rFonts w:hAnsi="標楷體"/>
        </w:rPr>
        <w:t>883.4</w:t>
      </w:r>
      <w:r w:rsidRPr="009F5C10">
        <w:rPr>
          <w:rFonts w:hAnsi="標楷體" w:hint="eastAsia"/>
        </w:rPr>
        <w:t>萬T</w:t>
      </w:r>
      <w:r w:rsidRPr="009F5C10">
        <w:rPr>
          <w:rFonts w:hAnsi="標楷體"/>
        </w:rPr>
        <w:t>EU，</w:t>
      </w:r>
      <w:r w:rsidRPr="009F5C10">
        <w:rPr>
          <w:rFonts w:hAnsi="標楷體" w:hint="eastAsia"/>
        </w:rPr>
        <w:t>近5年來</w:t>
      </w:r>
      <w:r w:rsidRPr="009F5C10">
        <w:rPr>
          <w:rFonts w:hAnsi="標楷體"/>
        </w:rPr>
        <w:t>減幅15.29</w:t>
      </w:r>
      <w:r w:rsidRPr="009F5C10">
        <w:rPr>
          <w:rFonts w:hAnsi="標楷體" w:hint="eastAsia"/>
        </w:rPr>
        <w:t>%</w:t>
      </w:r>
      <w:r w:rsidR="009F5C10" w:rsidRPr="009F5C10">
        <w:rPr>
          <w:rFonts w:hAnsi="標楷體"/>
        </w:rPr>
        <w:t>(</w:t>
      </w:r>
      <w:r w:rsidRPr="009F5C10">
        <w:rPr>
          <w:rFonts w:hAnsi="標楷體" w:hint="eastAsia"/>
        </w:rPr>
        <w:t>詳表1</w:t>
      </w:r>
      <w:r w:rsidR="009F5C10" w:rsidRPr="009F5C10">
        <w:rPr>
          <w:rFonts w:hAnsi="標楷體"/>
        </w:rPr>
        <w:t>)</w:t>
      </w:r>
      <w:r w:rsidR="00AB56B8" w:rsidRPr="009F5C10">
        <w:rPr>
          <w:rFonts w:hAnsi="標楷體" w:hint="eastAsia"/>
        </w:rPr>
        <w:t>，</w:t>
      </w:r>
      <w:r w:rsidR="00487525" w:rsidRPr="009F5C10">
        <w:rPr>
          <w:rFonts w:hAnsi="標楷體" w:hint="eastAsia"/>
        </w:rPr>
        <w:t>另</w:t>
      </w:r>
      <w:r w:rsidR="004C6C1F" w:rsidRPr="009F5C10">
        <w:rPr>
          <w:rFonts w:hAnsi="標楷體" w:hint="eastAsia"/>
        </w:rPr>
        <w:t>高雄港</w:t>
      </w:r>
      <w:r w:rsidR="00F437E7" w:rsidRPr="009F5C10">
        <w:rPr>
          <w:rFonts w:hAnsi="標楷體" w:hint="eastAsia"/>
        </w:rPr>
        <w:t>2023年</w:t>
      </w:r>
      <w:r w:rsidR="00853801" w:rsidRPr="009F5C10">
        <w:rPr>
          <w:rFonts w:hAnsi="標楷體" w:hint="eastAsia"/>
        </w:rPr>
        <w:t>世界排名</w:t>
      </w:r>
      <w:r w:rsidR="00F437E7" w:rsidRPr="009F5C10">
        <w:rPr>
          <w:rFonts w:hAnsi="標楷體" w:hint="eastAsia"/>
        </w:rPr>
        <w:t>為第17名，雖較2022年</w:t>
      </w:r>
      <w:r w:rsidR="00853801" w:rsidRPr="009F5C10">
        <w:rPr>
          <w:rFonts w:hAnsi="標楷體" w:hint="eastAsia"/>
        </w:rPr>
        <w:t>第18名</w:t>
      </w:r>
      <w:r w:rsidR="00F437E7" w:rsidRPr="009F5C10">
        <w:rPr>
          <w:rFonts w:hAnsi="標楷體" w:hint="eastAsia"/>
        </w:rPr>
        <w:t>前進1名，惟</w:t>
      </w:r>
      <w:r w:rsidR="004C6027" w:rsidRPr="009F5C10">
        <w:rPr>
          <w:rFonts w:hAnsi="標楷體" w:hint="eastAsia"/>
        </w:rPr>
        <w:t>112</w:t>
      </w:r>
      <w:r w:rsidR="00F437E7" w:rsidRPr="009F5C10">
        <w:rPr>
          <w:rFonts w:hAnsi="標楷體" w:hint="eastAsia"/>
        </w:rPr>
        <w:t>年</w:t>
      </w:r>
      <w:r w:rsidR="004C6027" w:rsidRPr="009F5C10">
        <w:rPr>
          <w:rFonts w:hAnsi="標楷體" w:hint="eastAsia"/>
        </w:rPr>
        <w:t>度</w:t>
      </w:r>
      <w:r w:rsidR="00F437E7" w:rsidRPr="009F5C10">
        <w:rPr>
          <w:rFonts w:hAnsi="標楷體" w:hint="eastAsia"/>
        </w:rPr>
        <w:t>貨櫃量</w:t>
      </w:r>
      <w:r w:rsidR="007C49F5" w:rsidRPr="009F5C10">
        <w:rPr>
          <w:rFonts w:hAnsi="標楷體" w:hint="eastAsia"/>
        </w:rPr>
        <w:t>較</w:t>
      </w:r>
      <w:r w:rsidR="004C6027" w:rsidRPr="009F5C10">
        <w:rPr>
          <w:rFonts w:hAnsi="標楷體" w:hint="eastAsia"/>
        </w:rPr>
        <w:t>111</w:t>
      </w:r>
      <w:r w:rsidR="00F437E7" w:rsidRPr="009F5C10">
        <w:rPr>
          <w:rFonts w:hAnsi="標楷體" w:hint="eastAsia"/>
        </w:rPr>
        <w:t>年</w:t>
      </w:r>
      <w:r w:rsidR="004C6027" w:rsidRPr="009F5C10">
        <w:rPr>
          <w:rFonts w:hAnsi="標楷體" w:hint="eastAsia"/>
        </w:rPr>
        <w:t>度</w:t>
      </w:r>
      <w:r w:rsidR="00F437E7" w:rsidRPr="009F5C10">
        <w:rPr>
          <w:rFonts w:hAnsi="標楷體" w:hint="eastAsia"/>
        </w:rPr>
        <w:t>跌幅6.9</w:t>
      </w:r>
      <w:r w:rsidR="0036715A" w:rsidRPr="009F5C10">
        <w:rPr>
          <w:rFonts w:hAnsi="標楷體" w:hint="eastAsia"/>
        </w:rPr>
        <w:t>3</w:t>
      </w:r>
      <w:r w:rsidR="00F437E7" w:rsidRPr="009F5C10">
        <w:rPr>
          <w:rFonts w:hAnsi="標楷體" w:hint="eastAsia"/>
        </w:rPr>
        <w:t>%，該跌幅規模</w:t>
      </w:r>
      <w:r w:rsidR="00487525" w:rsidRPr="009F5C10">
        <w:rPr>
          <w:rFonts w:hAnsi="標楷體" w:hint="eastAsia"/>
        </w:rPr>
        <w:t>較</w:t>
      </w:r>
      <w:r w:rsidR="004C6C1F" w:rsidRPr="009F5C10">
        <w:rPr>
          <w:rFonts w:hAnsi="標楷體" w:hint="eastAsia"/>
        </w:rPr>
        <w:t>鄰近</w:t>
      </w:r>
      <w:r w:rsidR="00F437E7" w:rsidRPr="009F5C10">
        <w:rPr>
          <w:rFonts w:hAnsi="標楷體" w:hint="eastAsia"/>
        </w:rPr>
        <w:t>其他主要競爭港口為深</w:t>
      </w:r>
      <w:r w:rsidR="009F5C10" w:rsidRPr="009F5C10">
        <w:rPr>
          <w:rFonts w:hAnsi="標楷體" w:hint="eastAsia"/>
        </w:rPr>
        <w:t>(詳</w:t>
      </w:r>
      <w:r w:rsidR="009F5C10" w:rsidRPr="009F5C10">
        <w:rPr>
          <w:rFonts w:hAnsi="標楷體" w:hint="eastAsia"/>
          <w:spacing w:val="-20"/>
        </w:rPr>
        <w:t>表</w:t>
      </w:r>
      <w:r w:rsidR="009F5C10">
        <w:rPr>
          <w:rFonts w:hAnsi="標楷體" w:hint="eastAsia"/>
        </w:rPr>
        <w:t>2</w:t>
      </w:r>
      <w:r w:rsidR="009F5C10" w:rsidRPr="009F5C10">
        <w:rPr>
          <w:rFonts w:hAnsi="標楷體" w:hint="eastAsia"/>
        </w:rPr>
        <w:t>)</w:t>
      </w:r>
      <w:r w:rsidR="009F5C10">
        <w:rPr>
          <w:rFonts w:hAnsi="標楷體" w:hint="eastAsia"/>
        </w:rPr>
        <w:t>，</w:t>
      </w:r>
      <w:r w:rsidR="00F437E7" w:rsidRPr="009F5C10">
        <w:rPr>
          <w:rFonts w:hAnsi="標楷體" w:hint="eastAsia"/>
        </w:rPr>
        <w:t>主要係因近年中國港口快速崛起，廈門港與高雄地理相近成為主要競爭港口，另受到中美貿易戰影響，供應鏈逐漸轉往東南亞，導致東南亞港口直靠北美航線數量提升，</w:t>
      </w:r>
      <w:r w:rsidR="00C250E9" w:rsidRPr="009F5C10">
        <w:rPr>
          <w:rFonts w:hAnsi="標楷體" w:hint="eastAsia"/>
        </w:rPr>
        <w:t>加以，我國產業外移到中國、東南亞，以及我國產業轉型為高科技，</w:t>
      </w:r>
      <w:r w:rsidR="004A385E" w:rsidRPr="009F5C10">
        <w:rPr>
          <w:rFonts w:hAnsi="標楷體" w:hint="eastAsia"/>
        </w:rPr>
        <w:t>惟</w:t>
      </w:r>
      <w:r w:rsidR="00C250E9" w:rsidRPr="009F5C10">
        <w:rPr>
          <w:rFonts w:hAnsi="標楷體" w:hint="eastAsia"/>
        </w:rPr>
        <w:t>高科技產品多採空運</w:t>
      </w:r>
      <w:r w:rsidR="00F756C4" w:rsidRPr="009F5C10">
        <w:rPr>
          <w:rFonts w:hAnsi="標楷體" w:hint="eastAsia"/>
        </w:rPr>
        <w:t>等</w:t>
      </w:r>
      <w:r w:rsidR="00C250E9" w:rsidRPr="009F5C10">
        <w:rPr>
          <w:rFonts w:hAnsi="標楷體" w:hint="eastAsia"/>
        </w:rPr>
        <w:t>綜合</w:t>
      </w:r>
      <w:r w:rsidR="00F756C4" w:rsidRPr="009F5C10">
        <w:rPr>
          <w:rFonts w:hAnsi="標楷體" w:hint="eastAsia"/>
        </w:rPr>
        <w:t>因</w:t>
      </w:r>
      <w:r w:rsidR="00C250E9" w:rsidRPr="009F5C10">
        <w:rPr>
          <w:rFonts w:hAnsi="標楷體" w:hint="eastAsia"/>
        </w:rPr>
        <w:t>素影響</w:t>
      </w:r>
      <w:r w:rsidR="00F756C4" w:rsidRPr="009F5C10">
        <w:rPr>
          <w:rFonts w:hAnsi="標楷體" w:hint="eastAsia"/>
        </w:rPr>
        <w:t>，使得</w:t>
      </w:r>
      <w:r w:rsidR="00F437E7" w:rsidRPr="009F5C10">
        <w:rPr>
          <w:rFonts w:hAnsi="標楷體" w:hint="eastAsia"/>
        </w:rPr>
        <w:t>高雄港櫃量</w:t>
      </w:r>
      <w:r w:rsidR="00C250E9" w:rsidRPr="009F5C10">
        <w:rPr>
          <w:rFonts w:hAnsi="標楷體" w:hint="eastAsia"/>
        </w:rPr>
        <w:t>逐漸衰退</w:t>
      </w:r>
      <w:r w:rsidR="00F437E7" w:rsidRPr="009F5C10">
        <w:rPr>
          <w:rStyle w:val="aff2"/>
          <w:rFonts w:hAnsi="標楷體"/>
        </w:rPr>
        <w:footnoteReference w:id="1"/>
      </w:r>
      <w:r w:rsidR="00F437E7" w:rsidRPr="009F5C10">
        <w:rPr>
          <w:rFonts w:hAnsi="標楷體" w:hint="eastAsia"/>
        </w:rPr>
        <w:t>。</w:t>
      </w:r>
    </w:p>
    <w:p w:rsidR="00F437E7" w:rsidRPr="009F5C10" w:rsidRDefault="000352D8" w:rsidP="00633493">
      <w:pPr>
        <w:pStyle w:val="2"/>
        <w:ind w:left="850" w:firstLine="567"/>
        <w:rPr>
          <w:rFonts w:hAnsi="標楷體"/>
        </w:rPr>
      </w:pPr>
      <w:r w:rsidRPr="009F5C10">
        <w:rPr>
          <w:rFonts w:hAnsi="標楷體" w:hint="eastAsia"/>
        </w:rPr>
        <w:t>據港務公司</w:t>
      </w:r>
      <w:r w:rsidR="00633493" w:rsidRPr="009F5C10">
        <w:rPr>
          <w:rFonts w:hAnsi="標楷體" w:hint="eastAsia"/>
        </w:rPr>
        <w:t>說明，有關</w:t>
      </w:r>
      <w:r w:rsidR="00633493" w:rsidRPr="009F5C10">
        <w:rPr>
          <w:rFonts w:hAnsi="標楷體" w:hint="eastAsia"/>
          <w:bCs/>
        </w:rPr>
        <w:t>提升我國各國際商港櫃量(不限高雄港)之具體因應措施，包含</w:t>
      </w:r>
      <w:r w:rsidR="00633493" w:rsidRPr="009F5C10">
        <w:rPr>
          <w:rFonts w:hAnsi="標楷體" w:hint="eastAsia"/>
        </w:rPr>
        <w:t>擴大航商營運基地(興建高雄港第七貨櫃中心，以提升高雄港深水碼頭量能)、強化碼頭軟硬體建設、</w:t>
      </w:r>
      <w:r w:rsidR="00633493" w:rsidRPr="009F5C10">
        <w:rPr>
          <w:rFonts w:hAnsi="標楷體"/>
        </w:rPr>
        <w:t>推動貨櫃運輸智慧化應用</w:t>
      </w:r>
      <w:r w:rsidR="00633493" w:rsidRPr="009F5C10">
        <w:rPr>
          <w:rFonts w:hAnsi="標楷體" w:hint="eastAsia"/>
        </w:rPr>
        <w:t>、</w:t>
      </w:r>
      <w:r w:rsidR="00633493" w:rsidRPr="009F5C10">
        <w:rPr>
          <w:rFonts w:hAnsi="標楷體"/>
        </w:rPr>
        <w:t>辦理行銷獎勵方案</w:t>
      </w:r>
      <w:r w:rsidR="00633493" w:rsidRPr="009F5C10">
        <w:rPr>
          <w:rFonts w:hAnsi="標楷體" w:hint="eastAsia"/>
        </w:rPr>
        <w:t>，及</w:t>
      </w:r>
      <w:r w:rsidR="00633493" w:rsidRPr="009F5C10">
        <w:rPr>
          <w:rFonts w:hAnsi="標楷體"/>
        </w:rPr>
        <w:t>推動貨櫃碼頭相互支援及重配置</w:t>
      </w:r>
      <w:r w:rsidR="00633493" w:rsidRPr="009F5C10">
        <w:rPr>
          <w:rFonts w:hAnsi="標楷體" w:hint="eastAsia"/>
        </w:rPr>
        <w:t>等</w:t>
      </w:r>
      <w:r w:rsidR="0036715A" w:rsidRPr="009F5C10">
        <w:rPr>
          <w:rFonts w:hAnsi="標楷體" w:hint="eastAsia"/>
        </w:rPr>
        <w:t>措施</w:t>
      </w:r>
      <w:r w:rsidR="00F437E7" w:rsidRPr="009F5C10">
        <w:rPr>
          <w:rFonts w:hAnsi="標楷體" w:hint="eastAsia"/>
        </w:rPr>
        <w:t>。</w:t>
      </w:r>
    </w:p>
    <w:p w:rsidR="00F437E7" w:rsidRPr="009F5C10" w:rsidRDefault="00F437E7" w:rsidP="00F437E7">
      <w:pPr>
        <w:ind w:leftChars="0" w:left="0" w:firstLineChars="0" w:firstLine="0"/>
        <w:rPr>
          <w:rFonts w:hAnsi="標楷體"/>
          <w:b/>
        </w:rPr>
      </w:pPr>
      <w:r w:rsidRPr="009F5C10">
        <w:rPr>
          <w:rFonts w:hAnsi="標楷體" w:hint="eastAsia"/>
          <w:b/>
          <w:lang w:eastAsia="zh-HK"/>
        </w:rPr>
        <w:t>表</w:t>
      </w:r>
      <w:r w:rsidRPr="009F5C10">
        <w:rPr>
          <w:rFonts w:hAnsi="標楷體" w:hint="eastAsia"/>
          <w:b/>
        </w:rPr>
        <w:t>2高雄港及其競爭港口</w:t>
      </w:r>
      <w:r w:rsidR="00B449DF" w:rsidRPr="009F5C10">
        <w:rPr>
          <w:rFonts w:hAnsi="標楷體" w:hint="eastAsia"/>
          <w:b/>
        </w:rPr>
        <w:t>近3年</w:t>
      </w:r>
      <w:r w:rsidRPr="009F5C10">
        <w:rPr>
          <w:rFonts w:hAnsi="標楷體" w:hint="eastAsia"/>
          <w:b/>
        </w:rPr>
        <w:t>貨櫃量及國際排名情形</w:t>
      </w:r>
    </w:p>
    <w:p w:rsidR="00F437E7" w:rsidRPr="009F5C10" w:rsidRDefault="00F437E7" w:rsidP="00F437E7">
      <w:pPr>
        <w:pStyle w:val="142"/>
        <w:ind w:left="560" w:firstLine="560"/>
        <w:jc w:val="right"/>
        <w:rPr>
          <w:rFonts w:hAnsi="標楷體"/>
        </w:rPr>
      </w:pPr>
      <w:r w:rsidRPr="009F5C10">
        <w:rPr>
          <w:rFonts w:hAnsi="標楷體" w:hint="eastAsia"/>
        </w:rPr>
        <w:t>單位：萬TEU；%</w:t>
      </w:r>
    </w:p>
    <w:tbl>
      <w:tblPr>
        <w:tblW w:w="862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75"/>
        <w:gridCol w:w="1078"/>
        <w:gridCol w:w="1079"/>
        <w:gridCol w:w="1079"/>
        <w:gridCol w:w="1079"/>
        <w:gridCol w:w="1081"/>
        <w:gridCol w:w="1079"/>
        <w:gridCol w:w="1079"/>
      </w:tblGrid>
      <w:tr w:rsidR="00AD5BEB" w:rsidRPr="009F5C10" w:rsidTr="00E25A03">
        <w:trPr>
          <w:trHeight w:val="352"/>
        </w:trPr>
        <w:tc>
          <w:tcPr>
            <w:tcW w:w="1075" w:type="dxa"/>
            <w:vMerge w:val="restart"/>
            <w:shd w:val="clear" w:color="auto" w:fill="auto"/>
            <w:vAlign w:val="center"/>
          </w:tcPr>
          <w:p w:rsidR="00E25A03" w:rsidRPr="009F5C10" w:rsidRDefault="00E25A03" w:rsidP="00985CD0">
            <w:pPr>
              <w:pStyle w:val="142"/>
              <w:jc w:val="center"/>
              <w:rPr>
                <w:rFonts w:hAnsi="標楷體"/>
                <w:spacing w:val="-20"/>
              </w:rPr>
            </w:pPr>
            <w:r w:rsidRPr="009F5C10">
              <w:rPr>
                <w:rFonts w:hAnsi="標楷體" w:hint="eastAsia"/>
                <w:spacing w:val="-20"/>
              </w:rPr>
              <w:t>年度/</w:t>
            </w:r>
          </w:p>
          <w:p w:rsidR="00E25A03" w:rsidRPr="009F5C10" w:rsidRDefault="00E25A03" w:rsidP="00985CD0">
            <w:pPr>
              <w:pStyle w:val="142"/>
              <w:jc w:val="center"/>
              <w:rPr>
                <w:rFonts w:hAnsi="標楷體"/>
                <w:spacing w:val="-20"/>
              </w:rPr>
            </w:pPr>
            <w:r w:rsidRPr="009F5C10">
              <w:rPr>
                <w:rFonts w:hAnsi="標楷體"/>
                <w:spacing w:val="-20"/>
              </w:rPr>
              <w:t>港別</w:t>
            </w:r>
          </w:p>
        </w:tc>
        <w:tc>
          <w:tcPr>
            <w:tcW w:w="2157" w:type="dxa"/>
            <w:gridSpan w:val="2"/>
            <w:shd w:val="clear" w:color="auto" w:fill="auto"/>
            <w:vAlign w:val="center"/>
          </w:tcPr>
          <w:p w:rsidR="00E25A03" w:rsidRPr="009F5C10" w:rsidRDefault="004C6027" w:rsidP="00985CD0">
            <w:pPr>
              <w:pStyle w:val="142"/>
              <w:jc w:val="center"/>
              <w:rPr>
                <w:rFonts w:hAnsi="標楷體"/>
                <w:spacing w:val="-20"/>
              </w:rPr>
            </w:pPr>
            <w:r w:rsidRPr="009F5C10">
              <w:rPr>
                <w:rFonts w:hAnsi="標楷體" w:hint="eastAsia"/>
                <w:spacing w:val="-20"/>
              </w:rPr>
              <w:t>110</w:t>
            </w:r>
          </w:p>
        </w:tc>
        <w:tc>
          <w:tcPr>
            <w:tcW w:w="2158" w:type="dxa"/>
            <w:gridSpan w:val="2"/>
            <w:shd w:val="clear" w:color="auto" w:fill="auto"/>
            <w:vAlign w:val="center"/>
          </w:tcPr>
          <w:p w:rsidR="00E25A03" w:rsidRPr="009F5C10" w:rsidRDefault="004C6027" w:rsidP="00985CD0">
            <w:pPr>
              <w:pStyle w:val="142"/>
              <w:jc w:val="center"/>
              <w:rPr>
                <w:rFonts w:hAnsi="標楷體"/>
                <w:spacing w:val="-20"/>
              </w:rPr>
            </w:pPr>
            <w:r w:rsidRPr="009F5C10">
              <w:rPr>
                <w:rFonts w:hAnsi="標楷體" w:hint="eastAsia"/>
                <w:spacing w:val="-20"/>
              </w:rPr>
              <w:t>111</w:t>
            </w:r>
          </w:p>
        </w:tc>
        <w:tc>
          <w:tcPr>
            <w:tcW w:w="3239" w:type="dxa"/>
            <w:gridSpan w:val="3"/>
            <w:vAlign w:val="center"/>
          </w:tcPr>
          <w:p w:rsidR="00E25A03" w:rsidRPr="009F5C10" w:rsidRDefault="004C6027" w:rsidP="00985CD0">
            <w:pPr>
              <w:pStyle w:val="142"/>
              <w:jc w:val="center"/>
              <w:rPr>
                <w:rFonts w:hAnsi="標楷體"/>
                <w:spacing w:val="-20"/>
              </w:rPr>
            </w:pPr>
            <w:r w:rsidRPr="009F5C10">
              <w:rPr>
                <w:rFonts w:hAnsi="標楷體" w:hint="eastAsia"/>
                <w:spacing w:val="-20"/>
              </w:rPr>
              <w:t>112</w:t>
            </w:r>
          </w:p>
        </w:tc>
      </w:tr>
      <w:tr w:rsidR="00AD5BEB" w:rsidRPr="009F5C10" w:rsidTr="00E25A03">
        <w:trPr>
          <w:trHeight w:val="447"/>
        </w:trPr>
        <w:tc>
          <w:tcPr>
            <w:tcW w:w="1075" w:type="dxa"/>
            <w:vMerge/>
            <w:shd w:val="clear" w:color="auto" w:fill="auto"/>
            <w:vAlign w:val="center"/>
          </w:tcPr>
          <w:p w:rsidR="00E25A03" w:rsidRPr="009F5C10" w:rsidRDefault="00E25A03" w:rsidP="00985CD0">
            <w:pPr>
              <w:pStyle w:val="142"/>
              <w:jc w:val="center"/>
              <w:rPr>
                <w:rFonts w:hAnsi="標楷體"/>
                <w:spacing w:val="-20"/>
              </w:rPr>
            </w:pPr>
          </w:p>
        </w:tc>
        <w:tc>
          <w:tcPr>
            <w:tcW w:w="1078" w:type="dxa"/>
            <w:shd w:val="clear" w:color="auto" w:fill="auto"/>
            <w:vAlign w:val="center"/>
          </w:tcPr>
          <w:p w:rsidR="00E25A03" w:rsidRPr="009F5C10" w:rsidRDefault="00E25A03" w:rsidP="00985CD0">
            <w:pPr>
              <w:pStyle w:val="142"/>
              <w:jc w:val="center"/>
              <w:rPr>
                <w:rFonts w:hAnsi="標楷體"/>
                <w:spacing w:val="-20"/>
              </w:rPr>
            </w:pPr>
            <w:r w:rsidRPr="009F5C10">
              <w:rPr>
                <w:rFonts w:hAnsi="標楷體"/>
                <w:spacing w:val="-20"/>
              </w:rPr>
              <w:t>排名</w:t>
            </w:r>
          </w:p>
        </w:tc>
        <w:tc>
          <w:tcPr>
            <w:tcW w:w="1079" w:type="dxa"/>
            <w:shd w:val="clear" w:color="auto" w:fill="auto"/>
            <w:vAlign w:val="center"/>
          </w:tcPr>
          <w:p w:rsidR="00594C3F" w:rsidRPr="009F5C10" w:rsidRDefault="00E25A03" w:rsidP="00985CD0">
            <w:pPr>
              <w:pStyle w:val="142"/>
              <w:jc w:val="center"/>
              <w:rPr>
                <w:rFonts w:hAnsi="標楷體"/>
                <w:spacing w:val="-20"/>
              </w:rPr>
            </w:pPr>
            <w:r w:rsidRPr="009F5C10">
              <w:rPr>
                <w:rFonts w:hAnsi="標楷體"/>
                <w:spacing w:val="-20"/>
              </w:rPr>
              <w:t>貨櫃</w:t>
            </w:r>
          </w:p>
          <w:p w:rsidR="00E25A03" w:rsidRPr="009F5C10" w:rsidRDefault="00E25A03" w:rsidP="00985CD0">
            <w:pPr>
              <w:pStyle w:val="142"/>
              <w:jc w:val="center"/>
              <w:rPr>
                <w:rFonts w:hAnsi="標楷體"/>
                <w:spacing w:val="-20"/>
              </w:rPr>
            </w:pPr>
            <w:r w:rsidRPr="009F5C10">
              <w:rPr>
                <w:rFonts w:hAnsi="標楷體"/>
                <w:spacing w:val="-20"/>
              </w:rPr>
              <w:t>裝卸量</w:t>
            </w:r>
          </w:p>
        </w:tc>
        <w:tc>
          <w:tcPr>
            <w:tcW w:w="1079" w:type="dxa"/>
            <w:shd w:val="clear" w:color="auto" w:fill="auto"/>
            <w:vAlign w:val="center"/>
          </w:tcPr>
          <w:p w:rsidR="00E25A03" w:rsidRPr="009F5C10" w:rsidRDefault="00E25A03" w:rsidP="00985CD0">
            <w:pPr>
              <w:pStyle w:val="142"/>
              <w:jc w:val="center"/>
              <w:rPr>
                <w:rFonts w:hAnsi="標楷體"/>
                <w:spacing w:val="-20"/>
              </w:rPr>
            </w:pPr>
            <w:r w:rsidRPr="009F5C10">
              <w:rPr>
                <w:rFonts w:hAnsi="標楷體"/>
                <w:spacing w:val="-20"/>
              </w:rPr>
              <w:t>排名</w:t>
            </w:r>
          </w:p>
        </w:tc>
        <w:tc>
          <w:tcPr>
            <w:tcW w:w="1079" w:type="dxa"/>
            <w:shd w:val="clear" w:color="auto" w:fill="auto"/>
            <w:vAlign w:val="center"/>
          </w:tcPr>
          <w:p w:rsidR="00594C3F" w:rsidRPr="009F5C10" w:rsidRDefault="00E25A03" w:rsidP="00985CD0">
            <w:pPr>
              <w:pStyle w:val="142"/>
              <w:jc w:val="center"/>
              <w:rPr>
                <w:rFonts w:hAnsi="標楷體"/>
                <w:spacing w:val="-20"/>
              </w:rPr>
            </w:pPr>
            <w:r w:rsidRPr="009F5C10">
              <w:rPr>
                <w:rFonts w:hAnsi="標楷體"/>
                <w:spacing w:val="-20"/>
              </w:rPr>
              <w:t>貨櫃</w:t>
            </w:r>
          </w:p>
          <w:p w:rsidR="00E25A03" w:rsidRPr="009F5C10" w:rsidRDefault="00E25A03" w:rsidP="00985CD0">
            <w:pPr>
              <w:pStyle w:val="142"/>
              <w:jc w:val="center"/>
              <w:rPr>
                <w:rFonts w:hAnsi="標楷體"/>
                <w:spacing w:val="-20"/>
              </w:rPr>
            </w:pPr>
            <w:r w:rsidRPr="009F5C10">
              <w:rPr>
                <w:rFonts w:hAnsi="標楷體"/>
                <w:spacing w:val="-20"/>
              </w:rPr>
              <w:t>裝卸量</w:t>
            </w:r>
          </w:p>
        </w:tc>
        <w:tc>
          <w:tcPr>
            <w:tcW w:w="1081" w:type="dxa"/>
            <w:vAlign w:val="center"/>
          </w:tcPr>
          <w:p w:rsidR="00E25A03" w:rsidRPr="009F5C10" w:rsidRDefault="00E25A03" w:rsidP="00985CD0">
            <w:pPr>
              <w:pStyle w:val="142"/>
              <w:jc w:val="center"/>
              <w:rPr>
                <w:rFonts w:hAnsi="標楷體"/>
                <w:spacing w:val="-20"/>
              </w:rPr>
            </w:pPr>
            <w:r w:rsidRPr="009F5C10">
              <w:rPr>
                <w:rFonts w:hAnsi="標楷體"/>
                <w:spacing w:val="-20"/>
              </w:rPr>
              <w:t>排名</w:t>
            </w:r>
          </w:p>
        </w:tc>
        <w:tc>
          <w:tcPr>
            <w:tcW w:w="1079" w:type="dxa"/>
            <w:vAlign w:val="center"/>
          </w:tcPr>
          <w:p w:rsidR="00594C3F" w:rsidRPr="009F5C10" w:rsidRDefault="00E25A03" w:rsidP="00985CD0">
            <w:pPr>
              <w:pStyle w:val="142"/>
              <w:jc w:val="center"/>
              <w:rPr>
                <w:rFonts w:hAnsi="標楷體"/>
                <w:spacing w:val="-20"/>
              </w:rPr>
            </w:pPr>
            <w:r w:rsidRPr="009F5C10">
              <w:rPr>
                <w:rFonts w:hAnsi="標楷體"/>
                <w:spacing w:val="-20"/>
              </w:rPr>
              <w:t>貨櫃</w:t>
            </w:r>
          </w:p>
          <w:p w:rsidR="00E25A03" w:rsidRPr="009F5C10" w:rsidRDefault="00E25A03" w:rsidP="00985CD0">
            <w:pPr>
              <w:pStyle w:val="142"/>
              <w:jc w:val="center"/>
              <w:rPr>
                <w:rFonts w:hAnsi="標楷體"/>
                <w:spacing w:val="-20"/>
              </w:rPr>
            </w:pPr>
            <w:r w:rsidRPr="009F5C10">
              <w:rPr>
                <w:rFonts w:hAnsi="標楷體"/>
                <w:spacing w:val="-20"/>
              </w:rPr>
              <w:t>裝卸量</w:t>
            </w:r>
          </w:p>
        </w:tc>
        <w:tc>
          <w:tcPr>
            <w:tcW w:w="1079" w:type="dxa"/>
            <w:vAlign w:val="center"/>
          </w:tcPr>
          <w:p w:rsidR="00594C3F" w:rsidRPr="009F5C10" w:rsidRDefault="00E25A03" w:rsidP="00594C3F">
            <w:pPr>
              <w:pStyle w:val="142"/>
              <w:jc w:val="center"/>
              <w:rPr>
                <w:rFonts w:hAnsi="標楷體"/>
                <w:spacing w:val="-20"/>
              </w:rPr>
            </w:pPr>
            <w:r w:rsidRPr="009F5C10">
              <w:rPr>
                <w:rFonts w:hAnsi="標楷體"/>
                <w:spacing w:val="-20"/>
              </w:rPr>
              <w:t>較上期</w:t>
            </w:r>
          </w:p>
          <w:p w:rsidR="00594C3F" w:rsidRPr="009F5C10" w:rsidRDefault="00E25A03" w:rsidP="00594C3F">
            <w:pPr>
              <w:pStyle w:val="142"/>
              <w:jc w:val="center"/>
              <w:rPr>
                <w:rFonts w:hAnsi="標楷體" w:hint="eastAsia"/>
                <w:spacing w:val="-20"/>
              </w:rPr>
            </w:pPr>
            <w:r w:rsidRPr="009F5C10">
              <w:rPr>
                <w:rFonts w:hAnsi="標楷體"/>
                <w:spacing w:val="-20"/>
              </w:rPr>
              <w:t>增減率</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spacing w:val="-20"/>
              </w:rPr>
              <w:t>高雄港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spacing w:val="-20"/>
              </w:rPr>
              <w:t>17</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spacing w:val="-20"/>
              </w:rPr>
              <w:t>986.4</w:t>
            </w:r>
          </w:p>
        </w:tc>
        <w:tc>
          <w:tcPr>
            <w:tcW w:w="1079" w:type="dxa"/>
            <w:shd w:val="clear" w:color="auto" w:fill="auto"/>
            <w:vAlign w:val="center"/>
          </w:tcPr>
          <w:p w:rsidR="00E25A03" w:rsidRPr="009F5C10" w:rsidRDefault="00E25A03" w:rsidP="00985CD0">
            <w:pPr>
              <w:pStyle w:val="142"/>
              <w:jc w:val="right"/>
              <w:rPr>
                <w:rFonts w:hAnsi="標楷體"/>
                <w:b/>
                <w:bCs/>
                <w:spacing w:val="-20"/>
              </w:rPr>
            </w:pPr>
            <w:r w:rsidRPr="009F5C10">
              <w:rPr>
                <w:rFonts w:hAnsi="標楷體"/>
                <w:b/>
                <w:bCs/>
                <w:spacing w:val="-20"/>
              </w:rPr>
              <w:t>18</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spacing w:val="-20"/>
              </w:rPr>
              <w:t>949.2</w:t>
            </w:r>
          </w:p>
        </w:tc>
        <w:tc>
          <w:tcPr>
            <w:tcW w:w="1081" w:type="dxa"/>
            <w:vAlign w:val="center"/>
          </w:tcPr>
          <w:p w:rsidR="00E25A03" w:rsidRPr="009F5C10" w:rsidRDefault="00E25A03" w:rsidP="00985CD0">
            <w:pPr>
              <w:pStyle w:val="142"/>
              <w:jc w:val="right"/>
              <w:rPr>
                <w:rFonts w:hAnsi="標楷體"/>
                <w:b/>
                <w:bCs/>
                <w:spacing w:val="-20"/>
              </w:rPr>
            </w:pPr>
            <w:r w:rsidRPr="009F5C10">
              <w:rPr>
                <w:rFonts w:hAnsi="標楷體"/>
                <w:b/>
                <w:bCs/>
                <w:spacing w:val="-20"/>
              </w:rPr>
              <w:t>17</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spacing w:val="-20"/>
              </w:rPr>
              <w:t>883.4</w:t>
            </w:r>
          </w:p>
        </w:tc>
        <w:tc>
          <w:tcPr>
            <w:tcW w:w="1079" w:type="dxa"/>
            <w:vAlign w:val="center"/>
          </w:tcPr>
          <w:p w:rsidR="00E25A03" w:rsidRPr="009F5C10" w:rsidRDefault="00E25A03" w:rsidP="00985CD0">
            <w:pPr>
              <w:pStyle w:val="142"/>
              <w:jc w:val="right"/>
              <w:rPr>
                <w:rFonts w:hAnsi="標楷體"/>
                <w:b/>
                <w:bCs/>
                <w:spacing w:val="-20"/>
              </w:rPr>
            </w:pPr>
            <w:r w:rsidRPr="009F5C10">
              <w:rPr>
                <w:rFonts w:hAnsi="標楷體"/>
                <w:b/>
                <w:bCs/>
                <w:spacing w:val="-20"/>
              </w:rPr>
              <w:t>-6.9</w:t>
            </w:r>
            <w:r w:rsidRPr="009F5C10">
              <w:rPr>
                <w:rFonts w:hAnsi="標楷體" w:hint="eastAsia"/>
                <w:b/>
                <w:bCs/>
                <w:spacing w:val="-20"/>
              </w:rPr>
              <w:t>3</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廈門港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13</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1,204.6</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14</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1,243.5</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13</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1,255.4</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0.96</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36"/>
              </w:rPr>
            </w:pPr>
            <w:r w:rsidRPr="009F5C10">
              <w:rPr>
                <w:rFonts w:hAnsi="標楷體" w:hint="eastAsia"/>
                <w:spacing w:val="-36"/>
              </w:rPr>
              <w:t>胡志明市港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22</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795.6</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23</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790.5</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25</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739.8</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-6.41</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蓋梅港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32</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538.5</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32</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559.3</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34</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548.3</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-1.97</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海防港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28</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w:t>
            </w:r>
            <w:r w:rsidRPr="009F5C10">
              <w:rPr>
                <w:rFonts w:hAnsi="標楷體"/>
                <w:spacing w:val="-20"/>
              </w:rPr>
              <w:t>48</w:t>
            </w:r>
            <w:r w:rsidRPr="009F5C10">
              <w:rPr>
                <w:rFonts w:hAnsi="標楷體" w:hint="eastAsia"/>
                <w:spacing w:val="-20"/>
              </w:rPr>
              <w:t>.</w:t>
            </w:r>
            <w:r w:rsidRPr="009F5C10">
              <w:rPr>
                <w:rFonts w:hAnsi="標楷體"/>
                <w:spacing w:val="-20"/>
              </w:rPr>
              <w:t>9</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31</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562.9</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33</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556.8</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-1.08</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馬尼拉港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38</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497.6</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34</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547.4</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36</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520.9</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-4.84</w:t>
            </w:r>
          </w:p>
        </w:tc>
      </w:tr>
    </w:tbl>
    <w:p w:rsidR="00F437E7" w:rsidRPr="009F5C10" w:rsidRDefault="00F437E7" w:rsidP="00F437E7">
      <w:pPr>
        <w:pStyle w:val="142"/>
        <w:ind w:left="1176" w:hangingChars="483" w:hanging="1176"/>
        <w:rPr>
          <w:rFonts w:hAnsi="標楷體"/>
        </w:rPr>
      </w:pPr>
      <w:r w:rsidRPr="009F5C10">
        <w:rPr>
          <w:rFonts w:hAnsi="標楷體" w:hint="eastAsia"/>
        </w:rPr>
        <w:t>資料來源：港務公司</w:t>
      </w:r>
      <w:r w:rsidR="00E25A03" w:rsidRPr="009F5C10">
        <w:rPr>
          <w:rFonts w:hAnsi="標楷體" w:hint="eastAsia"/>
        </w:rPr>
        <w:t>；</w:t>
      </w:r>
      <w:r w:rsidR="00E25A03" w:rsidRPr="009F5C10">
        <w:rPr>
          <w:rFonts w:hAnsi="標楷體" w:cs="新細明體" w:hint="eastAsia"/>
        </w:rPr>
        <w:t>本中心整理。</w:t>
      </w:r>
    </w:p>
    <w:p w:rsidR="008410C6" w:rsidRPr="009F5C10" w:rsidRDefault="00F437E7" w:rsidP="00F756C4">
      <w:pPr>
        <w:ind w:left="567" w:firstLine="567"/>
        <w:rPr>
          <w:rFonts w:hAnsi="標楷體"/>
        </w:rPr>
      </w:pPr>
      <w:r w:rsidRPr="009F5C10">
        <w:rPr>
          <w:rFonts w:hAnsi="標楷體" w:hint="eastAsia"/>
        </w:rPr>
        <w:lastRenderedPageBreak/>
        <w:t>綜上，</w:t>
      </w:r>
      <w:r w:rsidR="00853801" w:rsidRPr="009F5C10">
        <w:rPr>
          <w:rFonts w:hAnsi="標楷體" w:hint="eastAsia"/>
        </w:rPr>
        <w:t>我國國際商港整體貨櫃量由108年度1</w:t>
      </w:r>
      <w:r w:rsidR="00853801" w:rsidRPr="009F5C10">
        <w:rPr>
          <w:rFonts w:hAnsi="標楷體"/>
        </w:rPr>
        <w:t>,529.</w:t>
      </w:r>
      <w:r w:rsidR="00853801" w:rsidRPr="009F5C10">
        <w:rPr>
          <w:rFonts w:hAnsi="標楷體" w:hint="eastAsia"/>
        </w:rPr>
        <w:t>8萬T</w:t>
      </w:r>
      <w:r w:rsidR="00853801" w:rsidRPr="009F5C10">
        <w:rPr>
          <w:rFonts w:hAnsi="標楷體"/>
        </w:rPr>
        <w:t>EU</w:t>
      </w:r>
      <w:r w:rsidR="004C6027" w:rsidRPr="009F5C10">
        <w:rPr>
          <w:rFonts w:hAnsi="標楷體" w:hint="eastAsia"/>
        </w:rPr>
        <w:t>概</w:t>
      </w:r>
      <w:r w:rsidR="00853801" w:rsidRPr="009F5C10">
        <w:rPr>
          <w:rFonts w:hAnsi="標楷體" w:hint="eastAsia"/>
        </w:rPr>
        <w:t>減少至112年度1</w:t>
      </w:r>
      <w:r w:rsidR="00853801" w:rsidRPr="009F5C10">
        <w:rPr>
          <w:rFonts w:hAnsi="標楷體"/>
        </w:rPr>
        <w:t>,359</w:t>
      </w:r>
      <w:r w:rsidR="00853801" w:rsidRPr="009F5C10">
        <w:rPr>
          <w:rFonts w:hAnsi="標楷體" w:hint="eastAsia"/>
        </w:rPr>
        <w:t>.7萬</w:t>
      </w:r>
      <w:r w:rsidR="00853801" w:rsidRPr="009F5C10">
        <w:rPr>
          <w:rFonts w:hAnsi="標楷體"/>
        </w:rPr>
        <w:t>TEU</w:t>
      </w:r>
      <w:r w:rsidR="00853801" w:rsidRPr="009F5C10">
        <w:rPr>
          <w:rFonts w:hAnsi="標楷體" w:hint="eastAsia"/>
        </w:rPr>
        <w:t>，近5年來減幅11.</w:t>
      </w:r>
      <w:r w:rsidR="00853801" w:rsidRPr="009F5C10">
        <w:rPr>
          <w:rFonts w:hAnsi="標楷體"/>
        </w:rPr>
        <w:t>1</w:t>
      </w:r>
      <w:r w:rsidR="00853801" w:rsidRPr="009F5C10">
        <w:rPr>
          <w:rFonts w:hAnsi="標楷體" w:hint="eastAsia"/>
        </w:rPr>
        <w:t>2%，</w:t>
      </w:r>
      <w:r w:rsidR="00EC6BDD" w:rsidRPr="009F5C10">
        <w:rPr>
          <w:rFonts w:hAnsi="標楷體" w:hint="eastAsia"/>
        </w:rPr>
        <w:t>其中</w:t>
      </w:r>
      <w:r w:rsidR="00853801" w:rsidRPr="009F5C10">
        <w:rPr>
          <w:rFonts w:hAnsi="標楷體" w:hint="eastAsia"/>
        </w:rPr>
        <w:t>高雄港貨櫃量</w:t>
      </w:r>
      <w:r w:rsidR="004C6027" w:rsidRPr="009F5C10">
        <w:rPr>
          <w:rFonts w:hAnsi="標楷體" w:hint="eastAsia"/>
        </w:rPr>
        <w:t>112</w:t>
      </w:r>
      <w:r w:rsidR="00853801" w:rsidRPr="009F5C10">
        <w:rPr>
          <w:rFonts w:hAnsi="標楷體" w:hint="eastAsia"/>
        </w:rPr>
        <w:t>年度減幅</w:t>
      </w:r>
      <w:r w:rsidR="004A385E" w:rsidRPr="009F5C10">
        <w:rPr>
          <w:rFonts w:hAnsi="標楷體" w:hint="eastAsia"/>
        </w:rPr>
        <w:t>6</w:t>
      </w:r>
      <w:r w:rsidR="00853801" w:rsidRPr="009F5C10">
        <w:rPr>
          <w:rFonts w:hAnsi="標楷體" w:hint="eastAsia"/>
        </w:rPr>
        <w:t>.</w:t>
      </w:r>
      <w:r w:rsidR="004A385E" w:rsidRPr="009F5C10">
        <w:rPr>
          <w:rFonts w:hAnsi="標楷體" w:hint="eastAsia"/>
        </w:rPr>
        <w:t>9</w:t>
      </w:r>
      <w:r w:rsidR="004C6027" w:rsidRPr="009F5C10">
        <w:rPr>
          <w:rFonts w:hAnsi="標楷體" w:hint="eastAsia"/>
        </w:rPr>
        <w:t>3</w:t>
      </w:r>
      <w:r w:rsidR="00853801" w:rsidRPr="009F5C10">
        <w:rPr>
          <w:rFonts w:hAnsi="標楷體" w:hint="eastAsia"/>
        </w:rPr>
        <w:t>%，</w:t>
      </w:r>
      <w:r w:rsidRPr="009F5C10">
        <w:rPr>
          <w:rFonts w:hAnsi="標楷體" w:hint="eastAsia"/>
        </w:rPr>
        <w:t>較</w:t>
      </w:r>
      <w:r w:rsidR="00F756C4" w:rsidRPr="009F5C10">
        <w:rPr>
          <w:rFonts w:hAnsi="標楷體" w:hint="eastAsia"/>
        </w:rPr>
        <w:t>鄰近</w:t>
      </w:r>
      <w:r w:rsidRPr="009F5C10">
        <w:rPr>
          <w:rFonts w:hAnsi="標楷體" w:hint="eastAsia"/>
        </w:rPr>
        <w:t>其他主要競爭港口減幅為深，港務公司</w:t>
      </w:r>
      <w:bookmarkStart w:id="31" w:name="_Hlk178699412"/>
      <w:r w:rsidR="00EC6BDD" w:rsidRPr="009F5C10">
        <w:rPr>
          <w:rFonts w:hAnsi="標楷體" w:hint="eastAsia"/>
        </w:rPr>
        <w:t>並以</w:t>
      </w:r>
      <w:r w:rsidR="00F756C4" w:rsidRPr="009F5C10">
        <w:rPr>
          <w:rFonts w:hAnsi="標楷體" w:hint="eastAsia"/>
        </w:rPr>
        <w:t>擴大航商營運基地、強化碼頭軟硬體建設及</w:t>
      </w:r>
      <w:r w:rsidR="00EC6BDD" w:rsidRPr="009F5C10">
        <w:rPr>
          <w:rFonts w:hAnsi="標楷體" w:hint="eastAsia"/>
        </w:rPr>
        <w:t>辦理</w:t>
      </w:r>
      <w:r w:rsidRPr="009F5C10">
        <w:rPr>
          <w:rFonts w:hAnsi="標楷體"/>
        </w:rPr>
        <w:t>行銷獎勵方案</w:t>
      </w:r>
      <w:bookmarkEnd w:id="31"/>
      <w:r w:rsidR="00EC6BDD" w:rsidRPr="009F5C10">
        <w:rPr>
          <w:rFonts w:hAnsi="標楷體" w:hint="eastAsia"/>
        </w:rPr>
        <w:t>等措施</w:t>
      </w:r>
      <w:r w:rsidRPr="009F5C10">
        <w:rPr>
          <w:rFonts w:hAnsi="標楷體" w:hint="eastAsia"/>
        </w:rPr>
        <w:t>因應，允</w:t>
      </w:r>
      <w:r w:rsidR="00F756C4" w:rsidRPr="009F5C10">
        <w:rPr>
          <w:rFonts w:hAnsi="標楷體" w:hint="eastAsia"/>
        </w:rPr>
        <w:t>宜</w:t>
      </w:r>
      <w:r w:rsidR="001D6460" w:rsidRPr="009F5C10">
        <w:rPr>
          <w:rFonts w:hAnsi="標楷體" w:hint="eastAsia"/>
        </w:rPr>
        <w:t>滾動檢討辦理</w:t>
      </w:r>
      <w:r w:rsidR="00EC6BDD" w:rsidRPr="009F5C10">
        <w:rPr>
          <w:rFonts w:hAnsi="標楷體" w:hint="eastAsia"/>
        </w:rPr>
        <w:t>成效</w:t>
      </w:r>
      <w:r w:rsidRPr="009F5C10">
        <w:rPr>
          <w:rFonts w:hAnsi="標楷體" w:hint="eastAsia"/>
        </w:rPr>
        <w:t>，以</w:t>
      </w:r>
      <w:r w:rsidR="00F756C4" w:rsidRPr="009F5C10">
        <w:rPr>
          <w:rFonts w:hAnsi="標楷體" w:hint="eastAsia"/>
        </w:rPr>
        <w:t>提升我國國際商港競爭力。</w:t>
      </w:r>
      <w:bookmarkEnd w:id="27"/>
      <w:bookmarkEnd w:id="28"/>
    </w:p>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sectPr w:rsidR="008410C6" w:rsidRPr="009F5C10"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E15" w:rsidRDefault="00B32E15" w:rsidP="00064A63">
      <w:pPr>
        <w:ind w:left="560" w:firstLine="560"/>
      </w:pPr>
      <w:r>
        <w:separator/>
      </w:r>
    </w:p>
  </w:endnote>
  <w:endnote w:type="continuationSeparator" w:id="0">
    <w:p w:rsidR="00B32E15" w:rsidRDefault="00B32E15"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30791F" w:rsidRPr="0030791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E15" w:rsidRDefault="00B32E15" w:rsidP="00064A63">
      <w:pPr>
        <w:ind w:left="560" w:firstLine="560"/>
      </w:pPr>
      <w:r>
        <w:separator/>
      </w:r>
    </w:p>
  </w:footnote>
  <w:footnote w:type="continuationSeparator" w:id="0">
    <w:p w:rsidR="00B32E15" w:rsidRDefault="00B32E15" w:rsidP="00064A63">
      <w:pPr>
        <w:ind w:left="560" w:firstLine="560"/>
      </w:pPr>
      <w:r>
        <w:continuationSeparator/>
      </w:r>
    </w:p>
  </w:footnote>
  <w:footnote w:id="1">
    <w:p w:rsidR="00F437E7" w:rsidRPr="003B0861" w:rsidRDefault="00F437E7" w:rsidP="00CA353B">
      <w:pPr>
        <w:pStyle w:val="142"/>
        <w:ind w:left="224" w:hangingChars="92" w:hanging="224"/>
        <w:jc w:val="both"/>
        <w:rPr>
          <w:rFonts w:hint="eastAsia"/>
        </w:rPr>
      </w:pPr>
      <w:r w:rsidRPr="003B0861">
        <w:rPr>
          <w:rStyle w:val="aff2"/>
        </w:rPr>
        <w:footnoteRef/>
      </w:r>
      <w:r w:rsidRPr="003B0861">
        <w:t xml:space="preserve"> </w:t>
      </w:r>
      <w:r w:rsidRPr="003B0861">
        <w:rPr>
          <w:rFonts w:hint="eastAsia"/>
        </w:rPr>
        <w:t>資料來源，</w:t>
      </w:r>
      <w:r w:rsidR="009201F7">
        <w:rPr>
          <w:rFonts w:hint="eastAsia"/>
        </w:rPr>
        <w:t>孫榮，</w:t>
      </w:r>
      <w:r w:rsidRPr="003B0861">
        <w:rPr>
          <w:rFonts w:hint="eastAsia"/>
        </w:rPr>
        <w:t>高雄港貨櫃重</w:t>
      </w:r>
      <w:r w:rsidR="002E322A">
        <w:rPr>
          <w:rFonts w:hint="eastAsia"/>
        </w:rPr>
        <w:t>配</w:t>
      </w:r>
      <w:r w:rsidRPr="003B0861">
        <w:rPr>
          <w:rFonts w:hint="eastAsia"/>
        </w:rPr>
        <w:t>置 翻轉逆勢再現風華，航貿週刊，112年4月7日</w:t>
      </w:r>
      <w:r w:rsidR="009201F7">
        <w:rPr>
          <w:rFonts w:hint="eastAsia"/>
        </w:rPr>
        <w:t>，</w:t>
      </w:r>
      <w:r w:rsidR="009201F7" w:rsidRPr="009201F7">
        <w:t>https://shippingdigest.tw/news/20230407n4/</w:t>
      </w:r>
      <w:r w:rsidR="009201F7">
        <w:rPr>
          <w:rFonts w:hint="eastAsia"/>
        </w:rPr>
        <w:t>(最後瀏覽日:114年3月17日)。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61DF"/>
    <w:rsid w:val="00016614"/>
    <w:rsid w:val="00016713"/>
    <w:rsid w:val="0001708B"/>
    <w:rsid w:val="0001757D"/>
    <w:rsid w:val="00017ABF"/>
    <w:rsid w:val="00017C89"/>
    <w:rsid w:val="00020415"/>
    <w:rsid w:val="00020E37"/>
    <w:rsid w:val="000221B3"/>
    <w:rsid w:val="00022F13"/>
    <w:rsid w:val="00024270"/>
    <w:rsid w:val="00024378"/>
    <w:rsid w:val="00025FDB"/>
    <w:rsid w:val="00026E7E"/>
    <w:rsid w:val="00027514"/>
    <w:rsid w:val="0003138B"/>
    <w:rsid w:val="000313F1"/>
    <w:rsid w:val="00031535"/>
    <w:rsid w:val="0003237E"/>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19EA"/>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2F"/>
    <w:rsid w:val="00097365"/>
    <w:rsid w:val="000975E7"/>
    <w:rsid w:val="00097882"/>
    <w:rsid w:val="00097C2D"/>
    <w:rsid w:val="000A052C"/>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D3E"/>
    <w:rsid w:val="000B2C7E"/>
    <w:rsid w:val="000B3A6F"/>
    <w:rsid w:val="000B4B46"/>
    <w:rsid w:val="000B4CF2"/>
    <w:rsid w:val="000B5270"/>
    <w:rsid w:val="000B54CE"/>
    <w:rsid w:val="000B553B"/>
    <w:rsid w:val="000B69EA"/>
    <w:rsid w:val="000B6BEE"/>
    <w:rsid w:val="000B7BE6"/>
    <w:rsid w:val="000B7F0F"/>
    <w:rsid w:val="000C0944"/>
    <w:rsid w:val="000C13F9"/>
    <w:rsid w:val="000C1C0A"/>
    <w:rsid w:val="000C28C6"/>
    <w:rsid w:val="000C3160"/>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17D5"/>
    <w:rsid w:val="000F20BC"/>
    <w:rsid w:val="000F2B31"/>
    <w:rsid w:val="000F2D09"/>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959"/>
    <w:rsid w:val="00131F99"/>
    <w:rsid w:val="00133881"/>
    <w:rsid w:val="00133DCD"/>
    <w:rsid w:val="00134DB1"/>
    <w:rsid w:val="0013513F"/>
    <w:rsid w:val="0013622D"/>
    <w:rsid w:val="001363A5"/>
    <w:rsid w:val="00136417"/>
    <w:rsid w:val="00137804"/>
    <w:rsid w:val="00137A09"/>
    <w:rsid w:val="00137F9D"/>
    <w:rsid w:val="0014022A"/>
    <w:rsid w:val="0014057D"/>
    <w:rsid w:val="00140617"/>
    <w:rsid w:val="00143B5A"/>
    <w:rsid w:val="00143FAA"/>
    <w:rsid w:val="00143FE7"/>
    <w:rsid w:val="00144272"/>
    <w:rsid w:val="0014535C"/>
    <w:rsid w:val="00145DEC"/>
    <w:rsid w:val="00146B6F"/>
    <w:rsid w:val="00146FE2"/>
    <w:rsid w:val="001471FA"/>
    <w:rsid w:val="00150226"/>
    <w:rsid w:val="00150267"/>
    <w:rsid w:val="00150F66"/>
    <w:rsid w:val="001524EF"/>
    <w:rsid w:val="00152D38"/>
    <w:rsid w:val="00153ACF"/>
    <w:rsid w:val="0015466D"/>
    <w:rsid w:val="001550F5"/>
    <w:rsid w:val="001555CD"/>
    <w:rsid w:val="00155A9D"/>
    <w:rsid w:val="00156BB1"/>
    <w:rsid w:val="00156E29"/>
    <w:rsid w:val="00156FFE"/>
    <w:rsid w:val="00157086"/>
    <w:rsid w:val="001600BA"/>
    <w:rsid w:val="00160DB7"/>
    <w:rsid w:val="00160DE5"/>
    <w:rsid w:val="00161093"/>
    <w:rsid w:val="0016164B"/>
    <w:rsid w:val="00161C84"/>
    <w:rsid w:val="001620B7"/>
    <w:rsid w:val="00163352"/>
    <w:rsid w:val="00163F45"/>
    <w:rsid w:val="001644B5"/>
    <w:rsid w:val="0016488E"/>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299"/>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70D"/>
    <w:rsid w:val="001F695F"/>
    <w:rsid w:val="001F6BB0"/>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9C7"/>
    <w:rsid w:val="00257B7A"/>
    <w:rsid w:val="0026036C"/>
    <w:rsid w:val="002609DB"/>
    <w:rsid w:val="002610BB"/>
    <w:rsid w:val="0026125A"/>
    <w:rsid w:val="002616C3"/>
    <w:rsid w:val="00261A62"/>
    <w:rsid w:val="00261BE0"/>
    <w:rsid w:val="00261E1F"/>
    <w:rsid w:val="002634CD"/>
    <w:rsid w:val="00265A88"/>
    <w:rsid w:val="00265C3D"/>
    <w:rsid w:val="00266C3B"/>
    <w:rsid w:val="002710E6"/>
    <w:rsid w:val="0027111E"/>
    <w:rsid w:val="002721A5"/>
    <w:rsid w:val="00272C6A"/>
    <w:rsid w:val="002742B0"/>
    <w:rsid w:val="00274516"/>
    <w:rsid w:val="00274B69"/>
    <w:rsid w:val="002753DE"/>
    <w:rsid w:val="00275B60"/>
    <w:rsid w:val="00275FDE"/>
    <w:rsid w:val="00276A38"/>
    <w:rsid w:val="00277A09"/>
    <w:rsid w:val="0028035D"/>
    <w:rsid w:val="0028199F"/>
    <w:rsid w:val="00281A0C"/>
    <w:rsid w:val="00281BA1"/>
    <w:rsid w:val="00282515"/>
    <w:rsid w:val="00282529"/>
    <w:rsid w:val="00282B01"/>
    <w:rsid w:val="00282F5F"/>
    <w:rsid w:val="002860CF"/>
    <w:rsid w:val="00286DCE"/>
    <w:rsid w:val="00286F80"/>
    <w:rsid w:val="00287225"/>
    <w:rsid w:val="002901FA"/>
    <w:rsid w:val="00290795"/>
    <w:rsid w:val="002909FA"/>
    <w:rsid w:val="00291044"/>
    <w:rsid w:val="00291253"/>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843"/>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40C0"/>
    <w:rsid w:val="002F4E0C"/>
    <w:rsid w:val="002F5386"/>
    <w:rsid w:val="002F55D1"/>
    <w:rsid w:val="002F588F"/>
    <w:rsid w:val="002F5E45"/>
    <w:rsid w:val="002F6947"/>
    <w:rsid w:val="002F7A6F"/>
    <w:rsid w:val="003006F1"/>
    <w:rsid w:val="003014F8"/>
    <w:rsid w:val="00301616"/>
    <w:rsid w:val="00302581"/>
    <w:rsid w:val="0030268C"/>
    <w:rsid w:val="00302B0F"/>
    <w:rsid w:val="00302FD7"/>
    <w:rsid w:val="003031B8"/>
    <w:rsid w:val="0030406A"/>
    <w:rsid w:val="00305CA8"/>
    <w:rsid w:val="00306524"/>
    <w:rsid w:val="0030739A"/>
    <w:rsid w:val="003074C4"/>
    <w:rsid w:val="0030791F"/>
    <w:rsid w:val="0031086E"/>
    <w:rsid w:val="00310ABC"/>
    <w:rsid w:val="00310B94"/>
    <w:rsid w:val="0031209A"/>
    <w:rsid w:val="00312570"/>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46F14"/>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6FB2"/>
    <w:rsid w:val="003576DA"/>
    <w:rsid w:val="0036014D"/>
    <w:rsid w:val="00360786"/>
    <w:rsid w:val="00360909"/>
    <w:rsid w:val="00360ACB"/>
    <w:rsid w:val="0036136D"/>
    <w:rsid w:val="00361483"/>
    <w:rsid w:val="00361933"/>
    <w:rsid w:val="00362696"/>
    <w:rsid w:val="00363AB8"/>
    <w:rsid w:val="00365558"/>
    <w:rsid w:val="003657B8"/>
    <w:rsid w:val="00366411"/>
    <w:rsid w:val="00366556"/>
    <w:rsid w:val="0036715A"/>
    <w:rsid w:val="003673FA"/>
    <w:rsid w:val="00367E2F"/>
    <w:rsid w:val="003712E2"/>
    <w:rsid w:val="00372E5D"/>
    <w:rsid w:val="00373B5F"/>
    <w:rsid w:val="00375365"/>
    <w:rsid w:val="00375582"/>
    <w:rsid w:val="003762F3"/>
    <w:rsid w:val="003765A5"/>
    <w:rsid w:val="00377B9A"/>
    <w:rsid w:val="00380DAA"/>
    <w:rsid w:val="003831D5"/>
    <w:rsid w:val="00383385"/>
    <w:rsid w:val="00384610"/>
    <w:rsid w:val="003854E6"/>
    <w:rsid w:val="003857F1"/>
    <w:rsid w:val="00386E96"/>
    <w:rsid w:val="00386F67"/>
    <w:rsid w:val="0038704D"/>
    <w:rsid w:val="00387317"/>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7D3"/>
    <w:rsid w:val="003A08AE"/>
    <w:rsid w:val="003A0B4F"/>
    <w:rsid w:val="003A0D40"/>
    <w:rsid w:val="003A1223"/>
    <w:rsid w:val="003A152A"/>
    <w:rsid w:val="003A2A46"/>
    <w:rsid w:val="003A4182"/>
    <w:rsid w:val="003A5955"/>
    <w:rsid w:val="003A5AC9"/>
    <w:rsid w:val="003A6620"/>
    <w:rsid w:val="003A70B8"/>
    <w:rsid w:val="003A7610"/>
    <w:rsid w:val="003A7866"/>
    <w:rsid w:val="003B0A3D"/>
    <w:rsid w:val="003B137F"/>
    <w:rsid w:val="003B2402"/>
    <w:rsid w:val="003B2B2E"/>
    <w:rsid w:val="003B5CD4"/>
    <w:rsid w:val="003B62AC"/>
    <w:rsid w:val="003B6C49"/>
    <w:rsid w:val="003B6D9C"/>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6F9B"/>
    <w:rsid w:val="003C70C0"/>
    <w:rsid w:val="003C7340"/>
    <w:rsid w:val="003C76AB"/>
    <w:rsid w:val="003C7A80"/>
    <w:rsid w:val="003C7CD4"/>
    <w:rsid w:val="003D0409"/>
    <w:rsid w:val="003D1157"/>
    <w:rsid w:val="003D19B1"/>
    <w:rsid w:val="003D200D"/>
    <w:rsid w:val="003D2A7A"/>
    <w:rsid w:val="003D384D"/>
    <w:rsid w:val="003D49E4"/>
    <w:rsid w:val="003D5889"/>
    <w:rsid w:val="003D6C3E"/>
    <w:rsid w:val="003D6C80"/>
    <w:rsid w:val="003D75D7"/>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1FC3"/>
    <w:rsid w:val="003F24E4"/>
    <w:rsid w:val="003F2B98"/>
    <w:rsid w:val="003F3A23"/>
    <w:rsid w:val="003F3AA0"/>
    <w:rsid w:val="003F3F9F"/>
    <w:rsid w:val="003F4890"/>
    <w:rsid w:val="003F4D4D"/>
    <w:rsid w:val="003F627C"/>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17D8"/>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525"/>
    <w:rsid w:val="00487E4A"/>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4119"/>
    <w:rsid w:val="004A4B92"/>
    <w:rsid w:val="004A5C14"/>
    <w:rsid w:val="004A5F9E"/>
    <w:rsid w:val="004A6E66"/>
    <w:rsid w:val="004A7204"/>
    <w:rsid w:val="004A7248"/>
    <w:rsid w:val="004B088B"/>
    <w:rsid w:val="004B11F3"/>
    <w:rsid w:val="004B179F"/>
    <w:rsid w:val="004B1EA3"/>
    <w:rsid w:val="004B22C0"/>
    <w:rsid w:val="004B23D0"/>
    <w:rsid w:val="004B27D1"/>
    <w:rsid w:val="004B3465"/>
    <w:rsid w:val="004B5117"/>
    <w:rsid w:val="004B53FF"/>
    <w:rsid w:val="004B57AF"/>
    <w:rsid w:val="004B5A61"/>
    <w:rsid w:val="004B6D0F"/>
    <w:rsid w:val="004B7519"/>
    <w:rsid w:val="004B798A"/>
    <w:rsid w:val="004C0CCA"/>
    <w:rsid w:val="004C0F72"/>
    <w:rsid w:val="004C3093"/>
    <w:rsid w:val="004C3344"/>
    <w:rsid w:val="004C3736"/>
    <w:rsid w:val="004C3A63"/>
    <w:rsid w:val="004C3EA1"/>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5DA5"/>
    <w:rsid w:val="004D666E"/>
    <w:rsid w:val="004D6E2F"/>
    <w:rsid w:val="004D77D4"/>
    <w:rsid w:val="004D7C27"/>
    <w:rsid w:val="004D7C4A"/>
    <w:rsid w:val="004E03C7"/>
    <w:rsid w:val="004E0FE4"/>
    <w:rsid w:val="004E1553"/>
    <w:rsid w:val="004E1ACE"/>
    <w:rsid w:val="004E252B"/>
    <w:rsid w:val="004E26B2"/>
    <w:rsid w:val="004E2DDF"/>
    <w:rsid w:val="004E3539"/>
    <w:rsid w:val="004E3AC2"/>
    <w:rsid w:val="004E4271"/>
    <w:rsid w:val="004E52A2"/>
    <w:rsid w:val="004E61C3"/>
    <w:rsid w:val="004E638A"/>
    <w:rsid w:val="004E7B0C"/>
    <w:rsid w:val="004F025A"/>
    <w:rsid w:val="004F0AB3"/>
    <w:rsid w:val="004F0B63"/>
    <w:rsid w:val="004F137B"/>
    <w:rsid w:val="004F217D"/>
    <w:rsid w:val="004F21C7"/>
    <w:rsid w:val="004F2772"/>
    <w:rsid w:val="004F2932"/>
    <w:rsid w:val="004F34EA"/>
    <w:rsid w:val="004F3BC5"/>
    <w:rsid w:val="004F545F"/>
    <w:rsid w:val="004F5BF8"/>
    <w:rsid w:val="004F609E"/>
    <w:rsid w:val="00500B6D"/>
    <w:rsid w:val="00500C14"/>
    <w:rsid w:val="00500DD8"/>
    <w:rsid w:val="00502D65"/>
    <w:rsid w:val="0050317C"/>
    <w:rsid w:val="00503B65"/>
    <w:rsid w:val="00504790"/>
    <w:rsid w:val="005048F0"/>
    <w:rsid w:val="00504BAD"/>
    <w:rsid w:val="00504C05"/>
    <w:rsid w:val="00504F89"/>
    <w:rsid w:val="005063C5"/>
    <w:rsid w:val="00506FBE"/>
    <w:rsid w:val="00507974"/>
    <w:rsid w:val="00507C9D"/>
    <w:rsid w:val="0051179C"/>
    <w:rsid w:val="005118FF"/>
    <w:rsid w:val="00512327"/>
    <w:rsid w:val="0051273A"/>
    <w:rsid w:val="00512C34"/>
    <w:rsid w:val="00513333"/>
    <w:rsid w:val="0051378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FF8"/>
    <w:rsid w:val="0056024B"/>
    <w:rsid w:val="0056101C"/>
    <w:rsid w:val="005613FB"/>
    <w:rsid w:val="00561AB9"/>
    <w:rsid w:val="0056307F"/>
    <w:rsid w:val="0056435C"/>
    <w:rsid w:val="00564D25"/>
    <w:rsid w:val="00564D70"/>
    <w:rsid w:val="00564EE8"/>
    <w:rsid w:val="00565338"/>
    <w:rsid w:val="00565D23"/>
    <w:rsid w:val="00565E6A"/>
    <w:rsid w:val="00567B73"/>
    <w:rsid w:val="00567C7A"/>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C3F"/>
    <w:rsid w:val="00594D4E"/>
    <w:rsid w:val="0059559C"/>
    <w:rsid w:val="005962B9"/>
    <w:rsid w:val="00596F6D"/>
    <w:rsid w:val="00597877"/>
    <w:rsid w:val="00597E27"/>
    <w:rsid w:val="005A0407"/>
    <w:rsid w:val="005A0B65"/>
    <w:rsid w:val="005A1269"/>
    <w:rsid w:val="005A1C99"/>
    <w:rsid w:val="005A1DF8"/>
    <w:rsid w:val="005A2CEB"/>
    <w:rsid w:val="005A3485"/>
    <w:rsid w:val="005A3B4C"/>
    <w:rsid w:val="005A4F22"/>
    <w:rsid w:val="005A5D75"/>
    <w:rsid w:val="005A6D27"/>
    <w:rsid w:val="005A76DF"/>
    <w:rsid w:val="005B0081"/>
    <w:rsid w:val="005B024C"/>
    <w:rsid w:val="005B07E0"/>
    <w:rsid w:val="005B1312"/>
    <w:rsid w:val="005B1364"/>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28E"/>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828"/>
    <w:rsid w:val="0063308B"/>
    <w:rsid w:val="00633493"/>
    <w:rsid w:val="00633617"/>
    <w:rsid w:val="0063478D"/>
    <w:rsid w:val="006351E5"/>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618D"/>
    <w:rsid w:val="00666DF9"/>
    <w:rsid w:val="006677D1"/>
    <w:rsid w:val="00667887"/>
    <w:rsid w:val="00667EA6"/>
    <w:rsid w:val="00670D1B"/>
    <w:rsid w:val="00671518"/>
    <w:rsid w:val="00671C43"/>
    <w:rsid w:val="00671D7F"/>
    <w:rsid w:val="00672B14"/>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4642"/>
    <w:rsid w:val="006C5A87"/>
    <w:rsid w:val="006C5DAA"/>
    <w:rsid w:val="006C5F25"/>
    <w:rsid w:val="006C600E"/>
    <w:rsid w:val="006C6754"/>
    <w:rsid w:val="006C6D26"/>
    <w:rsid w:val="006C716A"/>
    <w:rsid w:val="006C759F"/>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AFB"/>
    <w:rsid w:val="006E7DA7"/>
    <w:rsid w:val="006F0274"/>
    <w:rsid w:val="006F159C"/>
    <w:rsid w:val="006F1E4C"/>
    <w:rsid w:val="006F2A74"/>
    <w:rsid w:val="006F3122"/>
    <w:rsid w:val="006F3211"/>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DAF"/>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DA5"/>
    <w:rsid w:val="00747C65"/>
    <w:rsid w:val="00747D0F"/>
    <w:rsid w:val="00751C88"/>
    <w:rsid w:val="00752516"/>
    <w:rsid w:val="00754548"/>
    <w:rsid w:val="007545D3"/>
    <w:rsid w:val="00754FC1"/>
    <w:rsid w:val="00755244"/>
    <w:rsid w:val="00755EE5"/>
    <w:rsid w:val="0075610C"/>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5022"/>
    <w:rsid w:val="007A5A77"/>
    <w:rsid w:val="007A648E"/>
    <w:rsid w:val="007A6587"/>
    <w:rsid w:val="007A7F92"/>
    <w:rsid w:val="007B020C"/>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D07DB"/>
    <w:rsid w:val="007D088E"/>
    <w:rsid w:val="007D0F87"/>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F24"/>
    <w:rsid w:val="007F5113"/>
    <w:rsid w:val="007F549C"/>
    <w:rsid w:val="007F6569"/>
    <w:rsid w:val="007F69FE"/>
    <w:rsid w:val="007F6A45"/>
    <w:rsid w:val="007F6C65"/>
    <w:rsid w:val="007F6EB1"/>
    <w:rsid w:val="00801347"/>
    <w:rsid w:val="008017EF"/>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AA3"/>
    <w:rsid w:val="008207B0"/>
    <w:rsid w:val="0082088D"/>
    <w:rsid w:val="00820B1C"/>
    <w:rsid w:val="00820D9E"/>
    <w:rsid w:val="00820E5C"/>
    <w:rsid w:val="00821405"/>
    <w:rsid w:val="008215F5"/>
    <w:rsid w:val="00821913"/>
    <w:rsid w:val="00821D89"/>
    <w:rsid w:val="00823C5D"/>
    <w:rsid w:val="00824419"/>
    <w:rsid w:val="00825AEF"/>
    <w:rsid w:val="0082602F"/>
    <w:rsid w:val="00826116"/>
    <w:rsid w:val="008261A4"/>
    <w:rsid w:val="00826C4D"/>
    <w:rsid w:val="00827710"/>
    <w:rsid w:val="00827B5C"/>
    <w:rsid w:val="00827BFB"/>
    <w:rsid w:val="0083138B"/>
    <w:rsid w:val="00831571"/>
    <w:rsid w:val="0083159F"/>
    <w:rsid w:val="00831A49"/>
    <w:rsid w:val="00832825"/>
    <w:rsid w:val="008329ED"/>
    <w:rsid w:val="00833783"/>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E82"/>
    <w:rsid w:val="00853801"/>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16EA"/>
    <w:rsid w:val="008D2360"/>
    <w:rsid w:val="008D31FC"/>
    <w:rsid w:val="008D34C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59A4"/>
    <w:rsid w:val="00915E68"/>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0D07"/>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FF4"/>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6FC"/>
    <w:rsid w:val="009D0D0D"/>
    <w:rsid w:val="009D0E69"/>
    <w:rsid w:val="009D1753"/>
    <w:rsid w:val="009D2B7C"/>
    <w:rsid w:val="009D322C"/>
    <w:rsid w:val="009D467C"/>
    <w:rsid w:val="009D5091"/>
    <w:rsid w:val="009D6128"/>
    <w:rsid w:val="009D6137"/>
    <w:rsid w:val="009D6D9B"/>
    <w:rsid w:val="009D7CC8"/>
    <w:rsid w:val="009E0144"/>
    <w:rsid w:val="009E07A6"/>
    <w:rsid w:val="009E0EEB"/>
    <w:rsid w:val="009E19DA"/>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5C10"/>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12BB"/>
    <w:rsid w:val="00A21659"/>
    <w:rsid w:val="00A21DC8"/>
    <w:rsid w:val="00A21E20"/>
    <w:rsid w:val="00A22A54"/>
    <w:rsid w:val="00A22B0A"/>
    <w:rsid w:val="00A22F26"/>
    <w:rsid w:val="00A22F52"/>
    <w:rsid w:val="00A24115"/>
    <w:rsid w:val="00A245C2"/>
    <w:rsid w:val="00A24E36"/>
    <w:rsid w:val="00A253ED"/>
    <w:rsid w:val="00A2616D"/>
    <w:rsid w:val="00A261BB"/>
    <w:rsid w:val="00A2658F"/>
    <w:rsid w:val="00A26836"/>
    <w:rsid w:val="00A27873"/>
    <w:rsid w:val="00A279FA"/>
    <w:rsid w:val="00A27CD6"/>
    <w:rsid w:val="00A27FCC"/>
    <w:rsid w:val="00A30D58"/>
    <w:rsid w:val="00A310E1"/>
    <w:rsid w:val="00A327E1"/>
    <w:rsid w:val="00A32891"/>
    <w:rsid w:val="00A331C0"/>
    <w:rsid w:val="00A33E8B"/>
    <w:rsid w:val="00A34873"/>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8D4"/>
    <w:rsid w:val="00A54A3B"/>
    <w:rsid w:val="00A55005"/>
    <w:rsid w:val="00A55A9C"/>
    <w:rsid w:val="00A55DC9"/>
    <w:rsid w:val="00A5609B"/>
    <w:rsid w:val="00A56953"/>
    <w:rsid w:val="00A56A1E"/>
    <w:rsid w:val="00A56FE5"/>
    <w:rsid w:val="00A61F11"/>
    <w:rsid w:val="00A625B7"/>
    <w:rsid w:val="00A6267F"/>
    <w:rsid w:val="00A63259"/>
    <w:rsid w:val="00A63366"/>
    <w:rsid w:val="00A6336E"/>
    <w:rsid w:val="00A63C8F"/>
    <w:rsid w:val="00A6414D"/>
    <w:rsid w:val="00A64476"/>
    <w:rsid w:val="00A6455E"/>
    <w:rsid w:val="00A649E9"/>
    <w:rsid w:val="00A64B4C"/>
    <w:rsid w:val="00A652EC"/>
    <w:rsid w:val="00A653C6"/>
    <w:rsid w:val="00A66476"/>
    <w:rsid w:val="00A66A53"/>
    <w:rsid w:val="00A672B4"/>
    <w:rsid w:val="00A6740C"/>
    <w:rsid w:val="00A67B70"/>
    <w:rsid w:val="00A7069C"/>
    <w:rsid w:val="00A70C9F"/>
    <w:rsid w:val="00A71BC6"/>
    <w:rsid w:val="00A7201F"/>
    <w:rsid w:val="00A7222C"/>
    <w:rsid w:val="00A7268D"/>
    <w:rsid w:val="00A72AF7"/>
    <w:rsid w:val="00A730E7"/>
    <w:rsid w:val="00A7350B"/>
    <w:rsid w:val="00A7738A"/>
    <w:rsid w:val="00A80332"/>
    <w:rsid w:val="00A809AF"/>
    <w:rsid w:val="00A80A0D"/>
    <w:rsid w:val="00A81110"/>
    <w:rsid w:val="00A812BD"/>
    <w:rsid w:val="00A81558"/>
    <w:rsid w:val="00A820FA"/>
    <w:rsid w:val="00A82150"/>
    <w:rsid w:val="00A8239A"/>
    <w:rsid w:val="00A823D3"/>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14A4"/>
    <w:rsid w:val="00AC1E37"/>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5BEB"/>
    <w:rsid w:val="00AD5D69"/>
    <w:rsid w:val="00AD603A"/>
    <w:rsid w:val="00AD62E4"/>
    <w:rsid w:val="00AD6711"/>
    <w:rsid w:val="00AD6881"/>
    <w:rsid w:val="00AD7214"/>
    <w:rsid w:val="00AD7FFD"/>
    <w:rsid w:val="00AE03B7"/>
    <w:rsid w:val="00AE07D9"/>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129C"/>
    <w:rsid w:val="00B4278A"/>
    <w:rsid w:val="00B43AD5"/>
    <w:rsid w:val="00B43E75"/>
    <w:rsid w:val="00B445E4"/>
    <w:rsid w:val="00B447DE"/>
    <w:rsid w:val="00B449DF"/>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1DD"/>
    <w:rsid w:val="00B83245"/>
    <w:rsid w:val="00B83ADC"/>
    <w:rsid w:val="00B84174"/>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EF1"/>
    <w:rsid w:val="00BC3F65"/>
    <w:rsid w:val="00BC4397"/>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A69"/>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FF3"/>
    <w:rsid w:val="00C24457"/>
    <w:rsid w:val="00C245D6"/>
    <w:rsid w:val="00C250E9"/>
    <w:rsid w:val="00C25448"/>
    <w:rsid w:val="00C25A3E"/>
    <w:rsid w:val="00C25EDF"/>
    <w:rsid w:val="00C262B5"/>
    <w:rsid w:val="00C264BF"/>
    <w:rsid w:val="00C26897"/>
    <w:rsid w:val="00C26C34"/>
    <w:rsid w:val="00C2703B"/>
    <w:rsid w:val="00C27315"/>
    <w:rsid w:val="00C275A0"/>
    <w:rsid w:val="00C27CA6"/>
    <w:rsid w:val="00C27E37"/>
    <w:rsid w:val="00C304FC"/>
    <w:rsid w:val="00C3103B"/>
    <w:rsid w:val="00C31D20"/>
    <w:rsid w:val="00C3225E"/>
    <w:rsid w:val="00C32FDA"/>
    <w:rsid w:val="00C34123"/>
    <w:rsid w:val="00C34A68"/>
    <w:rsid w:val="00C35213"/>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55E6"/>
    <w:rsid w:val="00C562B1"/>
    <w:rsid w:val="00C61279"/>
    <w:rsid w:val="00C615F6"/>
    <w:rsid w:val="00C618C2"/>
    <w:rsid w:val="00C62687"/>
    <w:rsid w:val="00C63B73"/>
    <w:rsid w:val="00C63DA3"/>
    <w:rsid w:val="00C6468C"/>
    <w:rsid w:val="00C6593A"/>
    <w:rsid w:val="00C66484"/>
    <w:rsid w:val="00C6737F"/>
    <w:rsid w:val="00C67A11"/>
    <w:rsid w:val="00C67E99"/>
    <w:rsid w:val="00C71403"/>
    <w:rsid w:val="00C71848"/>
    <w:rsid w:val="00C72426"/>
    <w:rsid w:val="00C72A82"/>
    <w:rsid w:val="00C72FA5"/>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65B"/>
    <w:rsid w:val="00C97C80"/>
    <w:rsid w:val="00CA0BCA"/>
    <w:rsid w:val="00CA1BEE"/>
    <w:rsid w:val="00CA1C6A"/>
    <w:rsid w:val="00CA20FE"/>
    <w:rsid w:val="00CA2142"/>
    <w:rsid w:val="00CA2805"/>
    <w:rsid w:val="00CA297D"/>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2C9"/>
    <w:rsid w:val="00D236E2"/>
    <w:rsid w:val="00D24549"/>
    <w:rsid w:val="00D2495A"/>
    <w:rsid w:val="00D24BDD"/>
    <w:rsid w:val="00D24D41"/>
    <w:rsid w:val="00D2521A"/>
    <w:rsid w:val="00D271BA"/>
    <w:rsid w:val="00D27A6C"/>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22B"/>
    <w:rsid w:val="00D613E4"/>
    <w:rsid w:val="00D61C26"/>
    <w:rsid w:val="00D62438"/>
    <w:rsid w:val="00D64172"/>
    <w:rsid w:val="00D64418"/>
    <w:rsid w:val="00D64460"/>
    <w:rsid w:val="00D64517"/>
    <w:rsid w:val="00D64778"/>
    <w:rsid w:val="00D652CD"/>
    <w:rsid w:val="00D65669"/>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150"/>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74C"/>
    <w:rsid w:val="00DB5284"/>
    <w:rsid w:val="00DB5700"/>
    <w:rsid w:val="00DB575F"/>
    <w:rsid w:val="00DB5AAB"/>
    <w:rsid w:val="00DB6EE0"/>
    <w:rsid w:val="00DB72B2"/>
    <w:rsid w:val="00DB7BB2"/>
    <w:rsid w:val="00DB7DFB"/>
    <w:rsid w:val="00DC1ED8"/>
    <w:rsid w:val="00DC25F7"/>
    <w:rsid w:val="00DC2DBC"/>
    <w:rsid w:val="00DC2F07"/>
    <w:rsid w:val="00DC3300"/>
    <w:rsid w:val="00DC3D1A"/>
    <w:rsid w:val="00DC412B"/>
    <w:rsid w:val="00DC473B"/>
    <w:rsid w:val="00DC56BA"/>
    <w:rsid w:val="00DD011C"/>
    <w:rsid w:val="00DD1314"/>
    <w:rsid w:val="00DD2098"/>
    <w:rsid w:val="00DD212C"/>
    <w:rsid w:val="00DD2362"/>
    <w:rsid w:val="00DD3B33"/>
    <w:rsid w:val="00DD4C62"/>
    <w:rsid w:val="00DD4E3B"/>
    <w:rsid w:val="00DD711C"/>
    <w:rsid w:val="00DD7519"/>
    <w:rsid w:val="00DD7A17"/>
    <w:rsid w:val="00DD7E75"/>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6F93"/>
    <w:rsid w:val="00E07395"/>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5832"/>
    <w:rsid w:val="00E25A03"/>
    <w:rsid w:val="00E2639F"/>
    <w:rsid w:val="00E27461"/>
    <w:rsid w:val="00E2797E"/>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37F99"/>
    <w:rsid w:val="00E40098"/>
    <w:rsid w:val="00E404F4"/>
    <w:rsid w:val="00E40C88"/>
    <w:rsid w:val="00E41156"/>
    <w:rsid w:val="00E411FC"/>
    <w:rsid w:val="00E4150D"/>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A40"/>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3A9"/>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00D"/>
    <w:rsid w:val="00E911DA"/>
    <w:rsid w:val="00E914F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551"/>
    <w:rsid w:val="00EA784E"/>
    <w:rsid w:val="00EB0054"/>
    <w:rsid w:val="00EB054E"/>
    <w:rsid w:val="00EB082C"/>
    <w:rsid w:val="00EB0846"/>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A01"/>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C4A"/>
    <w:rsid w:val="00F24EA1"/>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65"/>
    <w:rsid w:val="00F417D0"/>
    <w:rsid w:val="00F41F5D"/>
    <w:rsid w:val="00F424AC"/>
    <w:rsid w:val="00F437E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56C4"/>
    <w:rsid w:val="00F76207"/>
    <w:rsid w:val="00F778A8"/>
    <w:rsid w:val="00F7792B"/>
    <w:rsid w:val="00F77B58"/>
    <w:rsid w:val="00F82561"/>
    <w:rsid w:val="00F84219"/>
    <w:rsid w:val="00F84633"/>
    <w:rsid w:val="00F84A7E"/>
    <w:rsid w:val="00F84B92"/>
    <w:rsid w:val="00F8604A"/>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F9F"/>
    <w:rsid w:val="00FE1351"/>
    <w:rsid w:val="00FE1FDC"/>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1EC3"/>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A2DC9E-C91F-4B2B-BBD3-F4D45948E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10250-820F-4427-9BC1-6FA3EB05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312</Words>
  <Characters>1780</Characters>
  <Application>Microsoft Office Word</Application>
  <DocSecurity>0</DocSecurity>
  <Lines>14</Lines>
  <Paragraphs>4</Paragraphs>
  <ScaleCrop>false</ScaleCrop>
  <Company/>
  <LinksUpToDate>false</LinksUpToDate>
  <CharactersWithSpaces>2088</CharactersWithSpaces>
  <SharedDoc>false</SharedDoc>
  <HLinks>
    <vt:vector size="18" baseType="variant">
      <vt:variant>
        <vt:i4>1572917</vt:i4>
      </vt:variant>
      <vt:variant>
        <vt:i4>14</vt:i4>
      </vt:variant>
      <vt:variant>
        <vt:i4>0</vt:i4>
      </vt:variant>
      <vt:variant>
        <vt:i4>5</vt:i4>
      </vt:variant>
      <vt:variant>
        <vt:lpwstr/>
      </vt:variant>
      <vt:variant>
        <vt:lpwstr>_Toc193722530</vt:lpwstr>
      </vt:variant>
      <vt:variant>
        <vt:i4>1638453</vt:i4>
      </vt:variant>
      <vt:variant>
        <vt:i4>8</vt:i4>
      </vt:variant>
      <vt:variant>
        <vt:i4>0</vt:i4>
      </vt:variant>
      <vt:variant>
        <vt:i4>5</vt:i4>
      </vt:variant>
      <vt:variant>
        <vt:lpwstr/>
      </vt:variant>
      <vt:variant>
        <vt:lpwstr>_Toc193722529</vt:lpwstr>
      </vt:variant>
      <vt:variant>
        <vt:i4>1638453</vt:i4>
      </vt:variant>
      <vt:variant>
        <vt:i4>2</vt:i4>
      </vt:variant>
      <vt:variant>
        <vt:i4>0</vt:i4>
      </vt:variant>
      <vt:variant>
        <vt:i4>5</vt:i4>
      </vt:variant>
      <vt:variant>
        <vt:lpwstr/>
      </vt:variant>
      <vt:variant>
        <vt:lpwstr>_Toc193722528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2025-03-24T07:30:00Z</cp:lastPrinted>
  <dcterms:created xsi:type="dcterms:W3CDTF">2025-04-10T02:33:00Z</dcterms:created>
  <dcterms:modified xsi:type="dcterms:W3CDTF">2025-04-10T02:33:00Z</dcterms:modified>
</cp:coreProperties>
</file>