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75" w:rsidRPr="0032536D" w:rsidRDefault="00D95C75" w:rsidP="00036BA6">
      <w:pPr>
        <w:pStyle w:val="aa"/>
        <w:rPr>
          <w:rFonts w:hAnsi="標楷體"/>
          <w:spacing w:val="-4"/>
        </w:rPr>
      </w:pPr>
      <w:bookmarkStart w:id="0" w:name="_Hlk182297217"/>
      <w:bookmarkStart w:id="1" w:name="_GoBack"/>
      <w:bookmarkEnd w:id="1"/>
      <w:r w:rsidRPr="0032536D">
        <w:rPr>
          <w:rFonts w:hAnsi="標楷體" w:hint="eastAsia"/>
          <w:spacing w:val="-4"/>
        </w:rPr>
        <w:t>臺銀人壽保險股份有限公司11</w:t>
      </w:r>
      <w:r w:rsidR="00B23FF7">
        <w:rPr>
          <w:rFonts w:hAnsi="標楷體"/>
          <w:spacing w:val="-4"/>
        </w:rPr>
        <w:t>2</w:t>
      </w:r>
      <w:r w:rsidRPr="0032536D">
        <w:rPr>
          <w:rFonts w:hAnsi="標楷體" w:hint="eastAsia"/>
          <w:spacing w:val="-4"/>
        </w:rPr>
        <w:t>年度營業</w:t>
      </w:r>
      <w:r w:rsidR="00B23FF7" w:rsidRPr="000B5578">
        <w:rPr>
          <w:rFonts w:hAnsi="標楷體"/>
          <w:spacing w:val="-20"/>
        </w:rPr>
        <w:t>決</w:t>
      </w:r>
      <w:r w:rsidRPr="0032536D">
        <w:rPr>
          <w:rFonts w:hAnsi="標楷體" w:hint="eastAsia"/>
          <w:spacing w:val="-4"/>
        </w:rPr>
        <w:t>算評估報告</w:t>
      </w:r>
    </w:p>
    <w:bookmarkEnd w:id="0"/>
    <w:p w:rsidR="00D95C75" w:rsidRDefault="00100CFE" w:rsidP="00036BA6">
      <w:pPr>
        <w:pStyle w:val="a8"/>
        <w:ind w:firstLine="566"/>
        <w:rPr>
          <w:rFonts w:hAnsi="標楷體"/>
        </w:rPr>
      </w:pPr>
      <w:r w:rsidRPr="00100CFE">
        <w:rPr>
          <w:rFonts w:hAnsi="標楷體" w:hint="eastAsia"/>
        </w:rPr>
        <w:t>臺銀人壽保險股份有限公司(以下簡稱臺銀人壽)主要任務係依保險法規定辦理人身保險業務，並受政府委託辦理軍人保險及替代役保險業務等。臺銀人壽112年度決算之營業收入436億4,474萬4千元，營業成本438億998萬6千元，營業費用8億1,374萬9千元，收支相抵後營業損失9億7,899萬2千元；另營業外收入2,156萬5千元，營業外費用3,096萬2千元，收支相抵後營業外損失939萬7千元；併計前揭營業利益及營業外利益之稅前淨損9億8,838萬8千元，加計所得稅利益8億9,004萬1千元，本期淨損9,834萬8千元，較112年度本期淨損預算數5億5,190萬3千元，減少損失4億5,355萬5千元。茲就臺銀人壽112年度決算案評估如下：</w:t>
      </w:r>
    </w:p>
    <w:p w:rsidR="00FA2182" w:rsidRPr="005F7489" w:rsidRDefault="00F74C59" w:rsidP="00FA2182">
      <w:pPr>
        <w:pStyle w:val="14"/>
        <w:ind w:left="567" w:hanging="567"/>
      </w:pPr>
      <w:bookmarkStart w:id="2" w:name="_Toc195177174"/>
      <w:bookmarkStart w:id="3" w:name="_Toc402274588"/>
      <w:r w:rsidRPr="001D3710">
        <w:rPr>
          <w:rFonts w:hint="eastAsia"/>
        </w:rPr>
        <w:t>二</w:t>
      </w:r>
      <w:r w:rsidR="00FA2182" w:rsidRPr="001D3710">
        <w:rPr>
          <w:rFonts w:hint="eastAsia"/>
        </w:rPr>
        <w:t>、</w:t>
      </w:r>
      <w:r w:rsidR="00221859" w:rsidRPr="00221859">
        <w:rPr>
          <w:rFonts w:hint="eastAsia"/>
        </w:rPr>
        <w:t>為因應國際財務報導準則第17號(IFRS 17)保險合約實施，允宜提升財務資訊透明度，以改善營運情形，提升獲利能力，俾健全財務結構</w:t>
      </w:r>
      <w:bookmarkEnd w:id="2"/>
    </w:p>
    <w:p w:rsidR="00FA2182" w:rsidRPr="00A05009" w:rsidRDefault="00221859" w:rsidP="00FA2182">
      <w:pPr>
        <w:ind w:left="566" w:firstLine="566"/>
        <w:rPr>
          <w:rFonts w:hAnsi="標楷體"/>
        </w:rPr>
      </w:pPr>
      <w:r w:rsidRPr="00221859">
        <w:rPr>
          <w:rFonts w:hAnsi="標楷體" w:hint="eastAsia"/>
        </w:rPr>
        <w:t>臺銀人壽112年度決算淨損9,834萬8千元，較111年度淨損11億6,909萬6千元，損失減少10億7,074萬8千元。經查：</w:t>
      </w:r>
    </w:p>
    <w:p w:rsidR="00FA2182" w:rsidRPr="00E67EB6" w:rsidRDefault="00FA2182" w:rsidP="00FA2182">
      <w:pPr>
        <w:pStyle w:val="a4"/>
        <w:ind w:left="849" w:hanging="283"/>
        <w:rPr>
          <w:rFonts w:hAnsi="標楷體"/>
        </w:rPr>
      </w:pPr>
      <w:r w:rsidRPr="00E67EB6">
        <w:rPr>
          <w:rFonts w:hAnsi="標楷體" w:hint="eastAsia"/>
        </w:rPr>
        <w:t>(</w:t>
      </w:r>
      <w:r w:rsidRPr="00E67EB6">
        <w:rPr>
          <w:rFonts w:hAnsi="標楷體" w:hint="eastAsia"/>
          <w:lang w:eastAsia="zh-HK"/>
        </w:rPr>
        <w:t>一</w:t>
      </w:r>
      <w:r w:rsidRPr="00E67EB6">
        <w:rPr>
          <w:rFonts w:hAnsi="標楷體" w:hint="eastAsia"/>
        </w:rPr>
        <w:t>)</w:t>
      </w:r>
      <w:r w:rsidR="00221859" w:rsidRPr="00221859">
        <w:rPr>
          <w:rFonts w:hAnsi="標楷體" w:hint="eastAsia"/>
        </w:rPr>
        <w:t>保險業定於115年實施IFRS 17及新一代清償能力制度</w:t>
      </w:r>
      <w:r w:rsidRPr="00E67EB6">
        <w:rPr>
          <w:rFonts w:hAnsi="標楷體" w:hint="eastAsia"/>
        </w:rPr>
        <w:t xml:space="preserve"> </w:t>
      </w:r>
    </w:p>
    <w:p w:rsidR="00122E23" w:rsidRDefault="00221859" w:rsidP="00907754">
      <w:pPr>
        <w:pStyle w:val="21"/>
        <w:ind w:left="850" w:firstLine="566"/>
      </w:pPr>
      <w:r w:rsidRPr="00221859">
        <w:rPr>
          <w:rFonts w:hint="eastAsia"/>
        </w:rPr>
        <w:t>為提升我國保險公司競爭力並與國際接軌，金融監督管理委員會（以下稱金管會）於</w:t>
      </w:r>
      <w:r w:rsidRPr="00221859">
        <w:t>115</w:t>
      </w:r>
      <w:r w:rsidRPr="00221859">
        <w:rPr>
          <w:rFonts w:hint="eastAsia"/>
        </w:rPr>
        <w:t>年起實施</w:t>
      </w:r>
      <w:r w:rsidRPr="00221859">
        <w:t>IFRS 17</w:t>
      </w:r>
      <w:r w:rsidRPr="00221859">
        <w:rPr>
          <w:rFonts w:hint="eastAsia"/>
        </w:rPr>
        <w:t>及新一代清償能力制度後，保險業將全面以公允價值衡量資產負債及資本，對保險合約服務利潤</w:t>
      </w:r>
      <w:r w:rsidRPr="00221859">
        <w:t>(CSM)</w:t>
      </w:r>
      <w:r w:rsidRPr="00221859">
        <w:rPr>
          <w:rFonts w:hint="eastAsia"/>
        </w:rPr>
        <w:t>須逐期於提供相應之保險服務後始認列收入，與現行保費於收到時即認列收入之時間點不同，及以現時履約模型提存準備金以合理反應利率變動對負債之影響。又依</w:t>
      </w:r>
      <w:r w:rsidRPr="00221859">
        <w:t>110</w:t>
      </w:r>
      <w:r w:rsidRPr="00221859">
        <w:rPr>
          <w:rFonts w:hint="eastAsia"/>
        </w:rPr>
        <w:t>年</w:t>
      </w:r>
      <w:r w:rsidRPr="00221859">
        <w:t>5</w:t>
      </w:r>
      <w:r w:rsidRPr="00221859">
        <w:rPr>
          <w:rFonts w:hint="eastAsia"/>
        </w:rPr>
        <w:t>月</w:t>
      </w:r>
      <w:r w:rsidRPr="00221859">
        <w:t>26</w:t>
      </w:r>
      <w:r w:rsidRPr="00221859">
        <w:rPr>
          <w:rFonts w:hint="eastAsia"/>
        </w:rPr>
        <w:t>日修正公布之保險法第</w:t>
      </w:r>
      <w:r w:rsidRPr="00221859">
        <w:t>143</w:t>
      </w:r>
      <w:r w:rsidRPr="00221859">
        <w:rPr>
          <w:rFonts w:hint="eastAsia"/>
        </w:rPr>
        <w:t>條之</w:t>
      </w:r>
      <w:r w:rsidRPr="00221859">
        <w:t>4</w:t>
      </w:r>
      <w:r w:rsidRPr="00221859">
        <w:rPr>
          <w:rFonts w:hint="eastAsia"/>
        </w:rPr>
        <w:t>及授權訂定之保險業資本適足性管理辧法第</w:t>
      </w:r>
      <w:r w:rsidRPr="00221859">
        <w:t>5</w:t>
      </w:r>
      <w:r w:rsidRPr="00221859">
        <w:rPr>
          <w:rFonts w:hint="eastAsia"/>
        </w:rPr>
        <w:t>條第</w:t>
      </w:r>
      <w:r w:rsidRPr="00221859">
        <w:t>1</w:t>
      </w:r>
      <w:r w:rsidRPr="00221859">
        <w:rPr>
          <w:rFonts w:hint="eastAsia"/>
        </w:rPr>
        <w:t>項第</w:t>
      </w:r>
      <w:r w:rsidRPr="00221859">
        <w:t>1</w:t>
      </w:r>
      <w:r w:rsidRPr="00221859">
        <w:rPr>
          <w:rFonts w:hint="eastAsia"/>
        </w:rPr>
        <w:t>款之規定略以，保險業資本適足率至少達到</w:t>
      </w:r>
      <w:r w:rsidRPr="00221859">
        <w:t>200%(</w:t>
      </w:r>
      <w:r w:rsidRPr="00221859">
        <w:rPr>
          <w:rFonts w:hint="eastAsia"/>
        </w:rPr>
        <w:t>即自有資本應為風險</w:t>
      </w:r>
      <w:r w:rsidRPr="00221859">
        <w:rPr>
          <w:rFonts w:hint="eastAsia"/>
        </w:rPr>
        <w:lastRenderedPageBreak/>
        <w:t>加權資產的2倍)且最近二期淨值比率至少一期達3%</w:t>
      </w:r>
      <w:r>
        <w:rPr>
          <w:rStyle w:val="af5"/>
        </w:rPr>
        <w:footnoteReference w:id="1"/>
      </w:r>
      <w:r w:rsidRPr="00221859">
        <w:rPr>
          <w:rFonts w:hint="eastAsia"/>
        </w:rPr>
        <w:t>。爰臺銀人壽宜妥為因應IFRS 17實施後之資本適足率問題。</w:t>
      </w:r>
    </w:p>
    <w:p w:rsidR="008B7225" w:rsidRPr="00F74C59" w:rsidRDefault="008B7225" w:rsidP="008B7225">
      <w:pPr>
        <w:pStyle w:val="a4"/>
        <w:ind w:left="849" w:hanging="283"/>
        <w:rPr>
          <w:rFonts w:hAnsi="標楷體"/>
        </w:rPr>
      </w:pPr>
      <w:r w:rsidRPr="00F74C59">
        <w:rPr>
          <w:rFonts w:hAnsi="標楷體" w:hint="eastAsia"/>
        </w:rPr>
        <w:t>(二)</w:t>
      </w:r>
      <w:r w:rsidR="00221859" w:rsidRPr="00221859">
        <w:rPr>
          <w:rFonts w:hAnsi="標楷體" w:hint="eastAsia"/>
        </w:rPr>
        <w:t>自公司成立後截至112年止，僅5個年度有盈利，政府已進行增資撥補7次計445億元</w:t>
      </w:r>
    </w:p>
    <w:p w:rsidR="00221859" w:rsidRDefault="00221859" w:rsidP="008B7225">
      <w:pPr>
        <w:pStyle w:val="21"/>
        <w:ind w:left="850" w:firstLine="566"/>
        <w:rPr>
          <w:snapToGrid/>
        </w:rPr>
      </w:pPr>
      <w:r w:rsidRPr="00221859">
        <w:rPr>
          <w:rFonts w:hint="eastAsia"/>
          <w:snapToGrid/>
        </w:rPr>
        <w:t>公司成立前銷售保單所負擔之高預定利率遠高於公司成立後所銷售保單之利率水準，兩者差額係額外多負擔之成本，即「超額利差損」；臺銀人壽97年度自臺灣銀行人壽保險業務部門分割並設立，初期資本50億元，惟當年度決算之超額利差損為22.5億元。隨著利率持續降低，該公司之超額利差損持續增加，虧損擴大，期間臺美利差擴大，避險成本大幅攀升，稅前損益概為淨損(詳表1)，成立迄112年底16年間僅5年有盈利，分別為98年度0.03億元、99年度0.63億元、100年度2.86億元、101年度0.18億元及111年度7.36億元，為提升資本適足率，分別於98年度辦理現金增資20億元、99年度40億元、102年度60億元、104年度55億元、107年度100億元、110年度110億元、112年度60億元，以彌補虧損符合法規要求。據此，臺銀人壽成立截至112年度止，政府撥補現金增資7次累計達445億元，逾設立資本50億元之8.9倍之多。</w:t>
      </w:r>
    </w:p>
    <w:p w:rsidR="00221859" w:rsidRPr="000B5578" w:rsidRDefault="00221859" w:rsidP="00221859">
      <w:pPr>
        <w:spacing w:line="400" w:lineRule="exact"/>
        <w:ind w:leftChars="0" w:left="511" w:rightChars="-17" w:right="-48" w:hangingChars="200" w:hanging="511"/>
        <w:jc w:val="left"/>
        <w:rPr>
          <w:rFonts w:hAnsi="標楷體"/>
          <w:b/>
          <w:bCs/>
          <w:spacing w:val="-14"/>
        </w:rPr>
      </w:pPr>
      <w:r w:rsidRPr="000B5578">
        <w:rPr>
          <w:rFonts w:hAnsi="標楷體"/>
          <w:b/>
          <w:bCs/>
          <w:spacing w:val="-14"/>
        </w:rPr>
        <w:t xml:space="preserve">表1 臺銀人壽自成立以來淨利、資本適足率、資本及政府現金增資情形表  </w:t>
      </w:r>
    </w:p>
    <w:p w:rsidR="00221859" w:rsidRPr="000B5578" w:rsidRDefault="00221859" w:rsidP="00221859">
      <w:pPr>
        <w:pStyle w:val="14-12"/>
        <w:ind w:left="566" w:firstLine="566"/>
        <w:jc w:val="right"/>
        <w:rPr>
          <w:snapToGrid/>
          <w:sz w:val="20"/>
          <w:szCs w:val="20"/>
        </w:rPr>
      </w:pPr>
      <w:r w:rsidRPr="000B5578">
        <w:rPr>
          <w:snapToGrid/>
        </w:rPr>
        <w:t>單位：新臺幣億元</w:t>
      </w:r>
      <w:r>
        <w:rPr>
          <w:rFonts w:hint="eastAsia"/>
          <w:snapToGrid/>
        </w:rPr>
        <w:t>；</w:t>
      </w:r>
      <w:r w:rsidRPr="000B5578">
        <w:rPr>
          <w:snapToGrid/>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2"/>
        <w:gridCol w:w="1933"/>
        <w:gridCol w:w="1939"/>
        <w:gridCol w:w="1899"/>
        <w:gridCol w:w="1899"/>
      </w:tblGrid>
      <w:tr w:rsidR="00221859" w:rsidRPr="000B5578" w:rsidTr="002033BD">
        <w:trPr>
          <w:trHeight w:val="170"/>
          <w:tblHeader/>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年度</w:t>
            </w:r>
          </w:p>
        </w:tc>
        <w:tc>
          <w:tcPr>
            <w:tcW w:w="1933"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稅前淨利(損)</w:t>
            </w:r>
          </w:p>
        </w:tc>
        <w:tc>
          <w:tcPr>
            <w:tcW w:w="1939"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資本適足率</w:t>
            </w:r>
          </w:p>
        </w:tc>
        <w:tc>
          <w:tcPr>
            <w:tcW w:w="1899"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資本餘額</w:t>
            </w:r>
          </w:p>
        </w:tc>
        <w:tc>
          <w:tcPr>
            <w:tcW w:w="1899"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政府現金增資</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97</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-14.06</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147.66</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50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98</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0.03</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252.54</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70</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20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99</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0.63</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292.03</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110</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40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100</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2.86</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266.20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110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101</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0.18</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217.41</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110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lastRenderedPageBreak/>
              <w:t>102</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-4.11</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218.27</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170</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60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103</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-8.41</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284.43</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170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104</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-25.29</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232.91</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225</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55</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105</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-32.44</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189.33</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106</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-39.87</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154.15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107</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-18.36</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258.45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325</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100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108</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-25.53</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222.71</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109</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-39.22</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176.42</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110</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-7.04</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287.58</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435</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110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111</w:t>
            </w:r>
          </w:p>
        </w:tc>
        <w:tc>
          <w:tcPr>
            <w:tcW w:w="1933" w:type="dxa"/>
            <w:shd w:val="clear" w:color="auto" w:fill="auto"/>
          </w:tcPr>
          <w:p w:rsidR="00221859" w:rsidRPr="000B5578" w:rsidRDefault="00221859" w:rsidP="002033BD">
            <w:pPr>
              <w:pStyle w:val="142"/>
              <w:jc w:val="right"/>
              <w:rPr>
                <w:rFonts w:hAnsi="標楷體"/>
                <w:snapToGrid/>
              </w:rPr>
            </w:pPr>
            <w:r w:rsidRPr="000B5578">
              <w:rPr>
                <w:rFonts w:hAnsi="標楷體"/>
                <w:snapToGrid/>
              </w:rPr>
              <w:t>7.36</w:t>
            </w:r>
          </w:p>
        </w:tc>
        <w:tc>
          <w:tcPr>
            <w:tcW w:w="1939" w:type="dxa"/>
            <w:shd w:val="clear" w:color="auto" w:fill="auto"/>
          </w:tcPr>
          <w:p w:rsidR="00221859" w:rsidRPr="000B5578" w:rsidRDefault="00221859" w:rsidP="002033BD">
            <w:pPr>
              <w:pStyle w:val="142"/>
              <w:jc w:val="right"/>
              <w:rPr>
                <w:rFonts w:hAnsi="標楷體"/>
                <w:snapToGrid/>
              </w:rPr>
            </w:pPr>
            <w:r w:rsidRPr="000B5578">
              <w:rPr>
                <w:rFonts w:hAnsi="標楷體"/>
                <w:snapToGrid/>
              </w:rPr>
              <w:t>281.76</w:t>
            </w:r>
          </w:p>
        </w:tc>
        <w:tc>
          <w:tcPr>
            <w:tcW w:w="1899" w:type="dxa"/>
            <w:shd w:val="clear" w:color="auto" w:fill="auto"/>
          </w:tcPr>
          <w:p w:rsidR="00221859" w:rsidRPr="000B5578" w:rsidRDefault="00221859" w:rsidP="002033BD">
            <w:pPr>
              <w:pStyle w:val="142"/>
              <w:jc w:val="right"/>
              <w:rPr>
                <w:rFonts w:hAnsi="標楷體"/>
                <w:snapToGrid/>
              </w:rPr>
            </w:pPr>
            <w:r w:rsidRPr="000B5578">
              <w:rPr>
                <w:rFonts w:hAnsi="標楷體"/>
                <w:snapToGrid/>
              </w:rPr>
              <w:t>435</w:t>
            </w:r>
          </w:p>
        </w:tc>
        <w:tc>
          <w:tcPr>
            <w:tcW w:w="1899" w:type="dxa"/>
            <w:shd w:val="clear" w:color="auto" w:fill="auto"/>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112</w:t>
            </w:r>
          </w:p>
        </w:tc>
        <w:tc>
          <w:tcPr>
            <w:tcW w:w="1933" w:type="dxa"/>
            <w:shd w:val="clear" w:color="auto" w:fill="auto"/>
          </w:tcPr>
          <w:p w:rsidR="00221859" w:rsidRPr="000B5578" w:rsidRDefault="00221859" w:rsidP="002033BD">
            <w:pPr>
              <w:pStyle w:val="142"/>
              <w:jc w:val="right"/>
              <w:rPr>
                <w:rFonts w:hAnsi="標楷體"/>
                <w:snapToGrid/>
              </w:rPr>
            </w:pPr>
            <w:r w:rsidRPr="000B5578">
              <w:rPr>
                <w:rFonts w:hAnsi="標楷體"/>
                <w:snapToGrid/>
              </w:rPr>
              <w:t>-9.88</w:t>
            </w:r>
          </w:p>
        </w:tc>
        <w:tc>
          <w:tcPr>
            <w:tcW w:w="1939" w:type="dxa"/>
            <w:shd w:val="clear" w:color="auto" w:fill="auto"/>
          </w:tcPr>
          <w:p w:rsidR="00221859" w:rsidRPr="000B5578" w:rsidRDefault="00221859" w:rsidP="002033BD">
            <w:pPr>
              <w:pStyle w:val="142"/>
              <w:jc w:val="right"/>
              <w:rPr>
                <w:rFonts w:hAnsi="標楷體"/>
                <w:snapToGrid/>
              </w:rPr>
            </w:pPr>
            <w:r w:rsidRPr="000B5578">
              <w:rPr>
                <w:rFonts w:hAnsi="標楷體"/>
                <w:snapToGrid/>
              </w:rPr>
              <w:t>297.69</w:t>
            </w:r>
          </w:p>
        </w:tc>
        <w:tc>
          <w:tcPr>
            <w:tcW w:w="1899" w:type="dxa"/>
            <w:shd w:val="clear" w:color="auto" w:fill="auto"/>
          </w:tcPr>
          <w:p w:rsidR="00221859" w:rsidRPr="000B5578" w:rsidRDefault="00221859" w:rsidP="002033BD">
            <w:pPr>
              <w:pStyle w:val="142"/>
              <w:jc w:val="right"/>
              <w:rPr>
                <w:rFonts w:hAnsi="標楷體"/>
                <w:snapToGrid/>
              </w:rPr>
            </w:pPr>
            <w:r w:rsidRPr="000B5578">
              <w:rPr>
                <w:rFonts w:hAnsi="標楷體"/>
                <w:snapToGrid/>
              </w:rPr>
              <w:t>495</w:t>
            </w:r>
          </w:p>
        </w:tc>
        <w:tc>
          <w:tcPr>
            <w:tcW w:w="1899" w:type="dxa"/>
            <w:shd w:val="clear" w:color="auto" w:fill="auto"/>
          </w:tcPr>
          <w:p w:rsidR="00221859" w:rsidRPr="000B5578" w:rsidRDefault="00221859" w:rsidP="002033BD">
            <w:pPr>
              <w:pStyle w:val="142"/>
              <w:jc w:val="right"/>
              <w:rPr>
                <w:rFonts w:hAnsi="標楷體"/>
                <w:b/>
                <w:snapToGrid/>
              </w:rPr>
            </w:pPr>
            <w:r w:rsidRPr="000B5578">
              <w:rPr>
                <w:rFonts w:hAnsi="標楷體"/>
                <w:b/>
                <w:snapToGrid/>
              </w:rPr>
              <w:t>60</w:t>
            </w:r>
          </w:p>
        </w:tc>
      </w:tr>
    </w:tbl>
    <w:p w:rsidR="00221859" w:rsidRPr="000B5578" w:rsidRDefault="00221859" w:rsidP="00221859">
      <w:pPr>
        <w:spacing w:line="280" w:lineRule="exact"/>
        <w:ind w:leftChars="1" w:left="1418" w:right="-1" w:hangingChars="612" w:hanging="1415"/>
        <w:rPr>
          <w:rStyle w:val="145"/>
          <w:rFonts w:hAnsi="標楷體"/>
          <w:spacing w:val="-14"/>
        </w:rPr>
      </w:pPr>
      <w:r w:rsidRPr="000B5578">
        <w:rPr>
          <w:rStyle w:val="145"/>
          <w:rFonts w:hAnsi="標楷體"/>
          <w:spacing w:val="-6"/>
          <w:lang w:eastAsia="zh-HK"/>
        </w:rPr>
        <w:t>說明</w:t>
      </w:r>
      <w:r w:rsidRPr="000B5578">
        <w:rPr>
          <w:rStyle w:val="145"/>
          <w:rFonts w:hAnsi="標楷體"/>
        </w:rPr>
        <w:t>：</w:t>
      </w:r>
      <w:r w:rsidRPr="000B5578">
        <w:rPr>
          <w:rStyle w:val="145"/>
          <w:rFonts w:hAnsi="標楷體"/>
          <w:spacing w:val="-6"/>
        </w:rPr>
        <w:t>97-112年度為決算數</w:t>
      </w:r>
      <w:r w:rsidRPr="000B5578">
        <w:rPr>
          <w:rStyle w:val="145"/>
          <w:rFonts w:hAnsi="標楷體"/>
          <w:spacing w:val="-14"/>
        </w:rPr>
        <w:t>。</w:t>
      </w:r>
    </w:p>
    <w:p w:rsidR="008B7225" w:rsidRPr="008B7225" w:rsidRDefault="00221859" w:rsidP="0062656A">
      <w:pPr>
        <w:ind w:left="566" w:firstLine="566"/>
      </w:pPr>
      <w:r w:rsidRPr="00221859">
        <w:rPr>
          <w:rFonts w:hint="eastAsia"/>
        </w:rPr>
        <w:t>綜上，臺銀人壽於112年現金增資後，暫滿足法規所要求承擔風險能力之資本，惟我國將自115年1月1日實施IFRS 17及新一代清償能力制度，允宜加速保險商品策略轉型，提升獲利能力，俾健全財務結構。</w:t>
      </w:r>
    </w:p>
    <w:bookmarkEnd w:id="3"/>
    <w:sectPr w:rsidR="008B7225" w:rsidRPr="008B7225"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628" w:rsidRDefault="00832628" w:rsidP="00B50BB8">
      <w:pPr>
        <w:spacing w:line="240" w:lineRule="auto"/>
        <w:ind w:left="560" w:firstLine="560"/>
      </w:pPr>
      <w:r>
        <w:separator/>
      </w:r>
    </w:p>
  </w:endnote>
  <w:endnote w:type="continuationSeparator" w:id="0">
    <w:p w:rsidR="00832628" w:rsidRDefault="00832628"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7F20DA" w:rsidRPr="007F20DA">
      <w:rPr>
        <w:noProof/>
        <w:lang w:val="zh-TW"/>
      </w:rPr>
      <w:t>3</w:t>
    </w:r>
    <w:r>
      <w:fldChar w:fldCharType="end"/>
    </w:r>
  </w:p>
  <w:p w:rsidR="002332A8" w:rsidRDefault="002332A8" w:rsidP="000421DE">
    <w:pPr>
      <w:pStyle w:val="af1"/>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628" w:rsidRDefault="00832628" w:rsidP="002332A8">
      <w:pPr>
        <w:spacing w:line="240" w:lineRule="auto"/>
        <w:ind w:left="560" w:firstLine="560"/>
      </w:pPr>
      <w:r>
        <w:separator/>
      </w:r>
    </w:p>
  </w:footnote>
  <w:footnote w:type="continuationSeparator" w:id="0">
    <w:p w:rsidR="00832628" w:rsidRDefault="00832628" w:rsidP="00B50BB8">
      <w:pPr>
        <w:spacing w:line="240" w:lineRule="auto"/>
        <w:ind w:left="560" w:firstLine="560"/>
      </w:pPr>
      <w:r>
        <w:continuationSeparator/>
      </w:r>
    </w:p>
  </w:footnote>
  <w:footnote w:id="1">
    <w:p w:rsidR="00221859" w:rsidRPr="00221859" w:rsidRDefault="00221859">
      <w:pPr>
        <w:pStyle w:val="af3"/>
        <w:ind w:left="73" w:hanging="73"/>
      </w:pPr>
      <w:r>
        <w:rPr>
          <w:rStyle w:val="af5"/>
        </w:rPr>
        <w:footnoteRef/>
      </w:r>
      <w:r w:rsidRPr="00221859">
        <w:rPr>
          <w:rFonts w:hint="eastAsia"/>
        </w:rPr>
        <w:t>保險業淨值比率係指保險業經會計師查核簽證財務報告之業主權益除以不含投資型保險專設帳簿之資產總額，此比率能評量公司在國際政經情勢發生大幅波動時，對於該等市場風險承擔之能力。金管會保險局網頁，金融小百科。https://www.fsc.gov.tw/ch/home.jsp?id=132&amp;parentpath=0,2&amp;mcustomize=cyclopedia_view.jsp&amp;dataserno=202104140013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0CFE"/>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859"/>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A72"/>
    <w:rsid w:val="00320B05"/>
    <w:rsid w:val="00322FD3"/>
    <w:rsid w:val="0032342A"/>
    <w:rsid w:val="0032454E"/>
    <w:rsid w:val="00324E2E"/>
    <w:rsid w:val="0032536D"/>
    <w:rsid w:val="003275E7"/>
    <w:rsid w:val="00334F32"/>
    <w:rsid w:val="00335D10"/>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5964"/>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4D10"/>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6A85"/>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0DA"/>
    <w:rsid w:val="007F22CC"/>
    <w:rsid w:val="007F251C"/>
    <w:rsid w:val="007F255F"/>
    <w:rsid w:val="007F6CAD"/>
    <w:rsid w:val="00803E17"/>
    <w:rsid w:val="00805D79"/>
    <w:rsid w:val="008131F7"/>
    <w:rsid w:val="008177DE"/>
    <w:rsid w:val="0082005F"/>
    <w:rsid w:val="00822CD8"/>
    <w:rsid w:val="00824789"/>
    <w:rsid w:val="00832628"/>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3FF7"/>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908"/>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56E4"/>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6FB"/>
    <w:rsid w:val="00F60B6D"/>
    <w:rsid w:val="00F60D57"/>
    <w:rsid w:val="00F612F3"/>
    <w:rsid w:val="00F6217F"/>
    <w:rsid w:val="00F6446F"/>
    <w:rsid w:val="00F674D3"/>
    <w:rsid w:val="00F67D73"/>
    <w:rsid w:val="00F70594"/>
    <w:rsid w:val="00F733EE"/>
    <w:rsid w:val="00F74ADD"/>
    <w:rsid w:val="00F74C59"/>
    <w:rsid w:val="00F816D4"/>
    <w:rsid w:val="00F8595C"/>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E1AB8C5-255A-44E3-9354-4E13B65F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5A5964"/>
    <w:pPr>
      <w:adjustRightInd w:val="0"/>
      <w:ind w:left="646" w:rightChars="99" w:right="280" w:hanging="646"/>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15">
    <w:name w:val="清單段落1"/>
    <w:aliases w:val="清單段落2,表格正文"/>
    <w:basedOn w:val="a"/>
    <w:link w:val="aff0"/>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0">
    <w:name w:val="清單段落 字元"/>
    <w:aliases w:val="清單段落2 字元,表格正文 字元"/>
    <w:link w:val="15"/>
    <w:uiPriority w:val="34"/>
    <w:locked/>
    <w:rsid w:val="00ED011D"/>
    <w:rPr>
      <w:rFonts w:ascii="Calibri" w:hAnsi="Calibri"/>
      <w:kern w:val="2"/>
      <w:sz w:val="24"/>
      <w:szCs w:val="22"/>
      <w:lang w:val="x-none" w:eastAsia="x-none"/>
    </w:rPr>
  </w:style>
  <w:style w:type="paragraph" w:styleId="aff1">
    <w:name w:val="Salutation"/>
    <w:basedOn w:val="a"/>
    <w:next w:val="a"/>
    <w:rsid w:val="00C15CB8"/>
  </w:style>
  <w:style w:type="paragraph" w:styleId="aff2">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3">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4">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4A23E-A511-4748-9DF9-767EAB66B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277</Words>
  <Characters>1582</Characters>
  <Application>Microsoft Office Word</Application>
  <DocSecurity>0</DocSecurity>
  <Lines>13</Lines>
  <Paragraphs>3</Paragraphs>
  <ScaleCrop>false</ScaleCrop>
  <Company>HOME</Company>
  <LinksUpToDate>false</LinksUpToDate>
  <CharactersWithSpaces>1856</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2025-04-10T05:52:00Z</dcterms:created>
  <dcterms:modified xsi:type="dcterms:W3CDTF">2025-04-10T05:52:00Z</dcterms:modified>
</cp:coreProperties>
</file>