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957" w:rsidRPr="00141957" w:rsidRDefault="00981DB6" w:rsidP="00141957">
      <w:pPr>
        <w:pStyle w:val="a9"/>
        <w:rPr>
          <w:snapToGrid/>
        </w:rPr>
      </w:pPr>
      <w:bookmarkStart w:id="0" w:name="_Hlk195173865"/>
      <w:bookmarkStart w:id="1" w:name="_GoBack"/>
      <w:bookmarkEnd w:id="1"/>
      <w:r w:rsidRPr="00981DB6">
        <w:rPr>
          <w:rFonts w:hint="eastAsia"/>
          <w:snapToGrid/>
        </w:rPr>
        <w:t>中央存款保險股份有限公司11</w:t>
      </w:r>
      <w:r w:rsidR="001B0859">
        <w:rPr>
          <w:rFonts w:hint="eastAsia"/>
          <w:snapToGrid/>
        </w:rPr>
        <w:t>2</w:t>
      </w:r>
      <w:r w:rsidRPr="00981DB6">
        <w:rPr>
          <w:rFonts w:hint="eastAsia"/>
          <w:snapToGrid/>
        </w:rPr>
        <w:t>年度營業決算</w:t>
      </w:r>
      <w:r w:rsidR="00141957" w:rsidRPr="00141957">
        <w:rPr>
          <w:snapToGrid/>
        </w:rPr>
        <w:t>評估報告</w:t>
      </w:r>
      <w:bookmarkEnd w:id="0"/>
      <w:r w:rsidR="00141957" w:rsidRPr="00141957">
        <w:rPr>
          <w:snapToGrid/>
        </w:rPr>
        <w:t>目錄</w:t>
      </w:r>
    </w:p>
    <w:p w:rsidR="00141957" w:rsidRPr="00141957" w:rsidRDefault="00141957" w:rsidP="00141957">
      <w:pPr>
        <w:widowControl/>
        <w:suppressAutoHyphens/>
        <w:autoSpaceDN w:val="0"/>
        <w:spacing w:line="240" w:lineRule="auto"/>
        <w:ind w:leftChars="0" w:left="560" w:right="-1" w:firstLineChars="0" w:firstLine="480"/>
        <w:jc w:val="right"/>
        <w:textAlignment w:val="baseline"/>
        <w:rPr>
          <w:rFonts w:hAnsi="標楷體" w:cs="新細明體"/>
          <w:b/>
          <w:snapToGrid/>
          <w:kern w:val="0"/>
          <w:sz w:val="24"/>
          <w:szCs w:val="24"/>
        </w:rPr>
      </w:pPr>
      <w:r w:rsidRPr="00141957">
        <w:rPr>
          <w:rFonts w:hAnsi="標楷體" w:cs="新細明體"/>
          <w:b/>
          <w:snapToGrid/>
          <w:kern w:val="0"/>
          <w:sz w:val="24"/>
          <w:szCs w:val="24"/>
        </w:rPr>
        <w:t>頁次</w:t>
      </w:r>
    </w:p>
    <w:p w:rsidR="008C42FF" w:rsidRPr="00B666BE" w:rsidRDefault="00141957">
      <w:pPr>
        <w:pStyle w:val="11"/>
        <w:rPr>
          <w:rFonts w:ascii="Calibri" w:eastAsia="新細明體" w:hAnsi="Calibri"/>
          <w:snapToGrid/>
          <w:szCs w:val="22"/>
        </w:rPr>
      </w:pPr>
      <w:r w:rsidRPr="00F20D81">
        <w:fldChar w:fldCharType="begin"/>
      </w:r>
      <w:r w:rsidRPr="00F20D81">
        <w:instrText xml:space="preserve"> TOC \o "1-3" \h \z \t "第二層(14號字),1" </w:instrText>
      </w:r>
      <w:r w:rsidRPr="00F20D81">
        <w:fldChar w:fldCharType="separate"/>
      </w:r>
      <w:hyperlink w:anchor="_Toc195173720" w:history="1">
        <w:r w:rsidR="008C42FF" w:rsidRPr="00273F7B">
          <w:rPr>
            <w:rStyle w:val="af0"/>
            <w:rFonts w:hint="eastAsia"/>
          </w:rPr>
          <w:t>一、截至</w:t>
        </w:r>
        <w:r w:rsidR="008C42FF" w:rsidRPr="00273F7B">
          <w:rPr>
            <w:rStyle w:val="af0"/>
          </w:rPr>
          <w:t>112</w:t>
        </w:r>
        <w:r w:rsidR="008C42FF" w:rsidRPr="00273F7B">
          <w:rPr>
            <w:rStyle w:val="af0"/>
            <w:rFonts w:hint="eastAsia"/>
          </w:rPr>
          <w:t>年底止，各保險賠款特別準備金仍遠低於法定目標值，亟待妥謀善策因應，以提高風險承擔能力</w:t>
        </w:r>
        <w:r w:rsidR="008C42FF">
          <w:rPr>
            <w:webHidden/>
          </w:rPr>
          <w:tab/>
        </w:r>
        <w:r w:rsidR="008C42FF">
          <w:rPr>
            <w:webHidden/>
          </w:rPr>
          <w:fldChar w:fldCharType="begin"/>
        </w:r>
        <w:r w:rsidR="008C42FF">
          <w:rPr>
            <w:webHidden/>
          </w:rPr>
          <w:instrText xml:space="preserve"> PAGEREF _Toc195173720 \h </w:instrText>
        </w:r>
        <w:r w:rsidR="008C42FF">
          <w:rPr>
            <w:webHidden/>
          </w:rPr>
        </w:r>
        <w:r w:rsidR="008C42FF">
          <w:rPr>
            <w:webHidden/>
          </w:rPr>
          <w:fldChar w:fldCharType="separate"/>
        </w:r>
        <w:r w:rsidR="007A23D8">
          <w:rPr>
            <w:webHidden/>
          </w:rPr>
          <w:t>1</w:t>
        </w:r>
        <w:r w:rsidR="008C42FF">
          <w:rPr>
            <w:webHidden/>
          </w:rPr>
          <w:fldChar w:fldCharType="end"/>
        </w:r>
      </w:hyperlink>
    </w:p>
    <w:p w:rsidR="008C42FF" w:rsidRPr="00B666BE" w:rsidRDefault="008C42FF">
      <w:pPr>
        <w:pStyle w:val="11"/>
        <w:rPr>
          <w:rFonts w:ascii="Calibri" w:eastAsia="新細明體" w:hAnsi="Calibri"/>
          <w:snapToGrid/>
          <w:szCs w:val="22"/>
        </w:rPr>
      </w:pPr>
      <w:hyperlink w:anchor="_Toc195173721" w:history="1">
        <w:r w:rsidRPr="00273F7B">
          <w:rPr>
            <w:rStyle w:val="af0"/>
            <w:rFonts w:hint="eastAsia"/>
          </w:rPr>
          <w:t>二、</w:t>
        </w:r>
        <w:r w:rsidRPr="00273F7B">
          <w:rPr>
            <w:rStyle w:val="af0"/>
          </w:rPr>
          <w:t>112</w:t>
        </w:r>
        <w:r w:rsidRPr="00273F7B">
          <w:rPr>
            <w:rStyle w:val="af0"/>
            <w:rFonts w:hint="eastAsia"/>
          </w:rPr>
          <w:t>年度利息收入之預、決算差異金額為近年最高，恐未合理反映過去實績及市場趨勢，容待檢討精進，另資金運用允宜強化永續投資理念，並妥適配置各項資金運用工具，提高投資效益</w:t>
        </w:r>
        <w:r>
          <w:rPr>
            <w:webHidden/>
          </w:rPr>
          <w:tab/>
        </w:r>
        <w:r>
          <w:rPr>
            <w:webHidden/>
          </w:rPr>
          <w:fldChar w:fldCharType="begin"/>
        </w:r>
        <w:r>
          <w:rPr>
            <w:webHidden/>
          </w:rPr>
          <w:instrText xml:space="preserve"> PAGEREF _Toc195173721 \h </w:instrText>
        </w:r>
        <w:r>
          <w:rPr>
            <w:webHidden/>
          </w:rPr>
        </w:r>
        <w:r>
          <w:rPr>
            <w:webHidden/>
          </w:rPr>
          <w:fldChar w:fldCharType="separate"/>
        </w:r>
        <w:r w:rsidR="007A23D8">
          <w:rPr>
            <w:webHidden/>
          </w:rPr>
          <w:t>3</w:t>
        </w:r>
        <w:r>
          <w:rPr>
            <w:webHidden/>
          </w:rPr>
          <w:fldChar w:fldCharType="end"/>
        </w:r>
      </w:hyperlink>
    </w:p>
    <w:p w:rsidR="008C42FF" w:rsidRPr="00B666BE" w:rsidRDefault="008C42FF">
      <w:pPr>
        <w:pStyle w:val="11"/>
        <w:rPr>
          <w:rFonts w:ascii="Calibri" w:eastAsia="新細明體" w:hAnsi="Calibri"/>
          <w:snapToGrid/>
          <w:szCs w:val="22"/>
        </w:rPr>
      </w:pPr>
      <w:hyperlink w:anchor="_Toc195173722" w:history="1">
        <w:r w:rsidRPr="00273F7B">
          <w:rPr>
            <w:rStyle w:val="af0"/>
            <w:rFonts w:hint="eastAsia"/>
          </w:rPr>
          <w:t>三、存保公司接續行政院金融重建基金處理經營不善金融機構清理事宜，惟迄</w:t>
        </w:r>
        <w:r w:rsidRPr="00273F7B">
          <w:rPr>
            <w:rStyle w:val="af0"/>
          </w:rPr>
          <w:t>112</w:t>
        </w:r>
        <w:r w:rsidRPr="00273F7B">
          <w:rPr>
            <w:rStyle w:val="af0"/>
            <w:rFonts w:hint="eastAsia"/>
          </w:rPr>
          <w:t>年底止仍有龐鉅之保留資產待處理，亟待積極研謀善策，以加速收回賠付資金</w:t>
        </w:r>
        <w:r>
          <w:rPr>
            <w:webHidden/>
          </w:rPr>
          <w:tab/>
        </w:r>
        <w:r>
          <w:rPr>
            <w:webHidden/>
          </w:rPr>
          <w:fldChar w:fldCharType="begin"/>
        </w:r>
        <w:r>
          <w:rPr>
            <w:webHidden/>
          </w:rPr>
          <w:instrText xml:space="preserve"> PAGEREF _Toc195173722 \h </w:instrText>
        </w:r>
        <w:r>
          <w:rPr>
            <w:webHidden/>
          </w:rPr>
        </w:r>
        <w:r>
          <w:rPr>
            <w:webHidden/>
          </w:rPr>
          <w:fldChar w:fldCharType="separate"/>
        </w:r>
        <w:r w:rsidR="007A23D8">
          <w:rPr>
            <w:webHidden/>
          </w:rPr>
          <w:t>6</w:t>
        </w:r>
        <w:r>
          <w:rPr>
            <w:webHidden/>
          </w:rPr>
          <w:fldChar w:fldCharType="end"/>
        </w:r>
      </w:hyperlink>
    </w:p>
    <w:p w:rsidR="00141957" w:rsidRDefault="00141957" w:rsidP="0018599F">
      <w:pPr>
        <w:pStyle w:val="11"/>
        <w:rPr>
          <w:rFonts w:hAnsi="標楷體" w:cs="新細明體"/>
          <w:snapToGrid/>
          <w:kern w:val="0"/>
          <w:sz w:val="36"/>
          <w:szCs w:val="24"/>
        </w:rPr>
        <w:sectPr w:rsidR="00141957" w:rsidSect="002D548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F20D81">
        <w:fldChar w:fldCharType="end"/>
      </w:r>
    </w:p>
    <w:p w:rsidR="00141957" w:rsidRPr="0072636D" w:rsidRDefault="0072636D" w:rsidP="0072636D">
      <w:pPr>
        <w:pStyle w:val="a9"/>
        <w:jc w:val="left"/>
        <w:rPr>
          <w:snapToGrid/>
          <w:spacing w:val="-4"/>
        </w:rPr>
      </w:pPr>
      <w:r w:rsidRPr="0072636D">
        <w:rPr>
          <w:rFonts w:hint="eastAsia"/>
          <w:snapToGrid/>
          <w:spacing w:val="-4"/>
        </w:rPr>
        <w:lastRenderedPageBreak/>
        <w:t>中央存款保險股份有限公司11</w:t>
      </w:r>
      <w:r w:rsidR="001B0859">
        <w:rPr>
          <w:rFonts w:hint="eastAsia"/>
          <w:snapToGrid/>
          <w:spacing w:val="-4"/>
        </w:rPr>
        <w:t>2</w:t>
      </w:r>
      <w:r w:rsidRPr="0072636D">
        <w:rPr>
          <w:rFonts w:hint="eastAsia"/>
          <w:snapToGrid/>
          <w:spacing w:val="-4"/>
        </w:rPr>
        <w:t>年度營業決算評估報告</w:t>
      </w:r>
    </w:p>
    <w:p w:rsidR="00365049" w:rsidRDefault="00E12F19" w:rsidP="00141957">
      <w:pPr>
        <w:pStyle w:val="a7"/>
        <w:ind w:firstLine="566"/>
      </w:pPr>
      <w:r w:rsidRPr="00BD6F26">
        <w:rPr>
          <w:rFonts w:hint="eastAsia"/>
        </w:rPr>
        <w:t>中央存款保險股份有限公司(以下簡稱存保公司)於74年9月依存款保險條例設立，成立宗旨在保障金融機構存款人權益、維護信用秩序及促進金融業務健全發展，主管機關為金融監督管理委員會(以下簡稱金管會)。其主要業務包括：辦理存款保險、要保機構承保風險管理、對要保機構辦理特別查核，及於行政院金融重建基金結束後持續以接管人或清理人身分處理經營不善金融機構之保留資產與不法案件追償等事宜。依存款保險條例第5條規定：「存保公司每年度收入總額減除各項成本費用及損失後之餘額，應全數提存保險賠款特別準備金。」故存保公司</w:t>
      </w:r>
      <w:r>
        <w:rPr>
          <w:rFonts w:hint="eastAsia"/>
        </w:rPr>
        <w:t>每年度</w:t>
      </w:r>
      <w:r w:rsidRPr="00BD6F26">
        <w:rPr>
          <w:rFonts w:hint="eastAsia"/>
        </w:rPr>
        <w:t>淨利</w:t>
      </w:r>
      <w:r>
        <w:rPr>
          <w:rFonts w:hint="eastAsia"/>
        </w:rPr>
        <w:t>皆</w:t>
      </w:r>
      <w:r w:rsidRPr="00BD6F26">
        <w:rPr>
          <w:rFonts w:hint="eastAsia"/>
        </w:rPr>
        <w:t>無列數；</w:t>
      </w:r>
      <w:r>
        <w:rPr>
          <w:rFonts w:hint="eastAsia"/>
        </w:rPr>
        <w:t>其</w:t>
      </w:r>
      <w:r w:rsidRPr="00BD6F26">
        <w:rPr>
          <w:rFonts w:hint="eastAsia"/>
        </w:rPr>
        <w:t>1</w:t>
      </w:r>
      <w:r>
        <w:t>1</w:t>
      </w:r>
      <w:r w:rsidR="001B0859">
        <w:rPr>
          <w:rFonts w:hint="eastAsia"/>
        </w:rPr>
        <w:t>2</w:t>
      </w:r>
      <w:r w:rsidRPr="00BD6F26">
        <w:rPr>
          <w:rFonts w:hint="eastAsia"/>
        </w:rPr>
        <w:t>年度損益表主要收支科目之預、決算數</w:t>
      </w:r>
      <w:r w:rsidR="00365049">
        <w:rPr>
          <w:rFonts w:hint="eastAsia"/>
        </w:rPr>
        <w:t>詳表1</w:t>
      </w:r>
      <w:r w:rsidR="009C093F">
        <w:rPr>
          <w:rFonts w:hint="eastAsia"/>
        </w:rPr>
        <w:t>。謹就存保公司1</w:t>
      </w:r>
      <w:r w:rsidR="009C093F">
        <w:t>1</w:t>
      </w:r>
      <w:r w:rsidR="001B0859">
        <w:rPr>
          <w:rFonts w:hint="eastAsia"/>
        </w:rPr>
        <w:t>2</w:t>
      </w:r>
      <w:r w:rsidR="009C093F">
        <w:rPr>
          <w:rFonts w:hint="eastAsia"/>
        </w:rPr>
        <w:t>年度決算</w:t>
      </w:r>
      <w:r w:rsidR="009C093F" w:rsidRPr="00EF495A">
        <w:rPr>
          <w:rFonts w:hint="eastAsia"/>
        </w:rPr>
        <w:t>評</w:t>
      </w:r>
      <w:r w:rsidR="009C093F">
        <w:rPr>
          <w:rFonts w:hint="eastAsia"/>
        </w:rPr>
        <w:t>估如下</w:t>
      </w:r>
      <w:r w:rsidR="009C093F" w:rsidRPr="00EF495A">
        <w:rPr>
          <w:rFonts w:hint="eastAsia"/>
        </w:rPr>
        <w:t>：</w:t>
      </w:r>
    </w:p>
    <w:p w:rsidR="00141957" w:rsidRDefault="00365049" w:rsidP="00365049">
      <w:pPr>
        <w:pStyle w:val="200"/>
        <w:rPr>
          <w:snapToGrid/>
          <w:spacing w:val="-2"/>
        </w:rPr>
      </w:pPr>
      <w:r>
        <w:rPr>
          <w:rFonts w:hint="eastAsia"/>
        </w:rPr>
        <w:t>表1</w:t>
      </w:r>
      <w:r w:rsidR="004726D3">
        <w:rPr>
          <w:rFonts w:hint="eastAsia"/>
        </w:rPr>
        <w:t xml:space="preserve">  11</w:t>
      </w:r>
      <w:r w:rsidR="00376229">
        <w:rPr>
          <w:rFonts w:hint="eastAsia"/>
        </w:rPr>
        <w:t>2</w:t>
      </w:r>
      <w:r w:rsidR="004726D3">
        <w:rPr>
          <w:rFonts w:hint="eastAsia"/>
        </w:rPr>
        <w:t xml:space="preserve">年度存保公司損益表 </w:t>
      </w:r>
      <w:r w:rsidR="00CC3A3E">
        <w:t xml:space="preserve"> </w:t>
      </w:r>
      <w:r w:rsidR="00D84B4C">
        <w:t xml:space="preserve">                  </w:t>
      </w:r>
      <w:r w:rsidR="00D84B4C" w:rsidRPr="0028121C">
        <w:rPr>
          <w:rFonts w:hAnsi="標楷體" w:hint="eastAsia"/>
          <w:b w:val="0"/>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312"/>
        <w:gridCol w:w="1701"/>
        <w:gridCol w:w="1701"/>
        <w:gridCol w:w="1484"/>
        <w:gridCol w:w="1375"/>
      </w:tblGrid>
      <w:tr w:rsidR="00EC7AF7" w:rsidRPr="0029654B" w:rsidTr="007873FB">
        <w:trPr>
          <w:trHeight w:val="340"/>
        </w:trPr>
        <w:tc>
          <w:tcPr>
            <w:tcW w:w="2312" w:type="dxa"/>
            <w:vMerge w:val="restart"/>
            <w:vAlign w:val="center"/>
          </w:tcPr>
          <w:p w:rsidR="00EC7AF7" w:rsidRPr="0078198E" w:rsidRDefault="00EC7AF7" w:rsidP="00AB79C9">
            <w:pPr>
              <w:pStyle w:val="142"/>
              <w:jc w:val="center"/>
              <w:rPr>
                <w:rFonts w:hint="eastAsia"/>
                <w:b/>
              </w:rPr>
            </w:pPr>
            <w:r w:rsidRPr="0078198E">
              <w:rPr>
                <w:rFonts w:hint="eastAsia"/>
                <w:b/>
                <w:snapToGrid/>
              </w:rPr>
              <w:t>科目</w:t>
            </w:r>
          </w:p>
        </w:tc>
        <w:tc>
          <w:tcPr>
            <w:tcW w:w="1701" w:type="dxa"/>
            <w:vMerge w:val="restart"/>
            <w:vAlign w:val="center"/>
          </w:tcPr>
          <w:p w:rsidR="00EC7AF7" w:rsidRPr="0078198E" w:rsidRDefault="00EC7AF7" w:rsidP="00AB79C9">
            <w:pPr>
              <w:pStyle w:val="142"/>
              <w:jc w:val="center"/>
              <w:rPr>
                <w:rFonts w:hint="eastAsia"/>
                <w:b/>
              </w:rPr>
            </w:pPr>
            <w:r w:rsidRPr="0078198E">
              <w:rPr>
                <w:rFonts w:hint="eastAsia"/>
                <w:b/>
                <w:snapToGrid/>
              </w:rPr>
              <w:t>預算數</w:t>
            </w:r>
          </w:p>
        </w:tc>
        <w:tc>
          <w:tcPr>
            <w:tcW w:w="1701" w:type="dxa"/>
            <w:vMerge w:val="restart"/>
            <w:vAlign w:val="center"/>
          </w:tcPr>
          <w:p w:rsidR="00EC7AF7" w:rsidRPr="0078198E" w:rsidRDefault="00EC7AF7" w:rsidP="00AB79C9">
            <w:pPr>
              <w:pStyle w:val="142"/>
              <w:jc w:val="center"/>
              <w:rPr>
                <w:rFonts w:hint="eastAsia"/>
                <w:b/>
              </w:rPr>
            </w:pPr>
            <w:r w:rsidRPr="0078198E">
              <w:rPr>
                <w:rFonts w:hint="eastAsia"/>
                <w:b/>
                <w:snapToGrid/>
              </w:rPr>
              <w:t>決算數</w:t>
            </w:r>
          </w:p>
        </w:tc>
        <w:tc>
          <w:tcPr>
            <w:tcW w:w="2859" w:type="dxa"/>
            <w:gridSpan w:val="2"/>
            <w:vAlign w:val="center"/>
          </w:tcPr>
          <w:p w:rsidR="00EC7AF7" w:rsidRPr="0078198E" w:rsidRDefault="00EC7AF7" w:rsidP="00AB79C9">
            <w:pPr>
              <w:pStyle w:val="142"/>
              <w:jc w:val="center"/>
              <w:rPr>
                <w:rFonts w:hint="eastAsia"/>
                <w:b/>
              </w:rPr>
            </w:pPr>
            <w:r w:rsidRPr="0078198E">
              <w:rPr>
                <w:rFonts w:hint="eastAsia"/>
                <w:b/>
                <w:snapToGrid/>
              </w:rPr>
              <w:t>比較增減</w:t>
            </w:r>
          </w:p>
        </w:tc>
      </w:tr>
      <w:tr w:rsidR="00EC7AF7" w:rsidRPr="0029654B" w:rsidTr="007873FB">
        <w:trPr>
          <w:trHeight w:val="340"/>
        </w:trPr>
        <w:tc>
          <w:tcPr>
            <w:tcW w:w="2312" w:type="dxa"/>
            <w:vMerge/>
            <w:vAlign w:val="center"/>
          </w:tcPr>
          <w:p w:rsidR="00EC7AF7" w:rsidRPr="0078198E" w:rsidRDefault="00EC7AF7" w:rsidP="00AB79C9">
            <w:pPr>
              <w:pStyle w:val="142"/>
              <w:jc w:val="center"/>
              <w:rPr>
                <w:rFonts w:hint="eastAsia"/>
                <w:b/>
                <w:snapToGrid/>
              </w:rPr>
            </w:pPr>
          </w:p>
        </w:tc>
        <w:tc>
          <w:tcPr>
            <w:tcW w:w="1701" w:type="dxa"/>
            <w:vMerge/>
            <w:vAlign w:val="center"/>
          </w:tcPr>
          <w:p w:rsidR="00EC7AF7" w:rsidRPr="0078198E" w:rsidRDefault="00EC7AF7" w:rsidP="00AB79C9">
            <w:pPr>
              <w:pStyle w:val="142"/>
              <w:jc w:val="center"/>
              <w:rPr>
                <w:rFonts w:hint="eastAsia"/>
                <w:b/>
                <w:snapToGrid/>
              </w:rPr>
            </w:pPr>
          </w:p>
        </w:tc>
        <w:tc>
          <w:tcPr>
            <w:tcW w:w="1701" w:type="dxa"/>
            <w:vMerge/>
            <w:vAlign w:val="center"/>
          </w:tcPr>
          <w:p w:rsidR="00EC7AF7" w:rsidRPr="0078198E" w:rsidRDefault="00EC7AF7" w:rsidP="00AB79C9">
            <w:pPr>
              <w:pStyle w:val="142"/>
              <w:jc w:val="center"/>
              <w:rPr>
                <w:rFonts w:hint="eastAsia"/>
                <w:b/>
                <w:snapToGrid/>
              </w:rPr>
            </w:pPr>
          </w:p>
        </w:tc>
        <w:tc>
          <w:tcPr>
            <w:tcW w:w="1484" w:type="dxa"/>
            <w:vAlign w:val="center"/>
          </w:tcPr>
          <w:p w:rsidR="00EC7AF7" w:rsidRPr="0078198E" w:rsidRDefault="00EC7AF7" w:rsidP="00AB79C9">
            <w:pPr>
              <w:pStyle w:val="142"/>
              <w:jc w:val="center"/>
              <w:rPr>
                <w:rFonts w:hint="eastAsia"/>
                <w:b/>
                <w:snapToGrid/>
              </w:rPr>
            </w:pPr>
            <w:r w:rsidRPr="0078198E">
              <w:rPr>
                <w:rFonts w:hint="eastAsia"/>
                <w:b/>
                <w:snapToGrid/>
              </w:rPr>
              <w:t>金額</w:t>
            </w:r>
          </w:p>
        </w:tc>
        <w:tc>
          <w:tcPr>
            <w:tcW w:w="1375" w:type="dxa"/>
            <w:vAlign w:val="center"/>
          </w:tcPr>
          <w:p w:rsidR="00EC7AF7" w:rsidRPr="0078198E" w:rsidRDefault="00EC7AF7" w:rsidP="00AB79C9">
            <w:pPr>
              <w:pStyle w:val="142"/>
              <w:jc w:val="center"/>
              <w:rPr>
                <w:rFonts w:hint="eastAsia"/>
                <w:b/>
                <w:snapToGrid/>
              </w:rPr>
            </w:pPr>
            <w:r w:rsidRPr="0078198E">
              <w:rPr>
                <w:rFonts w:hint="eastAsia"/>
                <w:b/>
                <w:snapToGrid/>
              </w:rPr>
              <w:t>比率</w:t>
            </w:r>
          </w:p>
        </w:tc>
      </w:tr>
      <w:tr w:rsidR="00EC7AF7" w:rsidRPr="0078198E" w:rsidTr="007873FB">
        <w:trPr>
          <w:trHeight w:val="340"/>
        </w:trPr>
        <w:tc>
          <w:tcPr>
            <w:tcW w:w="2312" w:type="dxa"/>
            <w:vAlign w:val="center"/>
          </w:tcPr>
          <w:p w:rsidR="00EC7AF7" w:rsidRPr="0078198E" w:rsidRDefault="00EC7AF7" w:rsidP="00AB79C9">
            <w:pPr>
              <w:pStyle w:val="142"/>
              <w:jc w:val="both"/>
              <w:rPr>
                <w:rFonts w:hint="eastAsia"/>
                <w:b/>
              </w:rPr>
            </w:pPr>
            <w:r w:rsidRPr="0078198E">
              <w:rPr>
                <w:rFonts w:hint="eastAsia"/>
                <w:b/>
                <w:snapToGrid/>
              </w:rPr>
              <w:t>營業收入</w:t>
            </w:r>
          </w:p>
        </w:tc>
        <w:tc>
          <w:tcPr>
            <w:tcW w:w="1701" w:type="dxa"/>
            <w:vAlign w:val="center"/>
          </w:tcPr>
          <w:p w:rsidR="00EC7AF7" w:rsidRPr="0078198E" w:rsidRDefault="00EC7AF7" w:rsidP="00BD61BA">
            <w:pPr>
              <w:pStyle w:val="142"/>
              <w:jc w:val="right"/>
              <w:rPr>
                <w:rFonts w:cs="新細明體"/>
                <w:b/>
                <w:szCs w:val="24"/>
              </w:rPr>
            </w:pPr>
            <w:r w:rsidRPr="0078198E">
              <w:rPr>
                <w:rFonts w:hint="eastAsia"/>
                <w:b/>
              </w:rPr>
              <w:t>1</w:t>
            </w:r>
            <w:r w:rsidR="00631F15">
              <w:rPr>
                <w:rFonts w:hint="eastAsia"/>
                <w:b/>
              </w:rPr>
              <w:t>2</w:t>
            </w:r>
            <w:r w:rsidRPr="0078198E">
              <w:rPr>
                <w:rFonts w:hint="eastAsia"/>
                <w:b/>
              </w:rPr>
              <w:t>,</w:t>
            </w:r>
            <w:r w:rsidR="00631F15">
              <w:rPr>
                <w:rFonts w:hint="eastAsia"/>
                <w:b/>
              </w:rPr>
              <w:t>185</w:t>
            </w:r>
            <w:r w:rsidRPr="0078198E">
              <w:rPr>
                <w:rFonts w:hint="eastAsia"/>
                <w:b/>
              </w:rPr>
              <w:t>,</w:t>
            </w:r>
            <w:r w:rsidR="00631F15">
              <w:rPr>
                <w:rFonts w:hint="eastAsia"/>
                <w:b/>
              </w:rPr>
              <w:t>925</w:t>
            </w:r>
          </w:p>
        </w:tc>
        <w:tc>
          <w:tcPr>
            <w:tcW w:w="1701" w:type="dxa"/>
            <w:vAlign w:val="center"/>
          </w:tcPr>
          <w:p w:rsidR="00EC7AF7" w:rsidRPr="0078198E" w:rsidRDefault="00ED6136" w:rsidP="00AB79C9">
            <w:pPr>
              <w:pStyle w:val="142"/>
              <w:jc w:val="right"/>
              <w:rPr>
                <w:rFonts w:cs="新細明體"/>
                <w:b/>
                <w:szCs w:val="24"/>
              </w:rPr>
            </w:pPr>
            <w:r w:rsidRPr="0078198E">
              <w:rPr>
                <w:rFonts w:hint="eastAsia"/>
                <w:b/>
              </w:rPr>
              <w:t>1</w:t>
            </w:r>
            <w:r w:rsidR="00631F15">
              <w:rPr>
                <w:rFonts w:hint="eastAsia"/>
                <w:b/>
              </w:rPr>
              <w:t>4</w:t>
            </w:r>
            <w:r w:rsidRPr="0078198E">
              <w:rPr>
                <w:rFonts w:hint="eastAsia"/>
                <w:b/>
              </w:rPr>
              <w:t>,</w:t>
            </w:r>
            <w:r w:rsidR="00631F15">
              <w:rPr>
                <w:rFonts w:hint="eastAsia"/>
                <w:b/>
              </w:rPr>
              <w:t>487</w:t>
            </w:r>
            <w:r w:rsidRPr="0078198E">
              <w:rPr>
                <w:rFonts w:hint="eastAsia"/>
                <w:b/>
              </w:rPr>
              <w:t>,</w:t>
            </w:r>
            <w:r w:rsidR="00631F15">
              <w:rPr>
                <w:rFonts w:hint="eastAsia"/>
                <w:b/>
              </w:rPr>
              <w:t>495</w:t>
            </w:r>
          </w:p>
        </w:tc>
        <w:tc>
          <w:tcPr>
            <w:tcW w:w="1484" w:type="dxa"/>
            <w:vAlign w:val="center"/>
          </w:tcPr>
          <w:p w:rsidR="00EC7AF7" w:rsidRPr="0078198E" w:rsidRDefault="00631F15" w:rsidP="00AB79C9">
            <w:pPr>
              <w:pStyle w:val="142"/>
              <w:jc w:val="right"/>
              <w:rPr>
                <w:rFonts w:cs="新細明體"/>
                <w:b/>
                <w:szCs w:val="24"/>
              </w:rPr>
            </w:pPr>
            <w:r>
              <w:rPr>
                <w:rFonts w:hint="eastAsia"/>
                <w:b/>
              </w:rPr>
              <w:t>2</w:t>
            </w:r>
            <w:r w:rsidR="00EC7AF7" w:rsidRPr="0078198E">
              <w:rPr>
                <w:b/>
              </w:rPr>
              <w:t>,</w:t>
            </w:r>
            <w:r>
              <w:rPr>
                <w:rFonts w:hint="eastAsia"/>
                <w:b/>
              </w:rPr>
              <w:t>301</w:t>
            </w:r>
            <w:r w:rsidR="00EC7AF7" w:rsidRPr="0078198E">
              <w:rPr>
                <w:b/>
              </w:rPr>
              <w:t>,</w:t>
            </w:r>
            <w:r>
              <w:rPr>
                <w:rFonts w:hint="eastAsia"/>
                <w:b/>
              </w:rPr>
              <w:t>570</w:t>
            </w:r>
          </w:p>
        </w:tc>
        <w:tc>
          <w:tcPr>
            <w:tcW w:w="1375" w:type="dxa"/>
            <w:vAlign w:val="center"/>
          </w:tcPr>
          <w:p w:rsidR="00EC7AF7" w:rsidRPr="0078198E" w:rsidRDefault="00CC3A3E" w:rsidP="00AB79C9">
            <w:pPr>
              <w:pStyle w:val="142"/>
              <w:jc w:val="right"/>
              <w:rPr>
                <w:rFonts w:cs="新細明體"/>
                <w:b/>
                <w:szCs w:val="24"/>
              </w:rPr>
            </w:pPr>
            <w:r>
              <w:rPr>
                <w:b/>
              </w:rPr>
              <w:t>1</w:t>
            </w:r>
            <w:r w:rsidR="00631F15">
              <w:rPr>
                <w:rFonts w:hint="eastAsia"/>
                <w:b/>
              </w:rPr>
              <w:t>8</w:t>
            </w:r>
            <w:r w:rsidR="00EC7AF7" w:rsidRPr="0078198E">
              <w:rPr>
                <w:rFonts w:hint="eastAsia"/>
                <w:b/>
              </w:rPr>
              <w:t>.</w:t>
            </w:r>
            <w:r w:rsidR="00631F15">
              <w:rPr>
                <w:rFonts w:hint="eastAsia"/>
                <w:b/>
              </w:rPr>
              <w:t>89</w:t>
            </w:r>
            <w:r w:rsidR="00EC7AF7" w:rsidRPr="0078198E">
              <w:rPr>
                <w:rFonts w:hint="eastAsia"/>
                <w:b/>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snapToGrid/>
              </w:rPr>
            </w:pPr>
            <w:r>
              <w:rPr>
                <w:rFonts w:hint="eastAsia"/>
                <w:snapToGrid/>
              </w:rPr>
              <w:t xml:space="preserve">  </w:t>
            </w:r>
            <w:r w:rsidRPr="006B48A2">
              <w:rPr>
                <w:rFonts w:hint="eastAsia"/>
                <w:snapToGrid/>
              </w:rPr>
              <w:t>減：營業成本</w:t>
            </w:r>
          </w:p>
        </w:tc>
        <w:tc>
          <w:tcPr>
            <w:tcW w:w="1701" w:type="dxa"/>
            <w:vAlign w:val="center"/>
          </w:tcPr>
          <w:p w:rsidR="00EC7AF7" w:rsidRDefault="00EC7AF7" w:rsidP="00AB79C9">
            <w:pPr>
              <w:pStyle w:val="142"/>
              <w:jc w:val="right"/>
              <w:rPr>
                <w:rFonts w:cs="新細明體"/>
                <w:szCs w:val="24"/>
              </w:rPr>
            </w:pPr>
            <w:r>
              <w:t>1</w:t>
            </w:r>
            <w:r w:rsidR="00631F15">
              <w:rPr>
                <w:rFonts w:hint="eastAsia"/>
              </w:rPr>
              <w:t>1</w:t>
            </w:r>
            <w:r>
              <w:rPr>
                <w:rFonts w:hint="eastAsia"/>
              </w:rPr>
              <w:t>,</w:t>
            </w:r>
            <w:r w:rsidR="00631F15">
              <w:rPr>
                <w:rFonts w:hint="eastAsia"/>
              </w:rPr>
              <w:t>154</w:t>
            </w:r>
            <w:r>
              <w:rPr>
                <w:rFonts w:hint="eastAsia"/>
              </w:rPr>
              <w:t>,</w:t>
            </w:r>
            <w:r w:rsidR="00631F15">
              <w:rPr>
                <w:rFonts w:hint="eastAsia"/>
              </w:rPr>
              <w:t>574</w:t>
            </w:r>
          </w:p>
        </w:tc>
        <w:tc>
          <w:tcPr>
            <w:tcW w:w="1701" w:type="dxa"/>
            <w:vAlign w:val="center"/>
          </w:tcPr>
          <w:p w:rsidR="00EC7AF7" w:rsidRDefault="00EC7AF7" w:rsidP="00AB79C9">
            <w:pPr>
              <w:pStyle w:val="142"/>
              <w:jc w:val="right"/>
              <w:rPr>
                <w:rFonts w:cs="新細明體"/>
                <w:szCs w:val="24"/>
              </w:rPr>
            </w:pPr>
            <w:r>
              <w:rPr>
                <w:rFonts w:hint="eastAsia"/>
              </w:rPr>
              <w:t>1</w:t>
            </w:r>
            <w:r w:rsidR="00631F15">
              <w:rPr>
                <w:rFonts w:hint="eastAsia"/>
              </w:rPr>
              <w:t>3</w:t>
            </w:r>
            <w:r>
              <w:rPr>
                <w:rFonts w:hint="eastAsia"/>
              </w:rPr>
              <w:t>,</w:t>
            </w:r>
            <w:r w:rsidR="00631F15">
              <w:rPr>
                <w:rFonts w:hint="eastAsia"/>
              </w:rPr>
              <w:t>411</w:t>
            </w:r>
            <w:r>
              <w:rPr>
                <w:rFonts w:hint="eastAsia"/>
              </w:rPr>
              <w:t>,</w:t>
            </w:r>
            <w:r w:rsidR="00631F15">
              <w:rPr>
                <w:rFonts w:hint="eastAsia"/>
              </w:rPr>
              <w:t>539</w:t>
            </w:r>
          </w:p>
        </w:tc>
        <w:tc>
          <w:tcPr>
            <w:tcW w:w="1484" w:type="dxa"/>
            <w:vAlign w:val="center"/>
          </w:tcPr>
          <w:p w:rsidR="00EC7AF7" w:rsidRDefault="00631F15" w:rsidP="00AB79C9">
            <w:pPr>
              <w:pStyle w:val="142"/>
              <w:jc w:val="right"/>
              <w:rPr>
                <w:rFonts w:cs="新細明體"/>
                <w:szCs w:val="24"/>
              </w:rPr>
            </w:pPr>
            <w:r>
              <w:rPr>
                <w:rFonts w:cs="新細明體" w:hint="eastAsia"/>
                <w:szCs w:val="24"/>
              </w:rPr>
              <w:t>2</w:t>
            </w:r>
            <w:r w:rsidR="00EC7AF7">
              <w:rPr>
                <w:rFonts w:cs="新細明體"/>
                <w:szCs w:val="24"/>
              </w:rPr>
              <w:t>,</w:t>
            </w:r>
            <w:r>
              <w:rPr>
                <w:rFonts w:cs="新細明體" w:hint="eastAsia"/>
                <w:szCs w:val="24"/>
              </w:rPr>
              <w:t>256</w:t>
            </w:r>
            <w:r w:rsidR="00EC7AF7">
              <w:rPr>
                <w:rFonts w:cs="新細明體"/>
                <w:szCs w:val="24"/>
              </w:rPr>
              <w:t>,</w:t>
            </w:r>
            <w:r>
              <w:rPr>
                <w:rFonts w:cs="新細明體" w:hint="eastAsia"/>
                <w:szCs w:val="24"/>
              </w:rPr>
              <w:t>965</w:t>
            </w:r>
          </w:p>
        </w:tc>
        <w:tc>
          <w:tcPr>
            <w:tcW w:w="1375" w:type="dxa"/>
            <w:vAlign w:val="center"/>
          </w:tcPr>
          <w:p w:rsidR="00EC7AF7" w:rsidRDefault="00631F15" w:rsidP="00AB79C9">
            <w:pPr>
              <w:pStyle w:val="142"/>
              <w:jc w:val="right"/>
              <w:rPr>
                <w:rFonts w:cs="新細明體"/>
                <w:szCs w:val="24"/>
              </w:rPr>
            </w:pPr>
            <w:r>
              <w:rPr>
                <w:rFonts w:hint="eastAsia"/>
              </w:rPr>
              <w:t>20</w:t>
            </w:r>
            <w:r w:rsidR="00EC7AF7">
              <w:rPr>
                <w:rFonts w:hint="eastAsia"/>
              </w:rPr>
              <w:t>.</w:t>
            </w:r>
            <w:r>
              <w:rPr>
                <w:rFonts w:hint="eastAsia"/>
              </w:rPr>
              <w:t>23</w:t>
            </w:r>
            <w:r w:rsidR="00EC7AF7">
              <w:rPr>
                <w:rFonts w:hint="eastAsia"/>
              </w:rPr>
              <w:t>%</w:t>
            </w:r>
          </w:p>
        </w:tc>
      </w:tr>
      <w:tr w:rsidR="00EC7AF7" w:rsidRPr="0078198E" w:rsidTr="007873FB">
        <w:trPr>
          <w:trHeight w:val="340"/>
        </w:trPr>
        <w:tc>
          <w:tcPr>
            <w:tcW w:w="2312" w:type="dxa"/>
            <w:vAlign w:val="center"/>
          </w:tcPr>
          <w:p w:rsidR="00EC7AF7" w:rsidRPr="0078198E" w:rsidRDefault="00EC7AF7" w:rsidP="00AB79C9">
            <w:pPr>
              <w:pStyle w:val="142"/>
              <w:jc w:val="both"/>
              <w:rPr>
                <w:rFonts w:hint="eastAsia"/>
                <w:b/>
                <w:snapToGrid/>
              </w:rPr>
            </w:pPr>
            <w:r w:rsidRPr="0078198E">
              <w:rPr>
                <w:rFonts w:hint="eastAsia"/>
                <w:b/>
                <w:snapToGrid/>
              </w:rPr>
              <w:t>營業毛利</w:t>
            </w:r>
          </w:p>
        </w:tc>
        <w:tc>
          <w:tcPr>
            <w:tcW w:w="1701" w:type="dxa"/>
            <w:vAlign w:val="center"/>
          </w:tcPr>
          <w:p w:rsidR="00EC7AF7" w:rsidRPr="0078198E" w:rsidRDefault="00631F15" w:rsidP="00AB79C9">
            <w:pPr>
              <w:pStyle w:val="142"/>
              <w:jc w:val="right"/>
              <w:rPr>
                <w:rFonts w:cs="新細明體"/>
                <w:b/>
                <w:szCs w:val="24"/>
              </w:rPr>
            </w:pPr>
            <w:r>
              <w:rPr>
                <w:rFonts w:hint="eastAsia"/>
                <w:b/>
              </w:rPr>
              <w:t>1</w:t>
            </w:r>
            <w:r>
              <w:rPr>
                <w:b/>
              </w:rPr>
              <w:t>,031</w:t>
            </w:r>
            <w:r w:rsidR="00EC7AF7" w:rsidRPr="0078198E">
              <w:rPr>
                <w:b/>
              </w:rPr>
              <w:t>,</w:t>
            </w:r>
            <w:r>
              <w:rPr>
                <w:b/>
              </w:rPr>
              <w:t>351</w:t>
            </w:r>
          </w:p>
        </w:tc>
        <w:tc>
          <w:tcPr>
            <w:tcW w:w="1701" w:type="dxa"/>
            <w:vAlign w:val="center"/>
          </w:tcPr>
          <w:p w:rsidR="00EC7AF7" w:rsidRPr="0078198E" w:rsidRDefault="00CC3A3E" w:rsidP="00AB79C9">
            <w:pPr>
              <w:pStyle w:val="142"/>
              <w:jc w:val="right"/>
              <w:rPr>
                <w:rFonts w:cs="新細明體"/>
                <w:b/>
                <w:szCs w:val="24"/>
              </w:rPr>
            </w:pPr>
            <w:r>
              <w:rPr>
                <w:b/>
              </w:rPr>
              <w:t>1</w:t>
            </w:r>
            <w:r>
              <w:rPr>
                <w:rFonts w:hint="eastAsia"/>
                <w:b/>
              </w:rPr>
              <w:t>,0</w:t>
            </w:r>
            <w:r w:rsidR="00631F15">
              <w:rPr>
                <w:b/>
              </w:rPr>
              <w:t>75</w:t>
            </w:r>
            <w:r w:rsidR="00EC7AF7" w:rsidRPr="0078198E">
              <w:rPr>
                <w:b/>
              </w:rPr>
              <w:t>,</w:t>
            </w:r>
            <w:r w:rsidR="00631F15">
              <w:rPr>
                <w:b/>
              </w:rPr>
              <w:t>957</w:t>
            </w:r>
          </w:p>
        </w:tc>
        <w:tc>
          <w:tcPr>
            <w:tcW w:w="1484" w:type="dxa"/>
            <w:vAlign w:val="center"/>
          </w:tcPr>
          <w:p w:rsidR="00EC7AF7" w:rsidRPr="0078198E" w:rsidRDefault="00631F15" w:rsidP="00AB79C9">
            <w:pPr>
              <w:pStyle w:val="142"/>
              <w:jc w:val="right"/>
              <w:rPr>
                <w:rFonts w:cs="新細明體"/>
                <w:b/>
                <w:szCs w:val="24"/>
              </w:rPr>
            </w:pPr>
            <w:r>
              <w:rPr>
                <w:b/>
              </w:rPr>
              <w:t>44</w:t>
            </w:r>
            <w:r w:rsidR="00CC3A3E">
              <w:rPr>
                <w:b/>
              </w:rPr>
              <w:t>,</w:t>
            </w:r>
            <w:r>
              <w:rPr>
                <w:b/>
              </w:rPr>
              <w:t>606</w:t>
            </w:r>
          </w:p>
        </w:tc>
        <w:tc>
          <w:tcPr>
            <w:tcW w:w="1375" w:type="dxa"/>
            <w:vAlign w:val="center"/>
          </w:tcPr>
          <w:p w:rsidR="00EC7AF7" w:rsidRPr="0078198E" w:rsidRDefault="00631F15" w:rsidP="00AB79C9">
            <w:pPr>
              <w:pStyle w:val="142"/>
              <w:jc w:val="right"/>
              <w:rPr>
                <w:rFonts w:cs="新細明體"/>
                <w:b/>
                <w:szCs w:val="24"/>
              </w:rPr>
            </w:pPr>
            <w:r>
              <w:rPr>
                <w:b/>
              </w:rPr>
              <w:t>4</w:t>
            </w:r>
            <w:r w:rsidR="00CC3A3E">
              <w:rPr>
                <w:b/>
              </w:rPr>
              <w:t>.</w:t>
            </w:r>
            <w:r>
              <w:rPr>
                <w:b/>
              </w:rPr>
              <w:t>32</w:t>
            </w:r>
            <w:r w:rsidR="00EC7AF7" w:rsidRPr="0078198E">
              <w:rPr>
                <w:rFonts w:hint="eastAsia"/>
                <w:b/>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Pr>
                <w:rFonts w:hint="eastAsia"/>
                <w:snapToGrid/>
              </w:rPr>
              <w:t xml:space="preserve">  </w:t>
            </w:r>
            <w:r w:rsidRPr="006B48A2">
              <w:rPr>
                <w:rFonts w:hint="eastAsia"/>
                <w:snapToGrid/>
              </w:rPr>
              <w:t>減：營業費用</w:t>
            </w:r>
          </w:p>
        </w:tc>
        <w:tc>
          <w:tcPr>
            <w:tcW w:w="1701" w:type="dxa"/>
            <w:vAlign w:val="center"/>
          </w:tcPr>
          <w:p w:rsidR="00EC7AF7" w:rsidRDefault="00995CD8" w:rsidP="00AB79C9">
            <w:pPr>
              <w:pStyle w:val="142"/>
              <w:jc w:val="right"/>
              <w:rPr>
                <w:rFonts w:cs="新細明體"/>
                <w:szCs w:val="24"/>
              </w:rPr>
            </w:pPr>
            <w:r>
              <w:rPr>
                <w:rFonts w:cs="新細明體"/>
                <w:szCs w:val="24"/>
              </w:rPr>
              <w:t>1,024</w:t>
            </w:r>
            <w:r w:rsidR="00EC7AF7">
              <w:rPr>
                <w:rFonts w:cs="新細明體"/>
                <w:szCs w:val="24"/>
              </w:rPr>
              <w:t>,</w:t>
            </w:r>
            <w:r>
              <w:rPr>
                <w:rFonts w:cs="新細明體"/>
                <w:szCs w:val="24"/>
              </w:rPr>
              <w:t>216</w:t>
            </w:r>
          </w:p>
        </w:tc>
        <w:tc>
          <w:tcPr>
            <w:tcW w:w="1701" w:type="dxa"/>
            <w:vAlign w:val="center"/>
          </w:tcPr>
          <w:p w:rsidR="00EC7AF7" w:rsidRDefault="00AB79C9" w:rsidP="00AB79C9">
            <w:pPr>
              <w:pStyle w:val="142"/>
              <w:jc w:val="right"/>
              <w:rPr>
                <w:rFonts w:cs="新細明體"/>
                <w:szCs w:val="24"/>
              </w:rPr>
            </w:pPr>
            <w:r>
              <w:t>1,0</w:t>
            </w:r>
            <w:r w:rsidR="00995CD8">
              <w:t>71</w:t>
            </w:r>
            <w:r w:rsidR="00EC7AF7">
              <w:rPr>
                <w:rFonts w:hint="eastAsia"/>
              </w:rPr>
              <w:t>,</w:t>
            </w:r>
            <w:r w:rsidR="00995CD8">
              <w:t>668</w:t>
            </w:r>
          </w:p>
        </w:tc>
        <w:tc>
          <w:tcPr>
            <w:tcW w:w="1484" w:type="dxa"/>
            <w:vAlign w:val="center"/>
          </w:tcPr>
          <w:p w:rsidR="00EC7AF7" w:rsidRDefault="00995CD8" w:rsidP="00AB79C9">
            <w:pPr>
              <w:pStyle w:val="142"/>
              <w:jc w:val="right"/>
              <w:rPr>
                <w:rFonts w:cs="新細明體"/>
                <w:szCs w:val="24"/>
              </w:rPr>
            </w:pPr>
            <w:r>
              <w:rPr>
                <w:rFonts w:cs="新細明體"/>
                <w:szCs w:val="24"/>
              </w:rPr>
              <w:t>47</w:t>
            </w:r>
            <w:r w:rsidR="00EC7AF7">
              <w:rPr>
                <w:rFonts w:cs="新細明體"/>
                <w:szCs w:val="24"/>
              </w:rPr>
              <w:t>,</w:t>
            </w:r>
            <w:r>
              <w:rPr>
                <w:rFonts w:cs="新細明體"/>
                <w:szCs w:val="24"/>
              </w:rPr>
              <w:t>452</w:t>
            </w:r>
          </w:p>
        </w:tc>
        <w:tc>
          <w:tcPr>
            <w:tcW w:w="1375" w:type="dxa"/>
            <w:vAlign w:val="center"/>
          </w:tcPr>
          <w:p w:rsidR="00EC7AF7" w:rsidRDefault="00995CD8" w:rsidP="00AB79C9">
            <w:pPr>
              <w:pStyle w:val="142"/>
              <w:jc w:val="right"/>
              <w:rPr>
                <w:rFonts w:cs="新細明體"/>
                <w:szCs w:val="24"/>
              </w:rPr>
            </w:pPr>
            <w:r>
              <w:t>4</w:t>
            </w:r>
            <w:r w:rsidR="00EC7AF7">
              <w:rPr>
                <w:rFonts w:hint="eastAsia"/>
              </w:rPr>
              <w:t>.</w:t>
            </w:r>
            <w:r>
              <w:t>63</w:t>
            </w:r>
            <w:r w:rsidR="00EC7AF7">
              <w:rPr>
                <w:rFonts w:hint="eastAsia"/>
              </w:rPr>
              <w:t>%</w:t>
            </w:r>
          </w:p>
        </w:tc>
      </w:tr>
      <w:tr w:rsidR="00EC7AF7" w:rsidRPr="007873FB" w:rsidTr="007873FB">
        <w:trPr>
          <w:trHeight w:val="340"/>
        </w:trPr>
        <w:tc>
          <w:tcPr>
            <w:tcW w:w="2312" w:type="dxa"/>
            <w:vAlign w:val="center"/>
          </w:tcPr>
          <w:p w:rsidR="00EC7AF7" w:rsidRPr="007873FB" w:rsidRDefault="00EC7AF7" w:rsidP="00AB79C9">
            <w:pPr>
              <w:pStyle w:val="142"/>
              <w:jc w:val="both"/>
              <w:rPr>
                <w:rFonts w:hint="eastAsia"/>
                <w:b/>
              </w:rPr>
            </w:pPr>
            <w:r w:rsidRPr="007873FB">
              <w:rPr>
                <w:rFonts w:hint="eastAsia"/>
                <w:b/>
                <w:snapToGrid/>
              </w:rPr>
              <w:t>營業利益</w:t>
            </w:r>
          </w:p>
        </w:tc>
        <w:tc>
          <w:tcPr>
            <w:tcW w:w="1701" w:type="dxa"/>
            <w:vAlign w:val="center"/>
          </w:tcPr>
          <w:p w:rsidR="00EC7AF7" w:rsidRPr="007873FB" w:rsidRDefault="00995CD8" w:rsidP="003137D4">
            <w:pPr>
              <w:pStyle w:val="142"/>
              <w:jc w:val="right"/>
              <w:rPr>
                <w:rFonts w:cs="新細明體"/>
                <w:b/>
                <w:szCs w:val="24"/>
              </w:rPr>
            </w:pPr>
            <w:r>
              <w:rPr>
                <w:b/>
              </w:rPr>
              <w:t>7</w:t>
            </w:r>
            <w:r w:rsidR="00EC7AF7" w:rsidRPr="007873FB">
              <w:rPr>
                <w:rFonts w:hint="eastAsia"/>
                <w:b/>
              </w:rPr>
              <w:t>,</w:t>
            </w:r>
            <w:r>
              <w:rPr>
                <w:b/>
              </w:rPr>
              <w:t>135</w:t>
            </w:r>
          </w:p>
        </w:tc>
        <w:tc>
          <w:tcPr>
            <w:tcW w:w="1701" w:type="dxa"/>
            <w:vAlign w:val="center"/>
          </w:tcPr>
          <w:p w:rsidR="00EC7AF7" w:rsidRPr="007873FB" w:rsidRDefault="00995CD8" w:rsidP="003137D4">
            <w:pPr>
              <w:pStyle w:val="142"/>
              <w:jc w:val="right"/>
              <w:rPr>
                <w:rFonts w:cs="新細明體"/>
                <w:b/>
                <w:szCs w:val="24"/>
              </w:rPr>
            </w:pPr>
            <w:r>
              <w:rPr>
                <w:rFonts w:cs="新細明體"/>
                <w:b/>
                <w:szCs w:val="24"/>
              </w:rPr>
              <w:t>4</w:t>
            </w:r>
            <w:r w:rsidR="00EC7AF7" w:rsidRPr="007873FB">
              <w:rPr>
                <w:rFonts w:cs="新細明體"/>
                <w:b/>
                <w:szCs w:val="24"/>
              </w:rPr>
              <w:t>,</w:t>
            </w:r>
            <w:r>
              <w:rPr>
                <w:rFonts w:cs="新細明體"/>
                <w:b/>
                <w:szCs w:val="24"/>
              </w:rPr>
              <w:t>289</w:t>
            </w:r>
          </w:p>
        </w:tc>
        <w:tc>
          <w:tcPr>
            <w:tcW w:w="1484" w:type="dxa"/>
            <w:vAlign w:val="center"/>
          </w:tcPr>
          <w:p w:rsidR="00EC7AF7" w:rsidRPr="007873FB" w:rsidRDefault="003137D4" w:rsidP="003137D4">
            <w:pPr>
              <w:pStyle w:val="142"/>
              <w:jc w:val="right"/>
              <w:rPr>
                <w:rFonts w:cs="新細明體"/>
                <w:b/>
                <w:szCs w:val="24"/>
              </w:rPr>
            </w:pPr>
            <w:r w:rsidRPr="007873FB">
              <w:rPr>
                <w:b/>
              </w:rPr>
              <w:t>-</w:t>
            </w:r>
            <w:r w:rsidR="00995CD8">
              <w:rPr>
                <w:b/>
              </w:rPr>
              <w:t>2,846</w:t>
            </w:r>
          </w:p>
        </w:tc>
        <w:tc>
          <w:tcPr>
            <w:tcW w:w="1375" w:type="dxa"/>
            <w:vAlign w:val="center"/>
          </w:tcPr>
          <w:p w:rsidR="00EC7AF7" w:rsidRPr="007873FB" w:rsidRDefault="00EC7AF7" w:rsidP="00D84B4C">
            <w:pPr>
              <w:pStyle w:val="142"/>
              <w:jc w:val="right"/>
              <w:rPr>
                <w:rFonts w:cs="新細明體"/>
                <w:b/>
              </w:rPr>
            </w:pPr>
            <w:r w:rsidRPr="007873FB">
              <w:rPr>
                <w:rFonts w:hint="eastAsia"/>
                <w:b/>
              </w:rPr>
              <w:t>-</w:t>
            </w:r>
            <w:r w:rsidR="00995CD8">
              <w:rPr>
                <w:b/>
              </w:rPr>
              <w:t>39</w:t>
            </w:r>
            <w:r w:rsidRPr="007873FB">
              <w:rPr>
                <w:rFonts w:hint="eastAsia"/>
                <w:b/>
              </w:rPr>
              <w:t>.</w:t>
            </w:r>
            <w:r w:rsidR="00995CD8">
              <w:rPr>
                <w:b/>
              </w:rPr>
              <w:t>89</w:t>
            </w:r>
            <w:r w:rsidRPr="007873FB">
              <w:rPr>
                <w:rFonts w:hint="eastAsia"/>
                <w:b/>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Pr>
                <w:rFonts w:hint="eastAsia"/>
                <w:snapToGrid/>
              </w:rPr>
              <w:t xml:space="preserve">  </w:t>
            </w:r>
            <w:r w:rsidRPr="006B48A2">
              <w:rPr>
                <w:rFonts w:hint="eastAsia"/>
                <w:snapToGrid/>
              </w:rPr>
              <w:t>加：營業外收入</w:t>
            </w:r>
          </w:p>
        </w:tc>
        <w:tc>
          <w:tcPr>
            <w:tcW w:w="1701" w:type="dxa"/>
            <w:vAlign w:val="center"/>
          </w:tcPr>
          <w:p w:rsidR="00EC7AF7" w:rsidRDefault="00995CD8" w:rsidP="00AB79C9">
            <w:pPr>
              <w:pStyle w:val="142"/>
              <w:jc w:val="right"/>
              <w:rPr>
                <w:rFonts w:cs="新細明體"/>
                <w:szCs w:val="24"/>
              </w:rPr>
            </w:pPr>
            <w:r>
              <w:rPr>
                <w:rFonts w:cs="新細明體"/>
                <w:szCs w:val="24"/>
              </w:rPr>
              <w:t>0</w:t>
            </w:r>
          </w:p>
        </w:tc>
        <w:tc>
          <w:tcPr>
            <w:tcW w:w="1701" w:type="dxa"/>
            <w:vAlign w:val="center"/>
          </w:tcPr>
          <w:p w:rsidR="00EC7AF7" w:rsidRDefault="00EC7AF7" w:rsidP="00D84B4C">
            <w:pPr>
              <w:pStyle w:val="142"/>
              <w:jc w:val="right"/>
              <w:rPr>
                <w:rFonts w:cs="新細明體"/>
                <w:szCs w:val="24"/>
              </w:rPr>
            </w:pPr>
            <w:r>
              <w:t>1,</w:t>
            </w:r>
            <w:r w:rsidR="00995CD8">
              <w:t>279</w:t>
            </w:r>
          </w:p>
        </w:tc>
        <w:tc>
          <w:tcPr>
            <w:tcW w:w="1484" w:type="dxa"/>
            <w:vAlign w:val="center"/>
          </w:tcPr>
          <w:p w:rsidR="00EC7AF7" w:rsidRDefault="00995CD8" w:rsidP="00AB79C9">
            <w:pPr>
              <w:pStyle w:val="142"/>
              <w:jc w:val="right"/>
              <w:rPr>
                <w:rFonts w:cs="新細明體"/>
                <w:szCs w:val="24"/>
              </w:rPr>
            </w:pPr>
            <w:r>
              <w:rPr>
                <w:rFonts w:cs="新細明體"/>
                <w:szCs w:val="24"/>
              </w:rPr>
              <w:t>1,279</w:t>
            </w:r>
          </w:p>
        </w:tc>
        <w:tc>
          <w:tcPr>
            <w:tcW w:w="1375" w:type="dxa"/>
            <w:vAlign w:val="center"/>
          </w:tcPr>
          <w:p w:rsidR="00EC7AF7" w:rsidRDefault="00995CD8" w:rsidP="00AB79C9">
            <w:pPr>
              <w:pStyle w:val="142"/>
              <w:jc w:val="right"/>
              <w:rPr>
                <w:rFonts w:cs="新細明體"/>
                <w:szCs w:val="24"/>
              </w:rPr>
            </w:pPr>
            <w:r>
              <w:rPr>
                <w:rFonts w:cs="新細明體" w:hint="eastAsia"/>
                <w:szCs w:val="24"/>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Pr>
                <w:rFonts w:hint="eastAsia"/>
                <w:snapToGrid/>
              </w:rPr>
              <w:t xml:space="preserve">  </w:t>
            </w:r>
            <w:r w:rsidRPr="006B48A2">
              <w:rPr>
                <w:rFonts w:hint="eastAsia"/>
                <w:snapToGrid/>
              </w:rPr>
              <w:t>減：營業外費用</w:t>
            </w:r>
          </w:p>
        </w:tc>
        <w:tc>
          <w:tcPr>
            <w:tcW w:w="1701" w:type="dxa"/>
            <w:vAlign w:val="center"/>
          </w:tcPr>
          <w:p w:rsidR="00EC7AF7" w:rsidRDefault="00CD7EA9" w:rsidP="00CD7EA9">
            <w:pPr>
              <w:pStyle w:val="142"/>
              <w:jc w:val="right"/>
              <w:rPr>
                <w:rFonts w:cs="新細明體"/>
                <w:szCs w:val="24"/>
              </w:rPr>
            </w:pPr>
            <w:r>
              <w:rPr>
                <w:rFonts w:hint="eastAsia"/>
              </w:rPr>
              <w:t>7</w:t>
            </w:r>
            <w:r>
              <w:t>,</w:t>
            </w:r>
            <w:r w:rsidR="00995CD8">
              <w:t>135</w:t>
            </w:r>
          </w:p>
        </w:tc>
        <w:tc>
          <w:tcPr>
            <w:tcW w:w="1701" w:type="dxa"/>
            <w:vAlign w:val="center"/>
          </w:tcPr>
          <w:p w:rsidR="00EC7AF7" w:rsidRDefault="00995CD8" w:rsidP="00CD7EA9">
            <w:pPr>
              <w:pStyle w:val="142"/>
              <w:jc w:val="right"/>
              <w:rPr>
                <w:rFonts w:cs="新細明體"/>
                <w:szCs w:val="24"/>
              </w:rPr>
            </w:pPr>
            <w:r>
              <w:t>5</w:t>
            </w:r>
            <w:r w:rsidR="00CD7EA9">
              <w:t>,</w:t>
            </w:r>
            <w:r>
              <w:t>567</w:t>
            </w:r>
          </w:p>
        </w:tc>
        <w:tc>
          <w:tcPr>
            <w:tcW w:w="1484" w:type="dxa"/>
            <w:vAlign w:val="center"/>
          </w:tcPr>
          <w:p w:rsidR="00EC7AF7" w:rsidRDefault="00EC7AF7" w:rsidP="00CD7EA9">
            <w:pPr>
              <w:pStyle w:val="142"/>
              <w:jc w:val="right"/>
              <w:rPr>
                <w:rFonts w:cs="新細明體"/>
                <w:szCs w:val="24"/>
              </w:rPr>
            </w:pPr>
            <w:r>
              <w:rPr>
                <w:rFonts w:hint="eastAsia"/>
              </w:rPr>
              <w:t>-</w:t>
            </w:r>
            <w:r w:rsidR="00995CD8">
              <w:t>1,568</w:t>
            </w:r>
          </w:p>
        </w:tc>
        <w:tc>
          <w:tcPr>
            <w:tcW w:w="1375" w:type="dxa"/>
            <w:vAlign w:val="center"/>
          </w:tcPr>
          <w:p w:rsidR="00EC7AF7" w:rsidRDefault="00EC7AF7" w:rsidP="00CD7EA9">
            <w:pPr>
              <w:pStyle w:val="142"/>
              <w:jc w:val="right"/>
              <w:rPr>
                <w:rFonts w:cs="新細明體"/>
                <w:szCs w:val="24"/>
              </w:rPr>
            </w:pPr>
            <w:r>
              <w:rPr>
                <w:rFonts w:hint="eastAsia"/>
              </w:rPr>
              <w:t>-</w:t>
            </w:r>
            <w:r w:rsidR="00995CD8">
              <w:t>21</w:t>
            </w:r>
            <w:r w:rsidR="00CD7EA9">
              <w:t>.</w:t>
            </w:r>
            <w:r w:rsidR="00995CD8">
              <w:t>97%</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sidRPr="006B48A2">
              <w:rPr>
                <w:rFonts w:hint="eastAsia"/>
                <w:snapToGrid/>
              </w:rPr>
              <w:t>稅前</w:t>
            </w:r>
            <w:r>
              <w:rPr>
                <w:rFonts w:hint="eastAsia"/>
                <w:snapToGrid/>
                <w:lang w:eastAsia="zh-HK"/>
              </w:rPr>
              <w:t>淨利</w:t>
            </w:r>
            <w:r>
              <w:rPr>
                <w:rFonts w:hint="eastAsia"/>
                <w:snapToGrid/>
              </w:rPr>
              <w:t>(</w:t>
            </w:r>
            <w:r>
              <w:rPr>
                <w:rFonts w:hint="eastAsia"/>
                <w:snapToGrid/>
                <w:lang w:eastAsia="zh-HK"/>
              </w:rPr>
              <w:t>損</w:t>
            </w:r>
            <w:r>
              <w:rPr>
                <w:rFonts w:hint="eastAsia"/>
                <w:snapToGrid/>
              </w:rPr>
              <w:t>)</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484" w:type="dxa"/>
            <w:vAlign w:val="center"/>
          </w:tcPr>
          <w:p w:rsidR="00EC7AF7" w:rsidRDefault="00EC7AF7" w:rsidP="00AB79C9">
            <w:pPr>
              <w:pStyle w:val="142"/>
              <w:jc w:val="right"/>
              <w:rPr>
                <w:rFonts w:cs="新細明體"/>
                <w:szCs w:val="24"/>
              </w:rPr>
            </w:pPr>
            <w:r>
              <w:rPr>
                <w:rFonts w:hint="eastAsia"/>
              </w:rPr>
              <w:t>-</w:t>
            </w:r>
          </w:p>
        </w:tc>
        <w:tc>
          <w:tcPr>
            <w:tcW w:w="1375" w:type="dxa"/>
            <w:vAlign w:val="center"/>
          </w:tcPr>
          <w:p w:rsidR="00EC7AF7" w:rsidRDefault="00EC7AF7" w:rsidP="00AB79C9">
            <w:pPr>
              <w:pStyle w:val="142"/>
              <w:jc w:val="right"/>
              <w:rPr>
                <w:rFonts w:cs="新細明體"/>
                <w:szCs w:val="24"/>
              </w:rPr>
            </w:pPr>
            <w:r>
              <w:rPr>
                <w:rFonts w:hint="eastAsia"/>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snapToGrid/>
              </w:rPr>
            </w:pPr>
            <w:r w:rsidRPr="006B48A2">
              <w:rPr>
                <w:rFonts w:hint="eastAsia"/>
                <w:snapToGrid/>
              </w:rPr>
              <w:t>本期</w:t>
            </w:r>
            <w:r w:rsidRPr="00333016">
              <w:rPr>
                <w:rFonts w:hint="eastAsia"/>
                <w:snapToGrid/>
              </w:rPr>
              <w:t>淨利(損)</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484" w:type="dxa"/>
            <w:vAlign w:val="center"/>
          </w:tcPr>
          <w:p w:rsidR="00EC7AF7" w:rsidRDefault="00EC7AF7" w:rsidP="00AB79C9">
            <w:pPr>
              <w:pStyle w:val="142"/>
              <w:jc w:val="right"/>
              <w:rPr>
                <w:rFonts w:cs="新細明體"/>
                <w:szCs w:val="24"/>
              </w:rPr>
            </w:pPr>
            <w:r>
              <w:rPr>
                <w:rFonts w:hint="eastAsia"/>
              </w:rPr>
              <w:t>-</w:t>
            </w:r>
          </w:p>
        </w:tc>
        <w:tc>
          <w:tcPr>
            <w:tcW w:w="1375" w:type="dxa"/>
            <w:vAlign w:val="center"/>
          </w:tcPr>
          <w:p w:rsidR="00EC7AF7" w:rsidRDefault="00EC7AF7" w:rsidP="00AB79C9">
            <w:pPr>
              <w:pStyle w:val="142"/>
              <w:jc w:val="right"/>
              <w:rPr>
                <w:rFonts w:cs="新細明體"/>
                <w:szCs w:val="24"/>
              </w:rPr>
            </w:pPr>
            <w:r>
              <w:rPr>
                <w:rFonts w:hint="eastAsia"/>
              </w:rPr>
              <w:t>-</w:t>
            </w:r>
          </w:p>
        </w:tc>
      </w:tr>
    </w:tbl>
    <w:p w:rsidR="0078198E" w:rsidRDefault="0078198E" w:rsidP="0078198E">
      <w:pPr>
        <w:pStyle w:val="142"/>
        <w:rPr>
          <w:rFonts w:hint="eastAsia"/>
        </w:rPr>
      </w:pPr>
      <w:r w:rsidRPr="006B48A2">
        <w:rPr>
          <w:rFonts w:hint="eastAsia"/>
        </w:rPr>
        <w:t>資料來源</w:t>
      </w:r>
      <w:r>
        <w:rPr>
          <w:rFonts w:hint="eastAsia"/>
        </w:rPr>
        <w:t>：</w:t>
      </w:r>
      <w:r w:rsidRPr="006B48A2">
        <w:rPr>
          <w:rFonts w:hint="eastAsia"/>
        </w:rPr>
        <w:t>存保公司1</w:t>
      </w:r>
      <w:r>
        <w:t>1</w:t>
      </w:r>
      <w:r w:rsidR="00376229">
        <w:rPr>
          <w:rFonts w:hint="eastAsia"/>
        </w:rPr>
        <w:t>2</w:t>
      </w:r>
      <w:r w:rsidRPr="006B48A2">
        <w:rPr>
          <w:rFonts w:hint="eastAsia"/>
        </w:rPr>
        <w:t>年度決算書。</w:t>
      </w:r>
    </w:p>
    <w:p w:rsidR="0088344B" w:rsidRDefault="00F20D81" w:rsidP="00F20D81">
      <w:pPr>
        <w:pStyle w:val="14"/>
      </w:pPr>
      <w:bookmarkStart w:id="2" w:name="_Toc370287333"/>
      <w:bookmarkStart w:id="3" w:name="_Toc530058369"/>
      <w:bookmarkStart w:id="4" w:name="_Toc195173720"/>
      <w:r w:rsidRPr="00F20D81">
        <w:rPr>
          <w:rFonts w:hint="eastAsia"/>
        </w:rPr>
        <w:t>一</w:t>
      </w:r>
      <w:r w:rsidR="00302D84">
        <w:rPr>
          <w:rFonts w:hint="eastAsia"/>
        </w:rPr>
        <w:t>、</w:t>
      </w:r>
      <w:r w:rsidR="00B027AB" w:rsidRPr="00B027AB">
        <w:rPr>
          <w:rFonts w:hint="eastAsia"/>
        </w:rPr>
        <w:t>截至11</w:t>
      </w:r>
      <w:r w:rsidR="00B027AB">
        <w:rPr>
          <w:rFonts w:hint="eastAsia"/>
        </w:rPr>
        <w:t>2</w:t>
      </w:r>
      <w:r w:rsidR="00B027AB" w:rsidRPr="00B027AB">
        <w:rPr>
          <w:rFonts w:hint="eastAsia"/>
        </w:rPr>
        <w:t>年底止，</w:t>
      </w:r>
      <w:r w:rsidR="00576F50">
        <w:rPr>
          <w:rFonts w:hint="eastAsia"/>
        </w:rPr>
        <w:t>各</w:t>
      </w:r>
      <w:r w:rsidR="00576F50" w:rsidRPr="00611021">
        <w:rPr>
          <w:rFonts w:hint="eastAsia"/>
        </w:rPr>
        <w:t>保險賠款特別準備金</w:t>
      </w:r>
      <w:r w:rsidR="00B027AB" w:rsidRPr="00B027AB">
        <w:rPr>
          <w:rFonts w:hint="eastAsia"/>
        </w:rPr>
        <w:t>仍遠低於法定目標值，亟待妥謀善策因應</w:t>
      </w:r>
      <w:r w:rsidR="00F97ED1">
        <w:rPr>
          <w:rFonts w:hint="eastAsia"/>
        </w:rPr>
        <w:t>，</w:t>
      </w:r>
      <w:r w:rsidR="00D64EB7">
        <w:rPr>
          <w:rFonts w:hint="eastAsia"/>
        </w:rPr>
        <w:t>以</w:t>
      </w:r>
      <w:r w:rsidR="00576F50">
        <w:rPr>
          <w:rFonts w:hint="eastAsia"/>
        </w:rPr>
        <w:t>提高風險承擔能力</w:t>
      </w:r>
      <w:bookmarkEnd w:id="4"/>
    </w:p>
    <w:p w:rsidR="00624762" w:rsidRDefault="00624762" w:rsidP="00624762">
      <w:pPr>
        <w:ind w:left="566" w:firstLine="566"/>
        <w:rPr>
          <w:rFonts w:hint="eastAsia"/>
        </w:rPr>
      </w:pPr>
      <w:r w:rsidRPr="00812901">
        <w:rPr>
          <w:rFonts w:hint="eastAsia"/>
        </w:rPr>
        <w:t>存保公司1</w:t>
      </w:r>
      <w:r w:rsidR="00684762">
        <w:t>1</w:t>
      </w:r>
      <w:r w:rsidR="00BF51F2">
        <w:rPr>
          <w:rFonts w:hint="eastAsia"/>
        </w:rPr>
        <w:t>2</w:t>
      </w:r>
      <w:r w:rsidRPr="00812901">
        <w:rPr>
          <w:rFonts w:hint="eastAsia"/>
        </w:rPr>
        <w:t>年度</w:t>
      </w:r>
      <w:r w:rsidR="00B6161A">
        <w:rPr>
          <w:rFonts w:hint="eastAsia"/>
        </w:rPr>
        <w:t>「</w:t>
      </w:r>
      <w:r>
        <w:rPr>
          <w:rFonts w:hint="eastAsia"/>
        </w:rPr>
        <w:t>提存</w:t>
      </w:r>
      <w:r w:rsidR="00B6161A">
        <w:rPr>
          <w:rFonts w:hint="eastAsia"/>
        </w:rPr>
        <w:t>特別準備」</w:t>
      </w:r>
      <w:r w:rsidRPr="00812901">
        <w:rPr>
          <w:rFonts w:hint="eastAsia"/>
        </w:rPr>
        <w:t>決算</w:t>
      </w:r>
      <w:r>
        <w:rPr>
          <w:rFonts w:hint="eastAsia"/>
          <w:lang w:eastAsia="zh-HK"/>
        </w:rPr>
        <w:t>數為</w:t>
      </w:r>
      <w:r w:rsidR="008A1EFD">
        <w:rPr>
          <w:rFonts w:hint="eastAsia"/>
        </w:rPr>
        <w:t>1</w:t>
      </w:r>
      <w:r w:rsidR="001933B4">
        <w:t>34</w:t>
      </w:r>
      <w:r w:rsidRPr="00812901">
        <w:rPr>
          <w:rFonts w:hint="eastAsia"/>
        </w:rPr>
        <w:t>億</w:t>
      </w:r>
      <w:r w:rsidR="001933B4">
        <w:rPr>
          <w:rFonts w:hint="eastAsia"/>
        </w:rPr>
        <w:t>1</w:t>
      </w:r>
      <w:r w:rsidR="001933B4">
        <w:t>42</w:t>
      </w:r>
      <w:r w:rsidRPr="00812901">
        <w:rPr>
          <w:rFonts w:hint="eastAsia"/>
        </w:rPr>
        <w:t>萬</w:t>
      </w:r>
      <w:r w:rsidR="001933B4">
        <w:rPr>
          <w:rFonts w:hint="eastAsia"/>
        </w:rPr>
        <w:t>8</w:t>
      </w:r>
      <w:r w:rsidRPr="00812901">
        <w:rPr>
          <w:rFonts w:hint="eastAsia"/>
        </w:rPr>
        <w:t>千元，較預算數</w:t>
      </w:r>
      <w:r w:rsidR="001933B4">
        <w:rPr>
          <w:rFonts w:hint="eastAsia"/>
        </w:rPr>
        <w:t>1</w:t>
      </w:r>
      <w:r w:rsidR="001933B4">
        <w:t>11</w:t>
      </w:r>
      <w:r>
        <w:rPr>
          <w:rFonts w:hint="eastAsia"/>
          <w:lang w:eastAsia="zh-HK"/>
        </w:rPr>
        <w:t>億</w:t>
      </w:r>
      <w:r w:rsidR="001933B4">
        <w:rPr>
          <w:rFonts w:hint="eastAsia"/>
        </w:rPr>
        <w:t>3</w:t>
      </w:r>
      <w:r w:rsidR="00191BD4">
        <w:t>,</w:t>
      </w:r>
      <w:r w:rsidR="001933B4">
        <w:t>782</w:t>
      </w:r>
      <w:r>
        <w:rPr>
          <w:rFonts w:hint="eastAsia"/>
          <w:lang w:eastAsia="zh-HK"/>
        </w:rPr>
        <w:t>萬</w:t>
      </w:r>
      <w:r w:rsidR="00191BD4">
        <w:rPr>
          <w:rFonts w:hint="eastAsia"/>
        </w:rPr>
        <w:t>1千</w:t>
      </w:r>
      <w:r>
        <w:rPr>
          <w:rFonts w:hint="eastAsia"/>
          <w:lang w:eastAsia="zh-HK"/>
        </w:rPr>
        <w:t>元</w:t>
      </w:r>
      <w:r w:rsidRPr="00812901">
        <w:rPr>
          <w:rFonts w:hint="eastAsia"/>
        </w:rPr>
        <w:t>增加</w:t>
      </w:r>
      <w:r w:rsidR="001933B4">
        <w:rPr>
          <w:rFonts w:hint="eastAsia"/>
        </w:rPr>
        <w:t>2</w:t>
      </w:r>
      <w:r w:rsidR="001933B4">
        <w:t>2</w:t>
      </w:r>
      <w:r w:rsidRPr="00812901">
        <w:rPr>
          <w:rFonts w:hint="eastAsia"/>
        </w:rPr>
        <w:t>億</w:t>
      </w:r>
      <w:r w:rsidR="001933B4">
        <w:rPr>
          <w:rFonts w:hint="eastAsia"/>
        </w:rPr>
        <w:t>6</w:t>
      </w:r>
      <w:r>
        <w:t>,</w:t>
      </w:r>
      <w:r w:rsidR="001933B4">
        <w:t>360</w:t>
      </w:r>
      <w:r w:rsidRPr="00812901">
        <w:rPr>
          <w:rFonts w:hint="eastAsia"/>
        </w:rPr>
        <w:t>萬</w:t>
      </w:r>
      <w:r w:rsidR="001933B4">
        <w:rPr>
          <w:rFonts w:hint="eastAsia"/>
        </w:rPr>
        <w:t>7</w:t>
      </w:r>
      <w:r>
        <w:rPr>
          <w:rFonts w:hint="eastAsia"/>
        </w:rPr>
        <w:t>千</w:t>
      </w:r>
      <w:r w:rsidRPr="00812901">
        <w:rPr>
          <w:rFonts w:hint="eastAsia"/>
        </w:rPr>
        <w:t>元</w:t>
      </w:r>
      <w:r>
        <w:rPr>
          <w:rFonts w:hint="eastAsia"/>
        </w:rPr>
        <w:t>(</w:t>
      </w:r>
      <w:r w:rsidRPr="00812901">
        <w:rPr>
          <w:rFonts w:hint="eastAsia"/>
        </w:rPr>
        <w:t>增幅</w:t>
      </w:r>
      <w:r w:rsidR="001933B4">
        <w:rPr>
          <w:rFonts w:hint="eastAsia"/>
        </w:rPr>
        <w:t>2</w:t>
      </w:r>
      <w:r w:rsidR="001933B4">
        <w:t>0</w:t>
      </w:r>
      <w:r>
        <w:rPr>
          <w:rFonts w:hint="eastAsia"/>
        </w:rPr>
        <w:t>.</w:t>
      </w:r>
      <w:r w:rsidR="001933B4">
        <w:t>32</w:t>
      </w:r>
      <w:r w:rsidRPr="00812901">
        <w:rPr>
          <w:rFonts w:hint="eastAsia"/>
        </w:rPr>
        <w:t>%</w:t>
      </w:r>
      <w:r>
        <w:rPr>
          <w:rFonts w:hint="eastAsia"/>
        </w:rPr>
        <w:t>)</w:t>
      </w:r>
      <w:r w:rsidR="00977B80">
        <w:rPr>
          <w:rFonts w:hint="eastAsia"/>
        </w:rPr>
        <w:t>。經查：</w:t>
      </w:r>
    </w:p>
    <w:p w:rsidR="00624762" w:rsidRPr="00850957" w:rsidRDefault="00624762" w:rsidP="00624762">
      <w:pPr>
        <w:pStyle w:val="a4"/>
        <w:ind w:left="849" w:hanging="283"/>
        <w:rPr>
          <w:rFonts w:hint="eastAsia"/>
          <w:b/>
        </w:rPr>
      </w:pPr>
      <w:r w:rsidRPr="00850957">
        <w:rPr>
          <w:rFonts w:hint="eastAsia"/>
          <w:b/>
        </w:rPr>
        <w:t>(一)</w:t>
      </w:r>
      <w:r w:rsidRPr="00FA6C78">
        <w:rPr>
          <w:rFonts w:hint="eastAsia"/>
          <w:b/>
        </w:rPr>
        <w:t>存保公司之各保險賠款</w:t>
      </w:r>
      <w:r>
        <w:rPr>
          <w:rFonts w:hint="eastAsia"/>
          <w:b/>
        </w:rPr>
        <w:t>特別</w:t>
      </w:r>
      <w:r w:rsidRPr="00850957">
        <w:rPr>
          <w:rFonts w:hint="eastAsia"/>
          <w:b/>
        </w:rPr>
        <w:t>準備金提存比率法定目標值為2%</w:t>
      </w:r>
    </w:p>
    <w:p w:rsidR="00624762" w:rsidRDefault="00624762" w:rsidP="00624762">
      <w:pPr>
        <w:pStyle w:val="21"/>
        <w:ind w:left="850" w:firstLine="566"/>
        <w:rPr>
          <w:rFonts w:hint="eastAsia"/>
        </w:rPr>
      </w:pPr>
      <w:r>
        <w:rPr>
          <w:rFonts w:hint="eastAsia"/>
        </w:rPr>
        <w:lastRenderedPageBreak/>
        <w:t>依據</w:t>
      </w:r>
      <w:r w:rsidRPr="00850957">
        <w:rPr>
          <w:rFonts w:hint="eastAsia"/>
        </w:rPr>
        <w:t>存款保險條例第</w:t>
      </w:r>
      <w:r>
        <w:rPr>
          <w:rFonts w:hint="eastAsia"/>
        </w:rPr>
        <w:t>5</w:t>
      </w:r>
      <w:r w:rsidRPr="00850957">
        <w:rPr>
          <w:rFonts w:hint="eastAsia"/>
        </w:rPr>
        <w:t>條</w:t>
      </w:r>
      <w:r w:rsidR="00506ECC">
        <w:rPr>
          <w:rFonts w:hint="eastAsia"/>
        </w:rPr>
        <w:t>及</w:t>
      </w:r>
      <w:r>
        <w:rPr>
          <w:rFonts w:hint="eastAsia"/>
        </w:rPr>
        <w:t>第6條規定</w:t>
      </w:r>
      <w:r w:rsidR="00506ECC">
        <w:rPr>
          <w:rFonts w:hint="eastAsia"/>
        </w:rPr>
        <w:t>略以，</w:t>
      </w:r>
      <w:r w:rsidRPr="00850957">
        <w:rPr>
          <w:rFonts w:hint="eastAsia"/>
        </w:rPr>
        <w:t>存保公司每年度收入總額減除各項成本費用及損失後之餘額，應全數提存保險賠款特別準備金</w:t>
      </w:r>
      <w:r w:rsidR="00506ECC">
        <w:rPr>
          <w:rFonts w:hint="eastAsia"/>
        </w:rPr>
        <w:t>，並應設置一般金融保險賠款特別準備金及農業金融保險賠款特別準備金；</w:t>
      </w:r>
      <w:r>
        <w:rPr>
          <w:rFonts w:hint="eastAsia"/>
        </w:rPr>
        <w:t>同</w:t>
      </w:r>
      <w:r w:rsidRPr="00C04941">
        <w:rPr>
          <w:rFonts w:hint="eastAsia"/>
        </w:rPr>
        <w:t>條例第16條第1項規定：「存保公司之各保險賠款特別準備金餘額占保額內存款之目標比率為</w:t>
      </w:r>
      <w:r>
        <w:rPr>
          <w:rFonts w:hint="eastAsia"/>
        </w:rPr>
        <w:t>百分之二</w:t>
      </w:r>
      <w:r w:rsidRPr="00C04941">
        <w:rPr>
          <w:rFonts w:hint="eastAsia"/>
        </w:rPr>
        <w:t>。」</w:t>
      </w:r>
      <w:r w:rsidR="00506ECC">
        <w:rPr>
          <w:rFonts w:hint="eastAsia"/>
        </w:rPr>
        <w:t>按</w:t>
      </w:r>
      <w:r w:rsidR="00C557F9">
        <w:rPr>
          <w:rFonts w:hint="eastAsia"/>
        </w:rPr>
        <w:t>前開</w:t>
      </w:r>
      <w:r w:rsidR="00C557F9" w:rsidRPr="00C04941">
        <w:rPr>
          <w:rFonts w:hint="eastAsia"/>
        </w:rPr>
        <w:t>保險賠款特別準備金</w:t>
      </w:r>
      <w:r w:rsidR="00C557F9">
        <w:rPr>
          <w:rFonts w:hint="eastAsia"/>
        </w:rPr>
        <w:t>目標比率</w:t>
      </w:r>
      <w:r w:rsidR="00506ECC">
        <w:rPr>
          <w:rFonts w:hint="eastAsia"/>
        </w:rPr>
        <w:t>於</w:t>
      </w:r>
      <w:r w:rsidR="00C557F9">
        <w:rPr>
          <w:rFonts w:hint="eastAsia"/>
        </w:rPr>
        <w:t>96年</w:t>
      </w:r>
      <w:r w:rsidR="00506ECC">
        <w:rPr>
          <w:rFonts w:hint="eastAsia"/>
        </w:rPr>
        <w:t>1月</w:t>
      </w:r>
      <w:r w:rsidR="00C557F9">
        <w:rPr>
          <w:rFonts w:hint="eastAsia"/>
        </w:rPr>
        <w:t>間</w:t>
      </w:r>
      <w:r w:rsidR="00E41ED3">
        <w:rPr>
          <w:rFonts w:hint="eastAsia"/>
        </w:rPr>
        <w:t>訂定</w:t>
      </w:r>
      <w:r w:rsidR="00C557F9">
        <w:rPr>
          <w:rFonts w:hint="eastAsia"/>
        </w:rPr>
        <w:t>，</w:t>
      </w:r>
      <w:r w:rsidR="00506ECC">
        <w:rPr>
          <w:rFonts w:hint="eastAsia"/>
        </w:rPr>
        <w:t>係</w:t>
      </w:r>
      <w:r w:rsidR="00C36B4F">
        <w:rPr>
          <w:rFonts w:hint="eastAsia"/>
        </w:rPr>
        <w:t>參考先進國家經驗，</w:t>
      </w:r>
      <w:r w:rsidR="00E41ED3">
        <w:rPr>
          <w:rFonts w:hint="eastAsia"/>
        </w:rPr>
        <w:t>認為</w:t>
      </w:r>
      <w:r w:rsidR="00C557F9" w:rsidRPr="0009659A">
        <w:rPr>
          <w:rFonts w:hint="eastAsia"/>
        </w:rPr>
        <w:t>保險賠款特別準備金至少應足以支應</w:t>
      </w:r>
      <w:r w:rsidR="00C557F9">
        <w:rPr>
          <w:rFonts w:hint="eastAsia"/>
        </w:rPr>
        <w:t>4</w:t>
      </w:r>
      <w:r w:rsidR="00C557F9" w:rsidRPr="0009659A">
        <w:rPr>
          <w:rFonts w:hint="eastAsia"/>
        </w:rPr>
        <w:t>家中小型金融機構或</w:t>
      </w:r>
      <w:r w:rsidR="00C557F9">
        <w:rPr>
          <w:rFonts w:hint="eastAsia"/>
        </w:rPr>
        <w:t>1</w:t>
      </w:r>
      <w:r w:rsidR="00C557F9" w:rsidRPr="0009659A">
        <w:rPr>
          <w:rFonts w:hint="eastAsia"/>
        </w:rPr>
        <w:t>家大型金融機構倒閉所需處理成本</w:t>
      </w:r>
      <w:r w:rsidR="00C36B4F">
        <w:rPr>
          <w:rFonts w:hint="eastAsia"/>
        </w:rPr>
        <w:t>。</w:t>
      </w:r>
    </w:p>
    <w:p w:rsidR="00624762" w:rsidRPr="0027454F" w:rsidRDefault="00624762" w:rsidP="00624762">
      <w:pPr>
        <w:pStyle w:val="a4"/>
        <w:ind w:left="849" w:hanging="283"/>
        <w:rPr>
          <w:rFonts w:hint="eastAsia"/>
          <w:b/>
        </w:rPr>
      </w:pPr>
      <w:r w:rsidRPr="0027454F">
        <w:rPr>
          <w:rFonts w:hint="eastAsia"/>
          <w:b/>
        </w:rPr>
        <w:t>(二)</w:t>
      </w:r>
      <w:r w:rsidR="00C557F9" w:rsidRPr="0027454F">
        <w:rPr>
          <w:rFonts w:hint="eastAsia"/>
          <w:b/>
        </w:rPr>
        <w:t>截至</w:t>
      </w:r>
      <w:r w:rsidR="00C557F9">
        <w:rPr>
          <w:b/>
        </w:rPr>
        <w:t>11</w:t>
      </w:r>
      <w:r w:rsidR="00C557F9">
        <w:rPr>
          <w:rFonts w:hint="eastAsia"/>
          <w:b/>
        </w:rPr>
        <w:t>2</w:t>
      </w:r>
      <w:r w:rsidR="00C557F9" w:rsidRPr="0027454F">
        <w:rPr>
          <w:rFonts w:hint="eastAsia"/>
          <w:b/>
        </w:rPr>
        <w:t>年底</w:t>
      </w:r>
      <w:r w:rsidR="00C557F9">
        <w:rPr>
          <w:rFonts w:hint="eastAsia"/>
          <w:b/>
        </w:rPr>
        <w:t>止，</w:t>
      </w:r>
      <w:r w:rsidRPr="0027454F">
        <w:rPr>
          <w:rFonts w:hint="eastAsia"/>
          <w:b/>
        </w:rPr>
        <w:t>保險賠款特別準備金</w:t>
      </w:r>
      <w:r w:rsidR="00204003">
        <w:rPr>
          <w:rFonts w:hint="eastAsia"/>
          <w:b/>
        </w:rPr>
        <w:t>實際數與</w:t>
      </w:r>
      <w:r w:rsidRPr="0027454F">
        <w:rPr>
          <w:rFonts w:hint="eastAsia"/>
          <w:b/>
        </w:rPr>
        <w:t>法定</w:t>
      </w:r>
      <w:r w:rsidR="00204003">
        <w:rPr>
          <w:rFonts w:hint="eastAsia"/>
          <w:b/>
        </w:rPr>
        <w:t>目標</w:t>
      </w:r>
      <w:r w:rsidRPr="0027454F">
        <w:rPr>
          <w:rFonts w:hint="eastAsia"/>
          <w:b/>
        </w:rPr>
        <w:t>數</w:t>
      </w:r>
      <w:r w:rsidR="00204003">
        <w:rPr>
          <w:rFonts w:hint="eastAsia"/>
          <w:b/>
        </w:rPr>
        <w:t>之差距</w:t>
      </w:r>
      <w:r w:rsidR="00843310">
        <w:rPr>
          <w:rFonts w:hint="eastAsia"/>
          <w:b/>
        </w:rPr>
        <w:t>已</w:t>
      </w:r>
      <w:r w:rsidR="005469A4">
        <w:rPr>
          <w:rFonts w:hint="eastAsia"/>
          <w:b/>
        </w:rPr>
        <w:t>超逾</w:t>
      </w:r>
      <w:r w:rsidR="00843310">
        <w:rPr>
          <w:rFonts w:hint="eastAsia"/>
          <w:b/>
        </w:rPr>
        <w:t>4千</w:t>
      </w:r>
      <w:r w:rsidRPr="0027454F">
        <w:rPr>
          <w:rFonts w:hint="eastAsia"/>
          <w:b/>
        </w:rPr>
        <w:t>億元，亟待</w:t>
      </w:r>
      <w:r w:rsidR="005469A4" w:rsidRPr="005469A4">
        <w:rPr>
          <w:rFonts w:hint="eastAsia"/>
          <w:b/>
        </w:rPr>
        <w:t>研謀對策以</w:t>
      </w:r>
      <w:r w:rsidR="00B027AB">
        <w:rPr>
          <w:rFonts w:hint="eastAsia"/>
          <w:b/>
        </w:rPr>
        <w:t>提高風險承擔能力</w:t>
      </w:r>
    </w:p>
    <w:p w:rsidR="00DB7D4A" w:rsidRDefault="00624762" w:rsidP="00F91648">
      <w:pPr>
        <w:pStyle w:val="21"/>
        <w:ind w:left="850" w:firstLine="566"/>
      </w:pPr>
      <w:r w:rsidRPr="0046356E">
        <w:rPr>
          <w:rFonts w:hint="eastAsia"/>
        </w:rPr>
        <w:t>截至1</w:t>
      </w:r>
      <w:r>
        <w:t>1</w:t>
      </w:r>
      <w:r w:rsidR="00FE17FE">
        <w:rPr>
          <w:rFonts w:hint="eastAsia"/>
        </w:rPr>
        <w:t>2</w:t>
      </w:r>
      <w:r w:rsidRPr="0046356E">
        <w:rPr>
          <w:rFonts w:hint="eastAsia"/>
        </w:rPr>
        <w:t>年底止，</w:t>
      </w:r>
      <w:r>
        <w:rPr>
          <w:rFonts w:hint="eastAsia"/>
        </w:rPr>
        <w:t>存保公司</w:t>
      </w:r>
      <w:r w:rsidR="00CF345D">
        <w:rPr>
          <w:rFonts w:hint="eastAsia"/>
        </w:rPr>
        <w:t>有關</w:t>
      </w:r>
      <w:r w:rsidRPr="0046356E">
        <w:rPr>
          <w:rFonts w:hint="eastAsia"/>
        </w:rPr>
        <w:t>一般金融</w:t>
      </w:r>
      <w:r>
        <w:rPr>
          <w:rFonts w:hint="eastAsia"/>
        </w:rPr>
        <w:t>及</w:t>
      </w:r>
      <w:r w:rsidRPr="00394387">
        <w:rPr>
          <w:rFonts w:hint="eastAsia"/>
        </w:rPr>
        <w:t>農業金融</w:t>
      </w:r>
      <w:r w:rsidR="00CF345D">
        <w:rPr>
          <w:rFonts w:hint="eastAsia"/>
        </w:rPr>
        <w:t>之</w:t>
      </w:r>
      <w:r w:rsidRPr="0046356E">
        <w:rPr>
          <w:rFonts w:hint="eastAsia"/>
        </w:rPr>
        <w:t>保險賠款特別準備金</w:t>
      </w:r>
      <w:r>
        <w:rPr>
          <w:rFonts w:hint="eastAsia"/>
        </w:rPr>
        <w:t>分別為</w:t>
      </w:r>
      <w:r w:rsidRPr="009D3B76">
        <w:t>1,</w:t>
      </w:r>
      <w:r w:rsidR="00FE17FE">
        <w:rPr>
          <w:rFonts w:hint="eastAsia"/>
        </w:rPr>
        <w:t>444</w:t>
      </w:r>
      <w:r w:rsidRPr="009D3B76">
        <w:t>.</w:t>
      </w:r>
      <w:r w:rsidR="00FE17FE">
        <w:rPr>
          <w:rFonts w:hint="eastAsia"/>
        </w:rPr>
        <w:t>44</w:t>
      </w:r>
      <w:r>
        <w:rPr>
          <w:rFonts w:hint="eastAsia"/>
        </w:rPr>
        <w:t>億元</w:t>
      </w:r>
      <w:r>
        <w:rPr>
          <w:rFonts w:hint="eastAsia"/>
          <w:lang w:eastAsia="zh-HK"/>
        </w:rPr>
        <w:t>及</w:t>
      </w:r>
      <w:r w:rsidR="00FE17FE">
        <w:rPr>
          <w:rFonts w:hint="eastAsia"/>
        </w:rPr>
        <w:t>68</w:t>
      </w:r>
      <w:r w:rsidRPr="009D3B76">
        <w:t>.</w:t>
      </w:r>
      <w:r w:rsidR="00FE17FE">
        <w:rPr>
          <w:rFonts w:hint="eastAsia"/>
        </w:rPr>
        <w:t>10</w:t>
      </w:r>
      <w:r w:rsidRPr="00FC34CA">
        <w:rPr>
          <w:rFonts w:hint="eastAsia"/>
        </w:rPr>
        <w:t>億元</w:t>
      </w:r>
      <w:r w:rsidRPr="0046356E">
        <w:rPr>
          <w:rFonts w:hint="eastAsia"/>
        </w:rPr>
        <w:t>，僅占</w:t>
      </w:r>
      <w:r w:rsidR="00CF345D">
        <w:rPr>
          <w:rFonts w:hint="eastAsia"/>
        </w:rPr>
        <w:t>各</w:t>
      </w:r>
      <w:r>
        <w:rPr>
          <w:rFonts w:hint="eastAsia"/>
        </w:rPr>
        <w:t>要保機構</w:t>
      </w:r>
      <w:r w:rsidRPr="0046356E">
        <w:rPr>
          <w:rFonts w:hint="eastAsia"/>
        </w:rPr>
        <w:t>保額內存款比率</w:t>
      </w:r>
      <w:r>
        <w:rPr>
          <w:rFonts w:hint="eastAsia"/>
        </w:rPr>
        <w:t>之</w:t>
      </w:r>
      <w:r w:rsidRPr="009D3B76">
        <w:t>0.5</w:t>
      </w:r>
      <w:r w:rsidR="00FE17FE">
        <w:rPr>
          <w:rFonts w:hint="eastAsia"/>
        </w:rPr>
        <w:t>5</w:t>
      </w:r>
      <w:r w:rsidRPr="0046356E">
        <w:rPr>
          <w:rFonts w:hint="eastAsia"/>
        </w:rPr>
        <w:t>%</w:t>
      </w:r>
      <w:r>
        <w:rPr>
          <w:rFonts w:hint="eastAsia"/>
          <w:lang w:eastAsia="zh-HK"/>
        </w:rPr>
        <w:t>及</w:t>
      </w:r>
      <w:r w:rsidRPr="00FC34CA">
        <w:rPr>
          <w:rFonts w:hint="eastAsia"/>
        </w:rPr>
        <w:t>0.</w:t>
      </w:r>
      <w:r>
        <w:rPr>
          <w:rFonts w:hint="eastAsia"/>
        </w:rPr>
        <w:t>4</w:t>
      </w:r>
      <w:r w:rsidR="00FE17FE">
        <w:rPr>
          <w:rFonts w:hint="eastAsia"/>
        </w:rPr>
        <w:t>4</w:t>
      </w:r>
      <w:r w:rsidRPr="00FC34CA">
        <w:rPr>
          <w:rFonts w:hint="eastAsia"/>
        </w:rPr>
        <w:t>%</w:t>
      </w:r>
      <w:r w:rsidRPr="0046356E">
        <w:rPr>
          <w:rFonts w:hint="eastAsia"/>
        </w:rPr>
        <w:t>，</w:t>
      </w:r>
      <w:r w:rsidR="00CF345D">
        <w:rPr>
          <w:rFonts w:hint="eastAsia"/>
        </w:rPr>
        <w:t>分別</w:t>
      </w:r>
      <w:r w:rsidRPr="0046356E">
        <w:rPr>
          <w:rFonts w:hint="eastAsia"/>
        </w:rPr>
        <w:t>較法定</w:t>
      </w:r>
      <w:r w:rsidR="00204003">
        <w:rPr>
          <w:rFonts w:hint="eastAsia"/>
        </w:rPr>
        <w:t>目標數</w:t>
      </w:r>
      <w:r w:rsidR="00D913C5">
        <w:rPr>
          <w:rFonts w:hint="eastAsia"/>
        </w:rPr>
        <w:t>尚</w:t>
      </w:r>
      <w:r w:rsidRPr="0046356E">
        <w:rPr>
          <w:rFonts w:hint="eastAsia"/>
        </w:rPr>
        <w:t>不足</w:t>
      </w:r>
      <w:r w:rsidRPr="009D3B76">
        <w:t>3,</w:t>
      </w:r>
      <w:r w:rsidR="00652B1D">
        <w:rPr>
          <w:rFonts w:hint="eastAsia"/>
        </w:rPr>
        <w:t>831.46</w:t>
      </w:r>
      <w:r w:rsidRPr="0046356E">
        <w:rPr>
          <w:rFonts w:hint="eastAsia"/>
        </w:rPr>
        <w:t>億元</w:t>
      </w:r>
      <w:r>
        <w:rPr>
          <w:rFonts w:hint="eastAsia"/>
          <w:lang w:eastAsia="zh-HK"/>
        </w:rPr>
        <w:t>及</w:t>
      </w:r>
      <w:r w:rsidR="00D913C5">
        <w:t>2</w:t>
      </w:r>
      <w:r w:rsidR="00D913C5">
        <w:rPr>
          <w:rFonts w:hint="eastAsia"/>
        </w:rPr>
        <w:t>4</w:t>
      </w:r>
      <w:r w:rsidR="00652B1D">
        <w:rPr>
          <w:rFonts w:hint="eastAsia"/>
        </w:rPr>
        <w:t>0</w:t>
      </w:r>
      <w:r w:rsidRPr="009D3B76">
        <w:t>.</w:t>
      </w:r>
      <w:r w:rsidR="00652B1D">
        <w:rPr>
          <w:rFonts w:hint="eastAsia"/>
        </w:rPr>
        <w:t>39</w:t>
      </w:r>
      <w:r w:rsidRPr="00FC34CA">
        <w:rPr>
          <w:rFonts w:hint="eastAsia"/>
        </w:rPr>
        <w:t>億元</w:t>
      </w:r>
      <w:r w:rsidRPr="0046356E">
        <w:rPr>
          <w:rFonts w:hint="eastAsia"/>
        </w:rPr>
        <w:t>(詳表</w:t>
      </w:r>
      <w:r>
        <w:rPr>
          <w:rFonts w:hint="eastAsia"/>
        </w:rPr>
        <w:t>1</w:t>
      </w:r>
      <w:r w:rsidRPr="0046356E">
        <w:rPr>
          <w:rFonts w:hint="eastAsia"/>
        </w:rPr>
        <w:t>)</w:t>
      </w:r>
      <w:r w:rsidR="0028705F">
        <w:rPr>
          <w:rFonts w:hint="eastAsia"/>
        </w:rPr>
        <w:t>，</w:t>
      </w:r>
      <w:r w:rsidR="00DE6763">
        <w:rPr>
          <w:rFonts w:hint="eastAsia"/>
        </w:rPr>
        <w:t>缺口</w:t>
      </w:r>
      <w:r>
        <w:rPr>
          <w:rFonts w:hint="eastAsia"/>
        </w:rPr>
        <w:t>合計</w:t>
      </w:r>
      <w:r w:rsidR="005960BD">
        <w:rPr>
          <w:rFonts w:hint="eastAsia"/>
        </w:rPr>
        <w:t>高達</w:t>
      </w:r>
      <w:r w:rsidR="00652B1D">
        <w:rPr>
          <w:rFonts w:hint="eastAsia"/>
        </w:rPr>
        <w:t>4</w:t>
      </w:r>
      <w:r w:rsidRPr="009D3B76">
        <w:t>,</w:t>
      </w:r>
      <w:r w:rsidR="00652B1D">
        <w:rPr>
          <w:rFonts w:hint="eastAsia"/>
        </w:rPr>
        <w:t>071</w:t>
      </w:r>
      <w:r w:rsidR="000B0583">
        <w:rPr>
          <w:rFonts w:hint="eastAsia"/>
        </w:rPr>
        <w:t>.</w:t>
      </w:r>
      <w:r w:rsidR="00652B1D">
        <w:rPr>
          <w:rFonts w:hint="eastAsia"/>
        </w:rPr>
        <w:t>85</w:t>
      </w:r>
      <w:r>
        <w:rPr>
          <w:rFonts w:hint="eastAsia"/>
        </w:rPr>
        <w:t>億元</w:t>
      </w:r>
      <w:r w:rsidR="0028705F">
        <w:rPr>
          <w:rFonts w:hint="eastAsia"/>
        </w:rPr>
        <w:t>，較108年度之3</w:t>
      </w:r>
      <w:r w:rsidR="0028705F">
        <w:t>,</w:t>
      </w:r>
      <w:r w:rsidR="0028705F">
        <w:rPr>
          <w:rFonts w:hint="eastAsia"/>
        </w:rPr>
        <w:t>619.83億元增加452.02億元(增幅12.49%)</w:t>
      </w:r>
      <w:r>
        <w:rPr>
          <w:rFonts w:hint="eastAsia"/>
        </w:rPr>
        <w:t>。</w:t>
      </w:r>
      <w:r w:rsidR="00DB7D4A">
        <w:rPr>
          <w:rFonts w:hint="eastAsia"/>
        </w:rPr>
        <w:t>近年存保公司提存之</w:t>
      </w:r>
      <w:r w:rsidR="00DB7D4A" w:rsidRPr="005B4930">
        <w:rPr>
          <w:rFonts w:hint="eastAsia"/>
        </w:rPr>
        <w:t>各保險賠款特別準備金</w:t>
      </w:r>
      <w:r w:rsidR="008317A7">
        <w:rPr>
          <w:rFonts w:hint="eastAsia"/>
        </w:rPr>
        <w:t>之比率</w:t>
      </w:r>
      <w:r w:rsidR="00DB7D4A">
        <w:rPr>
          <w:rFonts w:hint="eastAsia"/>
        </w:rPr>
        <w:t>雖</w:t>
      </w:r>
      <w:r w:rsidR="00CF345D">
        <w:rPr>
          <w:rFonts w:hint="eastAsia"/>
        </w:rPr>
        <w:t>逐年</w:t>
      </w:r>
      <w:r w:rsidR="00DB7D4A">
        <w:rPr>
          <w:rFonts w:hint="eastAsia"/>
        </w:rPr>
        <w:t>提升，</w:t>
      </w:r>
      <w:r w:rsidR="00CF345D">
        <w:rPr>
          <w:rFonts w:hint="eastAsia"/>
        </w:rPr>
        <w:t>惟上升速度</w:t>
      </w:r>
      <w:r w:rsidR="00CF345D" w:rsidRPr="009768EF">
        <w:rPr>
          <w:rFonts w:hint="eastAsia"/>
        </w:rPr>
        <w:t>緩</w:t>
      </w:r>
      <w:r w:rsidR="00CF345D">
        <w:rPr>
          <w:rFonts w:hint="eastAsia"/>
        </w:rPr>
        <w:t>慢，</w:t>
      </w:r>
      <w:r w:rsidR="00DB7D4A" w:rsidRPr="001009CF">
        <w:rPr>
          <w:rFonts w:hint="eastAsia"/>
        </w:rPr>
        <w:t>以一般金融保險賠款特別準備金</w:t>
      </w:r>
      <w:r w:rsidR="00CF345D">
        <w:rPr>
          <w:rFonts w:hint="eastAsia"/>
        </w:rPr>
        <w:t>為例</w:t>
      </w:r>
      <w:r w:rsidR="00DB7D4A">
        <w:rPr>
          <w:rFonts w:hint="eastAsia"/>
        </w:rPr>
        <w:t>，10</w:t>
      </w:r>
      <w:r w:rsidR="00CC364D">
        <w:rPr>
          <w:rFonts w:hint="eastAsia"/>
        </w:rPr>
        <w:t>8</w:t>
      </w:r>
      <w:r w:rsidR="00DB7D4A">
        <w:rPr>
          <w:rFonts w:hint="eastAsia"/>
        </w:rPr>
        <w:t>至11</w:t>
      </w:r>
      <w:r w:rsidR="00CC364D">
        <w:rPr>
          <w:rFonts w:hint="eastAsia"/>
        </w:rPr>
        <w:t>2</w:t>
      </w:r>
      <w:r w:rsidR="00DB7D4A">
        <w:rPr>
          <w:rFonts w:hint="eastAsia"/>
        </w:rPr>
        <w:t>年度每年</w:t>
      </w:r>
      <w:r w:rsidR="00F02F6A">
        <w:rPr>
          <w:rFonts w:hint="eastAsia"/>
        </w:rPr>
        <w:t>約</w:t>
      </w:r>
      <w:r w:rsidR="00DB7D4A">
        <w:rPr>
          <w:rFonts w:hint="eastAsia"/>
        </w:rPr>
        <w:t>僅增加0.03個百分點，</w:t>
      </w:r>
      <w:r w:rsidR="00186E8A">
        <w:rPr>
          <w:rFonts w:hint="eastAsia"/>
        </w:rPr>
        <w:t>預估</w:t>
      </w:r>
      <w:r w:rsidR="00186E8A" w:rsidRPr="00186E8A">
        <w:rPr>
          <w:rFonts w:hint="eastAsia"/>
        </w:rPr>
        <w:t>需至140年始能達成</w:t>
      </w:r>
      <w:r w:rsidR="00DB7D4A" w:rsidRPr="00847318">
        <w:rPr>
          <w:rFonts w:hint="eastAsia"/>
        </w:rPr>
        <w:t>法定目標值</w:t>
      </w:r>
      <w:r w:rsidR="00175E28">
        <w:rPr>
          <w:rFonts w:hint="eastAsia"/>
        </w:rPr>
        <w:t>。</w:t>
      </w:r>
      <w:r w:rsidR="00CF345D">
        <w:rPr>
          <w:rFonts w:hint="eastAsia"/>
        </w:rPr>
        <w:t>按</w:t>
      </w:r>
      <w:r w:rsidR="006A604D" w:rsidRPr="006A604D">
        <w:rPr>
          <w:rFonts w:hint="eastAsia"/>
        </w:rPr>
        <w:t>保險賠款特別準備金充實與否，攸關存保制度之運作</w:t>
      </w:r>
      <w:r w:rsidR="006A604D">
        <w:rPr>
          <w:rFonts w:hint="eastAsia"/>
        </w:rPr>
        <w:t>，</w:t>
      </w:r>
      <w:r w:rsidR="00175E28">
        <w:rPr>
          <w:rFonts w:hint="eastAsia"/>
        </w:rPr>
        <w:t>為避免保</w:t>
      </w:r>
      <w:r w:rsidR="00175E28" w:rsidRPr="0046356E">
        <w:rPr>
          <w:rFonts w:hint="eastAsia"/>
        </w:rPr>
        <w:t>險賠款特別準備金</w:t>
      </w:r>
      <w:r w:rsidR="00175E28">
        <w:rPr>
          <w:rFonts w:hint="eastAsia"/>
        </w:rPr>
        <w:t>與目標金額之</w:t>
      </w:r>
      <w:r w:rsidR="00B73DA6">
        <w:rPr>
          <w:rFonts w:hint="eastAsia"/>
        </w:rPr>
        <w:t>缺口</w:t>
      </w:r>
      <w:r w:rsidR="00175E28">
        <w:rPr>
          <w:rFonts w:hint="eastAsia"/>
        </w:rPr>
        <w:t>逐年擴大</w:t>
      </w:r>
      <w:r w:rsidR="00186E8A">
        <w:rPr>
          <w:rFonts w:hint="eastAsia"/>
        </w:rPr>
        <w:t>，</w:t>
      </w:r>
      <w:r w:rsidR="00175E28">
        <w:rPr>
          <w:rFonts w:hint="eastAsia"/>
        </w:rPr>
        <w:t>允宜研謀對策，</w:t>
      </w:r>
      <w:r w:rsidR="00EB7D4F">
        <w:rPr>
          <w:rFonts w:hint="eastAsia"/>
        </w:rPr>
        <w:t>充實準備金以</w:t>
      </w:r>
      <w:r w:rsidR="00186E8A">
        <w:rPr>
          <w:rFonts w:hint="eastAsia"/>
        </w:rPr>
        <w:t>提升風險承擔能力</w:t>
      </w:r>
      <w:r w:rsidR="00DB7D4A">
        <w:rPr>
          <w:rFonts w:hint="eastAsia"/>
        </w:rPr>
        <w:t>。</w:t>
      </w:r>
    </w:p>
    <w:p w:rsidR="00624762" w:rsidRDefault="00624762" w:rsidP="006F0007">
      <w:pPr>
        <w:ind w:left="566" w:firstLine="566"/>
        <w:rPr>
          <w:rFonts w:hAnsi="標楷體"/>
          <w:b/>
          <w:smallCaps/>
          <w:snapToGrid/>
          <w:color w:val="000000"/>
        </w:rPr>
      </w:pPr>
      <w:r w:rsidRPr="008A204D">
        <w:rPr>
          <w:rFonts w:hint="eastAsia"/>
        </w:rPr>
        <w:t>綜上，</w:t>
      </w:r>
      <w:r w:rsidR="006A604D" w:rsidRPr="005B4930">
        <w:rPr>
          <w:rFonts w:hint="eastAsia"/>
        </w:rPr>
        <w:t>保險賠款特別準</w:t>
      </w:r>
      <w:r w:rsidR="006A604D">
        <w:rPr>
          <w:rFonts w:hint="eastAsia"/>
        </w:rPr>
        <w:t>備金</w:t>
      </w:r>
      <w:r w:rsidR="00576F50">
        <w:rPr>
          <w:rFonts w:hint="eastAsia"/>
        </w:rPr>
        <w:t>係為</w:t>
      </w:r>
      <w:r w:rsidR="00576F50" w:rsidRPr="0009659A">
        <w:rPr>
          <w:rFonts w:hint="eastAsia"/>
        </w:rPr>
        <w:t>支應金融機構倒閉所需處理成本</w:t>
      </w:r>
      <w:r w:rsidR="00576F50">
        <w:rPr>
          <w:rFonts w:hint="eastAsia"/>
        </w:rPr>
        <w:t>，</w:t>
      </w:r>
      <w:r w:rsidR="00DE6763">
        <w:rPr>
          <w:rFonts w:hint="eastAsia"/>
        </w:rPr>
        <w:t>近年保</w:t>
      </w:r>
      <w:r w:rsidR="00DE6763" w:rsidRPr="0046356E">
        <w:rPr>
          <w:rFonts w:hint="eastAsia"/>
        </w:rPr>
        <w:t>險賠款特別準備金占</w:t>
      </w:r>
      <w:r w:rsidR="00DE6763">
        <w:rPr>
          <w:rFonts w:hint="eastAsia"/>
        </w:rPr>
        <w:t>要保機構</w:t>
      </w:r>
      <w:r w:rsidR="00DE6763" w:rsidRPr="0046356E">
        <w:rPr>
          <w:rFonts w:hint="eastAsia"/>
        </w:rPr>
        <w:t>保額內存款比率</w:t>
      </w:r>
      <w:r w:rsidR="00DE6763">
        <w:rPr>
          <w:rFonts w:hint="eastAsia"/>
        </w:rPr>
        <w:t>雖緩慢上升，惟與</w:t>
      </w:r>
      <w:r w:rsidR="00A445F9" w:rsidRPr="00FC7E88">
        <w:rPr>
          <w:rFonts w:hint="eastAsia"/>
          <w:lang w:eastAsia="zh-HK"/>
        </w:rPr>
        <w:t>法定</w:t>
      </w:r>
      <w:r w:rsidR="00DE6763">
        <w:rPr>
          <w:rFonts w:hint="eastAsia"/>
        </w:rPr>
        <w:t>目標</w:t>
      </w:r>
      <w:r w:rsidR="00A445F9">
        <w:rPr>
          <w:rFonts w:hint="eastAsia"/>
        </w:rPr>
        <w:t>應</w:t>
      </w:r>
      <w:r w:rsidR="00DE6763">
        <w:rPr>
          <w:rFonts w:hint="eastAsia"/>
        </w:rPr>
        <w:t>提存數之</w:t>
      </w:r>
      <w:r w:rsidR="00A445F9">
        <w:rPr>
          <w:rFonts w:hint="eastAsia"/>
        </w:rPr>
        <w:t>金額差距</w:t>
      </w:r>
      <w:r w:rsidR="00DE6763">
        <w:rPr>
          <w:rFonts w:hint="eastAsia"/>
        </w:rPr>
        <w:t>卻</w:t>
      </w:r>
      <w:r w:rsidR="00A445F9">
        <w:rPr>
          <w:rFonts w:hint="eastAsia"/>
        </w:rPr>
        <w:t>呈逐年擴大之趨勢，</w:t>
      </w:r>
      <w:r w:rsidR="00286CC1">
        <w:rPr>
          <w:rFonts w:hint="eastAsia"/>
          <w:lang w:eastAsia="zh-HK"/>
        </w:rPr>
        <w:t>截至</w:t>
      </w:r>
      <w:r w:rsidR="00286CC1" w:rsidRPr="00FC7E88">
        <w:rPr>
          <w:rFonts w:hint="eastAsia"/>
          <w:lang w:eastAsia="zh-HK"/>
        </w:rPr>
        <w:t>1</w:t>
      </w:r>
      <w:r w:rsidR="00286CC1">
        <w:rPr>
          <w:lang w:eastAsia="zh-HK"/>
        </w:rPr>
        <w:t>1</w:t>
      </w:r>
      <w:r w:rsidR="00B73DA6">
        <w:rPr>
          <w:rFonts w:hint="eastAsia"/>
        </w:rPr>
        <w:t>2</w:t>
      </w:r>
      <w:r w:rsidR="00286CC1" w:rsidRPr="00FC7E88">
        <w:rPr>
          <w:rFonts w:hint="eastAsia"/>
          <w:lang w:eastAsia="zh-HK"/>
        </w:rPr>
        <w:t>年底</w:t>
      </w:r>
      <w:r w:rsidR="00286CC1">
        <w:rPr>
          <w:rFonts w:hint="eastAsia"/>
          <w:lang w:eastAsia="zh-HK"/>
        </w:rPr>
        <w:t>止</w:t>
      </w:r>
      <w:r w:rsidR="00BB29A7">
        <w:rPr>
          <w:rFonts w:hint="eastAsia"/>
        </w:rPr>
        <w:t>合計</w:t>
      </w:r>
      <w:r w:rsidR="00A445F9">
        <w:rPr>
          <w:rFonts w:hint="eastAsia"/>
        </w:rPr>
        <w:t>已高</w:t>
      </w:r>
      <w:r w:rsidR="00BB29A7">
        <w:rPr>
          <w:rFonts w:hint="eastAsia"/>
        </w:rPr>
        <w:t>達</w:t>
      </w:r>
      <w:r w:rsidR="00B73DA6">
        <w:rPr>
          <w:rFonts w:hint="eastAsia"/>
        </w:rPr>
        <w:t>4</w:t>
      </w:r>
      <w:r w:rsidR="00B73DA6" w:rsidRPr="009D3B76">
        <w:t>,</w:t>
      </w:r>
      <w:r w:rsidR="00B73DA6">
        <w:rPr>
          <w:rFonts w:hint="eastAsia"/>
        </w:rPr>
        <w:t>071.85</w:t>
      </w:r>
      <w:r w:rsidR="00286CC1">
        <w:rPr>
          <w:rFonts w:hint="eastAsia"/>
        </w:rPr>
        <w:t>億元</w:t>
      </w:r>
      <w:r w:rsidR="00286CC1" w:rsidRPr="00FC7E88">
        <w:rPr>
          <w:rFonts w:hint="eastAsia"/>
          <w:lang w:eastAsia="zh-HK"/>
        </w:rPr>
        <w:t>，</w:t>
      </w:r>
      <w:r w:rsidR="00B73DA6">
        <w:rPr>
          <w:rFonts w:hint="eastAsia"/>
          <w:lang w:eastAsia="zh-HK"/>
        </w:rPr>
        <w:t>為近年</w:t>
      </w:r>
      <w:r w:rsidR="00A445F9">
        <w:rPr>
          <w:rFonts w:hint="eastAsia"/>
          <w:lang w:eastAsia="zh-HK"/>
        </w:rPr>
        <w:t>最高，</w:t>
      </w:r>
      <w:r w:rsidR="00475D38">
        <w:rPr>
          <w:rFonts w:hint="eastAsia"/>
        </w:rPr>
        <w:t>為持續強化</w:t>
      </w:r>
      <w:r>
        <w:rPr>
          <w:rFonts w:hint="eastAsia"/>
          <w:lang w:eastAsia="zh-HK"/>
        </w:rPr>
        <w:t>存保</w:t>
      </w:r>
      <w:r w:rsidR="00ED228C">
        <w:rPr>
          <w:rFonts w:hint="eastAsia"/>
        </w:rPr>
        <w:t>公司</w:t>
      </w:r>
      <w:r w:rsidR="00AC7D8E">
        <w:rPr>
          <w:rFonts w:hint="eastAsia"/>
        </w:rPr>
        <w:t>風險承擔能力</w:t>
      </w:r>
      <w:r w:rsidR="000C3A1F">
        <w:rPr>
          <w:rFonts w:hint="eastAsia"/>
        </w:rPr>
        <w:t>及</w:t>
      </w:r>
      <w:r w:rsidR="006D7868">
        <w:rPr>
          <w:rFonts w:hint="eastAsia"/>
        </w:rPr>
        <w:t>安定存款人信心，</w:t>
      </w:r>
      <w:r w:rsidR="00475D38">
        <w:rPr>
          <w:rFonts w:hint="eastAsia"/>
        </w:rPr>
        <w:t>允宜</w:t>
      </w:r>
      <w:r w:rsidR="00610B86">
        <w:rPr>
          <w:rFonts w:hint="eastAsia"/>
        </w:rPr>
        <w:t>研謀</w:t>
      </w:r>
      <w:r w:rsidR="005F4EC3">
        <w:rPr>
          <w:rFonts w:hint="eastAsia"/>
        </w:rPr>
        <w:t>檢討</w:t>
      </w:r>
      <w:r w:rsidR="00610B86">
        <w:rPr>
          <w:rFonts w:hint="eastAsia"/>
        </w:rPr>
        <w:t>改善，並</w:t>
      </w:r>
      <w:r w:rsidR="000C3A1F">
        <w:rPr>
          <w:rFonts w:hint="eastAsia"/>
          <w:lang w:eastAsia="zh-HK"/>
        </w:rPr>
        <w:t>加速充實</w:t>
      </w:r>
      <w:r w:rsidR="006D7868" w:rsidRPr="005B4930">
        <w:rPr>
          <w:rFonts w:hint="eastAsia"/>
        </w:rPr>
        <w:t>各保險賠款特別準備金</w:t>
      </w:r>
      <w:r w:rsidRPr="00C04941">
        <w:rPr>
          <w:rFonts w:hint="eastAsia"/>
        </w:rPr>
        <w:t>，</w:t>
      </w:r>
      <w:r w:rsidR="000C3A1F">
        <w:rPr>
          <w:rFonts w:hint="eastAsia"/>
        </w:rPr>
        <w:t>俾</w:t>
      </w:r>
      <w:r w:rsidR="00203F6E">
        <w:rPr>
          <w:rFonts w:hint="eastAsia"/>
        </w:rPr>
        <w:t>即</w:t>
      </w:r>
      <w:r w:rsidR="000C3A1F">
        <w:rPr>
          <w:rFonts w:hint="eastAsia"/>
        </w:rPr>
        <w:t>早</w:t>
      </w:r>
      <w:r w:rsidR="00203F6E" w:rsidRPr="00203F6E">
        <w:rPr>
          <w:rFonts w:hint="eastAsia"/>
        </w:rPr>
        <w:t>合於法定目標規範</w:t>
      </w:r>
      <w:r w:rsidR="006A604D">
        <w:rPr>
          <w:rFonts w:hint="eastAsia"/>
        </w:rPr>
        <w:t>，健全存保制度。</w:t>
      </w:r>
    </w:p>
    <w:p w:rsidR="0046149C" w:rsidRPr="004A2B02" w:rsidRDefault="00624762" w:rsidP="004A2B02">
      <w:pPr>
        <w:ind w:leftChars="0" w:left="0" w:firstLineChars="0" w:firstLine="0"/>
        <w:rPr>
          <w:rFonts w:hAnsi="標楷體"/>
        </w:rPr>
      </w:pPr>
      <w:r w:rsidRPr="004A2B02">
        <w:rPr>
          <w:rStyle w:val="201"/>
          <w:rFonts w:hint="eastAsia"/>
        </w:rPr>
        <w:t>表</w:t>
      </w:r>
      <w:r w:rsidRPr="004A2B02">
        <w:rPr>
          <w:rStyle w:val="201"/>
        </w:rPr>
        <w:t>1</w:t>
      </w:r>
      <w:r w:rsidR="00E73398" w:rsidRPr="004A2B02">
        <w:rPr>
          <w:rStyle w:val="201"/>
        </w:rPr>
        <w:t xml:space="preserve">  </w:t>
      </w:r>
      <w:r w:rsidRPr="004A2B02">
        <w:rPr>
          <w:rStyle w:val="201"/>
          <w:rFonts w:hint="eastAsia"/>
        </w:rPr>
        <w:t>存保公司10</w:t>
      </w:r>
      <w:r w:rsidR="00A445F9">
        <w:rPr>
          <w:rStyle w:val="201"/>
        </w:rPr>
        <w:t>8</w:t>
      </w:r>
      <w:r w:rsidRPr="004A2B02">
        <w:rPr>
          <w:rStyle w:val="201"/>
          <w:rFonts w:hint="eastAsia"/>
        </w:rPr>
        <w:t>至</w:t>
      </w:r>
      <w:r w:rsidR="00977EB0">
        <w:rPr>
          <w:rStyle w:val="201"/>
          <w:rFonts w:hint="eastAsia"/>
        </w:rPr>
        <w:t>1</w:t>
      </w:r>
      <w:r w:rsidR="00977EB0">
        <w:rPr>
          <w:rStyle w:val="201"/>
        </w:rPr>
        <w:t>12</w:t>
      </w:r>
      <w:r w:rsidRPr="004A2B02">
        <w:rPr>
          <w:rStyle w:val="201"/>
          <w:rFonts w:hint="eastAsia"/>
        </w:rPr>
        <w:t>年度</w:t>
      </w:r>
      <w:r w:rsidR="0046149C" w:rsidRPr="004A2B02">
        <w:rPr>
          <w:rStyle w:val="201"/>
          <w:rFonts w:hint="eastAsia"/>
        </w:rPr>
        <w:t>各</w:t>
      </w:r>
      <w:r w:rsidRPr="004A2B02">
        <w:rPr>
          <w:rStyle w:val="201"/>
          <w:rFonts w:hint="eastAsia"/>
        </w:rPr>
        <w:t>保險賠款特別</w:t>
      </w:r>
      <w:r w:rsidRPr="004A2B02">
        <w:rPr>
          <w:rFonts w:hAnsi="標楷體" w:hint="eastAsia"/>
          <w:b/>
        </w:rPr>
        <w:t>準備金</w:t>
      </w:r>
      <w:r w:rsidR="005815D6" w:rsidRPr="004A2B02">
        <w:rPr>
          <w:rFonts w:hAnsi="標楷體" w:hint="eastAsia"/>
          <w:b/>
        </w:rPr>
        <w:t>概況</w:t>
      </w:r>
      <w:r w:rsidRPr="004A2B02">
        <w:rPr>
          <w:rFonts w:hAnsi="標楷體" w:hint="eastAsia"/>
          <w:b/>
        </w:rPr>
        <w:t>表</w:t>
      </w:r>
    </w:p>
    <w:p w:rsidR="00624762" w:rsidRPr="001065A1" w:rsidRDefault="00624762" w:rsidP="001F7A8B">
      <w:pPr>
        <w:pStyle w:val="142"/>
        <w:jc w:val="right"/>
      </w:pPr>
      <w:r w:rsidRPr="001065A1">
        <w:rPr>
          <w:rFonts w:hint="eastAsia"/>
        </w:rPr>
        <w:t>單位：新臺幣百萬元；%</w:t>
      </w:r>
    </w:p>
    <w:tbl>
      <w:tblPr>
        <w:tblW w:w="8430"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0"/>
        <w:gridCol w:w="1120"/>
        <w:gridCol w:w="1470"/>
        <w:gridCol w:w="1418"/>
        <w:gridCol w:w="1276"/>
        <w:gridCol w:w="1088"/>
        <w:gridCol w:w="1288"/>
      </w:tblGrid>
      <w:tr w:rsidR="00624762" w:rsidRPr="0046149C" w:rsidTr="00974D32">
        <w:trPr>
          <w:trHeight w:val="371"/>
          <w:tblHeader/>
        </w:trPr>
        <w:tc>
          <w:tcPr>
            <w:tcW w:w="770" w:type="dxa"/>
            <w:vMerge w:val="restart"/>
            <w:tcBorders>
              <w:top w:val="single" w:sz="12" w:space="0" w:color="auto"/>
              <w:left w:val="single" w:sz="12"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r w:rsidRPr="0046149C">
              <w:rPr>
                <w:rFonts w:hint="eastAsia"/>
                <w:b/>
              </w:rPr>
              <w:t>年</w:t>
            </w:r>
            <w:r w:rsidR="005815D6" w:rsidRPr="0046149C">
              <w:rPr>
                <w:rFonts w:hint="eastAsia"/>
                <w:b/>
              </w:rPr>
              <w:t>度</w:t>
            </w:r>
          </w:p>
        </w:tc>
        <w:tc>
          <w:tcPr>
            <w:tcW w:w="1120"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r w:rsidRPr="0046149C">
              <w:rPr>
                <w:rFonts w:hint="eastAsia"/>
                <w:b/>
              </w:rPr>
              <w:t>類別</w:t>
            </w:r>
          </w:p>
        </w:tc>
        <w:tc>
          <w:tcPr>
            <w:tcW w:w="1470"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rsidR="00A17939" w:rsidRDefault="00624762" w:rsidP="0046149C">
            <w:pPr>
              <w:pStyle w:val="142"/>
              <w:jc w:val="center"/>
              <w:rPr>
                <w:b/>
              </w:rPr>
            </w:pPr>
            <w:r w:rsidRPr="0046149C">
              <w:rPr>
                <w:rFonts w:hint="eastAsia"/>
                <w:b/>
              </w:rPr>
              <w:t>保險賠款</w:t>
            </w:r>
            <w:r w:rsidR="00974D32">
              <w:rPr>
                <w:b/>
              </w:rPr>
              <w:br/>
            </w:r>
            <w:r w:rsidRPr="0046149C">
              <w:rPr>
                <w:rFonts w:hint="eastAsia"/>
                <w:b/>
              </w:rPr>
              <w:t>特別準備金</w:t>
            </w:r>
          </w:p>
          <w:p w:rsidR="00624762" w:rsidRPr="0046149C" w:rsidRDefault="00624762" w:rsidP="0046149C">
            <w:pPr>
              <w:pStyle w:val="142"/>
              <w:jc w:val="center"/>
              <w:rPr>
                <w:b/>
              </w:rPr>
            </w:pPr>
            <w:r w:rsidRPr="0046149C">
              <w:rPr>
                <w:rFonts w:hint="eastAsia"/>
                <w:b/>
              </w:rPr>
              <w:t>A</w:t>
            </w:r>
          </w:p>
        </w:tc>
        <w:tc>
          <w:tcPr>
            <w:tcW w:w="2694" w:type="dxa"/>
            <w:gridSpan w:val="2"/>
            <w:tcBorders>
              <w:top w:val="single" w:sz="12" w:space="0" w:color="auto"/>
              <w:left w:val="single" w:sz="6" w:space="0" w:color="auto"/>
              <w:bottom w:val="single" w:sz="6" w:space="0" w:color="auto"/>
              <w:right w:val="single" w:sz="6" w:space="0" w:color="auto"/>
            </w:tcBorders>
            <w:shd w:val="clear" w:color="auto" w:fill="auto"/>
            <w:vAlign w:val="center"/>
          </w:tcPr>
          <w:p w:rsidR="00624762" w:rsidRPr="0046149C" w:rsidRDefault="008317A7" w:rsidP="0046149C">
            <w:pPr>
              <w:pStyle w:val="142"/>
              <w:jc w:val="center"/>
              <w:rPr>
                <w:b/>
              </w:rPr>
            </w:pPr>
            <w:r>
              <w:rPr>
                <w:rFonts w:hint="eastAsia"/>
                <w:b/>
              </w:rPr>
              <w:t>依</w:t>
            </w:r>
            <w:r w:rsidR="00624762" w:rsidRPr="0046149C">
              <w:rPr>
                <w:rFonts w:hint="eastAsia"/>
                <w:b/>
              </w:rPr>
              <w:t>法定目標</w:t>
            </w:r>
            <w:r w:rsidR="00974D32">
              <w:rPr>
                <w:rFonts w:hint="eastAsia"/>
                <w:b/>
              </w:rPr>
              <w:t>值</w:t>
            </w:r>
            <w:r>
              <w:rPr>
                <w:rFonts w:hint="eastAsia"/>
                <w:b/>
              </w:rPr>
              <w:t>核計</w:t>
            </w:r>
            <w:r>
              <w:rPr>
                <w:b/>
              </w:rPr>
              <w:br/>
            </w:r>
            <w:r>
              <w:rPr>
                <w:rFonts w:hint="eastAsia"/>
                <w:b/>
              </w:rPr>
              <w:t>應</w:t>
            </w:r>
            <w:r w:rsidR="00624762" w:rsidRPr="0046149C">
              <w:rPr>
                <w:rFonts w:hint="eastAsia"/>
                <w:b/>
              </w:rPr>
              <w:t>提存數</w:t>
            </w:r>
          </w:p>
        </w:tc>
        <w:tc>
          <w:tcPr>
            <w:tcW w:w="1088"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rsidR="00F91648" w:rsidRDefault="00624762" w:rsidP="0046149C">
            <w:pPr>
              <w:pStyle w:val="142"/>
              <w:jc w:val="center"/>
              <w:rPr>
                <w:b/>
              </w:rPr>
            </w:pPr>
            <w:r w:rsidRPr="0046149C">
              <w:rPr>
                <w:rFonts w:hint="eastAsia"/>
                <w:b/>
              </w:rPr>
              <w:t>準備金</w:t>
            </w:r>
            <w:r w:rsidR="00974D32">
              <w:rPr>
                <w:b/>
              </w:rPr>
              <w:br/>
            </w:r>
            <w:r w:rsidRPr="0046149C">
              <w:rPr>
                <w:rFonts w:hint="eastAsia"/>
                <w:b/>
              </w:rPr>
              <w:t>不足數</w:t>
            </w:r>
          </w:p>
          <w:p w:rsidR="00624762" w:rsidRPr="0046149C" w:rsidRDefault="00624762" w:rsidP="0046149C">
            <w:pPr>
              <w:pStyle w:val="142"/>
              <w:jc w:val="center"/>
              <w:rPr>
                <w:b/>
              </w:rPr>
            </w:pPr>
            <w:r w:rsidRPr="0046149C">
              <w:rPr>
                <w:rFonts w:hint="eastAsia"/>
                <w:b/>
              </w:rPr>
              <w:t>C-A</w:t>
            </w:r>
          </w:p>
        </w:tc>
        <w:tc>
          <w:tcPr>
            <w:tcW w:w="1288" w:type="dxa"/>
            <w:vMerge w:val="restart"/>
            <w:tcBorders>
              <w:top w:val="single" w:sz="12" w:space="0" w:color="auto"/>
              <w:left w:val="single" w:sz="6" w:space="0" w:color="auto"/>
              <w:bottom w:val="single" w:sz="6" w:space="0" w:color="auto"/>
              <w:right w:val="single" w:sz="12" w:space="0" w:color="auto"/>
            </w:tcBorders>
            <w:shd w:val="clear" w:color="auto" w:fill="auto"/>
            <w:vAlign w:val="center"/>
          </w:tcPr>
          <w:p w:rsidR="00624762" w:rsidRPr="0046149C" w:rsidRDefault="00624762" w:rsidP="0046149C">
            <w:pPr>
              <w:pStyle w:val="142"/>
              <w:jc w:val="center"/>
              <w:rPr>
                <w:b/>
              </w:rPr>
            </w:pPr>
            <w:r w:rsidRPr="0046149C">
              <w:rPr>
                <w:rFonts w:hint="eastAsia"/>
                <w:b/>
              </w:rPr>
              <w:t>準備金占保額內</w:t>
            </w:r>
            <w:r w:rsidR="001F7A8B">
              <w:rPr>
                <w:b/>
              </w:rPr>
              <w:br/>
            </w:r>
            <w:r w:rsidRPr="0046149C">
              <w:rPr>
                <w:rFonts w:hint="eastAsia"/>
                <w:b/>
              </w:rPr>
              <w:t>存款比率A/B(%)</w:t>
            </w:r>
          </w:p>
        </w:tc>
      </w:tr>
      <w:tr w:rsidR="00624762" w:rsidRPr="0046149C" w:rsidTr="00974D32">
        <w:trPr>
          <w:trHeight w:val="274"/>
          <w:tblHeader/>
        </w:trPr>
        <w:tc>
          <w:tcPr>
            <w:tcW w:w="770" w:type="dxa"/>
            <w:vMerge/>
            <w:tcBorders>
              <w:top w:val="single" w:sz="6" w:space="0" w:color="auto"/>
              <w:left w:val="single" w:sz="12" w:space="0" w:color="auto"/>
              <w:bottom w:val="single" w:sz="6" w:space="0" w:color="auto"/>
              <w:right w:val="single" w:sz="6" w:space="0" w:color="auto"/>
            </w:tcBorders>
            <w:shd w:val="clear" w:color="auto" w:fill="auto"/>
          </w:tcPr>
          <w:p w:rsidR="00624762" w:rsidRPr="0046149C" w:rsidRDefault="00624762" w:rsidP="0046149C">
            <w:pPr>
              <w:spacing w:line="280" w:lineRule="exact"/>
              <w:ind w:leftChars="0" w:left="0" w:firstLineChars="0" w:firstLine="0"/>
              <w:jc w:val="center"/>
              <w:rPr>
                <w:rFonts w:hAnsi="標楷體"/>
                <w:b/>
                <w:color w:val="000000"/>
                <w:sz w:val="20"/>
                <w:szCs w:val="20"/>
              </w:rPr>
            </w:pPr>
          </w:p>
        </w:tc>
        <w:tc>
          <w:tcPr>
            <w:tcW w:w="1120" w:type="dxa"/>
            <w:vMerge/>
            <w:tcBorders>
              <w:top w:val="single" w:sz="6" w:space="0" w:color="auto"/>
              <w:left w:val="single" w:sz="6" w:space="0" w:color="auto"/>
              <w:bottom w:val="single" w:sz="6" w:space="0" w:color="auto"/>
              <w:right w:val="single" w:sz="6" w:space="0" w:color="auto"/>
            </w:tcBorders>
            <w:shd w:val="clear" w:color="auto" w:fill="auto"/>
          </w:tcPr>
          <w:p w:rsidR="00624762" w:rsidRPr="0046149C" w:rsidRDefault="00624762" w:rsidP="0046149C">
            <w:pPr>
              <w:spacing w:line="280" w:lineRule="exact"/>
              <w:ind w:leftChars="0" w:left="0" w:firstLineChars="0" w:firstLine="0"/>
              <w:jc w:val="center"/>
              <w:rPr>
                <w:rFonts w:hAnsi="標楷體"/>
                <w:b/>
                <w:color w:val="000000"/>
                <w:sz w:val="20"/>
                <w:szCs w:val="20"/>
              </w:rPr>
            </w:pPr>
          </w:p>
        </w:tc>
        <w:tc>
          <w:tcPr>
            <w:tcW w:w="1470" w:type="dxa"/>
            <w:vMerge/>
            <w:tcBorders>
              <w:top w:val="single" w:sz="6" w:space="0" w:color="auto"/>
              <w:left w:val="single" w:sz="6" w:space="0" w:color="auto"/>
              <w:bottom w:val="single" w:sz="6" w:space="0" w:color="auto"/>
              <w:right w:val="single" w:sz="6" w:space="0" w:color="auto"/>
            </w:tcBorders>
            <w:shd w:val="clear" w:color="auto" w:fill="auto"/>
          </w:tcPr>
          <w:p w:rsidR="00624762" w:rsidRPr="0046149C" w:rsidRDefault="00624762" w:rsidP="0046149C">
            <w:pPr>
              <w:spacing w:line="280" w:lineRule="exact"/>
              <w:ind w:leftChars="0" w:left="0" w:firstLineChars="0" w:firstLine="0"/>
              <w:jc w:val="center"/>
              <w:rPr>
                <w:rFonts w:hAnsi="標楷體"/>
                <w:b/>
                <w:color w:val="000000"/>
                <w:sz w:val="20"/>
                <w:szCs w:val="20"/>
              </w:rPr>
            </w:pP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r w:rsidRPr="0046149C">
              <w:rPr>
                <w:rFonts w:hint="eastAsia"/>
                <w:b/>
              </w:rPr>
              <w:t>保額內存款</w:t>
            </w:r>
            <w:r w:rsidR="00974D32">
              <w:rPr>
                <w:b/>
              </w:rPr>
              <w:br/>
            </w:r>
            <w:r w:rsidRPr="0046149C">
              <w:rPr>
                <w:rFonts w:hint="eastAsia"/>
                <w:b/>
              </w:rPr>
              <w:t>B</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46149C" w:rsidRDefault="008317A7" w:rsidP="0046149C">
            <w:pPr>
              <w:pStyle w:val="142"/>
              <w:jc w:val="center"/>
              <w:rPr>
                <w:b/>
              </w:rPr>
            </w:pPr>
            <w:r>
              <w:rPr>
                <w:rFonts w:hint="eastAsia"/>
                <w:b/>
              </w:rPr>
              <w:t>應</w:t>
            </w:r>
            <w:r w:rsidRPr="0046149C">
              <w:rPr>
                <w:rFonts w:hint="eastAsia"/>
                <w:b/>
              </w:rPr>
              <w:t>提存數</w:t>
            </w:r>
            <w:r w:rsidR="00974D32">
              <w:rPr>
                <w:b/>
              </w:rPr>
              <w:br/>
            </w:r>
            <w:r w:rsidR="00624762" w:rsidRPr="0046149C">
              <w:rPr>
                <w:rFonts w:hint="eastAsia"/>
                <w:b/>
              </w:rPr>
              <w:t>C</w:t>
            </w:r>
          </w:p>
        </w:tc>
        <w:tc>
          <w:tcPr>
            <w:tcW w:w="1088" w:type="dxa"/>
            <w:vMerge/>
            <w:tcBorders>
              <w:top w:val="single" w:sz="6" w:space="0" w:color="auto"/>
              <w:left w:val="single" w:sz="6" w:space="0" w:color="auto"/>
              <w:bottom w:val="single" w:sz="6" w:space="0" w:color="auto"/>
              <w:right w:val="single" w:sz="6" w:space="0" w:color="auto"/>
            </w:tcBorders>
            <w:shd w:val="clear" w:color="auto" w:fill="auto"/>
          </w:tcPr>
          <w:p w:rsidR="00624762" w:rsidRPr="0046149C" w:rsidRDefault="00624762" w:rsidP="0046149C">
            <w:pPr>
              <w:spacing w:line="280" w:lineRule="exact"/>
              <w:ind w:leftChars="0" w:left="0" w:firstLineChars="0" w:firstLine="0"/>
              <w:jc w:val="center"/>
              <w:rPr>
                <w:rFonts w:hAnsi="標楷體"/>
                <w:b/>
                <w:color w:val="000000"/>
                <w:sz w:val="20"/>
                <w:szCs w:val="20"/>
              </w:rPr>
            </w:pPr>
          </w:p>
        </w:tc>
        <w:tc>
          <w:tcPr>
            <w:tcW w:w="1288" w:type="dxa"/>
            <w:vMerge/>
            <w:tcBorders>
              <w:top w:val="single" w:sz="6" w:space="0" w:color="auto"/>
              <w:left w:val="single" w:sz="6" w:space="0" w:color="auto"/>
              <w:bottom w:val="single" w:sz="6" w:space="0" w:color="auto"/>
              <w:right w:val="single" w:sz="12" w:space="0" w:color="auto"/>
            </w:tcBorders>
            <w:shd w:val="clear" w:color="auto" w:fill="auto"/>
          </w:tcPr>
          <w:p w:rsidR="00624762" w:rsidRPr="0046149C" w:rsidRDefault="00624762" w:rsidP="0046149C">
            <w:pPr>
              <w:spacing w:line="280" w:lineRule="exact"/>
              <w:ind w:leftChars="0" w:left="0" w:firstLineChars="0" w:firstLine="0"/>
              <w:jc w:val="center"/>
              <w:rPr>
                <w:rFonts w:hAnsi="標楷體"/>
                <w:b/>
                <w:color w:val="000000"/>
                <w:sz w:val="20"/>
                <w:szCs w:val="20"/>
              </w:rPr>
            </w:pPr>
          </w:p>
        </w:tc>
      </w:tr>
      <w:tr w:rsidR="00624762" w:rsidRPr="001065A1" w:rsidTr="00974D32">
        <w:tc>
          <w:tcPr>
            <w:tcW w:w="77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r w:rsidRPr="0046149C">
              <w:rPr>
                <w:rFonts w:hint="eastAsia"/>
                <w:b/>
              </w:rPr>
              <w:t>108</w:t>
            </w:r>
          </w:p>
        </w:tc>
        <w:tc>
          <w:tcPr>
            <w:tcW w:w="1120" w:type="dxa"/>
            <w:tcBorders>
              <w:top w:val="single" w:sz="6" w:space="0" w:color="auto"/>
              <w:left w:val="single" w:sz="6" w:space="0" w:color="auto"/>
              <w:bottom w:val="single" w:sz="6" w:space="0" w:color="auto"/>
              <w:right w:val="single" w:sz="6" w:space="0" w:color="auto"/>
            </w:tcBorders>
            <w:shd w:val="clear" w:color="auto" w:fill="auto"/>
          </w:tcPr>
          <w:p w:rsidR="00624762" w:rsidRPr="00A17939" w:rsidRDefault="00624762" w:rsidP="00A17939">
            <w:pPr>
              <w:pStyle w:val="142"/>
              <w:rPr>
                <w:b/>
                <w:spacing w:val="-10"/>
              </w:rPr>
            </w:pPr>
            <w:r w:rsidRPr="00A17939">
              <w:rPr>
                <w:rFonts w:hint="eastAsia"/>
                <w:b/>
                <w:spacing w:val="-10"/>
              </w:rPr>
              <w:t>一般金融</w:t>
            </w:r>
          </w:p>
        </w:tc>
        <w:tc>
          <w:tcPr>
            <w:tcW w:w="1470"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snapToGrid/>
                <w:sz w:val="24"/>
                <w:szCs w:val="24"/>
              </w:rPr>
            </w:pPr>
            <w:r w:rsidRPr="00A56DD0">
              <w:rPr>
                <w:rFonts w:hAnsi="標楷體" w:hint="eastAsia"/>
                <w:snapToGrid/>
                <w:spacing w:val="-5"/>
                <w:kern w:val="0"/>
                <w:sz w:val="24"/>
                <w:szCs w:val="24"/>
              </w:rPr>
              <w:t>96,577</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21,797,652</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435,953</w:t>
            </w:r>
          </w:p>
        </w:tc>
        <w:tc>
          <w:tcPr>
            <w:tcW w:w="108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339,376</w:t>
            </w:r>
          </w:p>
        </w:tc>
        <w:tc>
          <w:tcPr>
            <w:tcW w:w="1288" w:type="dxa"/>
            <w:tcBorders>
              <w:top w:val="single" w:sz="6" w:space="0" w:color="auto"/>
              <w:left w:val="single" w:sz="6" w:space="0" w:color="auto"/>
              <w:bottom w:val="single" w:sz="6" w:space="0" w:color="auto"/>
              <w:right w:val="single" w:sz="12"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0.44</w:t>
            </w:r>
          </w:p>
        </w:tc>
      </w:tr>
      <w:tr w:rsidR="00624762" w:rsidRPr="001065A1" w:rsidTr="00974D32">
        <w:tc>
          <w:tcPr>
            <w:tcW w:w="77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p>
        </w:tc>
        <w:tc>
          <w:tcPr>
            <w:tcW w:w="1120" w:type="dxa"/>
            <w:tcBorders>
              <w:top w:val="single" w:sz="6" w:space="0" w:color="auto"/>
              <w:left w:val="single" w:sz="6" w:space="0" w:color="auto"/>
              <w:bottom w:val="single" w:sz="6" w:space="0" w:color="auto"/>
              <w:right w:val="single" w:sz="6" w:space="0" w:color="auto"/>
            </w:tcBorders>
            <w:shd w:val="clear" w:color="auto" w:fill="auto"/>
          </w:tcPr>
          <w:p w:rsidR="00624762" w:rsidRPr="00A17939" w:rsidRDefault="00624762" w:rsidP="00A17939">
            <w:pPr>
              <w:pStyle w:val="142"/>
              <w:rPr>
                <w:b/>
                <w:spacing w:val="-10"/>
              </w:rPr>
            </w:pPr>
            <w:r w:rsidRPr="00A17939">
              <w:rPr>
                <w:rFonts w:hint="eastAsia"/>
                <w:b/>
                <w:spacing w:val="-10"/>
              </w:rPr>
              <w:t>農業金融</w:t>
            </w:r>
          </w:p>
        </w:tc>
        <w:tc>
          <w:tcPr>
            <w:tcW w:w="1470"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snapToGrid/>
                <w:sz w:val="24"/>
                <w:szCs w:val="24"/>
              </w:rPr>
            </w:pPr>
            <w:r w:rsidRPr="00A56DD0">
              <w:rPr>
                <w:rFonts w:hAnsi="標楷體" w:hint="eastAsia"/>
                <w:snapToGrid/>
                <w:spacing w:val="-5"/>
                <w:kern w:val="0"/>
                <w:sz w:val="24"/>
                <w:szCs w:val="24"/>
              </w:rPr>
              <w:t>5,362</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1,398,463</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27,969</w:t>
            </w:r>
          </w:p>
        </w:tc>
        <w:tc>
          <w:tcPr>
            <w:tcW w:w="108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22,607</w:t>
            </w:r>
          </w:p>
        </w:tc>
        <w:tc>
          <w:tcPr>
            <w:tcW w:w="1288" w:type="dxa"/>
            <w:tcBorders>
              <w:top w:val="single" w:sz="6" w:space="0" w:color="auto"/>
              <w:left w:val="single" w:sz="6" w:space="0" w:color="auto"/>
              <w:bottom w:val="single" w:sz="6" w:space="0" w:color="auto"/>
              <w:right w:val="single" w:sz="12"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0.38</w:t>
            </w:r>
          </w:p>
        </w:tc>
      </w:tr>
      <w:tr w:rsidR="00624762" w:rsidRPr="001065A1" w:rsidTr="00974D32">
        <w:tc>
          <w:tcPr>
            <w:tcW w:w="77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r w:rsidRPr="0046149C">
              <w:rPr>
                <w:rFonts w:hint="eastAsia"/>
                <w:b/>
              </w:rPr>
              <w:t>109</w:t>
            </w:r>
          </w:p>
        </w:tc>
        <w:tc>
          <w:tcPr>
            <w:tcW w:w="1120" w:type="dxa"/>
            <w:tcBorders>
              <w:top w:val="single" w:sz="6" w:space="0" w:color="auto"/>
              <w:left w:val="single" w:sz="6" w:space="0" w:color="auto"/>
              <w:bottom w:val="single" w:sz="6" w:space="0" w:color="auto"/>
              <w:right w:val="single" w:sz="6" w:space="0" w:color="auto"/>
            </w:tcBorders>
            <w:shd w:val="clear" w:color="auto" w:fill="auto"/>
          </w:tcPr>
          <w:p w:rsidR="00624762" w:rsidRPr="00A17939" w:rsidRDefault="00624762" w:rsidP="00A17939">
            <w:pPr>
              <w:pStyle w:val="142"/>
              <w:rPr>
                <w:b/>
                <w:spacing w:val="-10"/>
              </w:rPr>
            </w:pPr>
            <w:r w:rsidRPr="00A17939">
              <w:rPr>
                <w:rFonts w:hint="eastAsia"/>
                <w:b/>
                <w:spacing w:val="-10"/>
              </w:rPr>
              <w:t>一般金融</w:t>
            </w:r>
          </w:p>
        </w:tc>
        <w:tc>
          <w:tcPr>
            <w:tcW w:w="1470"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snapToGrid/>
                <w:sz w:val="24"/>
                <w:szCs w:val="24"/>
              </w:rPr>
            </w:pPr>
            <w:r w:rsidRPr="00A56DD0">
              <w:rPr>
                <w:rFonts w:hAnsi="標楷體" w:hint="eastAsia"/>
                <w:snapToGrid/>
                <w:spacing w:val="-5"/>
                <w:kern w:val="0"/>
                <w:sz w:val="24"/>
                <w:szCs w:val="24"/>
              </w:rPr>
              <w:t>108,160</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22,930,365</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458,607</w:t>
            </w:r>
          </w:p>
        </w:tc>
        <w:tc>
          <w:tcPr>
            <w:tcW w:w="108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350,447</w:t>
            </w:r>
          </w:p>
        </w:tc>
        <w:tc>
          <w:tcPr>
            <w:tcW w:w="1288" w:type="dxa"/>
            <w:tcBorders>
              <w:top w:val="single" w:sz="6" w:space="0" w:color="auto"/>
              <w:left w:val="single" w:sz="6" w:space="0" w:color="auto"/>
              <w:bottom w:val="single" w:sz="6" w:space="0" w:color="auto"/>
              <w:right w:val="single" w:sz="12"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0.47</w:t>
            </w:r>
          </w:p>
        </w:tc>
      </w:tr>
      <w:tr w:rsidR="00624762" w:rsidRPr="001065A1" w:rsidTr="00974D32">
        <w:tc>
          <w:tcPr>
            <w:tcW w:w="77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p>
        </w:tc>
        <w:tc>
          <w:tcPr>
            <w:tcW w:w="1120" w:type="dxa"/>
            <w:tcBorders>
              <w:top w:val="single" w:sz="6" w:space="0" w:color="auto"/>
              <w:left w:val="single" w:sz="6" w:space="0" w:color="auto"/>
              <w:bottom w:val="single" w:sz="6" w:space="0" w:color="auto"/>
              <w:right w:val="single" w:sz="6" w:space="0" w:color="auto"/>
            </w:tcBorders>
            <w:shd w:val="clear" w:color="auto" w:fill="auto"/>
          </w:tcPr>
          <w:p w:rsidR="00624762" w:rsidRPr="00A17939" w:rsidRDefault="00624762" w:rsidP="00A17939">
            <w:pPr>
              <w:pStyle w:val="142"/>
              <w:rPr>
                <w:b/>
                <w:spacing w:val="-10"/>
              </w:rPr>
            </w:pPr>
            <w:r w:rsidRPr="00A17939">
              <w:rPr>
                <w:rFonts w:hint="eastAsia"/>
                <w:b/>
                <w:spacing w:val="-10"/>
              </w:rPr>
              <w:t>農業金融</w:t>
            </w:r>
          </w:p>
        </w:tc>
        <w:tc>
          <w:tcPr>
            <w:tcW w:w="1470"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snapToGrid/>
                <w:sz w:val="24"/>
                <w:szCs w:val="24"/>
              </w:rPr>
            </w:pPr>
            <w:r w:rsidRPr="00A56DD0">
              <w:rPr>
                <w:rFonts w:hAnsi="標楷體" w:hint="eastAsia"/>
                <w:snapToGrid/>
                <w:spacing w:val="-5"/>
                <w:kern w:val="0"/>
                <w:sz w:val="24"/>
                <w:szCs w:val="24"/>
              </w:rPr>
              <w:t>5,735</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1,449,435</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28,989</w:t>
            </w:r>
          </w:p>
        </w:tc>
        <w:tc>
          <w:tcPr>
            <w:tcW w:w="108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23,254</w:t>
            </w:r>
          </w:p>
        </w:tc>
        <w:tc>
          <w:tcPr>
            <w:tcW w:w="1288" w:type="dxa"/>
            <w:tcBorders>
              <w:top w:val="single" w:sz="6" w:space="0" w:color="auto"/>
              <w:left w:val="single" w:sz="6" w:space="0" w:color="auto"/>
              <w:bottom w:val="single" w:sz="6" w:space="0" w:color="auto"/>
              <w:right w:val="single" w:sz="12"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0.4</w:t>
            </w:r>
            <w:r>
              <w:rPr>
                <w:rFonts w:hAnsi="標楷體" w:hint="eastAsia"/>
                <w:snapToGrid/>
                <w:color w:val="000000"/>
                <w:spacing w:val="-5"/>
                <w:kern w:val="0"/>
                <w:sz w:val="24"/>
                <w:szCs w:val="24"/>
              </w:rPr>
              <w:t>0</w:t>
            </w:r>
          </w:p>
        </w:tc>
      </w:tr>
      <w:tr w:rsidR="00624762" w:rsidRPr="001065A1" w:rsidTr="00974D32">
        <w:tc>
          <w:tcPr>
            <w:tcW w:w="77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r w:rsidRPr="0046149C">
              <w:rPr>
                <w:rFonts w:hint="eastAsia"/>
                <w:b/>
              </w:rPr>
              <w:t>110</w:t>
            </w:r>
          </w:p>
        </w:tc>
        <w:tc>
          <w:tcPr>
            <w:tcW w:w="1120" w:type="dxa"/>
            <w:tcBorders>
              <w:top w:val="single" w:sz="6" w:space="0" w:color="auto"/>
              <w:left w:val="single" w:sz="6" w:space="0" w:color="auto"/>
              <w:bottom w:val="single" w:sz="6" w:space="0" w:color="auto"/>
              <w:right w:val="single" w:sz="6" w:space="0" w:color="auto"/>
            </w:tcBorders>
            <w:shd w:val="clear" w:color="auto" w:fill="auto"/>
          </w:tcPr>
          <w:p w:rsidR="00624762" w:rsidRPr="00A17939" w:rsidRDefault="00624762" w:rsidP="00A17939">
            <w:pPr>
              <w:pStyle w:val="142"/>
              <w:rPr>
                <w:b/>
                <w:spacing w:val="-10"/>
              </w:rPr>
            </w:pPr>
            <w:r w:rsidRPr="00A17939">
              <w:rPr>
                <w:rFonts w:hint="eastAsia"/>
                <w:b/>
                <w:spacing w:val="-10"/>
              </w:rPr>
              <w:t>一般金融</w:t>
            </w:r>
          </w:p>
        </w:tc>
        <w:tc>
          <w:tcPr>
            <w:tcW w:w="1470" w:type="dxa"/>
            <w:tcBorders>
              <w:top w:val="single" w:sz="6" w:space="0" w:color="auto"/>
              <w:left w:val="single" w:sz="6" w:space="0" w:color="auto"/>
              <w:bottom w:val="single" w:sz="6" w:space="0" w:color="auto"/>
              <w:right w:val="single" w:sz="6" w:space="0" w:color="auto"/>
            </w:tcBorders>
          </w:tcPr>
          <w:p w:rsidR="00624762" w:rsidRPr="00914EF7" w:rsidRDefault="00624762" w:rsidP="002A0997">
            <w:pPr>
              <w:spacing w:line="300" w:lineRule="exact"/>
              <w:ind w:leftChars="0" w:left="0" w:firstLineChars="0" w:firstLine="0"/>
              <w:jc w:val="right"/>
              <w:rPr>
                <w:rFonts w:hAnsi="標楷體"/>
                <w:snapToGrid/>
                <w:spacing w:val="-5"/>
                <w:kern w:val="0"/>
                <w:sz w:val="24"/>
                <w:szCs w:val="24"/>
              </w:rPr>
            </w:pPr>
            <w:r w:rsidRPr="00914EF7">
              <w:rPr>
                <w:rFonts w:hAnsi="標楷體" w:hint="eastAsia"/>
                <w:snapToGrid/>
                <w:spacing w:val="-5"/>
                <w:kern w:val="0"/>
                <w:sz w:val="24"/>
                <w:szCs w:val="24"/>
              </w:rPr>
              <w:t>1</w:t>
            </w:r>
            <w:r w:rsidRPr="00914EF7">
              <w:rPr>
                <w:rFonts w:hAnsi="標楷體"/>
                <w:snapToGrid/>
                <w:spacing w:val="-5"/>
                <w:kern w:val="0"/>
                <w:sz w:val="24"/>
                <w:szCs w:val="24"/>
              </w:rPr>
              <w:t>19,280</w:t>
            </w:r>
          </w:p>
        </w:tc>
        <w:tc>
          <w:tcPr>
            <w:tcW w:w="1418" w:type="dxa"/>
            <w:tcBorders>
              <w:top w:val="single" w:sz="6" w:space="0" w:color="auto"/>
              <w:left w:val="single" w:sz="6" w:space="0" w:color="auto"/>
              <w:bottom w:val="single" w:sz="6" w:space="0" w:color="auto"/>
              <w:right w:val="single" w:sz="6" w:space="0" w:color="auto"/>
            </w:tcBorders>
          </w:tcPr>
          <w:p w:rsidR="00624762" w:rsidRPr="00914EF7" w:rsidRDefault="00624762" w:rsidP="00B40451">
            <w:pPr>
              <w:spacing w:line="300" w:lineRule="exact"/>
              <w:ind w:leftChars="0" w:left="0" w:firstLineChars="0" w:firstLine="0"/>
              <w:jc w:val="right"/>
              <w:rPr>
                <w:rFonts w:hAnsi="標楷體"/>
                <w:snapToGrid/>
                <w:spacing w:val="-5"/>
                <w:kern w:val="0"/>
                <w:sz w:val="24"/>
                <w:szCs w:val="24"/>
              </w:rPr>
            </w:pPr>
            <w:r w:rsidRPr="00914EF7">
              <w:rPr>
                <w:rFonts w:hAnsi="標楷體"/>
                <w:snapToGrid/>
                <w:spacing w:val="-5"/>
                <w:kern w:val="0"/>
                <w:sz w:val="24"/>
                <w:szCs w:val="24"/>
              </w:rPr>
              <w:t>23,7</w:t>
            </w:r>
            <w:r w:rsidR="00B40451">
              <w:rPr>
                <w:rFonts w:hAnsi="標楷體"/>
                <w:snapToGrid/>
                <w:spacing w:val="-5"/>
                <w:kern w:val="0"/>
                <w:sz w:val="24"/>
                <w:szCs w:val="24"/>
              </w:rPr>
              <w:t>28</w:t>
            </w:r>
            <w:r w:rsidRPr="00914EF7">
              <w:rPr>
                <w:rFonts w:hAnsi="標楷體"/>
                <w:snapToGrid/>
                <w:spacing w:val="-5"/>
                <w:kern w:val="0"/>
                <w:sz w:val="24"/>
                <w:szCs w:val="24"/>
              </w:rPr>
              <w:t>,</w:t>
            </w:r>
            <w:r w:rsidR="00B40451">
              <w:rPr>
                <w:rFonts w:hAnsi="標楷體"/>
                <w:snapToGrid/>
                <w:spacing w:val="-5"/>
                <w:kern w:val="0"/>
                <w:sz w:val="24"/>
                <w:szCs w:val="24"/>
              </w:rPr>
              <w:t>166</w:t>
            </w:r>
          </w:p>
        </w:tc>
        <w:tc>
          <w:tcPr>
            <w:tcW w:w="1276" w:type="dxa"/>
            <w:tcBorders>
              <w:top w:val="single" w:sz="6" w:space="0" w:color="auto"/>
              <w:left w:val="single" w:sz="6" w:space="0" w:color="auto"/>
              <w:bottom w:val="single" w:sz="6" w:space="0" w:color="auto"/>
              <w:right w:val="single" w:sz="6" w:space="0" w:color="auto"/>
            </w:tcBorders>
            <w:vAlign w:val="center"/>
          </w:tcPr>
          <w:p w:rsidR="00624762" w:rsidRPr="00914EF7" w:rsidRDefault="00E53902" w:rsidP="002A0997">
            <w:pPr>
              <w:spacing w:line="30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474</w:t>
            </w:r>
            <w:r>
              <w:rPr>
                <w:rFonts w:hAnsi="標楷體"/>
                <w:snapToGrid/>
                <w:spacing w:val="-5"/>
                <w:kern w:val="0"/>
                <w:sz w:val="24"/>
                <w:szCs w:val="24"/>
              </w:rPr>
              <w:t>,</w:t>
            </w:r>
            <w:r>
              <w:rPr>
                <w:rFonts w:hAnsi="標楷體" w:hint="eastAsia"/>
                <w:snapToGrid/>
                <w:spacing w:val="-5"/>
                <w:kern w:val="0"/>
                <w:sz w:val="24"/>
                <w:szCs w:val="24"/>
              </w:rPr>
              <w:t>564</w:t>
            </w:r>
          </w:p>
        </w:tc>
        <w:tc>
          <w:tcPr>
            <w:tcW w:w="1088" w:type="dxa"/>
            <w:tcBorders>
              <w:top w:val="single" w:sz="6" w:space="0" w:color="auto"/>
              <w:left w:val="single" w:sz="6" w:space="0" w:color="auto"/>
              <w:bottom w:val="single" w:sz="6" w:space="0" w:color="auto"/>
              <w:right w:val="single" w:sz="6" w:space="0" w:color="auto"/>
            </w:tcBorders>
            <w:vAlign w:val="center"/>
          </w:tcPr>
          <w:p w:rsidR="00624762" w:rsidRPr="00914EF7" w:rsidRDefault="00B40451" w:rsidP="002A0997">
            <w:pPr>
              <w:spacing w:line="300" w:lineRule="exact"/>
              <w:ind w:leftChars="0" w:left="0" w:firstLineChars="0" w:firstLine="0"/>
              <w:jc w:val="right"/>
              <w:rPr>
                <w:rFonts w:hAnsi="標楷體"/>
                <w:snapToGrid/>
                <w:spacing w:val="-5"/>
                <w:kern w:val="0"/>
                <w:sz w:val="24"/>
                <w:szCs w:val="24"/>
              </w:rPr>
            </w:pPr>
            <w:r>
              <w:rPr>
                <w:rFonts w:hAnsi="標楷體"/>
                <w:snapToGrid/>
                <w:spacing w:val="-5"/>
                <w:kern w:val="0"/>
                <w:sz w:val="24"/>
                <w:szCs w:val="24"/>
              </w:rPr>
              <w:t>355,284</w:t>
            </w:r>
          </w:p>
        </w:tc>
        <w:tc>
          <w:tcPr>
            <w:tcW w:w="1288" w:type="dxa"/>
            <w:tcBorders>
              <w:top w:val="single" w:sz="6" w:space="0" w:color="auto"/>
              <w:left w:val="single" w:sz="6" w:space="0" w:color="auto"/>
              <w:bottom w:val="single" w:sz="6" w:space="0" w:color="auto"/>
              <w:right w:val="single" w:sz="12" w:space="0" w:color="auto"/>
            </w:tcBorders>
            <w:vAlign w:val="center"/>
          </w:tcPr>
          <w:p w:rsidR="00624762" w:rsidRPr="00914EF7" w:rsidRDefault="00624762" w:rsidP="002A0997">
            <w:pPr>
              <w:spacing w:line="300" w:lineRule="exact"/>
              <w:ind w:leftChars="0" w:left="0" w:firstLineChars="0" w:firstLine="0"/>
              <w:jc w:val="right"/>
              <w:rPr>
                <w:rFonts w:hAnsi="標楷體"/>
                <w:snapToGrid/>
                <w:spacing w:val="-5"/>
                <w:kern w:val="0"/>
                <w:sz w:val="24"/>
                <w:szCs w:val="24"/>
              </w:rPr>
            </w:pPr>
            <w:r w:rsidRPr="00914EF7">
              <w:rPr>
                <w:rFonts w:hAnsi="標楷體" w:hint="eastAsia"/>
                <w:snapToGrid/>
                <w:spacing w:val="-5"/>
                <w:kern w:val="0"/>
                <w:sz w:val="24"/>
                <w:szCs w:val="24"/>
              </w:rPr>
              <w:t>0</w:t>
            </w:r>
            <w:r w:rsidRPr="00914EF7">
              <w:rPr>
                <w:rFonts w:hAnsi="標楷體"/>
                <w:snapToGrid/>
                <w:spacing w:val="-5"/>
                <w:kern w:val="0"/>
                <w:sz w:val="24"/>
                <w:szCs w:val="24"/>
              </w:rPr>
              <w:t>.50</w:t>
            </w:r>
          </w:p>
        </w:tc>
      </w:tr>
      <w:tr w:rsidR="00624762" w:rsidRPr="001065A1" w:rsidTr="00974D32">
        <w:tc>
          <w:tcPr>
            <w:tcW w:w="770" w:type="dxa"/>
            <w:vMerge/>
            <w:tcBorders>
              <w:top w:val="single" w:sz="6" w:space="0" w:color="auto"/>
              <w:left w:val="single" w:sz="12" w:space="0" w:color="auto"/>
              <w:bottom w:val="single" w:sz="6" w:space="0" w:color="auto"/>
              <w:right w:val="single" w:sz="6" w:space="0" w:color="auto"/>
            </w:tcBorders>
            <w:shd w:val="clear" w:color="auto" w:fill="auto"/>
          </w:tcPr>
          <w:p w:rsidR="00624762" w:rsidRPr="0046149C" w:rsidRDefault="00624762" w:rsidP="0046149C">
            <w:pPr>
              <w:pStyle w:val="142"/>
              <w:jc w:val="center"/>
              <w:rPr>
                <w:b/>
                <w:sz w:val="22"/>
                <w:szCs w:val="22"/>
              </w:rPr>
            </w:pPr>
          </w:p>
        </w:tc>
        <w:tc>
          <w:tcPr>
            <w:tcW w:w="1120" w:type="dxa"/>
            <w:tcBorders>
              <w:top w:val="single" w:sz="6" w:space="0" w:color="auto"/>
              <w:left w:val="single" w:sz="6" w:space="0" w:color="auto"/>
              <w:bottom w:val="single" w:sz="6" w:space="0" w:color="auto"/>
              <w:right w:val="single" w:sz="6" w:space="0" w:color="auto"/>
            </w:tcBorders>
            <w:shd w:val="clear" w:color="auto" w:fill="auto"/>
          </w:tcPr>
          <w:p w:rsidR="00624762" w:rsidRPr="00A17939" w:rsidRDefault="00624762" w:rsidP="00A17939">
            <w:pPr>
              <w:pStyle w:val="142"/>
              <w:rPr>
                <w:b/>
                <w:spacing w:val="-10"/>
              </w:rPr>
            </w:pPr>
            <w:r w:rsidRPr="00A17939">
              <w:rPr>
                <w:rFonts w:hint="eastAsia"/>
                <w:b/>
                <w:spacing w:val="-10"/>
              </w:rPr>
              <w:t>農業金融</w:t>
            </w:r>
          </w:p>
        </w:tc>
        <w:tc>
          <w:tcPr>
            <w:tcW w:w="1470" w:type="dxa"/>
            <w:tcBorders>
              <w:top w:val="single" w:sz="6" w:space="0" w:color="auto"/>
              <w:left w:val="single" w:sz="6" w:space="0" w:color="auto"/>
              <w:bottom w:val="single" w:sz="6" w:space="0" w:color="auto"/>
              <w:right w:val="single" w:sz="6" w:space="0" w:color="auto"/>
            </w:tcBorders>
          </w:tcPr>
          <w:p w:rsidR="00624762" w:rsidRPr="00914EF7" w:rsidRDefault="00624762" w:rsidP="002A0997">
            <w:pPr>
              <w:spacing w:line="300" w:lineRule="exact"/>
              <w:ind w:leftChars="0" w:left="0" w:firstLineChars="0" w:firstLine="0"/>
              <w:jc w:val="right"/>
              <w:rPr>
                <w:rFonts w:hAnsi="標楷體"/>
                <w:snapToGrid/>
                <w:spacing w:val="-5"/>
                <w:kern w:val="0"/>
                <w:sz w:val="24"/>
                <w:szCs w:val="24"/>
              </w:rPr>
            </w:pPr>
            <w:r w:rsidRPr="00914EF7">
              <w:rPr>
                <w:rFonts w:hAnsi="標楷體" w:hint="eastAsia"/>
                <w:snapToGrid/>
                <w:spacing w:val="-5"/>
                <w:kern w:val="0"/>
                <w:sz w:val="24"/>
                <w:szCs w:val="24"/>
              </w:rPr>
              <w:t>6</w:t>
            </w:r>
            <w:r w:rsidRPr="00914EF7">
              <w:rPr>
                <w:rFonts w:hAnsi="標楷體"/>
                <w:snapToGrid/>
                <w:spacing w:val="-5"/>
                <w:kern w:val="0"/>
                <w:sz w:val="24"/>
                <w:szCs w:val="24"/>
              </w:rPr>
              <w:t>,047</w:t>
            </w:r>
          </w:p>
        </w:tc>
        <w:tc>
          <w:tcPr>
            <w:tcW w:w="1418" w:type="dxa"/>
            <w:tcBorders>
              <w:top w:val="single" w:sz="6" w:space="0" w:color="auto"/>
              <w:left w:val="single" w:sz="6" w:space="0" w:color="auto"/>
              <w:bottom w:val="single" w:sz="6" w:space="0" w:color="auto"/>
              <w:right w:val="single" w:sz="6" w:space="0" w:color="auto"/>
            </w:tcBorders>
          </w:tcPr>
          <w:p w:rsidR="00624762" w:rsidRPr="00914EF7" w:rsidRDefault="00624762" w:rsidP="00FF55A1">
            <w:pPr>
              <w:spacing w:line="300" w:lineRule="exact"/>
              <w:ind w:leftChars="0" w:left="0" w:firstLineChars="0" w:firstLine="0"/>
              <w:jc w:val="right"/>
              <w:rPr>
                <w:rFonts w:hAnsi="標楷體"/>
                <w:snapToGrid/>
                <w:spacing w:val="-5"/>
                <w:kern w:val="0"/>
                <w:sz w:val="24"/>
                <w:szCs w:val="24"/>
              </w:rPr>
            </w:pPr>
            <w:r w:rsidRPr="00914EF7">
              <w:rPr>
                <w:rFonts w:hAnsi="標楷體"/>
                <w:snapToGrid/>
                <w:spacing w:val="-5"/>
                <w:kern w:val="0"/>
                <w:sz w:val="24"/>
                <w:szCs w:val="24"/>
              </w:rPr>
              <w:t>1,506,</w:t>
            </w:r>
            <w:r w:rsidR="00FF55A1">
              <w:rPr>
                <w:rFonts w:hAnsi="標楷體"/>
                <w:snapToGrid/>
                <w:spacing w:val="-5"/>
                <w:kern w:val="0"/>
                <w:sz w:val="24"/>
                <w:szCs w:val="24"/>
              </w:rPr>
              <w:t>581</w:t>
            </w:r>
          </w:p>
        </w:tc>
        <w:tc>
          <w:tcPr>
            <w:tcW w:w="1276" w:type="dxa"/>
            <w:tcBorders>
              <w:top w:val="single" w:sz="6" w:space="0" w:color="auto"/>
              <w:left w:val="single" w:sz="6" w:space="0" w:color="auto"/>
              <w:bottom w:val="single" w:sz="6" w:space="0" w:color="auto"/>
              <w:right w:val="single" w:sz="6" w:space="0" w:color="auto"/>
            </w:tcBorders>
            <w:vAlign w:val="center"/>
          </w:tcPr>
          <w:p w:rsidR="00624762" w:rsidRPr="00914EF7" w:rsidRDefault="00624762" w:rsidP="002A0997">
            <w:pPr>
              <w:spacing w:line="300" w:lineRule="exact"/>
              <w:ind w:leftChars="0" w:left="0" w:firstLineChars="0" w:firstLine="0"/>
              <w:jc w:val="right"/>
              <w:rPr>
                <w:rFonts w:hAnsi="標楷體"/>
                <w:snapToGrid/>
                <w:spacing w:val="-5"/>
                <w:kern w:val="0"/>
                <w:sz w:val="24"/>
                <w:szCs w:val="24"/>
              </w:rPr>
            </w:pPr>
            <w:r w:rsidRPr="00914EF7">
              <w:rPr>
                <w:rFonts w:hAnsi="標楷體" w:hint="eastAsia"/>
                <w:snapToGrid/>
                <w:spacing w:val="-5"/>
                <w:kern w:val="0"/>
                <w:sz w:val="24"/>
                <w:szCs w:val="24"/>
              </w:rPr>
              <w:t>3</w:t>
            </w:r>
            <w:r w:rsidRPr="00914EF7">
              <w:rPr>
                <w:rFonts w:hAnsi="標楷體"/>
                <w:snapToGrid/>
                <w:spacing w:val="-5"/>
                <w:kern w:val="0"/>
                <w:sz w:val="24"/>
                <w:szCs w:val="24"/>
              </w:rPr>
              <w:t>0,132</w:t>
            </w:r>
          </w:p>
        </w:tc>
        <w:tc>
          <w:tcPr>
            <w:tcW w:w="1088" w:type="dxa"/>
            <w:tcBorders>
              <w:top w:val="single" w:sz="6" w:space="0" w:color="auto"/>
              <w:left w:val="single" w:sz="6" w:space="0" w:color="auto"/>
              <w:bottom w:val="single" w:sz="6" w:space="0" w:color="auto"/>
              <w:right w:val="single" w:sz="6" w:space="0" w:color="auto"/>
            </w:tcBorders>
            <w:vAlign w:val="center"/>
          </w:tcPr>
          <w:p w:rsidR="00624762" w:rsidRPr="00914EF7" w:rsidRDefault="00624762" w:rsidP="002A0997">
            <w:pPr>
              <w:spacing w:line="300" w:lineRule="exact"/>
              <w:ind w:leftChars="0" w:left="0" w:firstLineChars="0" w:firstLine="0"/>
              <w:jc w:val="right"/>
              <w:rPr>
                <w:rFonts w:hAnsi="標楷體"/>
                <w:snapToGrid/>
                <w:spacing w:val="-5"/>
                <w:kern w:val="0"/>
                <w:sz w:val="24"/>
                <w:szCs w:val="24"/>
              </w:rPr>
            </w:pPr>
            <w:r w:rsidRPr="00914EF7">
              <w:rPr>
                <w:rFonts w:hAnsi="標楷體" w:hint="eastAsia"/>
                <w:snapToGrid/>
                <w:spacing w:val="-5"/>
                <w:kern w:val="0"/>
                <w:sz w:val="24"/>
                <w:szCs w:val="24"/>
              </w:rPr>
              <w:t>2</w:t>
            </w:r>
            <w:r w:rsidRPr="00914EF7">
              <w:rPr>
                <w:rFonts w:hAnsi="標楷體"/>
                <w:snapToGrid/>
                <w:spacing w:val="-5"/>
                <w:kern w:val="0"/>
                <w:sz w:val="24"/>
                <w:szCs w:val="24"/>
              </w:rPr>
              <w:t>4,085</w:t>
            </w:r>
          </w:p>
        </w:tc>
        <w:tc>
          <w:tcPr>
            <w:tcW w:w="1288" w:type="dxa"/>
            <w:tcBorders>
              <w:top w:val="single" w:sz="6" w:space="0" w:color="auto"/>
              <w:left w:val="single" w:sz="6" w:space="0" w:color="auto"/>
              <w:bottom w:val="single" w:sz="6" w:space="0" w:color="auto"/>
              <w:right w:val="single" w:sz="12" w:space="0" w:color="auto"/>
            </w:tcBorders>
            <w:vAlign w:val="center"/>
          </w:tcPr>
          <w:p w:rsidR="00624762" w:rsidRPr="00914EF7" w:rsidRDefault="00624762" w:rsidP="002A0997">
            <w:pPr>
              <w:spacing w:line="300" w:lineRule="exact"/>
              <w:ind w:leftChars="0" w:left="0" w:firstLineChars="0" w:firstLine="0"/>
              <w:jc w:val="right"/>
              <w:rPr>
                <w:rFonts w:hAnsi="標楷體"/>
                <w:snapToGrid/>
                <w:spacing w:val="-5"/>
                <w:kern w:val="0"/>
                <w:sz w:val="24"/>
                <w:szCs w:val="24"/>
              </w:rPr>
            </w:pPr>
            <w:r w:rsidRPr="00914EF7">
              <w:rPr>
                <w:rFonts w:hAnsi="標楷體" w:hint="eastAsia"/>
                <w:snapToGrid/>
                <w:spacing w:val="-5"/>
                <w:kern w:val="0"/>
                <w:sz w:val="24"/>
                <w:szCs w:val="24"/>
              </w:rPr>
              <w:t>0</w:t>
            </w:r>
            <w:r w:rsidRPr="00914EF7">
              <w:rPr>
                <w:rFonts w:hAnsi="標楷體"/>
                <w:snapToGrid/>
                <w:spacing w:val="-5"/>
                <w:kern w:val="0"/>
                <w:sz w:val="24"/>
                <w:szCs w:val="24"/>
              </w:rPr>
              <w:t>.40</w:t>
            </w:r>
          </w:p>
        </w:tc>
      </w:tr>
      <w:tr w:rsidR="003B7D67" w:rsidRPr="001065A1" w:rsidTr="00974D32">
        <w:tc>
          <w:tcPr>
            <w:tcW w:w="770" w:type="dxa"/>
            <w:vMerge w:val="restart"/>
            <w:tcBorders>
              <w:top w:val="single" w:sz="6" w:space="0" w:color="auto"/>
              <w:left w:val="single" w:sz="12" w:space="0" w:color="auto"/>
              <w:right w:val="single" w:sz="6" w:space="0" w:color="auto"/>
            </w:tcBorders>
            <w:shd w:val="clear" w:color="auto" w:fill="auto"/>
            <w:vAlign w:val="center"/>
          </w:tcPr>
          <w:p w:rsidR="003B7D67" w:rsidRPr="0046149C" w:rsidRDefault="003B7D67" w:rsidP="0046149C">
            <w:pPr>
              <w:pStyle w:val="142"/>
              <w:jc w:val="center"/>
              <w:rPr>
                <w:rFonts w:hint="eastAsia"/>
                <w:b/>
                <w:sz w:val="22"/>
                <w:szCs w:val="22"/>
              </w:rPr>
            </w:pPr>
            <w:r w:rsidRPr="0046149C">
              <w:rPr>
                <w:rFonts w:hint="eastAsia"/>
                <w:b/>
                <w:sz w:val="22"/>
                <w:szCs w:val="22"/>
              </w:rPr>
              <w:t>1</w:t>
            </w:r>
            <w:r w:rsidRPr="0046149C">
              <w:rPr>
                <w:b/>
                <w:sz w:val="22"/>
                <w:szCs w:val="22"/>
              </w:rPr>
              <w:t>11</w:t>
            </w:r>
          </w:p>
        </w:tc>
        <w:tc>
          <w:tcPr>
            <w:tcW w:w="1120" w:type="dxa"/>
            <w:tcBorders>
              <w:top w:val="single" w:sz="6" w:space="0" w:color="auto"/>
              <w:left w:val="single" w:sz="6" w:space="0" w:color="auto"/>
              <w:bottom w:val="single" w:sz="6" w:space="0" w:color="auto"/>
              <w:right w:val="single" w:sz="6" w:space="0" w:color="auto"/>
            </w:tcBorders>
            <w:shd w:val="clear" w:color="auto" w:fill="auto"/>
          </w:tcPr>
          <w:p w:rsidR="003B7D67" w:rsidRPr="00A17939" w:rsidRDefault="003B7D67" w:rsidP="00A17939">
            <w:pPr>
              <w:pStyle w:val="142"/>
              <w:rPr>
                <w:b/>
                <w:spacing w:val="-10"/>
              </w:rPr>
            </w:pPr>
            <w:r w:rsidRPr="00A17939">
              <w:rPr>
                <w:rFonts w:hint="eastAsia"/>
                <w:b/>
                <w:spacing w:val="-10"/>
              </w:rPr>
              <w:t>一般金融</w:t>
            </w:r>
          </w:p>
        </w:tc>
        <w:tc>
          <w:tcPr>
            <w:tcW w:w="1470" w:type="dxa"/>
            <w:tcBorders>
              <w:top w:val="single" w:sz="6" w:space="0" w:color="auto"/>
              <w:left w:val="single" w:sz="6" w:space="0" w:color="auto"/>
              <w:bottom w:val="single" w:sz="6" w:space="0" w:color="auto"/>
              <w:right w:val="single" w:sz="6" w:space="0" w:color="auto"/>
            </w:tcBorders>
          </w:tcPr>
          <w:p w:rsidR="003B7D67" w:rsidRPr="00914EF7" w:rsidRDefault="00B40451" w:rsidP="003B7D67">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1</w:t>
            </w:r>
            <w:r>
              <w:rPr>
                <w:rFonts w:hAnsi="標楷體"/>
                <w:snapToGrid/>
                <w:spacing w:val="-5"/>
                <w:kern w:val="0"/>
                <w:sz w:val="24"/>
                <w:szCs w:val="24"/>
              </w:rPr>
              <w:t>31</w:t>
            </w:r>
            <w:r w:rsidR="00FF55A1">
              <w:rPr>
                <w:rFonts w:hAnsi="標楷體"/>
                <w:snapToGrid/>
                <w:spacing w:val="-5"/>
                <w:kern w:val="0"/>
                <w:sz w:val="24"/>
                <w:szCs w:val="24"/>
              </w:rPr>
              <w:t>,</w:t>
            </w:r>
            <w:r>
              <w:rPr>
                <w:rFonts w:hAnsi="標楷體"/>
                <w:snapToGrid/>
                <w:spacing w:val="-5"/>
                <w:kern w:val="0"/>
                <w:sz w:val="24"/>
                <w:szCs w:val="24"/>
              </w:rPr>
              <w:t>199</w:t>
            </w:r>
          </w:p>
        </w:tc>
        <w:tc>
          <w:tcPr>
            <w:tcW w:w="1418" w:type="dxa"/>
            <w:tcBorders>
              <w:top w:val="single" w:sz="6" w:space="0" w:color="auto"/>
              <w:left w:val="single" w:sz="6" w:space="0" w:color="auto"/>
              <w:bottom w:val="single" w:sz="6" w:space="0" w:color="auto"/>
              <w:right w:val="single" w:sz="6" w:space="0" w:color="auto"/>
            </w:tcBorders>
          </w:tcPr>
          <w:p w:rsidR="003B7D67" w:rsidRPr="00914EF7" w:rsidRDefault="00B40451" w:rsidP="003B7D67">
            <w:pPr>
              <w:spacing w:line="30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2</w:t>
            </w:r>
            <w:r>
              <w:rPr>
                <w:rFonts w:hAnsi="標楷體"/>
                <w:snapToGrid/>
                <w:spacing w:val="-5"/>
                <w:kern w:val="0"/>
                <w:sz w:val="24"/>
                <w:szCs w:val="24"/>
              </w:rPr>
              <w:t>4</w:t>
            </w:r>
            <w:r w:rsidR="00B45EC5">
              <w:rPr>
                <w:rFonts w:hAnsi="標楷體"/>
                <w:snapToGrid/>
                <w:spacing w:val="-5"/>
                <w:kern w:val="0"/>
                <w:sz w:val="24"/>
                <w:szCs w:val="24"/>
              </w:rPr>
              <w:t>,</w:t>
            </w:r>
            <w:r>
              <w:rPr>
                <w:rFonts w:hAnsi="標楷體"/>
                <w:snapToGrid/>
                <w:spacing w:val="-5"/>
                <w:kern w:val="0"/>
                <w:sz w:val="24"/>
                <w:szCs w:val="24"/>
              </w:rPr>
              <w:t>966</w:t>
            </w:r>
            <w:r w:rsidR="00B45EC5">
              <w:rPr>
                <w:rFonts w:hAnsi="標楷體"/>
                <w:snapToGrid/>
                <w:spacing w:val="-5"/>
                <w:kern w:val="0"/>
                <w:sz w:val="24"/>
                <w:szCs w:val="24"/>
              </w:rPr>
              <w:t>,</w:t>
            </w:r>
            <w:r>
              <w:rPr>
                <w:rFonts w:hAnsi="標楷體"/>
                <w:snapToGrid/>
                <w:spacing w:val="-5"/>
                <w:kern w:val="0"/>
                <w:sz w:val="24"/>
                <w:szCs w:val="24"/>
              </w:rPr>
              <w:t>572</w:t>
            </w:r>
          </w:p>
        </w:tc>
        <w:tc>
          <w:tcPr>
            <w:tcW w:w="1276" w:type="dxa"/>
            <w:tcBorders>
              <w:top w:val="single" w:sz="6" w:space="0" w:color="auto"/>
              <w:left w:val="single" w:sz="6" w:space="0" w:color="auto"/>
              <w:bottom w:val="single" w:sz="6" w:space="0" w:color="auto"/>
              <w:right w:val="single" w:sz="6" w:space="0" w:color="auto"/>
            </w:tcBorders>
            <w:vAlign w:val="center"/>
          </w:tcPr>
          <w:p w:rsidR="003B7D67" w:rsidRPr="00914EF7" w:rsidRDefault="00FF55A1" w:rsidP="003B7D67">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4</w:t>
            </w:r>
            <w:r>
              <w:rPr>
                <w:rFonts w:hAnsi="標楷體"/>
                <w:snapToGrid/>
                <w:spacing w:val="-5"/>
                <w:kern w:val="0"/>
                <w:sz w:val="24"/>
                <w:szCs w:val="24"/>
              </w:rPr>
              <w:t>99,331</w:t>
            </w:r>
          </w:p>
        </w:tc>
        <w:tc>
          <w:tcPr>
            <w:tcW w:w="1088" w:type="dxa"/>
            <w:tcBorders>
              <w:top w:val="single" w:sz="6" w:space="0" w:color="auto"/>
              <w:left w:val="single" w:sz="6" w:space="0" w:color="auto"/>
              <w:bottom w:val="single" w:sz="6" w:space="0" w:color="auto"/>
              <w:right w:val="single" w:sz="6" w:space="0" w:color="auto"/>
            </w:tcBorders>
            <w:vAlign w:val="center"/>
          </w:tcPr>
          <w:p w:rsidR="003B7D67" w:rsidRPr="00914EF7" w:rsidRDefault="00B40451" w:rsidP="003B7D67">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3</w:t>
            </w:r>
            <w:r>
              <w:rPr>
                <w:rFonts w:hAnsi="標楷體"/>
                <w:snapToGrid/>
                <w:spacing w:val="-5"/>
                <w:kern w:val="0"/>
                <w:sz w:val="24"/>
                <w:szCs w:val="24"/>
              </w:rPr>
              <w:t>68</w:t>
            </w:r>
            <w:r w:rsidR="00FF55A1">
              <w:rPr>
                <w:rFonts w:hAnsi="標楷體"/>
                <w:snapToGrid/>
                <w:spacing w:val="-5"/>
                <w:kern w:val="0"/>
                <w:sz w:val="24"/>
                <w:szCs w:val="24"/>
              </w:rPr>
              <w:t>,</w:t>
            </w:r>
            <w:r>
              <w:rPr>
                <w:rFonts w:hAnsi="標楷體"/>
                <w:snapToGrid/>
                <w:spacing w:val="-5"/>
                <w:kern w:val="0"/>
                <w:sz w:val="24"/>
                <w:szCs w:val="24"/>
              </w:rPr>
              <w:t>132</w:t>
            </w:r>
          </w:p>
        </w:tc>
        <w:tc>
          <w:tcPr>
            <w:tcW w:w="1288" w:type="dxa"/>
            <w:tcBorders>
              <w:top w:val="single" w:sz="6" w:space="0" w:color="auto"/>
              <w:left w:val="single" w:sz="6" w:space="0" w:color="auto"/>
              <w:bottom w:val="single" w:sz="6" w:space="0" w:color="auto"/>
              <w:right w:val="single" w:sz="12" w:space="0" w:color="auto"/>
            </w:tcBorders>
            <w:vAlign w:val="center"/>
          </w:tcPr>
          <w:p w:rsidR="003B7D67" w:rsidRPr="00914EF7" w:rsidRDefault="00B40451" w:rsidP="003B7D67">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0.53</w:t>
            </w:r>
          </w:p>
        </w:tc>
      </w:tr>
      <w:tr w:rsidR="003B7D67" w:rsidRPr="001065A1" w:rsidTr="00FE17FE">
        <w:tc>
          <w:tcPr>
            <w:tcW w:w="770" w:type="dxa"/>
            <w:vMerge/>
            <w:tcBorders>
              <w:left w:val="single" w:sz="12" w:space="0" w:color="auto"/>
              <w:right w:val="single" w:sz="6" w:space="0" w:color="auto"/>
            </w:tcBorders>
            <w:shd w:val="clear" w:color="auto" w:fill="auto"/>
          </w:tcPr>
          <w:p w:rsidR="003B7D67" w:rsidRPr="0046149C" w:rsidRDefault="003B7D67" w:rsidP="0046149C">
            <w:pPr>
              <w:pStyle w:val="142"/>
              <w:jc w:val="center"/>
              <w:rPr>
                <w:b/>
                <w:sz w:val="22"/>
                <w:szCs w:val="22"/>
              </w:rPr>
            </w:pPr>
          </w:p>
        </w:tc>
        <w:tc>
          <w:tcPr>
            <w:tcW w:w="1120" w:type="dxa"/>
            <w:tcBorders>
              <w:top w:val="single" w:sz="6" w:space="0" w:color="auto"/>
              <w:left w:val="single" w:sz="6" w:space="0" w:color="auto"/>
              <w:bottom w:val="single" w:sz="6" w:space="0" w:color="auto"/>
              <w:right w:val="single" w:sz="6" w:space="0" w:color="auto"/>
            </w:tcBorders>
            <w:shd w:val="clear" w:color="auto" w:fill="auto"/>
          </w:tcPr>
          <w:p w:rsidR="003B7D67" w:rsidRPr="00A17939" w:rsidRDefault="003B7D67" w:rsidP="00A17939">
            <w:pPr>
              <w:pStyle w:val="142"/>
              <w:rPr>
                <w:b/>
                <w:spacing w:val="-10"/>
              </w:rPr>
            </w:pPr>
            <w:r w:rsidRPr="00A17939">
              <w:rPr>
                <w:rFonts w:hint="eastAsia"/>
                <w:b/>
                <w:spacing w:val="-10"/>
              </w:rPr>
              <w:t>農業金融</w:t>
            </w:r>
          </w:p>
        </w:tc>
        <w:tc>
          <w:tcPr>
            <w:tcW w:w="1470" w:type="dxa"/>
            <w:tcBorders>
              <w:top w:val="single" w:sz="6" w:space="0" w:color="auto"/>
              <w:left w:val="single" w:sz="6" w:space="0" w:color="auto"/>
              <w:bottom w:val="single" w:sz="6" w:space="0" w:color="auto"/>
              <w:right w:val="single" w:sz="6" w:space="0" w:color="auto"/>
            </w:tcBorders>
          </w:tcPr>
          <w:p w:rsidR="003B7D67" w:rsidRPr="00914EF7" w:rsidRDefault="00FF55A1" w:rsidP="003B7D67">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6</w:t>
            </w:r>
            <w:r w:rsidR="00354734">
              <w:rPr>
                <w:rFonts w:hAnsi="標楷體" w:hint="eastAsia"/>
                <w:snapToGrid/>
                <w:spacing w:val="-5"/>
                <w:kern w:val="0"/>
                <w:sz w:val="24"/>
                <w:szCs w:val="24"/>
              </w:rPr>
              <w:t>,</w:t>
            </w:r>
            <w:r>
              <w:rPr>
                <w:rFonts w:hAnsi="標楷體"/>
                <w:snapToGrid/>
                <w:spacing w:val="-5"/>
                <w:kern w:val="0"/>
                <w:sz w:val="24"/>
                <w:szCs w:val="24"/>
              </w:rPr>
              <w:t>424</w:t>
            </w:r>
          </w:p>
        </w:tc>
        <w:tc>
          <w:tcPr>
            <w:tcW w:w="1418" w:type="dxa"/>
            <w:tcBorders>
              <w:top w:val="single" w:sz="6" w:space="0" w:color="auto"/>
              <w:left w:val="single" w:sz="6" w:space="0" w:color="auto"/>
              <w:bottom w:val="single" w:sz="6" w:space="0" w:color="auto"/>
              <w:right w:val="single" w:sz="6" w:space="0" w:color="auto"/>
            </w:tcBorders>
          </w:tcPr>
          <w:p w:rsidR="003B7D67" w:rsidRPr="00914EF7" w:rsidRDefault="00FF55A1" w:rsidP="003B7D67">
            <w:pPr>
              <w:spacing w:line="30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1</w:t>
            </w:r>
            <w:r w:rsidR="00354734">
              <w:rPr>
                <w:rFonts w:hAnsi="標楷體"/>
                <w:snapToGrid/>
                <w:spacing w:val="-5"/>
                <w:kern w:val="0"/>
                <w:sz w:val="24"/>
                <w:szCs w:val="24"/>
              </w:rPr>
              <w:t>,</w:t>
            </w:r>
            <w:r>
              <w:rPr>
                <w:rFonts w:hAnsi="標楷體"/>
                <w:snapToGrid/>
                <w:spacing w:val="-5"/>
                <w:kern w:val="0"/>
                <w:sz w:val="24"/>
                <w:szCs w:val="24"/>
              </w:rPr>
              <w:t>528</w:t>
            </w:r>
            <w:r w:rsidR="00354734">
              <w:rPr>
                <w:rFonts w:hAnsi="標楷體"/>
                <w:snapToGrid/>
                <w:spacing w:val="-5"/>
                <w:kern w:val="0"/>
                <w:sz w:val="24"/>
                <w:szCs w:val="24"/>
              </w:rPr>
              <w:t>,</w:t>
            </w:r>
            <w:r>
              <w:rPr>
                <w:rFonts w:hAnsi="標楷體"/>
                <w:snapToGrid/>
                <w:spacing w:val="-5"/>
                <w:kern w:val="0"/>
                <w:sz w:val="24"/>
                <w:szCs w:val="24"/>
              </w:rPr>
              <w:t>691</w:t>
            </w:r>
          </w:p>
        </w:tc>
        <w:tc>
          <w:tcPr>
            <w:tcW w:w="1276" w:type="dxa"/>
            <w:tcBorders>
              <w:top w:val="single" w:sz="6" w:space="0" w:color="auto"/>
              <w:left w:val="single" w:sz="6" w:space="0" w:color="auto"/>
              <w:bottom w:val="single" w:sz="6" w:space="0" w:color="auto"/>
              <w:right w:val="single" w:sz="6" w:space="0" w:color="auto"/>
            </w:tcBorders>
            <w:vAlign w:val="center"/>
          </w:tcPr>
          <w:p w:rsidR="003B7D67" w:rsidRPr="00914EF7" w:rsidRDefault="00121011" w:rsidP="003B7D67">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3</w:t>
            </w:r>
            <w:r>
              <w:rPr>
                <w:rFonts w:hAnsi="標楷體"/>
                <w:snapToGrid/>
                <w:spacing w:val="-5"/>
                <w:kern w:val="0"/>
                <w:sz w:val="24"/>
                <w:szCs w:val="24"/>
              </w:rPr>
              <w:t>0</w:t>
            </w:r>
            <w:r w:rsidR="00354734">
              <w:rPr>
                <w:rFonts w:hAnsi="標楷體"/>
                <w:snapToGrid/>
                <w:spacing w:val="-5"/>
                <w:kern w:val="0"/>
                <w:sz w:val="24"/>
                <w:szCs w:val="24"/>
              </w:rPr>
              <w:t>,</w:t>
            </w:r>
            <w:r>
              <w:rPr>
                <w:rFonts w:hAnsi="標楷體"/>
                <w:snapToGrid/>
                <w:spacing w:val="-5"/>
                <w:kern w:val="0"/>
                <w:sz w:val="24"/>
                <w:szCs w:val="24"/>
              </w:rPr>
              <w:t>574</w:t>
            </w:r>
          </w:p>
        </w:tc>
        <w:tc>
          <w:tcPr>
            <w:tcW w:w="1088" w:type="dxa"/>
            <w:tcBorders>
              <w:top w:val="single" w:sz="6" w:space="0" w:color="auto"/>
              <w:left w:val="single" w:sz="6" w:space="0" w:color="auto"/>
              <w:bottom w:val="single" w:sz="6" w:space="0" w:color="auto"/>
              <w:right w:val="single" w:sz="6" w:space="0" w:color="auto"/>
            </w:tcBorders>
            <w:vAlign w:val="center"/>
          </w:tcPr>
          <w:p w:rsidR="003B7D67" w:rsidRPr="00914EF7" w:rsidRDefault="00121011" w:rsidP="003B7D67">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2</w:t>
            </w:r>
            <w:r>
              <w:rPr>
                <w:rFonts w:hAnsi="標楷體"/>
                <w:snapToGrid/>
                <w:spacing w:val="-5"/>
                <w:kern w:val="0"/>
                <w:sz w:val="24"/>
                <w:szCs w:val="24"/>
              </w:rPr>
              <w:t>4</w:t>
            </w:r>
            <w:r w:rsidR="00354734">
              <w:rPr>
                <w:rFonts w:hAnsi="標楷體"/>
                <w:snapToGrid/>
                <w:spacing w:val="-5"/>
                <w:kern w:val="0"/>
                <w:sz w:val="24"/>
                <w:szCs w:val="24"/>
              </w:rPr>
              <w:t>,</w:t>
            </w:r>
            <w:r>
              <w:rPr>
                <w:rFonts w:hAnsi="標楷體"/>
                <w:snapToGrid/>
                <w:spacing w:val="-5"/>
                <w:kern w:val="0"/>
                <w:sz w:val="24"/>
                <w:szCs w:val="24"/>
              </w:rPr>
              <w:t>150</w:t>
            </w:r>
          </w:p>
        </w:tc>
        <w:tc>
          <w:tcPr>
            <w:tcW w:w="1288" w:type="dxa"/>
            <w:tcBorders>
              <w:top w:val="single" w:sz="6" w:space="0" w:color="auto"/>
              <w:left w:val="single" w:sz="6" w:space="0" w:color="auto"/>
              <w:bottom w:val="single" w:sz="6" w:space="0" w:color="auto"/>
              <w:right w:val="single" w:sz="12" w:space="0" w:color="auto"/>
            </w:tcBorders>
            <w:vAlign w:val="center"/>
          </w:tcPr>
          <w:p w:rsidR="003B7D67" w:rsidRPr="00914EF7" w:rsidRDefault="00121011" w:rsidP="003B7D67">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0</w:t>
            </w:r>
            <w:r>
              <w:rPr>
                <w:rFonts w:hAnsi="標楷體"/>
                <w:snapToGrid/>
                <w:spacing w:val="-5"/>
                <w:kern w:val="0"/>
                <w:sz w:val="24"/>
                <w:szCs w:val="24"/>
              </w:rPr>
              <w:t>.42</w:t>
            </w:r>
          </w:p>
        </w:tc>
      </w:tr>
      <w:tr w:rsidR="00977EB0" w:rsidRPr="001065A1" w:rsidTr="00977EB0">
        <w:tc>
          <w:tcPr>
            <w:tcW w:w="770" w:type="dxa"/>
            <w:vMerge w:val="restart"/>
            <w:tcBorders>
              <w:left w:val="single" w:sz="12" w:space="0" w:color="auto"/>
              <w:right w:val="single" w:sz="6" w:space="0" w:color="auto"/>
            </w:tcBorders>
            <w:shd w:val="clear" w:color="auto" w:fill="auto"/>
            <w:vAlign w:val="center"/>
          </w:tcPr>
          <w:p w:rsidR="00977EB0" w:rsidRPr="0046149C" w:rsidRDefault="00977EB0" w:rsidP="00977EB0">
            <w:pPr>
              <w:pStyle w:val="142"/>
              <w:jc w:val="center"/>
              <w:rPr>
                <w:b/>
                <w:sz w:val="22"/>
                <w:szCs w:val="22"/>
              </w:rPr>
            </w:pPr>
            <w:r>
              <w:rPr>
                <w:rFonts w:hint="eastAsia"/>
                <w:b/>
                <w:sz w:val="22"/>
                <w:szCs w:val="22"/>
              </w:rPr>
              <w:t>1</w:t>
            </w:r>
            <w:r>
              <w:rPr>
                <w:b/>
                <w:sz w:val="22"/>
                <w:szCs w:val="22"/>
              </w:rPr>
              <w:t>12</w:t>
            </w:r>
          </w:p>
        </w:tc>
        <w:tc>
          <w:tcPr>
            <w:tcW w:w="1120" w:type="dxa"/>
            <w:tcBorders>
              <w:top w:val="single" w:sz="6" w:space="0" w:color="auto"/>
              <w:left w:val="single" w:sz="6" w:space="0" w:color="auto"/>
              <w:bottom w:val="single" w:sz="6" w:space="0" w:color="auto"/>
              <w:right w:val="single" w:sz="6" w:space="0" w:color="auto"/>
            </w:tcBorders>
            <w:shd w:val="clear" w:color="auto" w:fill="auto"/>
          </w:tcPr>
          <w:p w:rsidR="00977EB0" w:rsidRPr="00A17939" w:rsidRDefault="00977EB0" w:rsidP="00FE17FE">
            <w:pPr>
              <w:pStyle w:val="142"/>
              <w:rPr>
                <w:rFonts w:hint="eastAsia"/>
                <w:b/>
                <w:spacing w:val="-10"/>
              </w:rPr>
            </w:pPr>
            <w:r w:rsidRPr="00A17939">
              <w:rPr>
                <w:rFonts w:hint="eastAsia"/>
                <w:b/>
                <w:spacing w:val="-10"/>
              </w:rPr>
              <w:t>一般金融</w:t>
            </w:r>
          </w:p>
        </w:tc>
        <w:tc>
          <w:tcPr>
            <w:tcW w:w="1470" w:type="dxa"/>
            <w:tcBorders>
              <w:top w:val="single" w:sz="6" w:space="0" w:color="auto"/>
              <w:left w:val="single" w:sz="6" w:space="0" w:color="auto"/>
              <w:bottom w:val="single" w:sz="6" w:space="0" w:color="auto"/>
              <w:right w:val="single" w:sz="6" w:space="0" w:color="auto"/>
            </w:tcBorders>
          </w:tcPr>
          <w:p w:rsidR="00977EB0" w:rsidRDefault="00977EB0" w:rsidP="00FE17FE">
            <w:pPr>
              <w:spacing w:line="300" w:lineRule="exact"/>
              <w:ind w:leftChars="0" w:left="0" w:firstLineChars="0" w:firstLine="0"/>
              <w:jc w:val="right"/>
              <w:rPr>
                <w:rFonts w:hAnsi="標楷體" w:hint="eastAsia"/>
                <w:snapToGrid/>
                <w:spacing w:val="-5"/>
                <w:kern w:val="0"/>
                <w:sz w:val="24"/>
                <w:szCs w:val="24"/>
              </w:rPr>
            </w:pPr>
            <w:r w:rsidRPr="00FE17FE">
              <w:rPr>
                <w:rFonts w:hAnsi="標楷體"/>
                <w:snapToGrid/>
                <w:spacing w:val="-5"/>
                <w:kern w:val="0"/>
                <w:sz w:val="24"/>
                <w:szCs w:val="24"/>
              </w:rPr>
              <w:t>144,444</w:t>
            </w:r>
          </w:p>
        </w:tc>
        <w:tc>
          <w:tcPr>
            <w:tcW w:w="1418" w:type="dxa"/>
            <w:tcBorders>
              <w:top w:val="single" w:sz="6" w:space="0" w:color="auto"/>
              <w:left w:val="single" w:sz="6" w:space="0" w:color="auto"/>
              <w:bottom w:val="single" w:sz="6" w:space="0" w:color="auto"/>
              <w:right w:val="single" w:sz="6" w:space="0" w:color="auto"/>
            </w:tcBorders>
          </w:tcPr>
          <w:p w:rsidR="00977EB0" w:rsidRDefault="00977EB0" w:rsidP="00FE17FE">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26</w:t>
            </w:r>
            <w:r>
              <w:rPr>
                <w:rFonts w:hAnsi="標楷體"/>
                <w:snapToGrid/>
                <w:spacing w:val="-5"/>
                <w:kern w:val="0"/>
                <w:sz w:val="24"/>
                <w:szCs w:val="24"/>
              </w:rPr>
              <w:t>,</w:t>
            </w:r>
            <w:r>
              <w:rPr>
                <w:rFonts w:hAnsi="標楷體" w:hint="eastAsia"/>
                <w:snapToGrid/>
                <w:spacing w:val="-5"/>
                <w:kern w:val="0"/>
                <w:sz w:val="24"/>
                <w:szCs w:val="24"/>
              </w:rPr>
              <w:t>379</w:t>
            </w:r>
            <w:r>
              <w:rPr>
                <w:rFonts w:hAnsi="標楷體"/>
                <w:snapToGrid/>
                <w:spacing w:val="-5"/>
                <w:kern w:val="0"/>
                <w:sz w:val="24"/>
                <w:szCs w:val="24"/>
              </w:rPr>
              <w:t>,</w:t>
            </w:r>
            <w:r>
              <w:rPr>
                <w:rFonts w:hAnsi="標楷體" w:hint="eastAsia"/>
                <w:snapToGrid/>
                <w:spacing w:val="-5"/>
                <w:kern w:val="0"/>
                <w:sz w:val="24"/>
                <w:szCs w:val="24"/>
              </w:rPr>
              <w:t>509</w:t>
            </w:r>
          </w:p>
        </w:tc>
        <w:tc>
          <w:tcPr>
            <w:tcW w:w="1276" w:type="dxa"/>
            <w:tcBorders>
              <w:top w:val="single" w:sz="6" w:space="0" w:color="auto"/>
              <w:left w:val="single" w:sz="6" w:space="0" w:color="auto"/>
              <w:bottom w:val="single" w:sz="6" w:space="0" w:color="auto"/>
              <w:right w:val="single" w:sz="6" w:space="0" w:color="auto"/>
            </w:tcBorders>
            <w:vAlign w:val="center"/>
          </w:tcPr>
          <w:p w:rsidR="00977EB0" w:rsidRDefault="00977EB0" w:rsidP="00FE17FE">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5</w:t>
            </w:r>
            <w:r>
              <w:rPr>
                <w:rFonts w:hAnsi="標楷體"/>
                <w:snapToGrid/>
                <w:spacing w:val="-5"/>
                <w:kern w:val="0"/>
                <w:sz w:val="24"/>
                <w:szCs w:val="24"/>
              </w:rPr>
              <w:t>27</w:t>
            </w:r>
            <w:r>
              <w:rPr>
                <w:rFonts w:hAnsi="標楷體" w:hint="eastAsia"/>
                <w:snapToGrid/>
                <w:spacing w:val="-5"/>
                <w:kern w:val="0"/>
                <w:sz w:val="24"/>
                <w:szCs w:val="24"/>
              </w:rPr>
              <w:t>,</w:t>
            </w:r>
            <w:r>
              <w:rPr>
                <w:rFonts w:hAnsi="標楷體"/>
                <w:snapToGrid/>
                <w:spacing w:val="-5"/>
                <w:kern w:val="0"/>
                <w:sz w:val="24"/>
                <w:szCs w:val="24"/>
              </w:rPr>
              <w:t>590</w:t>
            </w:r>
          </w:p>
        </w:tc>
        <w:tc>
          <w:tcPr>
            <w:tcW w:w="1088" w:type="dxa"/>
            <w:tcBorders>
              <w:top w:val="single" w:sz="6" w:space="0" w:color="auto"/>
              <w:left w:val="single" w:sz="6" w:space="0" w:color="auto"/>
              <w:bottom w:val="single" w:sz="6" w:space="0" w:color="auto"/>
              <w:right w:val="single" w:sz="6" w:space="0" w:color="auto"/>
            </w:tcBorders>
            <w:vAlign w:val="center"/>
          </w:tcPr>
          <w:p w:rsidR="00977EB0" w:rsidRDefault="00977EB0" w:rsidP="00FE17FE">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383</w:t>
            </w:r>
            <w:r>
              <w:rPr>
                <w:rFonts w:hAnsi="標楷體"/>
                <w:snapToGrid/>
                <w:spacing w:val="-5"/>
                <w:kern w:val="0"/>
                <w:sz w:val="24"/>
                <w:szCs w:val="24"/>
              </w:rPr>
              <w:t>,</w:t>
            </w:r>
            <w:r>
              <w:rPr>
                <w:rFonts w:hAnsi="標楷體" w:hint="eastAsia"/>
                <w:snapToGrid/>
                <w:spacing w:val="-5"/>
                <w:kern w:val="0"/>
                <w:sz w:val="24"/>
                <w:szCs w:val="24"/>
              </w:rPr>
              <w:t>146</w:t>
            </w:r>
          </w:p>
        </w:tc>
        <w:tc>
          <w:tcPr>
            <w:tcW w:w="1288" w:type="dxa"/>
            <w:tcBorders>
              <w:top w:val="single" w:sz="6" w:space="0" w:color="auto"/>
              <w:left w:val="single" w:sz="6" w:space="0" w:color="auto"/>
              <w:bottom w:val="single" w:sz="6" w:space="0" w:color="auto"/>
              <w:right w:val="single" w:sz="12" w:space="0" w:color="auto"/>
            </w:tcBorders>
            <w:vAlign w:val="center"/>
          </w:tcPr>
          <w:p w:rsidR="00977EB0" w:rsidRDefault="00977EB0" w:rsidP="00FE17FE">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0.55</w:t>
            </w:r>
          </w:p>
        </w:tc>
      </w:tr>
      <w:tr w:rsidR="00977EB0" w:rsidRPr="001065A1" w:rsidTr="00974D32">
        <w:tc>
          <w:tcPr>
            <w:tcW w:w="770" w:type="dxa"/>
            <w:vMerge/>
            <w:tcBorders>
              <w:left w:val="single" w:sz="12" w:space="0" w:color="auto"/>
              <w:bottom w:val="single" w:sz="12" w:space="0" w:color="auto"/>
              <w:right w:val="single" w:sz="6" w:space="0" w:color="auto"/>
            </w:tcBorders>
            <w:shd w:val="clear" w:color="auto" w:fill="auto"/>
          </w:tcPr>
          <w:p w:rsidR="00977EB0" w:rsidRPr="0046149C" w:rsidRDefault="00977EB0" w:rsidP="00FE17FE">
            <w:pPr>
              <w:pStyle w:val="142"/>
              <w:jc w:val="center"/>
              <w:rPr>
                <w:b/>
                <w:sz w:val="22"/>
                <w:szCs w:val="22"/>
              </w:rPr>
            </w:pPr>
          </w:p>
        </w:tc>
        <w:tc>
          <w:tcPr>
            <w:tcW w:w="1120" w:type="dxa"/>
            <w:tcBorders>
              <w:top w:val="single" w:sz="6" w:space="0" w:color="auto"/>
              <w:left w:val="single" w:sz="6" w:space="0" w:color="auto"/>
              <w:bottom w:val="single" w:sz="12" w:space="0" w:color="auto"/>
              <w:right w:val="single" w:sz="6" w:space="0" w:color="auto"/>
            </w:tcBorders>
            <w:shd w:val="clear" w:color="auto" w:fill="auto"/>
          </w:tcPr>
          <w:p w:rsidR="00977EB0" w:rsidRPr="00A17939" w:rsidRDefault="00977EB0" w:rsidP="00FE17FE">
            <w:pPr>
              <w:pStyle w:val="142"/>
              <w:rPr>
                <w:rFonts w:hint="eastAsia"/>
                <w:b/>
                <w:spacing w:val="-10"/>
              </w:rPr>
            </w:pPr>
            <w:r w:rsidRPr="00A17939">
              <w:rPr>
                <w:rFonts w:hint="eastAsia"/>
                <w:b/>
                <w:spacing w:val="-10"/>
              </w:rPr>
              <w:t>農業金融</w:t>
            </w:r>
          </w:p>
        </w:tc>
        <w:tc>
          <w:tcPr>
            <w:tcW w:w="1470" w:type="dxa"/>
            <w:tcBorders>
              <w:top w:val="single" w:sz="6" w:space="0" w:color="auto"/>
              <w:left w:val="single" w:sz="6" w:space="0" w:color="auto"/>
              <w:bottom w:val="single" w:sz="12" w:space="0" w:color="auto"/>
              <w:right w:val="single" w:sz="6" w:space="0" w:color="auto"/>
            </w:tcBorders>
          </w:tcPr>
          <w:p w:rsidR="00977EB0" w:rsidRDefault="00977EB0" w:rsidP="00FE17FE">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6</w:t>
            </w:r>
            <w:r>
              <w:rPr>
                <w:rFonts w:hAnsi="標楷體"/>
                <w:snapToGrid/>
                <w:spacing w:val="-5"/>
                <w:kern w:val="0"/>
                <w:sz w:val="24"/>
                <w:szCs w:val="24"/>
              </w:rPr>
              <w:t>,</w:t>
            </w:r>
            <w:r>
              <w:rPr>
                <w:rFonts w:hAnsi="標楷體" w:hint="eastAsia"/>
                <w:snapToGrid/>
                <w:spacing w:val="-5"/>
                <w:kern w:val="0"/>
                <w:sz w:val="24"/>
                <w:szCs w:val="24"/>
              </w:rPr>
              <w:t>810</w:t>
            </w:r>
          </w:p>
        </w:tc>
        <w:tc>
          <w:tcPr>
            <w:tcW w:w="1418" w:type="dxa"/>
            <w:tcBorders>
              <w:top w:val="single" w:sz="6" w:space="0" w:color="auto"/>
              <w:left w:val="single" w:sz="6" w:space="0" w:color="auto"/>
              <w:bottom w:val="single" w:sz="12" w:space="0" w:color="auto"/>
              <w:right w:val="single" w:sz="6" w:space="0" w:color="auto"/>
            </w:tcBorders>
          </w:tcPr>
          <w:p w:rsidR="00977EB0" w:rsidRDefault="00977EB0" w:rsidP="00FE17FE">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1</w:t>
            </w:r>
            <w:r>
              <w:rPr>
                <w:rFonts w:hAnsi="標楷體"/>
                <w:snapToGrid/>
                <w:spacing w:val="-5"/>
                <w:kern w:val="0"/>
                <w:sz w:val="24"/>
                <w:szCs w:val="24"/>
              </w:rPr>
              <w:t>,</w:t>
            </w:r>
            <w:r>
              <w:rPr>
                <w:rFonts w:hAnsi="標楷體" w:hint="eastAsia"/>
                <w:snapToGrid/>
                <w:spacing w:val="-5"/>
                <w:kern w:val="0"/>
                <w:sz w:val="24"/>
                <w:szCs w:val="24"/>
              </w:rPr>
              <w:t>542</w:t>
            </w:r>
            <w:r>
              <w:rPr>
                <w:rFonts w:hAnsi="標楷體"/>
                <w:snapToGrid/>
                <w:spacing w:val="-5"/>
                <w:kern w:val="0"/>
                <w:sz w:val="24"/>
                <w:szCs w:val="24"/>
              </w:rPr>
              <w:t>,</w:t>
            </w:r>
            <w:r>
              <w:rPr>
                <w:rFonts w:hAnsi="標楷體" w:hint="eastAsia"/>
                <w:snapToGrid/>
                <w:spacing w:val="-5"/>
                <w:kern w:val="0"/>
                <w:sz w:val="24"/>
                <w:szCs w:val="24"/>
              </w:rPr>
              <w:t>449</w:t>
            </w:r>
          </w:p>
        </w:tc>
        <w:tc>
          <w:tcPr>
            <w:tcW w:w="1276" w:type="dxa"/>
            <w:tcBorders>
              <w:top w:val="single" w:sz="6" w:space="0" w:color="auto"/>
              <w:left w:val="single" w:sz="6" w:space="0" w:color="auto"/>
              <w:bottom w:val="single" w:sz="12" w:space="0" w:color="auto"/>
              <w:right w:val="single" w:sz="6" w:space="0" w:color="auto"/>
            </w:tcBorders>
            <w:vAlign w:val="center"/>
          </w:tcPr>
          <w:p w:rsidR="00977EB0" w:rsidRDefault="00977EB0" w:rsidP="00FE17FE">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3</w:t>
            </w:r>
            <w:r>
              <w:rPr>
                <w:rFonts w:hAnsi="標楷體"/>
                <w:snapToGrid/>
                <w:spacing w:val="-5"/>
                <w:kern w:val="0"/>
                <w:sz w:val="24"/>
                <w:szCs w:val="24"/>
              </w:rPr>
              <w:t>0,846</w:t>
            </w:r>
          </w:p>
        </w:tc>
        <w:tc>
          <w:tcPr>
            <w:tcW w:w="1088" w:type="dxa"/>
            <w:tcBorders>
              <w:top w:val="single" w:sz="6" w:space="0" w:color="auto"/>
              <w:left w:val="single" w:sz="6" w:space="0" w:color="auto"/>
              <w:bottom w:val="single" w:sz="12" w:space="0" w:color="auto"/>
              <w:right w:val="single" w:sz="6" w:space="0" w:color="auto"/>
            </w:tcBorders>
            <w:vAlign w:val="center"/>
          </w:tcPr>
          <w:p w:rsidR="00977EB0" w:rsidRDefault="00977EB0" w:rsidP="00FE17FE">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24</w:t>
            </w:r>
            <w:r>
              <w:rPr>
                <w:rFonts w:hAnsi="標楷體"/>
                <w:snapToGrid/>
                <w:spacing w:val="-5"/>
                <w:kern w:val="0"/>
                <w:sz w:val="24"/>
                <w:szCs w:val="24"/>
              </w:rPr>
              <w:t>,</w:t>
            </w:r>
            <w:r>
              <w:rPr>
                <w:rFonts w:hAnsi="標楷體" w:hint="eastAsia"/>
                <w:snapToGrid/>
                <w:spacing w:val="-5"/>
                <w:kern w:val="0"/>
                <w:sz w:val="24"/>
                <w:szCs w:val="24"/>
              </w:rPr>
              <w:t>039</w:t>
            </w:r>
          </w:p>
        </w:tc>
        <w:tc>
          <w:tcPr>
            <w:tcW w:w="1288" w:type="dxa"/>
            <w:tcBorders>
              <w:top w:val="single" w:sz="6" w:space="0" w:color="auto"/>
              <w:left w:val="single" w:sz="6" w:space="0" w:color="auto"/>
              <w:bottom w:val="single" w:sz="12" w:space="0" w:color="auto"/>
              <w:right w:val="single" w:sz="12" w:space="0" w:color="auto"/>
            </w:tcBorders>
            <w:vAlign w:val="center"/>
          </w:tcPr>
          <w:p w:rsidR="00977EB0" w:rsidRDefault="00977EB0" w:rsidP="00FE17FE">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0.44</w:t>
            </w:r>
          </w:p>
        </w:tc>
      </w:tr>
    </w:tbl>
    <w:p w:rsidR="00624762" w:rsidRDefault="00624762" w:rsidP="001F7A8B">
      <w:pPr>
        <w:pStyle w:val="142"/>
        <w:rPr>
          <w:snapToGrid/>
        </w:rPr>
      </w:pPr>
      <w:r w:rsidRPr="00C21449">
        <w:rPr>
          <w:rFonts w:hint="eastAsia"/>
        </w:rPr>
        <w:t>資料來源</w:t>
      </w:r>
      <w:r>
        <w:rPr>
          <w:rFonts w:hint="eastAsia"/>
        </w:rPr>
        <w:t>：</w:t>
      </w:r>
      <w:r w:rsidRPr="007D2CA9">
        <w:rPr>
          <w:rFonts w:hint="eastAsia"/>
          <w:snapToGrid/>
        </w:rPr>
        <w:t>存保公司提</w:t>
      </w:r>
      <w:r w:rsidRPr="00C21449">
        <w:rPr>
          <w:rFonts w:hint="eastAsia"/>
        </w:rPr>
        <w:t>供</w:t>
      </w:r>
      <w:r w:rsidRPr="00C21449">
        <w:rPr>
          <w:rFonts w:hint="eastAsia"/>
          <w:snapToGrid/>
        </w:rPr>
        <w:t>。</w:t>
      </w:r>
    </w:p>
    <w:p w:rsidR="00525828" w:rsidRDefault="00525828" w:rsidP="00525828">
      <w:pPr>
        <w:ind w:left="566" w:firstLine="566"/>
      </w:pPr>
      <w:bookmarkStart w:id="5" w:name="_Toc55570129"/>
      <w:bookmarkStart w:id="6" w:name="_Toc56499686"/>
      <w:bookmarkStart w:id="7" w:name="_Toc149655750"/>
    </w:p>
    <w:p w:rsidR="00F81933" w:rsidRDefault="00F81933" w:rsidP="00F81933">
      <w:pPr>
        <w:pStyle w:val="14"/>
      </w:pPr>
      <w:bookmarkStart w:id="8" w:name="_Toc195173721"/>
      <w:r>
        <w:rPr>
          <w:rFonts w:hint="eastAsia"/>
        </w:rPr>
        <w:t>二</w:t>
      </w:r>
      <w:r w:rsidRPr="00237CDE">
        <w:rPr>
          <w:rFonts w:hint="eastAsia"/>
        </w:rPr>
        <w:t>、</w:t>
      </w:r>
      <w:r w:rsidR="00257FD2">
        <w:rPr>
          <w:rFonts w:hint="eastAsia"/>
        </w:rPr>
        <w:t>112年度</w:t>
      </w:r>
      <w:r w:rsidRPr="00237CDE">
        <w:rPr>
          <w:rFonts w:hint="eastAsia"/>
        </w:rPr>
        <w:t>利息收入之預、決算差異</w:t>
      </w:r>
      <w:r w:rsidR="00257FD2">
        <w:rPr>
          <w:rFonts w:hint="eastAsia"/>
        </w:rPr>
        <w:t>金額為近年最高，</w:t>
      </w:r>
      <w:r w:rsidR="00A2116C">
        <w:rPr>
          <w:rFonts w:hint="eastAsia"/>
        </w:rPr>
        <w:t>恐未</w:t>
      </w:r>
      <w:r w:rsidR="00D74402">
        <w:rPr>
          <w:rFonts w:hint="eastAsia"/>
        </w:rPr>
        <w:t>合理</w:t>
      </w:r>
      <w:r w:rsidR="00A2116C">
        <w:rPr>
          <w:rFonts w:hint="eastAsia"/>
        </w:rPr>
        <w:t>反映</w:t>
      </w:r>
      <w:r w:rsidR="00A2116C" w:rsidRPr="00237CDE">
        <w:rPr>
          <w:rFonts w:hint="eastAsia"/>
        </w:rPr>
        <w:t>過去實績</w:t>
      </w:r>
      <w:r w:rsidR="00A2116C">
        <w:rPr>
          <w:rFonts w:hint="eastAsia"/>
        </w:rPr>
        <w:t>及</w:t>
      </w:r>
      <w:r w:rsidR="00A2116C" w:rsidRPr="00237CDE">
        <w:rPr>
          <w:rFonts w:hint="eastAsia"/>
        </w:rPr>
        <w:t>市場</w:t>
      </w:r>
      <w:r w:rsidR="00A2116C">
        <w:rPr>
          <w:rFonts w:hint="eastAsia"/>
        </w:rPr>
        <w:t>趨勢，容待檢討精進，另資金運用允宜強化永續投資理念，</w:t>
      </w:r>
      <w:bookmarkEnd w:id="5"/>
      <w:bookmarkEnd w:id="6"/>
      <w:bookmarkEnd w:id="7"/>
      <w:r w:rsidR="00D74402">
        <w:rPr>
          <w:rFonts w:hint="eastAsia"/>
        </w:rPr>
        <w:t>並</w:t>
      </w:r>
      <w:r w:rsidR="00D74402" w:rsidRPr="00BF71F8">
        <w:rPr>
          <w:rFonts w:hint="eastAsia"/>
        </w:rPr>
        <w:t>妥適配置各項資金運用</w:t>
      </w:r>
      <w:r w:rsidR="00D74402">
        <w:rPr>
          <w:rFonts w:hint="eastAsia"/>
        </w:rPr>
        <w:t>工具，提高投資效益</w:t>
      </w:r>
      <w:bookmarkEnd w:id="8"/>
    </w:p>
    <w:p w:rsidR="003471A4" w:rsidRDefault="003471A4" w:rsidP="00F81933">
      <w:pPr>
        <w:ind w:left="566" w:firstLine="566"/>
        <w:rPr>
          <w:rFonts w:hAnsi="標楷體"/>
        </w:rPr>
      </w:pPr>
      <w:r w:rsidRPr="001F3697">
        <w:rPr>
          <w:rFonts w:hAnsi="標楷體" w:hint="eastAsia"/>
        </w:rPr>
        <w:t>存保公司</w:t>
      </w:r>
      <w:r>
        <w:rPr>
          <w:rFonts w:hAnsi="標楷體" w:hint="eastAsia"/>
        </w:rPr>
        <w:t>11</w:t>
      </w:r>
      <w:r>
        <w:rPr>
          <w:rFonts w:hAnsi="標楷體"/>
        </w:rPr>
        <w:t>2</w:t>
      </w:r>
      <w:r w:rsidRPr="001F3697">
        <w:rPr>
          <w:rFonts w:hAnsi="標楷體" w:hint="eastAsia"/>
        </w:rPr>
        <w:t>年度</w:t>
      </w:r>
      <w:r w:rsidRPr="00237CDE">
        <w:rPr>
          <w:rFonts w:hint="eastAsia"/>
        </w:rPr>
        <w:t>「</w:t>
      </w:r>
      <w:r w:rsidRPr="00237CDE">
        <w:rPr>
          <w:rFonts w:hint="eastAsia"/>
          <w:lang w:eastAsia="zh-HK"/>
        </w:rPr>
        <w:t>利息收入</w:t>
      </w:r>
      <w:r w:rsidRPr="00237CDE">
        <w:rPr>
          <w:rFonts w:hint="eastAsia"/>
        </w:rPr>
        <w:t>」</w:t>
      </w:r>
      <w:r>
        <w:rPr>
          <w:rFonts w:hint="eastAsia"/>
        </w:rPr>
        <w:t>決算數20億1</w:t>
      </w:r>
      <w:r>
        <w:t>,</w:t>
      </w:r>
      <w:r>
        <w:rPr>
          <w:rFonts w:hint="eastAsia"/>
        </w:rPr>
        <w:t>648萬9千元，較</w:t>
      </w:r>
      <w:r w:rsidR="005E1A7B">
        <w:rPr>
          <w:rFonts w:hAnsi="標楷體" w:hint="eastAsia"/>
          <w:lang w:eastAsia="zh-HK"/>
        </w:rPr>
        <w:t>預算數</w:t>
      </w:r>
      <w:r w:rsidR="005E1A7B">
        <w:rPr>
          <w:rFonts w:hAnsi="標楷體" w:hint="eastAsia"/>
        </w:rPr>
        <w:t>14億2,102萬1</w:t>
      </w:r>
      <w:r w:rsidR="005E1A7B">
        <w:rPr>
          <w:rFonts w:hAnsi="標楷體" w:hint="eastAsia"/>
          <w:lang w:eastAsia="zh-HK"/>
        </w:rPr>
        <w:t>千</w:t>
      </w:r>
      <w:r w:rsidR="005E1A7B">
        <w:rPr>
          <w:rFonts w:hAnsi="標楷體" w:hint="eastAsia"/>
        </w:rPr>
        <w:t>元增加5億9</w:t>
      </w:r>
      <w:r w:rsidR="005E1A7B">
        <w:rPr>
          <w:rFonts w:hAnsi="標楷體"/>
        </w:rPr>
        <w:t>,</w:t>
      </w:r>
      <w:r w:rsidR="005E1A7B">
        <w:rPr>
          <w:rFonts w:hAnsi="標楷體" w:hint="eastAsia"/>
        </w:rPr>
        <w:t>546萬8千元(增幅41.9%)</w:t>
      </w:r>
      <w:r w:rsidR="00F51EB2">
        <w:rPr>
          <w:rFonts w:hAnsi="標楷體" w:hint="eastAsia"/>
        </w:rPr>
        <w:t>。經查：</w:t>
      </w:r>
    </w:p>
    <w:p w:rsidR="00F81933" w:rsidRPr="00237CDE" w:rsidRDefault="00F81933" w:rsidP="00F81933">
      <w:pPr>
        <w:pStyle w:val="a4"/>
        <w:ind w:left="849" w:hanging="283"/>
        <w:rPr>
          <w:b/>
        </w:rPr>
      </w:pPr>
      <w:r w:rsidRPr="00237CDE">
        <w:rPr>
          <w:rFonts w:hAnsi="標楷體" w:hint="eastAsia"/>
          <w:b/>
        </w:rPr>
        <w:t>(</w:t>
      </w:r>
      <w:r w:rsidR="00ED4654">
        <w:rPr>
          <w:rFonts w:hAnsi="標楷體" w:hint="eastAsia"/>
          <w:b/>
        </w:rPr>
        <w:t>一</w:t>
      </w:r>
      <w:r w:rsidRPr="00237CDE">
        <w:rPr>
          <w:rFonts w:hAnsi="標楷體" w:hint="eastAsia"/>
          <w:b/>
        </w:rPr>
        <w:t>)</w:t>
      </w:r>
      <w:r w:rsidR="00EE7DE4">
        <w:rPr>
          <w:rFonts w:hint="eastAsia"/>
          <w:b/>
        </w:rPr>
        <w:t>112</w:t>
      </w:r>
      <w:r w:rsidR="007B511A">
        <w:rPr>
          <w:rFonts w:hint="eastAsia"/>
          <w:b/>
        </w:rPr>
        <w:t>年</w:t>
      </w:r>
      <w:r w:rsidR="00EE7DE4">
        <w:rPr>
          <w:rFonts w:hint="eastAsia"/>
          <w:b/>
        </w:rPr>
        <w:t>度</w:t>
      </w:r>
      <w:r w:rsidR="00055B34" w:rsidRPr="00237CDE">
        <w:rPr>
          <w:rFonts w:hint="eastAsia"/>
          <w:b/>
        </w:rPr>
        <w:t>利息收入</w:t>
      </w:r>
      <w:r w:rsidR="00055B34">
        <w:rPr>
          <w:rFonts w:hint="eastAsia"/>
          <w:b/>
        </w:rPr>
        <w:t>之</w:t>
      </w:r>
      <w:r w:rsidR="00055B34" w:rsidRPr="00055B34">
        <w:rPr>
          <w:rFonts w:hint="eastAsia"/>
          <w:b/>
        </w:rPr>
        <w:t>預、決算差異金額</w:t>
      </w:r>
      <w:r w:rsidR="00055B34">
        <w:rPr>
          <w:rFonts w:hint="eastAsia"/>
          <w:b/>
        </w:rPr>
        <w:t>近6億元，為近年最高，</w:t>
      </w:r>
      <w:r w:rsidR="00055B34" w:rsidRPr="00055B34">
        <w:rPr>
          <w:rFonts w:hint="eastAsia"/>
          <w:b/>
        </w:rPr>
        <w:t>對於利率走勢之預估，容可再予檢討精進</w:t>
      </w:r>
    </w:p>
    <w:p w:rsidR="00F81933" w:rsidRPr="00237CDE" w:rsidRDefault="00F51EB2" w:rsidP="00F81933">
      <w:pPr>
        <w:pStyle w:val="21"/>
        <w:ind w:left="850" w:firstLine="566"/>
      </w:pPr>
      <w:r>
        <w:rPr>
          <w:rFonts w:hint="eastAsia"/>
        </w:rPr>
        <w:t>存保</w:t>
      </w:r>
      <w:r w:rsidRPr="00237CDE">
        <w:rPr>
          <w:rFonts w:hint="eastAsia"/>
        </w:rPr>
        <w:t>公司營</w:t>
      </w:r>
      <w:r w:rsidR="003A27B9">
        <w:rPr>
          <w:rFonts w:hint="eastAsia"/>
        </w:rPr>
        <w:t>業</w:t>
      </w:r>
      <w:r w:rsidRPr="00237CDE">
        <w:rPr>
          <w:rFonts w:hint="eastAsia"/>
        </w:rPr>
        <w:t>收</w:t>
      </w:r>
      <w:r w:rsidR="003A27B9">
        <w:rPr>
          <w:rFonts w:hint="eastAsia"/>
        </w:rPr>
        <w:t>入</w:t>
      </w:r>
      <w:r w:rsidRPr="00237CDE">
        <w:rPr>
          <w:rFonts w:hint="eastAsia"/>
        </w:rPr>
        <w:t>主要來源為金融保險收入，包括保費收入與利息收入二大類，係用以撥充</w:t>
      </w:r>
      <w:r w:rsidR="000C6F93" w:rsidRPr="009725FB">
        <w:rPr>
          <w:rFonts w:hint="eastAsia"/>
        </w:rPr>
        <w:t>保險賠款特別</w:t>
      </w:r>
      <w:r w:rsidR="000C6F93">
        <w:rPr>
          <w:rFonts w:hint="eastAsia"/>
        </w:rPr>
        <w:t>準備金</w:t>
      </w:r>
      <w:r w:rsidRPr="00237CDE">
        <w:rPr>
          <w:rStyle w:val="af1"/>
        </w:rPr>
        <w:footnoteReference w:id="1"/>
      </w:r>
      <w:r w:rsidRPr="00237CDE">
        <w:rPr>
          <w:rFonts w:hint="eastAsia"/>
        </w:rPr>
        <w:t>之財源，</w:t>
      </w:r>
      <w:r w:rsidR="002E3D48">
        <w:rPr>
          <w:rFonts w:hint="eastAsia"/>
        </w:rPr>
        <w:t>以該</w:t>
      </w:r>
      <w:r w:rsidR="00F81933" w:rsidRPr="00237CDE">
        <w:rPr>
          <w:rFonts w:hint="eastAsia"/>
        </w:rPr>
        <w:t>公司近年利息收入之預、決算情形觀之(詳表1)，109至11</w:t>
      </w:r>
      <w:r w:rsidR="00EE7A73">
        <w:rPr>
          <w:rFonts w:hint="eastAsia"/>
        </w:rPr>
        <w:t>1</w:t>
      </w:r>
      <w:r w:rsidR="00F81933" w:rsidRPr="00237CDE">
        <w:rPr>
          <w:rFonts w:hint="eastAsia"/>
        </w:rPr>
        <w:t>年度之預算達成率為</w:t>
      </w:r>
      <w:r w:rsidR="00EE7A73">
        <w:rPr>
          <w:rFonts w:hint="eastAsia"/>
        </w:rPr>
        <w:t>概呈增加之勢，自109年度之</w:t>
      </w:r>
      <w:r w:rsidR="00F81933" w:rsidRPr="00237CDE">
        <w:rPr>
          <w:rFonts w:hint="eastAsia"/>
        </w:rPr>
        <w:t>116.17%</w:t>
      </w:r>
      <w:r w:rsidR="00EE7A73">
        <w:rPr>
          <w:rFonts w:hint="eastAsia"/>
        </w:rPr>
        <w:t>逐年增至111年度</w:t>
      </w:r>
      <w:r w:rsidR="003A27B9">
        <w:rPr>
          <w:rFonts w:hint="eastAsia"/>
        </w:rPr>
        <w:t>之</w:t>
      </w:r>
      <w:r w:rsidR="00F81933" w:rsidRPr="00237CDE">
        <w:rPr>
          <w:rFonts w:hint="eastAsia"/>
        </w:rPr>
        <w:t>144.44%</w:t>
      </w:r>
      <w:r w:rsidR="00EE7A73">
        <w:rPr>
          <w:rFonts w:hint="eastAsia"/>
        </w:rPr>
        <w:t>，112年度雖略有下降，惟仍高達141.90%</w:t>
      </w:r>
      <w:r w:rsidR="003A27B9">
        <w:rPr>
          <w:rFonts w:hint="eastAsia"/>
        </w:rPr>
        <w:t>；</w:t>
      </w:r>
      <w:r w:rsidR="00DB2D0E">
        <w:rPr>
          <w:rFonts w:hint="eastAsia"/>
        </w:rPr>
        <w:t>該科目</w:t>
      </w:r>
      <w:r w:rsidR="00F81933" w:rsidRPr="00237CDE">
        <w:rPr>
          <w:rFonts w:hint="eastAsia"/>
        </w:rPr>
        <w:t>預、決算差異金額則</w:t>
      </w:r>
      <w:r w:rsidR="00EE7A73">
        <w:rPr>
          <w:rFonts w:hint="eastAsia"/>
        </w:rPr>
        <w:t>逐年擴大，109年度差距僅</w:t>
      </w:r>
      <w:r w:rsidR="00F81933" w:rsidRPr="00237CDE">
        <w:rPr>
          <w:rFonts w:hint="eastAsia"/>
        </w:rPr>
        <w:t>1億6</w:t>
      </w:r>
      <w:r w:rsidR="00F81933" w:rsidRPr="00237CDE">
        <w:t>,</w:t>
      </w:r>
      <w:r w:rsidR="00F81933" w:rsidRPr="00237CDE">
        <w:rPr>
          <w:rFonts w:hint="eastAsia"/>
        </w:rPr>
        <w:t>704萬元</w:t>
      </w:r>
      <w:r w:rsidR="00EE7A73">
        <w:rPr>
          <w:rFonts w:hint="eastAsia"/>
        </w:rPr>
        <w:t>，至112年度已增至5</w:t>
      </w:r>
      <w:r w:rsidR="00F81933" w:rsidRPr="00237CDE">
        <w:rPr>
          <w:rFonts w:hint="eastAsia"/>
        </w:rPr>
        <w:t>億</w:t>
      </w:r>
      <w:r w:rsidR="00EE7A73">
        <w:rPr>
          <w:rFonts w:hint="eastAsia"/>
        </w:rPr>
        <w:t>9</w:t>
      </w:r>
      <w:r w:rsidR="00F81933" w:rsidRPr="00237CDE">
        <w:t>,</w:t>
      </w:r>
      <w:r w:rsidR="00EE7A73">
        <w:rPr>
          <w:rFonts w:hint="eastAsia"/>
        </w:rPr>
        <w:t>546</w:t>
      </w:r>
      <w:r w:rsidR="00F81933" w:rsidRPr="00237CDE">
        <w:rPr>
          <w:rFonts w:hint="eastAsia"/>
        </w:rPr>
        <w:t>萬</w:t>
      </w:r>
      <w:r w:rsidR="00EE7A73">
        <w:rPr>
          <w:rFonts w:hint="eastAsia"/>
        </w:rPr>
        <w:t>8</w:t>
      </w:r>
      <w:r w:rsidR="00F81933" w:rsidRPr="00237CDE">
        <w:rPr>
          <w:rFonts w:hint="eastAsia"/>
        </w:rPr>
        <w:t>千元，</w:t>
      </w:r>
      <w:r w:rsidR="002D7304">
        <w:rPr>
          <w:rFonts w:hint="eastAsia"/>
        </w:rPr>
        <w:t>顯見</w:t>
      </w:r>
      <w:r w:rsidR="00F81933" w:rsidRPr="00237CDE">
        <w:rPr>
          <w:rFonts w:hint="eastAsia"/>
        </w:rPr>
        <w:t>近年</w:t>
      </w:r>
      <w:r w:rsidR="007B5FB6" w:rsidRPr="00237CDE">
        <w:rPr>
          <w:rFonts w:hint="eastAsia"/>
        </w:rPr>
        <w:t>利息收入</w:t>
      </w:r>
      <w:r w:rsidR="00F81933" w:rsidRPr="00237CDE">
        <w:rPr>
          <w:rFonts w:hint="eastAsia"/>
        </w:rPr>
        <w:t>預算數均有</w:t>
      </w:r>
      <w:r w:rsidR="00DB2D0E">
        <w:rPr>
          <w:rFonts w:hint="eastAsia"/>
        </w:rPr>
        <w:t>明顯</w:t>
      </w:r>
      <w:r w:rsidR="00F81933" w:rsidRPr="00237CDE">
        <w:rPr>
          <w:rFonts w:hint="eastAsia"/>
        </w:rPr>
        <w:t>低估。詢據存保公司表示，主要係因</w:t>
      </w:r>
      <w:r w:rsidR="002D7304" w:rsidRPr="00663596">
        <w:rPr>
          <w:rFonts w:hAnsi="標楷體" w:hint="eastAsia"/>
        </w:rPr>
        <w:t>112年度我國央行續採行升息之緊縮性貨幣政策，帶動市場利率走升，央行定存及債券之(殖)利率隨之上揚，利息收入亦隨之增加</w:t>
      </w:r>
      <w:r w:rsidR="00F81933" w:rsidRPr="00237CDE">
        <w:rPr>
          <w:rFonts w:hint="eastAsia"/>
        </w:rPr>
        <w:t>。</w:t>
      </w:r>
      <w:r w:rsidR="00735B1F">
        <w:rPr>
          <w:rFonts w:hint="eastAsia"/>
        </w:rPr>
        <w:t>依據</w:t>
      </w:r>
      <w:r w:rsidR="003A27B9">
        <w:rPr>
          <w:rFonts w:hint="eastAsia"/>
        </w:rPr>
        <w:t>「</w:t>
      </w:r>
      <w:r w:rsidR="003A27B9">
        <w:t>附屬單位預算共同項目編列作業規範</w:t>
      </w:r>
      <w:r w:rsidR="003A27B9">
        <w:rPr>
          <w:rFonts w:hint="eastAsia"/>
        </w:rPr>
        <w:t>」</w:t>
      </w:r>
      <w:r w:rsidR="00BC014F">
        <w:rPr>
          <w:rFonts w:hint="eastAsia"/>
        </w:rPr>
        <w:t>規定略以</w:t>
      </w:r>
      <w:r w:rsidR="00AC285E">
        <w:rPr>
          <w:rStyle w:val="af1"/>
        </w:rPr>
        <w:footnoteReference w:id="2"/>
      </w:r>
      <w:r w:rsidR="003A27B9">
        <w:rPr>
          <w:rFonts w:hint="eastAsia"/>
        </w:rPr>
        <w:t>，營業收入應參酌</w:t>
      </w:r>
      <w:r w:rsidR="00DF7E58" w:rsidRPr="00AC285E">
        <w:rPr>
          <w:rFonts w:hint="eastAsia"/>
        </w:rPr>
        <w:t>過去實績、</w:t>
      </w:r>
      <w:r w:rsidR="003A27B9">
        <w:rPr>
          <w:rFonts w:hint="eastAsia"/>
        </w:rPr>
        <w:t>市場趨勢等</w:t>
      </w:r>
      <w:r w:rsidR="00DF7E58">
        <w:rPr>
          <w:rFonts w:hint="eastAsia"/>
        </w:rPr>
        <w:t>因素</w:t>
      </w:r>
      <w:r w:rsidR="003A27B9">
        <w:rPr>
          <w:rFonts w:hint="eastAsia"/>
        </w:rPr>
        <w:t>縝密編列，</w:t>
      </w:r>
      <w:r w:rsidR="00735B1F">
        <w:rPr>
          <w:rFonts w:hint="eastAsia"/>
        </w:rPr>
        <w:t>爰此</w:t>
      </w:r>
      <w:r w:rsidR="00F81933" w:rsidRPr="00237CDE">
        <w:rPr>
          <w:rFonts w:hint="eastAsia"/>
        </w:rPr>
        <w:t>，該公司對於利率走勢之預估，容</w:t>
      </w:r>
      <w:r w:rsidR="002D7304">
        <w:rPr>
          <w:rFonts w:hint="eastAsia"/>
        </w:rPr>
        <w:t>可再予檢討</w:t>
      </w:r>
      <w:r w:rsidR="00F81933" w:rsidRPr="00237CDE">
        <w:rPr>
          <w:rFonts w:hint="eastAsia"/>
        </w:rPr>
        <w:t>精進</w:t>
      </w:r>
      <w:r w:rsidR="00051FB0">
        <w:rPr>
          <w:rFonts w:hint="eastAsia"/>
        </w:rPr>
        <w:t>，俾合理編列預算</w:t>
      </w:r>
      <w:r w:rsidR="00F81933" w:rsidRPr="00237CDE">
        <w:rPr>
          <w:rFonts w:hint="eastAsia"/>
        </w:rPr>
        <w:t>。</w:t>
      </w:r>
    </w:p>
    <w:p w:rsidR="00F81933" w:rsidRPr="00237CDE" w:rsidRDefault="00F81933" w:rsidP="00F81933">
      <w:pPr>
        <w:pStyle w:val="200"/>
        <w:ind w:left="566" w:hanging="566"/>
        <w:rPr>
          <w:rStyle w:val="201"/>
          <w:b/>
          <w:snapToGrid w:val="0"/>
        </w:rPr>
      </w:pPr>
      <w:r w:rsidRPr="00237CDE">
        <w:rPr>
          <w:rStyle w:val="201"/>
          <w:rFonts w:hint="eastAsia"/>
          <w:b/>
          <w:snapToGrid w:val="0"/>
        </w:rPr>
        <w:t xml:space="preserve">表1  </w:t>
      </w:r>
      <w:r w:rsidRPr="00237CDE">
        <w:rPr>
          <w:rFonts w:hint="eastAsia"/>
        </w:rPr>
        <w:t>存保公司</w:t>
      </w:r>
      <w:r w:rsidRPr="00237CDE">
        <w:rPr>
          <w:rStyle w:val="201"/>
          <w:rFonts w:hint="eastAsia"/>
          <w:b/>
          <w:snapToGrid w:val="0"/>
        </w:rPr>
        <w:t>109至11</w:t>
      </w:r>
      <w:r w:rsidR="002E3D48">
        <w:rPr>
          <w:rStyle w:val="201"/>
          <w:rFonts w:hint="eastAsia"/>
          <w:b/>
          <w:snapToGrid w:val="0"/>
        </w:rPr>
        <w:t>2</w:t>
      </w:r>
      <w:r w:rsidRPr="00237CDE">
        <w:rPr>
          <w:rStyle w:val="201"/>
          <w:rFonts w:hint="eastAsia"/>
          <w:b/>
          <w:snapToGrid w:val="0"/>
        </w:rPr>
        <w:t>年度利息收入預、決算概況表</w:t>
      </w:r>
    </w:p>
    <w:p w:rsidR="00F81933" w:rsidRPr="00237CDE" w:rsidRDefault="00F81933" w:rsidP="00F81933">
      <w:pPr>
        <w:pStyle w:val="142"/>
        <w:ind w:left="567" w:hanging="567"/>
        <w:jc w:val="right"/>
      </w:pPr>
      <w:r w:rsidRPr="00237CDE">
        <w:rPr>
          <w:rFonts w:hint="eastAsia"/>
        </w:rPr>
        <w:t>單位：新臺幣千元</w:t>
      </w:r>
    </w:p>
    <w:tbl>
      <w:tblPr>
        <w:tblW w:w="861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33"/>
        <w:gridCol w:w="1961"/>
        <w:gridCol w:w="1961"/>
        <w:gridCol w:w="1876"/>
        <w:gridCol w:w="1581"/>
      </w:tblGrid>
      <w:tr w:rsidR="005D106D" w:rsidRPr="00237CDE" w:rsidTr="00EE7A73">
        <w:trPr>
          <w:tblHeader/>
        </w:trPr>
        <w:tc>
          <w:tcPr>
            <w:tcW w:w="1233" w:type="dxa"/>
            <w:shd w:val="clear" w:color="auto" w:fill="auto"/>
            <w:vAlign w:val="center"/>
          </w:tcPr>
          <w:p w:rsidR="005D106D" w:rsidRPr="00237CDE" w:rsidRDefault="005D106D" w:rsidP="006B303D">
            <w:pPr>
              <w:pStyle w:val="142"/>
              <w:ind w:left="566" w:hanging="566"/>
              <w:jc w:val="center"/>
              <w:rPr>
                <w:rFonts w:hint="eastAsia"/>
                <w:b/>
              </w:rPr>
            </w:pPr>
            <w:r w:rsidRPr="00237CDE">
              <w:rPr>
                <w:rFonts w:hint="eastAsia"/>
                <w:b/>
              </w:rPr>
              <w:t>年度</w:t>
            </w:r>
          </w:p>
        </w:tc>
        <w:tc>
          <w:tcPr>
            <w:tcW w:w="1961" w:type="dxa"/>
            <w:shd w:val="clear" w:color="auto" w:fill="auto"/>
            <w:vAlign w:val="center"/>
          </w:tcPr>
          <w:p w:rsidR="005D106D" w:rsidRPr="00237CDE" w:rsidRDefault="005D106D" w:rsidP="006B303D">
            <w:pPr>
              <w:pStyle w:val="142"/>
              <w:ind w:left="566" w:hanging="566"/>
              <w:jc w:val="center"/>
              <w:rPr>
                <w:b/>
              </w:rPr>
            </w:pPr>
            <w:r w:rsidRPr="00237CDE">
              <w:rPr>
                <w:rFonts w:hint="eastAsia"/>
                <w:b/>
              </w:rPr>
              <w:t>預算數</w:t>
            </w:r>
          </w:p>
        </w:tc>
        <w:tc>
          <w:tcPr>
            <w:tcW w:w="1961" w:type="dxa"/>
            <w:shd w:val="clear" w:color="auto" w:fill="auto"/>
            <w:vAlign w:val="center"/>
          </w:tcPr>
          <w:p w:rsidR="005D106D" w:rsidRPr="00237CDE" w:rsidRDefault="005D106D" w:rsidP="006B303D">
            <w:pPr>
              <w:pStyle w:val="142"/>
              <w:ind w:left="566" w:hanging="566"/>
              <w:jc w:val="center"/>
              <w:rPr>
                <w:b/>
              </w:rPr>
            </w:pPr>
            <w:r w:rsidRPr="00237CDE">
              <w:rPr>
                <w:rFonts w:hint="eastAsia"/>
                <w:b/>
              </w:rPr>
              <w:t>決算數</w:t>
            </w:r>
          </w:p>
        </w:tc>
        <w:tc>
          <w:tcPr>
            <w:tcW w:w="1876" w:type="dxa"/>
            <w:shd w:val="clear" w:color="auto" w:fill="auto"/>
            <w:vAlign w:val="center"/>
          </w:tcPr>
          <w:p w:rsidR="005D106D" w:rsidRPr="00237CDE" w:rsidRDefault="005D106D" w:rsidP="006B303D">
            <w:pPr>
              <w:pStyle w:val="142"/>
              <w:ind w:left="566" w:hanging="566"/>
              <w:jc w:val="center"/>
              <w:rPr>
                <w:b/>
              </w:rPr>
            </w:pPr>
            <w:r>
              <w:rPr>
                <w:rFonts w:hint="eastAsia"/>
                <w:b/>
              </w:rPr>
              <w:t>預決算差異</w:t>
            </w:r>
            <w:r w:rsidR="00051FB0">
              <w:rPr>
                <w:rFonts w:hint="eastAsia"/>
                <w:b/>
              </w:rPr>
              <w:t>數</w:t>
            </w:r>
          </w:p>
        </w:tc>
        <w:tc>
          <w:tcPr>
            <w:tcW w:w="1581" w:type="dxa"/>
            <w:vAlign w:val="center"/>
          </w:tcPr>
          <w:p w:rsidR="005D106D" w:rsidRDefault="00EE7A73" w:rsidP="00EE7A73">
            <w:pPr>
              <w:pStyle w:val="142"/>
              <w:ind w:left="566" w:hanging="566"/>
              <w:jc w:val="center"/>
              <w:rPr>
                <w:rFonts w:hint="eastAsia"/>
                <w:b/>
              </w:rPr>
            </w:pPr>
            <w:r>
              <w:rPr>
                <w:rFonts w:hint="eastAsia"/>
                <w:b/>
              </w:rPr>
              <w:t>達成率</w:t>
            </w:r>
          </w:p>
        </w:tc>
      </w:tr>
      <w:tr w:rsidR="00EE7A73" w:rsidRPr="00237CDE" w:rsidTr="006B303D">
        <w:tc>
          <w:tcPr>
            <w:tcW w:w="1233" w:type="dxa"/>
            <w:shd w:val="clear" w:color="auto" w:fill="auto"/>
            <w:vAlign w:val="center"/>
          </w:tcPr>
          <w:p w:rsidR="00EE7A73" w:rsidRPr="00237CDE" w:rsidRDefault="00EE7A73" w:rsidP="00EE7A73">
            <w:pPr>
              <w:pStyle w:val="142"/>
              <w:ind w:left="567" w:hanging="567"/>
              <w:jc w:val="center"/>
            </w:pPr>
            <w:r w:rsidRPr="00237CDE">
              <w:rPr>
                <w:rFonts w:hint="eastAsia"/>
              </w:rPr>
              <w:t>109</w:t>
            </w:r>
          </w:p>
        </w:tc>
        <w:tc>
          <w:tcPr>
            <w:tcW w:w="1961" w:type="dxa"/>
            <w:shd w:val="clear" w:color="auto" w:fill="auto"/>
            <w:vAlign w:val="center"/>
          </w:tcPr>
          <w:p w:rsidR="00EE7A73" w:rsidRPr="00237CDE" w:rsidRDefault="00EE7A73" w:rsidP="00EE7A73">
            <w:pPr>
              <w:pStyle w:val="142"/>
              <w:ind w:left="567" w:hanging="567"/>
              <w:jc w:val="right"/>
            </w:pPr>
            <w:r w:rsidRPr="00237CDE">
              <w:t>1,033,210</w:t>
            </w:r>
          </w:p>
        </w:tc>
        <w:tc>
          <w:tcPr>
            <w:tcW w:w="1961" w:type="dxa"/>
            <w:shd w:val="clear" w:color="auto" w:fill="auto"/>
            <w:vAlign w:val="center"/>
          </w:tcPr>
          <w:p w:rsidR="00EE7A73" w:rsidRPr="00237CDE" w:rsidRDefault="00EE7A73" w:rsidP="00EE7A73">
            <w:pPr>
              <w:pStyle w:val="142"/>
              <w:ind w:left="567" w:hanging="567"/>
              <w:jc w:val="right"/>
            </w:pPr>
            <w:r w:rsidRPr="00237CDE">
              <w:t>1,200,250</w:t>
            </w:r>
          </w:p>
        </w:tc>
        <w:tc>
          <w:tcPr>
            <w:tcW w:w="1876" w:type="dxa"/>
            <w:shd w:val="clear" w:color="auto" w:fill="auto"/>
            <w:vAlign w:val="center"/>
          </w:tcPr>
          <w:p w:rsidR="00EE7A73" w:rsidRPr="00237CDE" w:rsidRDefault="00EE7A73" w:rsidP="00EE7A73">
            <w:pPr>
              <w:pStyle w:val="142"/>
              <w:ind w:left="567" w:hanging="567"/>
              <w:jc w:val="right"/>
            </w:pPr>
            <w:r>
              <w:rPr>
                <w:rFonts w:hint="eastAsia"/>
                <w:color w:val="000000"/>
              </w:rPr>
              <w:t>167,040</w:t>
            </w:r>
          </w:p>
        </w:tc>
        <w:tc>
          <w:tcPr>
            <w:tcW w:w="1581" w:type="dxa"/>
            <w:vAlign w:val="center"/>
          </w:tcPr>
          <w:p w:rsidR="00EE7A73" w:rsidRDefault="00EE7A73" w:rsidP="00EE7A73">
            <w:pPr>
              <w:pStyle w:val="142"/>
              <w:ind w:left="567" w:hanging="567"/>
              <w:jc w:val="right"/>
              <w:rPr>
                <w:rFonts w:hint="eastAsia"/>
                <w:color w:val="000000"/>
              </w:rPr>
            </w:pPr>
            <w:r>
              <w:rPr>
                <w:rFonts w:hAnsi="標楷體" w:hint="eastAsia"/>
                <w:color w:val="000000"/>
              </w:rPr>
              <w:t>116.17%</w:t>
            </w:r>
          </w:p>
        </w:tc>
      </w:tr>
      <w:tr w:rsidR="00EE7A73" w:rsidRPr="00237CDE" w:rsidTr="006B303D">
        <w:tc>
          <w:tcPr>
            <w:tcW w:w="1233" w:type="dxa"/>
            <w:shd w:val="clear" w:color="auto" w:fill="auto"/>
            <w:vAlign w:val="center"/>
          </w:tcPr>
          <w:p w:rsidR="00EE7A73" w:rsidRPr="00237CDE" w:rsidRDefault="00EE7A73" w:rsidP="00EE7A73">
            <w:pPr>
              <w:pStyle w:val="142"/>
              <w:ind w:left="567" w:hanging="567"/>
              <w:jc w:val="center"/>
            </w:pPr>
            <w:r w:rsidRPr="00237CDE">
              <w:rPr>
                <w:rFonts w:hint="eastAsia"/>
              </w:rPr>
              <w:t>110</w:t>
            </w:r>
          </w:p>
        </w:tc>
        <w:tc>
          <w:tcPr>
            <w:tcW w:w="1961" w:type="dxa"/>
            <w:shd w:val="clear" w:color="auto" w:fill="auto"/>
            <w:vAlign w:val="center"/>
          </w:tcPr>
          <w:p w:rsidR="00EE7A73" w:rsidRPr="00237CDE" w:rsidRDefault="00EE7A73" w:rsidP="00EE7A73">
            <w:pPr>
              <w:pStyle w:val="142"/>
              <w:ind w:left="567" w:hanging="567"/>
              <w:jc w:val="right"/>
            </w:pPr>
            <w:r w:rsidRPr="00237CDE">
              <w:t>959,886</w:t>
            </w:r>
          </w:p>
        </w:tc>
        <w:tc>
          <w:tcPr>
            <w:tcW w:w="1961" w:type="dxa"/>
            <w:shd w:val="clear" w:color="auto" w:fill="auto"/>
            <w:vAlign w:val="center"/>
          </w:tcPr>
          <w:p w:rsidR="00EE7A73" w:rsidRPr="00237CDE" w:rsidRDefault="00EE7A73" w:rsidP="00EE7A73">
            <w:pPr>
              <w:pStyle w:val="142"/>
              <w:ind w:left="567" w:hanging="567"/>
              <w:jc w:val="right"/>
            </w:pPr>
            <w:r w:rsidRPr="00237CDE">
              <w:t>1,207,865</w:t>
            </w:r>
          </w:p>
        </w:tc>
        <w:tc>
          <w:tcPr>
            <w:tcW w:w="1876" w:type="dxa"/>
            <w:shd w:val="clear" w:color="auto" w:fill="auto"/>
            <w:vAlign w:val="center"/>
          </w:tcPr>
          <w:p w:rsidR="00EE7A73" w:rsidRPr="00237CDE" w:rsidRDefault="00EE7A73" w:rsidP="00EE7A73">
            <w:pPr>
              <w:pStyle w:val="142"/>
              <w:ind w:left="567" w:hanging="567"/>
              <w:jc w:val="right"/>
            </w:pPr>
            <w:r>
              <w:rPr>
                <w:rFonts w:hint="eastAsia"/>
                <w:color w:val="000000"/>
              </w:rPr>
              <w:t>247,979</w:t>
            </w:r>
          </w:p>
        </w:tc>
        <w:tc>
          <w:tcPr>
            <w:tcW w:w="1581" w:type="dxa"/>
            <w:vAlign w:val="center"/>
          </w:tcPr>
          <w:p w:rsidR="00EE7A73" w:rsidRDefault="00EE7A73" w:rsidP="00EE7A73">
            <w:pPr>
              <w:pStyle w:val="142"/>
              <w:ind w:left="567" w:hanging="567"/>
              <w:jc w:val="right"/>
              <w:rPr>
                <w:rFonts w:hint="eastAsia"/>
                <w:color w:val="000000"/>
              </w:rPr>
            </w:pPr>
            <w:r>
              <w:rPr>
                <w:rFonts w:hAnsi="標楷體" w:hint="eastAsia"/>
                <w:color w:val="000000"/>
              </w:rPr>
              <w:t>125.83%</w:t>
            </w:r>
          </w:p>
        </w:tc>
      </w:tr>
      <w:tr w:rsidR="00EE7A73" w:rsidRPr="00237CDE" w:rsidTr="006B303D">
        <w:tc>
          <w:tcPr>
            <w:tcW w:w="1233" w:type="dxa"/>
            <w:shd w:val="clear" w:color="auto" w:fill="auto"/>
            <w:vAlign w:val="center"/>
          </w:tcPr>
          <w:p w:rsidR="00EE7A73" w:rsidRPr="00237CDE" w:rsidRDefault="00EE7A73" w:rsidP="00EE7A73">
            <w:pPr>
              <w:pStyle w:val="142"/>
              <w:ind w:left="567" w:hanging="567"/>
              <w:jc w:val="center"/>
            </w:pPr>
            <w:r w:rsidRPr="00237CDE">
              <w:rPr>
                <w:rFonts w:hint="eastAsia"/>
              </w:rPr>
              <w:t>111</w:t>
            </w:r>
          </w:p>
        </w:tc>
        <w:tc>
          <w:tcPr>
            <w:tcW w:w="1961" w:type="dxa"/>
            <w:shd w:val="clear" w:color="auto" w:fill="auto"/>
            <w:vAlign w:val="center"/>
          </w:tcPr>
          <w:p w:rsidR="00EE7A73" w:rsidRPr="00237CDE" w:rsidRDefault="00EE7A73" w:rsidP="00EE7A73">
            <w:pPr>
              <w:pStyle w:val="142"/>
              <w:ind w:left="567" w:hanging="567"/>
              <w:jc w:val="right"/>
            </w:pPr>
            <w:r w:rsidRPr="00237CDE">
              <w:t>1,039,867</w:t>
            </w:r>
          </w:p>
        </w:tc>
        <w:tc>
          <w:tcPr>
            <w:tcW w:w="1961" w:type="dxa"/>
            <w:shd w:val="clear" w:color="auto" w:fill="auto"/>
            <w:vAlign w:val="center"/>
          </w:tcPr>
          <w:p w:rsidR="00EE7A73" w:rsidRPr="00237CDE" w:rsidRDefault="00EE7A73" w:rsidP="00EE7A73">
            <w:pPr>
              <w:pStyle w:val="142"/>
              <w:ind w:left="567" w:hanging="567"/>
              <w:jc w:val="right"/>
            </w:pPr>
            <w:r w:rsidRPr="00237CDE">
              <w:t>1,501,933</w:t>
            </w:r>
          </w:p>
        </w:tc>
        <w:tc>
          <w:tcPr>
            <w:tcW w:w="1876" w:type="dxa"/>
            <w:shd w:val="clear" w:color="auto" w:fill="auto"/>
            <w:vAlign w:val="center"/>
          </w:tcPr>
          <w:p w:rsidR="00EE7A73" w:rsidRPr="00237CDE" w:rsidRDefault="00EE7A73" w:rsidP="00EE7A73">
            <w:pPr>
              <w:pStyle w:val="142"/>
              <w:ind w:left="567" w:hanging="567"/>
              <w:jc w:val="right"/>
            </w:pPr>
            <w:r>
              <w:rPr>
                <w:rFonts w:hint="eastAsia"/>
                <w:color w:val="000000"/>
              </w:rPr>
              <w:t>462,066</w:t>
            </w:r>
          </w:p>
        </w:tc>
        <w:tc>
          <w:tcPr>
            <w:tcW w:w="1581" w:type="dxa"/>
            <w:vAlign w:val="center"/>
          </w:tcPr>
          <w:p w:rsidR="00EE7A73" w:rsidRDefault="00EE7A73" w:rsidP="00EE7A73">
            <w:pPr>
              <w:pStyle w:val="142"/>
              <w:ind w:left="567" w:hanging="567"/>
              <w:jc w:val="right"/>
              <w:rPr>
                <w:rFonts w:hint="eastAsia"/>
                <w:color w:val="000000"/>
              </w:rPr>
            </w:pPr>
            <w:r>
              <w:rPr>
                <w:rFonts w:hAnsi="標楷體" w:hint="eastAsia"/>
                <w:color w:val="000000"/>
              </w:rPr>
              <w:t>144.44%</w:t>
            </w:r>
          </w:p>
        </w:tc>
      </w:tr>
      <w:tr w:rsidR="00EE7A73" w:rsidRPr="00237CDE" w:rsidTr="006B303D">
        <w:tc>
          <w:tcPr>
            <w:tcW w:w="1233" w:type="dxa"/>
            <w:shd w:val="clear" w:color="auto" w:fill="auto"/>
            <w:vAlign w:val="center"/>
          </w:tcPr>
          <w:p w:rsidR="00EE7A73" w:rsidRPr="00237CDE" w:rsidRDefault="00EE7A73" w:rsidP="00EE7A73">
            <w:pPr>
              <w:pStyle w:val="142"/>
              <w:ind w:left="567" w:hanging="567"/>
              <w:jc w:val="center"/>
            </w:pPr>
            <w:r w:rsidRPr="00237CDE">
              <w:rPr>
                <w:rFonts w:hint="eastAsia"/>
              </w:rPr>
              <w:t>112</w:t>
            </w:r>
          </w:p>
        </w:tc>
        <w:tc>
          <w:tcPr>
            <w:tcW w:w="1961" w:type="dxa"/>
            <w:shd w:val="clear" w:color="auto" w:fill="auto"/>
            <w:vAlign w:val="center"/>
          </w:tcPr>
          <w:p w:rsidR="00EE7A73" w:rsidRPr="00237CDE" w:rsidRDefault="00EE7A73" w:rsidP="00EE7A73">
            <w:pPr>
              <w:pStyle w:val="142"/>
              <w:ind w:left="567" w:hanging="567"/>
              <w:jc w:val="right"/>
            </w:pPr>
            <w:r w:rsidRPr="00237CDE">
              <w:t>1,421,021</w:t>
            </w:r>
          </w:p>
        </w:tc>
        <w:tc>
          <w:tcPr>
            <w:tcW w:w="1961" w:type="dxa"/>
            <w:shd w:val="clear" w:color="auto" w:fill="auto"/>
            <w:vAlign w:val="center"/>
          </w:tcPr>
          <w:p w:rsidR="00EE7A73" w:rsidRPr="00237CDE" w:rsidRDefault="00EE7A73" w:rsidP="00EE7A73">
            <w:pPr>
              <w:pStyle w:val="142"/>
              <w:ind w:left="567" w:hanging="567"/>
              <w:jc w:val="right"/>
            </w:pPr>
            <w:r>
              <w:rPr>
                <w:rFonts w:hint="eastAsia"/>
              </w:rPr>
              <w:t>2</w:t>
            </w:r>
            <w:r w:rsidRPr="00237CDE">
              <w:t>,</w:t>
            </w:r>
            <w:r>
              <w:rPr>
                <w:rFonts w:hint="eastAsia"/>
              </w:rPr>
              <w:t>016</w:t>
            </w:r>
            <w:r w:rsidRPr="00237CDE">
              <w:t>,</w:t>
            </w:r>
            <w:r>
              <w:rPr>
                <w:rFonts w:hint="eastAsia"/>
              </w:rPr>
              <w:t>489</w:t>
            </w:r>
          </w:p>
        </w:tc>
        <w:tc>
          <w:tcPr>
            <w:tcW w:w="1876" w:type="dxa"/>
            <w:shd w:val="clear" w:color="auto" w:fill="auto"/>
            <w:vAlign w:val="center"/>
          </w:tcPr>
          <w:p w:rsidR="00EE7A73" w:rsidRPr="00237CDE" w:rsidRDefault="00EE7A73" w:rsidP="00EE7A73">
            <w:pPr>
              <w:pStyle w:val="142"/>
              <w:ind w:left="567" w:hanging="567"/>
              <w:jc w:val="right"/>
            </w:pPr>
            <w:r>
              <w:rPr>
                <w:rFonts w:hint="eastAsia"/>
                <w:color w:val="000000"/>
              </w:rPr>
              <w:t>595,468</w:t>
            </w:r>
          </w:p>
        </w:tc>
        <w:tc>
          <w:tcPr>
            <w:tcW w:w="1581" w:type="dxa"/>
            <w:vAlign w:val="center"/>
          </w:tcPr>
          <w:p w:rsidR="00EE7A73" w:rsidRDefault="00EE7A73" w:rsidP="00EE7A73">
            <w:pPr>
              <w:pStyle w:val="142"/>
              <w:ind w:left="567" w:hanging="567"/>
              <w:jc w:val="right"/>
              <w:rPr>
                <w:rFonts w:hint="eastAsia"/>
                <w:color w:val="000000"/>
              </w:rPr>
            </w:pPr>
            <w:r>
              <w:rPr>
                <w:rFonts w:hAnsi="標楷體" w:hint="eastAsia"/>
                <w:color w:val="000000"/>
              </w:rPr>
              <w:t>141.90%</w:t>
            </w:r>
          </w:p>
        </w:tc>
      </w:tr>
    </w:tbl>
    <w:p w:rsidR="00F81933" w:rsidRPr="00237CDE" w:rsidRDefault="00F81933" w:rsidP="00F81933">
      <w:pPr>
        <w:pStyle w:val="142"/>
        <w:ind w:left="567" w:hanging="567"/>
        <w:rPr>
          <w:rFonts w:hint="eastAsia"/>
        </w:rPr>
      </w:pPr>
      <w:bookmarkStart w:id="9" w:name="_Hlk145680859"/>
      <w:r w:rsidRPr="00237CDE">
        <w:rPr>
          <w:rFonts w:hint="eastAsia"/>
        </w:rPr>
        <w:t>資料來源：存保公司。</w:t>
      </w:r>
    </w:p>
    <w:bookmarkEnd w:id="9"/>
    <w:p w:rsidR="00DC7CA1" w:rsidRPr="00401274" w:rsidRDefault="00DC7CA1" w:rsidP="006E4B4E">
      <w:pPr>
        <w:pStyle w:val="a4"/>
        <w:ind w:left="849" w:hanging="283"/>
        <w:rPr>
          <w:b/>
        </w:rPr>
      </w:pPr>
      <w:r w:rsidRPr="00FF00DC">
        <w:rPr>
          <w:rFonts w:hint="eastAsia"/>
          <w:b/>
          <w:bCs/>
        </w:rPr>
        <w:t>(二)</w:t>
      </w:r>
      <w:r w:rsidR="00B17909" w:rsidRPr="00BD1AF8">
        <w:rPr>
          <w:rFonts w:hint="eastAsia"/>
          <w:b/>
          <w:bCs/>
        </w:rPr>
        <w:t>資金運用項目</w:t>
      </w:r>
      <w:r w:rsidR="00BD1AF8" w:rsidRPr="00BD1AF8">
        <w:rPr>
          <w:rFonts w:hint="eastAsia"/>
          <w:b/>
          <w:bCs/>
        </w:rPr>
        <w:t>仍以定存及公債為主</w:t>
      </w:r>
      <w:r w:rsidR="00224E0E">
        <w:rPr>
          <w:rFonts w:hint="eastAsia"/>
          <w:b/>
          <w:bCs/>
        </w:rPr>
        <w:t>，占比超逾七成五，多元性可再提升</w:t>
      </w:r>
      <w:r w:rsidR="0025369C">
        <w:rPr>
          <w:rFonts w:hint="eastAsia"/>
          <w:b/>
          <w:bCs/>
        </w:rPr>
        <w:t>，永續發展債券投資額度亦尚有成長空間</w:t>
      </w:r>
    </w:p>
    <w:p w:rsidR="00DC7CA1" w:rsidRDefault="00DC7CA1" w:rsidP="006E4B4E">
      <w:pPr>
        <w:pStyle w:val="21"/>
        <w:ind w:left="850" w:firstLine="566"/>
        <w:rPr>
          <w:rFonts w:hAnsi="標楷體"/>
          <w:bCs/>
        </w:rPr>
      </w:pPr>
      <w:r w:rsidRPr="00643171">
        <w:rPr>
          <w:rFonts w:hint="eastAsia"/>
        </w:rPr>
        <w:t>存款保險條例第8條規定：「</w:t>
      </w:r>
      <w:r w:rsidRPr="006D5A8F">
        <w:rPr>
          <w:rFonts w:hint="eastAsia"/>
        </w:rPr>
        <w:t>存保公司之資金，除備供經常費用開支，及依本條例規定履行保險責任、提供財務協助、成立過渡銀行及辦理墊付等用途外，應投資於政府債券、存放中央銀行或以經該公司董事會同意之方式運用</w:t>
      </w:r>
      <w:r w:rsidRPr="00643171">
        <w:rPr>
          <w:rFonts w:hint="eastAsia"/>
        </w:rPr>
        <w:t>。」</w:t>
      </w:r>
      <w:r w:rsidRPr="00BF71F8">
        <w:rPr>
          <w:rFonts w:hint="eastAsia"/>
        </w:rPr>
        <w:t>截至11</w:t>
      </w:r>
      <w:r>
        <w:rPr>
          <w:rFonts w:hint="eastAsia"/>
        </w:rPr>
        <w:t>2</w:t>
      </w:r>
      <w:r w:rsidRPr="00BF71F8">
        <w:rPr>
          <w:rFonts w:hint="eastAsia"/>
        </w:rPr>
        <w:t>年</w:t>
      </w:r>
      <w:r>
        <w:rPr>
          <w:rFonts w:hint="eastAsia"/>
        </w:rPr>
        <w:t>底</w:t>
      </w:r>
      <w:r w:rsidRPr="00BF71F8">
        <w:rPr>
          <w:rFonts w:hint="eastAsia"/>
        </w:rPr>
        <w:t>止，經該公司董事會同意增列之資金運用項目包括</w:t>
      </w:r>
      <w:r w:rsidR="00F02F6A">
        <w:rPr>
          <w:rFonts w:hint="eastAsia"/>
        </w:rPr>
        <w:t>：「</w:t>
      </w:r>
      <w:r w:rsidRPr="00BF71F8">
        <w:rPr>
          <w:rFonts w:hint="eastAsia"/>
        </w:rPr>
        <w:t>投資商業本票、金融債券(</w:t>
      </w:r>
      <w:r w:rsidRPr="00BF71F8">
        <w:rPr>
          <w:rFonts w:hint="eastAsia"/>
          <w:lang w:eastAsia="zh-HK"/>
        </w:rPr>
        <w:t>含</w:t>
      </w:r>
      <w:r w:rsidRPr="00BF71F8">
        <w:rPr>
          <w:rFonts w:hint="eastAsia"/>
        </w:rPr>
        <w:t>銀行擔保公司債)、公司債、銀行優利存款(含NCD)、台灣50 ETF、</w:t>
      </w:r>
      <w:r w:rsidRPr="00BF71F8">
        <w:rPr>
          <w:rFonts w:hint="eastAsia"/>
          <w:lang w:eastAsia="zh-HK"/>
        </w:rPr>
        <w:t>短期(6個月內)以新臺幣計價利率連結之結構型商品</w:t>
      </w:r>
      <w:r w:rsidRPr="00BF71F8">
        <w:rPr>
          <w:rFonts w:hint="eastAsia"/>
        </w:rPr>
        <w:t>及臺灣50指數成分股中非屬銀行及金控公司之其他公司發行之永續發展債券等</w:t>
      </w:r>
      <w:r w:rsidRPr="00BF71F8">
        <w:rPr>
          <w:rFonts w:hint="eastAsia"/>
          <w:lang w:eastAsia="zh-HK"/>
        </w:rPr>
        <w:t>多</w:t>
      </w:r>
      <w:r w:rsidRPr="00BF71F8">
        <w:rPr>
          <w:rFonts w:hint="eastAsia"/>
        </w:rPr>
        <w:t>項</w:t>
      </w:r>
      <w:r w:rsidR="00F02F6A">
        <w:rPr>
          <w:rFonts w:hint="eastAsia"/>
        </w:rPr>
        <w:t>」</w:t>
      </w:r>
      <w:r w:rsidR="006E4B4E">
        <w:rPr>
          <w:rFonts w:hint="eastAsia"/>
        </w:rPr>
        <w:t>。</w:t>
      </w:r>
      <w:r w:rsidR="00F02F6A">
        <w:rPr>
          <w:rFonts w:hint="eastAsia"/>
        </w:rPr>
        <w:t>按</w:t>
      </w:r>
      <w:r w:rsidR="00BE3958">
        <w:rPr>
          <w:rFonts w:hint="eastAsia"/>
        </w:rPr>
        <w:t>近年存保公司之可運用資金中，存放於</w:t>
      </w:r>
      <w:r w:rsidR="00FF00DC">
        <w:rPr>
          <w:rFonts w:hint="eastAsia"/>
        </w:rPr>
        <w:t>中</w:t>
      </w:r>
      <w:r w:rsidR="00BE3958">
        <w:rPr>
          <w:rFonts w:hint="eastAsia"/>
        </w:rPr>
        <w:t>央</w:t>
      </w:r>
      <w:r w:rsidR="00FF00DC">
        <w:rPr>
          <w:rFonts w:hint="eastAsia"/>
        </w:rPr>
        <w:t>銀</w:t>
      </w:r>
      <w:r w:rsidR="00BE3958">
        <w:rPr>
          <w:rFonts w:hint="eastAsia"/>
        </w:rPr>
        <w:t>行定存</w:t>
      </w:r>
      <w:r w:rsidR="0010703E">
        <w:rPr>
          <w:rFonts w:hint="eastAsia"/>
        </w:rPr>
        <w:t>均維持600億元之限額</w:t>
      </w:r>
      <w:r w:rsidR="00BE3958">
        <w:rPr>
          <w:rFonts w:hint="eastAsia"/>
        </w:rPr>
        <w:t>，111年底以前，為各</w:t>
      </w:r>
      <w:r w:rsidR="00DB2D0E" w:rsidRPr="00BF71F8">
        <w:rPr>
          <w:rFonts w:hint="eastAsia"/>
        </w:rPr>
        <w:t>資金運用</w:t>
      </w:r>
      <w:r w:rsidR="00BE3958">
        <w:rPr>
          <w:rFonts w:hint="eastAsia"/>
        </w:rPr>
        <w:t>項目之最大宗，</w:t>
      </w:r>
      <w:r w:rsidR="0010703E">
        <w:rPr>
          <w:rFonts w:hint="eastAsia"/>
        </w:rPr>
        <w:t>然</w:t>
      </w:r>
      <w:r w:rsidR="00FF00DC">
        <w:rPr>
          <w:rFonts w:hint="eastAsia"/>
        </w:rPr>
        <w:t>至</w:t>
      </w:r>
      <w:r w:rsidR="002A6B46">
        <w:rPr>
          <w:rFonts w:hint="eastAsia"/>
        </w:rPr>
        <w:t>112年底</w:t>
      </w:r>
      <w:r w:rsidR="0010703E">
        <w:rPr>
          <w:rFonts w:hint="eastAsia"/>
        </w:rPr>
        <w:t>止，</w:t>
      </w:r>
      <w:r w:rsidR="00BC014F" w:rsidRPr="00663596">
        <w:rPr>
          <w:rFonts w:hAnsi="標楷體" w:hint="eastAsia"/>
          <w:bCs/>
        </w:rPr>
        <w:t>可運用資金總額</w:t>
      </w:r>
      <w:r w:rsidR="00BC014F" w:rsidRPr="00663596">
        <w:rPr>
          <w:rFonts w:hAnsi="標楷體" w:hint="eastAsia"/>
        </w:rPr>
        <w:t>1</w:t>
      </w:r>
      <w:r w:rsidR="00BC014F">
        <w:rPr>
          <w:rFonts w:hAnsi="標楷體"/>
        </w:rPr>
        <w:t>,</w:t>
      </w:r>
      <w:r w:rsidR="00BC014F">
        <w:rPr>
          <w:rFonts w:hAnsi="標楷體" w:hint="eastAsia"/>
        </w:rPr>
        <w:t>614億元中</w:t>
      </w:r>
      <w:r w:rsidR="00FF00DC">
        <w:rPr>
          <w:rFonts w:hint="eastAsia"/>
        </w:rPr>
        <w:t>配置於公債</w:t>
      </w:r>
      <w:r w:rsidR="00501F82">
        <w:rPr>
          <w:rFonts w:hint="eastAsia"/>
        </w:rPr>
        <w:t>之部位</w:t>
      </w:r>
      <w:r w:rsidR="00FF00DC">
        <w:rPr>
          <w:rFonts w:hint="eastAsia"/>
        </w:rPr>
        <w:t>已達616億元，首度超逾中央銀行定存</w:t>
      </w:r>
      <w:r w:rsidR="005056AD">
        <w:rPr>
          <w:rFonts w:hint="eastAsia"/>
        </w:rPr>
        <w:t>，</w:t>
      </w:r>
      <w:r w:rsidR="00DB2D0E">
        <w:rPr>
          <w:rFonts w:hint="eastAsia"/>
        </w:rPr>
        <w:t>且</w:t>
      </w:r>
      <w:r w:rsidR="005056AD">
        <w:rPr>
          <w:rFonts w:hint="eastAsia"/>
        </w:rPr>
        <w:t>前揭2項合計，占比已</w:t>
      </w:r>
      <w:r w:rsidR="00BC014F">
        <w:rPr>
          <w:rFonts w:hint="eastAsia"/>
        </w:rPr>
        <w:t>逾</w:t>
      </w:r>
      <w:r w:rsidR="005056AD">
        <w:rPr>
          <w:rFonts w:hint="eastAsia"/>
        </w:rPr>
        <w:t>75%，其餘</w:t>
      </w:r>
      <w:r w:rsidR="00D6103B">
        <w:rPr>
          <w:rFonts w:hint="eastAsia"/>
        </w:rPr>
        <w:t>則</w:t>
      </w:r>
      <w:r w:rsidR="00501F82">
        <w:rPr>
          <w:rFonts w:hint="eastAsia"/>
        </w:rPr>
        <w:t>係投資</w:t>
      </w:r>
      <w:r w:rsidR="00D6103B">
        <w:rPr>
          <w:rFonts w:hint="eastAsia"/>
        </w:rPr>
        <w:t>於</w:t>
      </w:r>
      <w:r w:rsidR="002A7E4F">
        <w:rPr>
          <w:rFonts w:hint="eastAsia"/>
        </w:rPr>
        <w:t>金融債券及公司債</w:t>
      </w:r>
      <w:r w:rsidR="00D6103B">
        <w:rPr>
          <w:rFonts w:hint="eastAsia"/>
        </w:rPr>
        <w:t>等</w:t>
      </w:r>
      <w:r w:rsidR="00224E0E">
        <w:rPr>
          <w:rFonts w:hint="eastAsia"/>
        </w:rPr>
        <w:t>，至於</w:t>
      </w:r>
      <w:r w:rsidR="00224E0E" w:rsidRPr="00BF71F8">
        <w:rPr>
          <w:rFonts w:hint="eastAsia"/>
        </w:rPr>
        <w:t>台灣50 ETF</w:t>
      </w:r>
      <w:r w:rsidR="00224E0E">
        <w:rPr>
          <w:rFonts w:hint="eastAsia"/>
        </w:rPr>
        <w:t>及商業本票等則尚無納入投資項目，多元性仍有待提升。</w:t>
      </w:r>
      <w:r w:rsidR="0025369C">
        <w:rPr>
          <w:rFonts w:hint="eastAsia"/>
        </w:rPr>
        <w:t>此外，</w:t>
      </w:r>
      <w:r w:rsidR="00BC014F" w:rsidRPr="00BF71F8">
        <w:rPr>
          <w:rFonts w:hint="eastAsia"/>
        </w:rPr>
        <w:t>永續發展債券</w:t>
      </w:r>
      <w:r w:rsidR="00BC014F">
        <w:rPr>
          <w:rFonts w:hint="eastAsia"/>
        </w:rPr>
        <w:t>項目係</w:t>
      </w:r>
      <w:r w:rsidR="00BC014F">
        <w:rPr>
          <w:rFonts w:hAnsi="標楷體" w:hint="eastAsia"/>
          <w:bCs/>
        </w:rPr>
        <w:t>存保</w:t>
      </w:r>
      <w:r w:rsidR="00F96C3B">
        <w:rPr>
          <w:rFonts w:hAnsi="標楷體" w:hint="eastAsia"/>
          <w:bCs/>
        </w:rPr>
        <w:t>公司</w:t>
      </w:r>
      <w:r w:rsidR="00BC014F">
        <w:rPr>
          <w:rFonts w:hAnsi="標楷體" w:hint="eastAsia"/>
          <w:bCs/>
        </w:rPr>
        <w:t>為落實國家永續發展政策及永續投資概念，</w:t>
      </w:r>
      <w:r w:rsidR="002A7E4F">
        <w:rPr>
          <w:rFonts w:hAnsi="標楷體" w:hint="eastAsia"/>
          <w:bCs/>
        </w:rPr>
        <w:t>於</w:t>
      </w:r>
      <w:r w:rsidR="00F96C3B" w:rsidRPr="00663596">
        <w:rPr>
          <w:rFonts w:hAnsi="標楷體" w:hint="eastAsia"/>
          <w:bCs/>
        </w:rPr>
        <w:t>1</w:t>
      </w:r>
      <w:r w:rsidR="00F96C3B" w:rsidRPr="00663596">
        <w:rPr>
          <w:rFonts w:hAnsi="標楷體"/>
          <w:bCs/>
        </w:rPr>
        <w:t>11</w:t>
      </w:r>
      <w:r w:rsidR="00F96C3B" w:rsidRPr="00663596">
        <w:rPr>
          <w:rFonts w:hAnsi="標楷體" w:hint="eastAsia"/>
          <w:bCs/>
        </w:rPr>
        <w:t>年</w:t>
      </w:r>
      <w:r w:rsidR="00F96C3B" w:rsidRPr="00663596">
        <w:rPr>
          <w:rFonts w:hAnsi="標楷體"/>
          <w:bCs/>
        </w:rPr>
        <w:t>3</w:t>
      </w:r>
      <w:r w:rsidR="00F96C3B" w:rsidRPr="00663596">
        <w:rPr>
          <w:rFonts w:hAnsi="標楷體" w:hint="eastAsia"/>
          <w:bCs/>
        </w:rPr>
        <w:t>月2</w:t>
      </w:r>
      <w:r w:rsidR="00F96C3B" w:rsidRPr="00663596">
        <w:rPr>
          <w:rFonts w:hAnsi="標楷體"/>
          <w:bCs/>
        </w:rPr>
        <w:t>5</w:t>
      </w:r>
      <w:r w:rsidR="00F96C3B" w:rsidRPr="00663596">
        <w:rPr>
          <w:rFonts w:hAnsi="標楷體" w:hint="eastAsia"/>
          <w:bCs/>
        </w:rPr>
        <w:t>日</w:t>
      </w:r>
      <w:r w:rsidR="00BC014F">
        <w:rPr>
          <w:rFonts w:hAnsi="標楷體" w:hint="eastAsia"/>
          <w:bCs/>
        </w:rPr>
        <w:t>經</w:t>
      </w:r>
      <w:r w:rsidR="00F96C3B" w:rsidRPr="00663596">
        <w:rPr>
          <w:rFonts w:hAnsi="標楷體" w:hint="eastAsia"/>
          <w:bCs/>
        </w:rPr>
        <w:t>第1</w:t>
      </w:r>
      <w:r w:rsidR="00F96C3B" w:rsidRPr="00663596">
        <w:rPr>
          <w:rFonts w:hAnsi="標楷體"/>
          <w:bCs/>
        </w:rPr>
        <w:t>3</w:t>
      </w:r>
      <w:r w:rsidR="00F96C3B" w:rsidRPr="00663596">
        <w:rPr>
          <w:rFonts w:hAnsi="標楷體" w:hint="eastAsia"/>
          <w:bCs/>
        </w:rPr>
        <w:t>屆第</w:t>
      </w:r>
      <w:r w:rsidR="00F96C3B" w:rsidRPr="00663596">
        <w:rPr>
          <w:rFonts w:hAnsi="標楷體"/>
          <w:bCs/>
        </w:rPr>
        <w:t>5</w:t>
      </w:r>
      <w:r w:rsidR="00F96C3B" w:rsidRPr="00663596">
        <w:rPr>
          <w:rFonts w:hAnsi="標楷體" w:hint="eastAsia"/>
          <w:bCs/>
        </w:rPr>
        <w:t>次</w:t>
      </w:r>
      <w:r w:rsidR="00735B1F">
        <w:rPr>
          <w:rFonts w:hAnsi="標楷體" w:hint="eastAsia"/>
          <w:bCs/>
        </w:rPr>
        <w:t>經</w:t>
      </w:r>
      <w:r w:rsidR="00F96C3B" w:rsidRPr="00663596">
        <w:rPr>
          <w:rFonts w:hAnsi="標楷體" w:hint="eastAsia"/>
          <w:bCs/>
        </w:rPr>
        <w:t>董事會決議</w:t>
      </w:r>
      <w:r w:rsidR="00F96C3B">
        <w:rPr>
          <w:rFonts w:hAnsi="標楷體" w:hint="eastAsia"/>
          <w:bCs/>
        </w:rPr>
        <w:t>同意</w:t>
      </w:r>
      <w:r w:rsidR="002A7E4F">
        <w:rPr>
          <w:rFonts w:hAnsi="標楷體" w:hint="eastAsia"/>
          <w:bCs/>
        </w:rPr>
        <w:t>新增</w:t>
      </w:r>
      <w:r w:rsidR="00FF00DC">
        <w:rPr>
          <w:rFonts w:hAnsi="標楷體" w:hint="eastAsia"/>
          <w:bCs/>
        </w:rPr>
        <w:t>；</w:t>
      </w:r>
      <w:r w:rsidR="006E4B4E">
        <w:rPr>
          <w:rFonts w:hAnsi="標楷體" w:hint="eastAsia"/>
          <w:bCs/>
        </w:rPr>
        <w:t>存保公司截至112年底</w:t>
      </w:r>
      <w:r w:rsidR="006E4B4E" w:rsidRPr="006E4B4E">
        <w:rPr>
          <w:rFonts w:hAnsi="標楷體" w:hint="eastAsia"/>
          <w:bCs/>
        </w:rPr>
        <w:t>投資永續發展債券</w:t>
      </w:r>
      <w:r w:rsidR="002A7E4F">
        <w:rPr>
          <w:rFonts w:hAnsi="標楷體" w:hint="eastAsia"/>
          <w:bCs/>
        </w:rPr>
        <w:t>計</w:t>
      </w:r>
      <w:r w:rsidR="006E4B4E" w:rsidRPr="006E4B4E">
        <w:rPr>
          <w:rFonts w:hAnsi="標楷體" w:hint="eastAsia"/>
          <w:bCs/>
        </w:rPr>
        <w:t>31億</w:t>
      </w:r>
      <w:r w:rsidR="006E4B4E">
        <w:rPr>
          <w:rFonts w:hAnsi="標楷體" w:hint="eastAsia"/>
          <w:bCs/>
        </w:rPr>
        <w:t>元，</w:t>
      </w:r>
      <w:r w:rsidR="00BC014F">
        <w:rPr>
          <w:rFonts w:hAnsi="標楷體" w:hint="eastAsia"/>
          <w:bCs/>
        </w:rPr>
        <w:t>僅</w:t>
      </w:r>
      <w:r w:rsidR="008479C2">
        <w:rPr>
          <w:rFonts w:hAnsi="標楷體" w:hint="eastAsia"/>
          <w:bCs/>
        </w:rPr>
        <w:t>占</w:t>
      </w:r>
      <w:r w:rsidR="008479C2" w:rsidRPr="00663596">
        <w:rPr>
          <w:rFonts w:hAnsi="標楷體" w:hint="eastAsia"/>
          <w:bCs/>
        </w:rPr>
        <w:t>可運用資金總額</w:t>
      </w:r>
      <w:r w:rsidR="008479C2" w:rsidRPr="00663596">
        <w:rPr>
          <w:rFonts w:hAnsi="標楷體" w:hint="eastAsia"/>
        </w:rPr>
        <w:t>1</w:t>
      </w:r>
      <w:r w:rsidR="008479C2">
        <w:rPr>
          <w:rFonts w:hAnsi="標楷體"/>
        </w:rPr>
        <w:t>,</w:t>
      </w:r>
      <w:r w:rsidR="002A6B46">
        <w:rPr>
          <w:rFonts w:hAnsi="標楷體" w:hint="eastAsia"/>
        </w:rPr>
        <w:t>614</w:t>
      </w:r>
      <w:r w:rsidR="008479C2">
        <w:rPr>
          <w:rFonts w:hAnsi="標楷體" w:hint="eastAsia"/>
        </w:rPr>
        <w:t>億元之</w:t>
      </w:r>
      <w:r w:rsidR="00D37919">
        <w:rPr>
          <w:rFonts w:hAnsi="標楷體" w:hint="eastAsia"/>
        </w:rPr>
        <w:t>1.9</w:t>
      </w:r>
      <w:r w:rsidR="002A6B46">
        <w:rPr>
          <w:rFonts w:hAnsi="標楷體" w:hint="eastAsia"/>
        </w:rPr>
        <w:t>2</w:t>
      </w:r>
      <w:r w:rsidR="00D37919">
        <w:rPr>
          <w:rFonts w:hAnsi="標楷體" w:hint="eastAsia"/>
        </w:rPr>
        <w:t>%，與該公司訂定</w:t>
      </w:r>
      <w:r w:rsidR="00D37919" w:rsidRPr="00663596">
        <w:rPr>
          <w:rFonts w:hAnsi="標楷體" w:hint="eastAsia"/>
          <w:bCs/>
        </w:rPr>
        <w:t>可運用資金總額之10%，</w:t>
      </w:r>
      <w:r w:rsidR="00D37919">
        <w:rPr>
          <w:rFonts w:hAnsi="標楷體" w:hint="eastAsia"/>
          <w:bCs/>
        </w:rPr>
        <w:t>並</w:t>
      </w:r>
      <w:r w:rsidR="00D37919" w:rsidRPr="00663596">
        <w:rPr>
          <w:rFonts w:hAnsi="標楷體" w:hint="eastAsia"/>
          <w:bCs/>
        </w:rPr>
        <w:t>以</w:t>
      </w:r>
      <w:r w:rsidR="00D37919" w:rsidRPr="00663596">
        <w:rPr>
          <w:rFonts w:hAnsi="標楷體"/>
          <w:bCs/>
        </w:rPr>
        <w:t>10</w:t>
      </w:r>
      <w:r w:rsidR="00D37919" w:rsidRPr="00663596">
        <w:rPr>
          <w:rFonts w:hAnsi="標楷體" w:hint="eastAsia"/>
          <w:bCs/>
        </w:rPr>
        <w:t>0億元為</w:t>
      </w:r>
      <w:r w:rsidR="00D37919">
        <w:rPr>
          <w:rFonts w:hAnsi="標楷體" w:hint="eastAsia"/>
          <w:bCs/>
        </w:rPr>
        <w:t>限相較，</w:t>
      </w:r>
      <w:r w:rsidR="00AE7641">
        <w:rPr>
          <w:rFonts w:hAnsi="標楷體" w:hint="eastAsia"/>
          <w:bCs/>
        </w:rPr>
        <w:t>尚有成長空間</w:t>
      </w:r>
      <w:r w:rsidR="00BD1AF8">
        <w:rPr>
          <w:rStyle w:val="af1"/>
        </w:rPr>
        <w:footnoteReference w:id="3"/>
      </w:r>
      <w:r w:rsidR="00B64839">
        <w:rPr>
          <w:rFonts w:hAnsi="標楷體" w:hint="eastAsia"/>
          <w:bCs/>
        </w:rPr>
        <w:t>，有待積極擇定合適投資標的</w:t>
      </w:r>
      <w:r w:rsidR="009C22AC">
        <w:rPr>
          <w:rFonts w:hAnsi="標楷體" w:hint="eastAsia"/>
          <w:bCs/>
        </w:rPr>
        <w:t>，落實永續發展目標</w:t>
      </w:r>
      <w:r w:rsidR="00AE7641">
        <w:rPr>
          <w:rFonts w:hAnsi="標楷體" w:hint="eastAsia"/>
          <w:bCs/>
        </w:rPr>
        <w:t>。</w:t>
      </w:r>
    </w:p>
    <w:p w:rsidR="0021301D" w:rsidRDefault="00F81933" w:rsidP="00685F36">
      <w:pPr>
        <w:ind w:left="566" w:firstLine="566"/>
      </w:pPr>
      <w:r w:rsidRPr="00237CDE">
        <w:rPr>
          <w:rFonts w:hint="eastAsia"/>
        </w:rPr>
        <w:t>綜上，</w:t>
      </w:r>
      <w:r w:rsidR="007D025B">
        <w:rPr>
          <w:rFonts w:hint="eastAsia"/>
        </w:rPr>
        <w:t>近年</w:t>
      </w:r>
      <w:r w:rsidRPr="00237CDE">
        <w:rPr>
          <w:rFonts w:hint="eastAsia"/>
        </w:rPr>
        <w:t>存保公司利息收入</w:t>
      </w:r>
      <w:r w:rsidR="007D025B">
        <w:rPr>
          <w:rFonts w:hint="eastAsia"/>
        </w:rPr>
        <w:t>決算數均大幅超逾預算數，且至</w:t>
      </w:r>
      <w:r w:rsidRPr="00237CDE">
        <w:rPr>
          <w:rFonts w:hint="eastAsia"/>
        </w:rPr>
        <w:t>11</w:t>
      </w:r>
      <w:r w:rsidR="007D025B">
        <w:rPr>
          <w:rFonts w:hint="eastAsia"/>
        </w:rPr>
        <w:t>2</w:t>
      </w:r>
      <w:r w:rsidRPr="00237CDE">
        <w:rPr>
          <w:rFonts w:hint="eastAsia"/>
        </w:rPr>
        <w:t>年度</w:t>
      </w:r>
      <w:r w:rsidR="007D025B">
        <w:rPr>
          <w:rFonts w:hint="eastAsia"/>
        </w:rPr>
        <w:t>差距已近6億元，仍未見明顯改善，</w:t>
      </w:r>
      <w:r w:rsidR="0021301D">
        <w:rPr>
          <w:rFonts w:hint="eastAsia"/>
        </w:rPr>
        <w:t>預算</w:t>
      </w:r>
      <w:r w:rsidR="0021301D" w:rsidRPr="00237CDE">
        <w:rPr>
          <w:rFonts w:hint="eastAsia"/>
        </w:rPr>
        <w:t>編列</w:t>
      </w:r>
      <w:r w:rsidRPr="00237CDE">
        <w:rPr>
          <w:rFonts w:hint="eastAsia"/>
        </w:rPr>
        <w:t>容</w:t>
      </w:r>
      <w:r w:rsidR="007D025B">
        <w:rPr>
          <w:rFonts w:hint="eastAsia"/>
        </w:rPr>
        <w:t>待</w:t>
      </w:r>
      <w:r w:rsidRPr="00237CDE">
        <w:rPr>
          <w:rFonts w:hint="eastAsia"/>
        </w:rPr>
        <w:t>檢討</w:t>
      </w:r>
      <w:r w:rsidR="007D025B">
        <w:rPr>
          <w:rFonts w:hint="eastAsia"/>
        </w:rPr>
        <w:t>精進</w:t>
      </w:r>
      <w:r w:rsidRPr="00237CDE">
        <w:rPr>
          <w:rFonts w:hint="eastAsia"/>
          <w:lang w:eastAsia="zh-HK"/>
        </w:rPr>
        <w:t>，</w:t>
      </w:r>
      <w:r w:rsidR="00D36B2A">
        <w:rPr>
          <w:rFonts w:hint="eastAsia"/>
          <w:lang w:eastAsia="zh-HK"/>
        </w:rPr>
        <w:t>俾符合</w:t>
      </w:r>
      <w:r w:rsidR="00D36B2A" w:rsidRPr="00237CDE">
        <w:rPr>
          <w:rFonts w:hint="eastAsia"/>
        </w:rPr>
        <w:t>企業化經營原則</w:t>
      </w:r>
      <w:r w:rsidR="00D36B2A">
        <w:rPr>
          <w:rFonts w:hint="eastAsia"/>
        </w:rPr>
        <w:t>，使</w:t>
      </w:r>
      <w:r w:rsidR="00D36B2A" w:rsidRPr="00237CDE">
        <w:rPr>
          <w:rFonts w:hint="eastAsia"/>
        </w:rPr>
        <w:t>營業收入</w:t>
      </w:r>
      <w:r w:rsidR="00D36B2A">
        <w:rPr>
          <w:rFonts w:hint="eastAsia"/>
        </w:rPr>
        <w:t>可合理反映</w:t>
      </w:r>
      <w:r w:rsidR="00D36B2A" w:rsidRPr="00237CDE">
        <w:rPr>
          <w:rFonts w:hint="eastAsia"/>
        </w:rPr>
        <w:t>過去實績</w:t>
      </w:r>
      <w:r w:rsidR="00D36B2A">
        <w:rPr>
          <w:rFonts w:hint="eastAsia"/>
        </w:rPr>
        <w:t>及</w:t>
      </w:r>
      <w:r w:rsidR="00D36B2A" w:rsidRPr="00237CDE">
        <w:rPr>
          <w:rFonts w:hint="eastAsia"/>
        </w:rPr>
        <w:t>市場</w:t>
      </w:r>
      <w:r w:rsidR="00D36B2A">
        <w:rPr>
          <w:rFonts w:hint="eastAsia"/>
        </w:rPr>
        <w:t>趨勢</w:t>
      </w:r>
      <w:r w:rsidR="0021301D">
        <w:rPr>
          <w:rFonts w:hint="eastAsia"/>
        </w:rPr>
        <w:t>；又存保公司</w:t>
      </w:r>
      <w:r w:rsidR="0021301D" w:rsidRPr="00BF71F8">
        <w:rPr>
          <w:rFonts w:hint="eastAsia"/>
        </w:rPr>
        <w:t>董事會</w:t>
      </w:r>
      <w:r w:rsidR="0021301D">
        <w:rPr>
          <w:rFonts w:hint="eastAsia"/>
        </w:rPr>
        <w:t>前已</w:t>
      </w:r>
      <w:r w:rsidR="0021301D" w:rsidRPr="00BF71F8">
        <w:rPr>
          <w:rFonts w:hint="eastAsia"/>
        </w:rPr>
        <w:t>核准</w:t>
      </w:r>
      <w:r w:rsidR="0021301D">
        <w:rPr>
          <w:rFonts w:hint="eastAsia"/>
        </w:rPr>
        <w:t>永續發展債券納入</w:t>
      </w:r>
      <w:r w:rsidR="0021301D" w:rsidRPr="00BF71F8">
        <w:rPr>
          <w:rFonts w:hint="eastAsia"/>
        </w:rPr>
        <w:t>資金運用範疇，</w:t>
      </w:r>
      <w:r w:rsidR="0021301D">
        <w:rPr>
          <w:rFonts w:hint="eastAsia"/>
        </w:rPr>
        <w:t>允宜</w:t>
      </w:r>
      <w:r w:rsidR="00685F36">
        <w:rPr>
          <w:rFonts w:hint="eastAsia"/>
        </w:rPr>
        <w:t>持續審慎評估</w:t>
      </w:r>
      <w:r w:rsidR="0025369C">
        <w:rPr>
          <w:rFonts w:hint="eastAsia"/>
        </w:rPr>
        <w:t>，</w:t>
      </w:r>
      <w:r w:rsidR="00685F36">
        <w:rPr>
          <w:rFonts w:hint="eastAsia"/>
        </w:rPr>
        <w:t>投資重視ESG企業所發行之永續發展債券</w:t>
      </w:r>
      <w:r w:rsidR="00FB30BF">
        <w:rPr>
          <w:rFonts w:hint="eastAsia"/>
        </w:rPr>
        <w:t>，</w:t>
      </w:r>
      <w:r w:rsidR="005F26E7">
        <w:rPr>
          <w:rFonts w:hint="eastAsia"/>
        </w:rPr>
        <w:t>積極實踐永續投資理念，</w:t>
      </w:r>
      <w:r w:rsidR="00FB30BF">
        <w:rPr>
          <w:rFonts w:hint="eastAsia"/>
        </w:rPr>
        <w:t>並</w:t>
      </w:r>
      <w:r w:rsidR="00FB30BF" w:rsidRPr="00FB30BF">
        <w:rPr>
          <w:rFonts w:hint="eastAsia"/>
        </w:rPr>
        <w:t>適時檢討及優化資金運用管理機制</w:t>
      </w:r>
      <w:r w:rsidR="00FB30BF">
        <w:rPr>
          <w:rFonts w:hint="eastAsia"/>
        </w:rPr>
        <w:t>，以</w:t>
      </w:r>
      <w:r w:rsidR="00FB30BF" w:rsidRPr="00BF71F8">
        <w:rPr>
          <w:rFonts w:hint="eastAsia"/>
        </w:rPr>
        <w:t>妥適配置各項資金運用</w:t>
      </w:r>
      <w:r w:rsidR="00FB30BF">
        <w:rPr>
          <w:rFonts w:hint="eastAsia"/>
        </w:rPr>
        <w:t>工具，提高投資效益。</w:t>
      </w:r>
    </w:p>
    <w:p w:rsidR="00F81933" w:rsidRPr="00F81933" w:rsidRDefault="00F81933" w:rsidP="00D916F0">
      <w:pPr>
        <w:pStyle w:val="14"/>
      </w:pPr>
    </w:p>
    <w:p w:rsidR="002F1D99" w:rsidRDefault="00B85FB0" w:rsidP="00F81933">
      <w:pPr>
        <w:pStyle w:val="14"/>
      </w:pPr>
      <w:bookmarkStart w:id="10" w:name="_Toc55287960"/>
      <w:bookmarkStart w:id="11" w:name="_Toc55570132"/>
      <w:bookmarkStart w:id="12" w:name="_Toc56499689"/>
      <w:bookmarkStart w:id="13" w:name="_Toc149655754"/>
      <w:bookmarkStart w:id="14" w:name="_Toc195173722"/>
      <w:r>
        <w:rPr>
          <w:rFonts w:hint="eastAsia"/>
        </w:rPr>
        <w:t>三</w:t>
      </w:r>
      <w:r w:rsidR="00F81933" w:rsidRPr="00237CDE">
        <w:rPr>
          <w:rFonts w:hint="eastAsia"/>
        </w:rPr>
        <w:t>、</w:t>
      </w:r>
      <w:r w:rsidR="002F1D99">
        <w:rPr>
          <w:rFonts w:hint="eastAsia"/>
        </w:rPr>
        <w:t>存保公司</w:t>
      </w:r>
      <w:r w:rsidR="002F1D99">
        <w:t>接續行政院金融重建基金處理經營不善金融機構清理事宜，惟</w:t>
      </w:r>
      <w:r w:rsidR="002F1D99">
        <w:rPr>
          <w:rFonts w:hint="eastAsia"/>
        </w:rPr>
        <w:t>迄112年底止</w:t>
      </w:r>
      <w:r w:rsidR="00B60600">
        <w:rPr>
          <w:rFonts w:hint="eastAsia"/>
        </w:rPr>
        <w:t>仍有龐鉅之</w:t>
      </w:r>
      <w:r w:rsidR="002F1D99">
        <w:t>保留資產</w:t>
      </w:r>
      <w:r w:rsidR="00B60600">
        <w:rPr>
          <w:rFonts w:hint="eastAsia"/>
        </w:rPr>
        <w:t>待</w:t>
      </w:r>
      <w:r w:rsidR="002F1D99">
        <w:t>處理，亟待</w:t>
      </w:r>
      <w:r w:rsidR="00B60600">
        <w:rPr>
          <w:rFonts w:hint="eastAsia"/>
        </w:rPr>
        <w:t>積極</w:t>
      </w:r>
      <w:r w:rsidR="002F1D99">
        <w:t>研謀善策，以加速收回賠付資金</w:t>
      </w:r>
      <w:bookmarkEnd w:id="14"/>
    </w:p>
    <w:bookmarkEnd w:id="10"/>
    <w:bookmarkEnd w:id="11"/>
    <w:bookmarkEnd w:id="12"/>
    <w:bookmarkEnd w:id="13"/>
    <w:p w:rsidR="00F81933" w:rsidRPr="00237CDE" w:rsidRDefault="00F81933" w:rsidP="00F81933">
      <w:pPr>
        <w:ind w:left="566" w:firstLine="566"/>
      </w:pPr>
      <w:r w:rsidRPr="00237CDE">
        <w:rPr>
          <w:rFonts w:hint="eastAsia"/>
          <w:lang w:eastAsia="zh-HK"/>
        </w:rPr>
        <w:t>存保公司</w:t>
      </w:r>
      <w:r w:rsidRPr="00237CDE">
        <w:rPr>
          <w:rFonts w:hint="eastAsia"/>
        </w:rPr>
        <w:t>除辦理存款保險條例規定之業務及配合主管機關指示事項外，接續辦理金融重建基金結束後經營不善金融機構之清理(算)、保留資產、負債、訴訟之處理及不法案件追償事宜，</w:t>
      </w:r>
      <w:r>
        <w:rPr>
          <w:rFonts w:hint="eastAsia"/>
        </w:rPr>
        <w:t>亦</w:t>
      </w:r>
      <w:r w:rsidRPr="00237CDE">
        <w:rPr>
          <w:rFonts w:hint="eastAsia"/>
          <w:lang w:eastAsia="zh-HK"/>
        </w:rPr>
        <w:t>為該公司主要營運項目之一</w:t>
      </w:r>
      <w:r w:rsidR="00B85FB0">
        <w:rPr>
          <w:rFonts w:hint="eastAsia"/>
        </w:rPr>
        <w:t>。經查</w:t>
      </w:r>
      <w:r w:rsidRPr="00237CDE">
        <w:rPr>
          <w:rFonts w:hint="eastAsia"/>
          <w:lang w:eastAsia="zh-HK"/>
        </w:rPr>
        <w:t>：</w:t>
      </w:r>
    </w:p>
    <w:p w:rsidR="00F81933" w:rsidRPr="009E7FAD" w:rsidRDefault="00F81933" w:rsidP="009E7FAD">
      <w:pPr>
        <w:pStyle w:val="a4"/>
        <w:ind w:left="849" w:hanging="283"/>
        <w:rPr>
          <w:b/>
        </w:rPr>
      </w:pPr>
      <w:r w:rsidRPr="009E7FAD">
        <w:rPr>
          <w:b/>
        </w:rPr>
        <w:t>(</w:t>
      </w:r>
      <w:r w:rsidRPr="009E7FAD">
        <w:rPr>
          <w:rFonts w:hint="eastAsia"/>
          <w:b/>
          <w:lang w:eastAsia="zh-HK"/>
        </w:rPr>
        <w:t>一</w:t>
      </w:r>
      <w:r w:rsidRPr="009E7FAD">
        <w:rPr>
          <w:b/>
        </w:rPr>
        <w:t>)</w:t>
      </w:r>
      <w:r w:rsidR="003E0753">
        <w:rPr>
          <w:rFonts w:hint="eastAsia"/>
          <w:b/>
        </w:rPr>
        <w:t>截至112年底止</w:t>
      </w:r>
      <w:r w:rsidR="003E55F4">
        <w:rPr>
          <w:rFonts w:hint="eastAsia"/>
          <w:b/>
        </w:rPr>
        <w:t>，</w:t>
      </w:r>
      <w:r w:rsidR="000C6F93" w:rsidRPr="000C6F93">
        <w:rPr>
          <w:rFonts w:hint="eastAsia"/>
          <w:b/>
        </w:rPr>
        <w:t>一般金融保險賠款特別準備金</w:t>
      </w:r>
      <w:r w:rsidR="005C010B" w:rsidRPr="005C010B">
        <w:rPr>
          <w:rFonts w:hint="eastAsia"/>
          <w:b/>
        </w:rPr>
        <w:t>代金融重建基金分攤之賠付款</w:t>
      </w:r>
      <w:r w:rsidR="003E0753">
        <w:rPr>
          <w:rFonts w:hint="eastAsia"/>
          <w:b/>
        </w:rPr>
        <w:t>餘額尚</w:t>
      </w:r>
      <w:r w:rsidR="003E55F4">
        <w:rPr>
          <w:rFonts w:hint="eastAsia"/>
          <w:b/>
        </w:rPr>
        <w:t>餘</w:t>
      </w:r>
      <w:r w:rsidR="003E0753">
        <w:rPr>
          <w:rFonts w:hint="eastAsia"/>
          <w:b/>
        </w:rPr>
        <w:t>32.36億元</w:t>
      </w:r>
      <w:r w:rsidR="00834B2F">
        <w:rPr>
          <w:rFonts w:hint="eastAsia"/>
          <w:b/>
        </w:rPr>
        <w:t>，有待</w:t>
      </w:r>
      <w:r w:rsidR="008260F3">
        <w:rPr>
          <w:rFonts w:hint="eastAsia"/>
          <w:b/>
        </w:rPr>
        <w:t>賡續</w:t>
      </w:r>
      <w:r w:rsidR="00834B2F">
        <w:rPr>
          <w:rFonts w:hint="eastAsia"/>
          <w:b/>
        </w:rPr>
        <w:t>辦理</w:t>
      </w:r>
      <w:r w:rsidR="008260F3">
        <w:rPr>
          <w:rFonts w:hint="eastAsia"/>
          <w:b/>
        </w:rPr>
        <w:t>相關追償事宜</w:t>
      </w:r>
    </w:p>
    <w:p w:rsidR="008527DF" w:rsidRPr="00237CDE" w:rsidRDefault="00961404" w:rsidP="008167E3">
      <w:pPr>
        <w:pStyle w:val="21"/>
        <w:ind w:left="850" w:firstLine="566"/>
        <w:rPr>
          <w:lang w:eastAsia="zh-HK"/>
        </w:rPr>
      </w:pPr>
      <w:r w:rsidRPr="00961404">
        <w:rPr>
          <w:rFonts w:hint="eastAsia"/>
          <w:lang w:eastAsia="zh-HK"/>
        </w:rPr>
        <w:t>金融重建基金於100年底屆期結束</w:t>
      </w:r>
      <w:r>
        <w:rPr>
          <w:rStyle w:val="af1"/>
          <w:lang w:eastAsia="zh-HK"/>
        </w:rPr>
        <w:footnoteReference w:id="4"/>
      </w:r>
      <w:r w:rsidRPr="00961404">
        <w:rPr>
          <w:rFonts w:hint="eastAsia"/>
          <w:lang w:eastAsia="zh-HK"/>
        </w:rPr>
        <w:t>，</w:t>
      </w:r>
      <w:r w:rsidR="008527DF">
        <w:rPr>
          <w:rFonts w:hint="eastAsia"/>
        </w:rPr>
        <w:t>該基金</w:t>
      </w:r>
      <w:r w:rsidRPr="00961404">
        <w:rPr>
          <w:rFonts w:hint="eastAsia"/>
          <w:lang w:eastAsia="zh-HK"/>
        </w:rPr>
        <w:t>所餘資產負債，</w:t>
      </w:r>
      <w:r w:rsidRPr="008527DF">
        <w:t>依行政院核定之「金融重建基金屆期結束相關問題處理規劃方案」，以100年12月28日為資產負債評估基準日，於</w:t>
      </w:r>
      <w:r w:rsidR="008527DF">
        <w:rPr>
          <w:rFonts w:hint="eastAsia"/>
        </w:rPr>
        <w:t>同年</w:t>
      </w:r>
      <w:r w:rsidRPr="008527DF">
        <w:t>12月29日分別移轉予</w:t>
      </w:r>
      <w:r w:rsidR="008527DF">
        <w:rPr>
          <w:rFonts w:hint="eastAsia"/>
        </w:rPr>
        <w:t>存保公司及各業務主管機關</w:t>
      </w:r>
      <w:r w:rsidR="007402DA">
        <w:rPr>
          <w:rFonts w:hint="eastAsia"/>
        </w:rPr>
        <w:t>。</w:t>
      </w:r>
      <w:r w:rsidR="002F1D99">
        <w:t>金融重建基金</w:t>
      </w:r>
      <w:r w:rsidR="005128EA">
        <w:rPr>
          <w:rFonts w:hint="eastAsia"/>
        </w:rPr>
        <w:t>之</w:t>
      </w:r>
      <w:r w:rsidR="002F1D99">
        <w:t>資產負債及保留資產回收款分配權利，在</w:t>
      </w:r>
      <w:r w:rsidR="000C6F93">
        <w:rPr>
          <w:rFonts w:hint="eastAsia"/>
        </w:rPr>
        <w:t>一般金融保險賠款特別準備金</w:t>
      </w:r>
      <w:r w:rsidR="002F1D99">
        <w:t>代為負擔範圍內，逕返還或移轉予存保公司；若無法全數返還，則不足數由</w:t>
      </w:r>
      <w:r w:rsidR="00F25B78">
        <w:rPr>
          <w:rFonts w:hint="eastAsia"/>
        </w:rPr>
        <w:t>該</w:t>
      </w:r>
      <w:r w:rsidR="002F1D99">
        <w:t>準備金負擔</w:t>
      </w:r>
      <w:r w:rsidR="00BA3108">
        <w:rPr>
          <w:rFonts w:hint="eastAsia"/>
        </w:rPr>
        <w:t>；</w:t>
      </w:r>
      <w:r w:rsidR="002F1D99">
        <w:t>另</w:t>
      </w:r>
      <w:r w:rsidR="00A41177">
        <w:rPr>
          <w:rFonts w:hint="eastAsia"/>
        </w:rPr>
        <w:t>由該公司</w:t>
      </w:r>
      <w:r w:rsidR="00BA3108">
        <w:rPr>
          <w:rFonts w:hint="eastAsia"/>
        </w:rPr>
        <w:t>續行</w:t>
      </w:r>
      <w:r w:rsidR="002F1D99">
        <w:t>處理退場之經營不善金融機構尚有保留資產及其他未結事項</w:t>
      </w:r>
      <w:r w:rsidR="00BA3108">
        <w:rPr>
          <w:rFonts w:hint="eastAsia"/>
        </w:rPr>
        <w:t>。</w:t>
      </w:r>
      <w:r w:rsidR="005C12CD">
        <w:rPr>
          <w:rFonts w:hint="eastAsia"/>
        </w:rPr>
        <w:t>依據112年度決算書所載</w:t>
      </w:r>
      <w:r w:rsidR="00146338">
        <w:rPr>
          <w:rFonts w:hint="eastAsia"/>
        </w:rPr>
        <w:t>，存保公司</w:t>
      </w:r>
      <w:r w:rsidR="0080252F">
        <w:rPr>
          <w:rFonts w:hint="eastAsia"/>
        </w:rPr>
        <w:t>一般金融保險賠款特別準備金</w:t>
      </w:r>
      <w:r w:rsidR="00146338">
        <w:rPr>
          <w:rFonts w:hint="eastAsia"/>
        </w:rPr>
        <w:t>代金融重建基金分攤之賠付款</w:t>
      </w:r>
      <w:r w:rsidR="00444520">
        <w:rPr>
          <w:rStyle w:val="af1"/>
        </w:rPr>
        <w:footnoteReference w:id="5"/>
      </w:r>
      <w:r w:rsidR="00C2713B">
        <w:rPr>
          <w:rFonts w:hint="eastAsia"/>
        </w:rPr>
        <w:t>，</w:t>
      </w:r>
      <w:r w:rsidR="00146338">
        <w:rPr>
          <w:rFonts w:hint="eastAsia"/>
        </w:rPr>
        <w:t>112年</w:t>
      </w:r>
      <w:r w:rsidR="003E55F4">
        <w:rPr>
          <w:rFonts w:hint="eastAsia"/>
        </w:rPr>
        <w:t>底餘額仍</w:t>
      </w:r>
      <w:r w:rsidR="002947A1">
        <w:rPr>
          <w:rFonts w:hint="eastAsia"/>
        </w:rPr>
        <w:t>高達</w:t>
      </w:r>
      <w:r w:rsidR="003E55F4">
        <w:rPr>
          <w:rFonts w:hint="eastAsia"/>
        </w:rPr>
        <w:t>32億3</w:t>
      </w:r>
      <w:r w:rsidR="003E55F4">
        <w:t>,</w:t>
      </w:r>
      <w:r w:rsidR="003E55F4">
        <w:rPr>
          <w:rFonts w:hint="eastAsia"/>
        </w:rPr>
        <w:t>566萬元</w:t>
      </w:r>
      <w:r w:rsidR="008260F3">
        <w:rPr>
          <w:rFonts w:hint="eastAsia"/>
        </w:rPr>
        <w:t>；如以</w:t>
      </w:r>
      <w:r w:rsidR="00036C2A">
        <w:rPr>
          <w:rFonts w:hint="eastAsia"/>
        </w:rPr>
        <w:t>1</w:t>
      </w:r>
      <w:r w:rsidR="008260F3">
        <w:rPr>
          <w:rFonts w:hint="eastAsia"/>
        </w:rPr>
        <w:t>0</w:t>
      </w:r>
      <w:r w:rsidR="00036C2A">
        <w:rPr>
          <w:rFonts w:hint="eastAsia"/>
        </w:rPr>
        <w:t>0年</w:t>
      </w:r>
      <w:r w:rsidR="008260F3">
        <w:rPr>
          <w:rFonts w:hint="eastAsia"/>
        </w:rPr>
        <w:t>底</w:t>
      </w:r>
      <w:r w:rsidR="00036C2A">
        <w:rPr>
          <w:rFonts w:hint="eastAsia"/>
        </w:rPr>
        <w:t>餘額52億1</w:t>
      </w:r>
      <w:r w:rsidR="00036C2A">
        <w:t>,</w:t>
      </w:r>
      <w:r w:rsidR="00036C2A">
        <w:rPr>
          <w:rFonts w:hint="eastAsia"/>
        </w:rPr>
        <w:t>343萬元</w:t>
      </w:r>
      <w:r w:rsidR="008260F3">
        <w:rPr>
          <w:rFonts w:hint="eastAsia"/>
        </w:rPr>
        <w:t>為基準</w:t>
      </w:r>
      <w:r w:rsidR="00036C2A">
        <w:rPr>
          <w:rFonts w:hint="eastAsia"/>
        </w:rPr>
        <w:t>，</w:t>
      </w:r>
      <w:r w:rsidR="00007FF6" w:rsidRPr="008527DF">
        <w:t>金融重建基金屆期</w:t>
      </w:r>
      <w:r w:rsidR="00036C2A">
        <w:rPr>
          <w:rFonts w:hint="eastAsia"/>
        </w:rPr>
        <w:t>迄今12年間</w:t>
      </w:r>
      <w:r w:rsidR="00007FF6">
        <w:rPr>
          <w:rFonts w:hint="eastAsia"/>
        </w:rPr>
        <w:t>，</w:t>
      </w:r>
      <w:r w:rsidR="00F02F6A">
        <w:rPr>
          <w:rFonts w:hint="eastAsia"/>
        </w:rPr>
        <w:t>追</w:t>
      </w:r>
      <w:r w:rsidR="00007FF6">
        <w:rPr>
          <w:rFonts w:hint="eastAsia"/>
        </w:rPr>
        <w:t>償進度</w:t>
      </w:r>
      <w:r w:rsidR="00036C2A">
        <w:rPr>
          <w:rFonts w:hint="eastAsia"/>
        </w:rPr>
        <w:t>僅37.9</w:t>
      </w:r>
      <w:r w:rsidR="002947A1">
        <w:rPr>
          <w:rFonts w:hint="eastAsia"/>
        </w:rPr>
        <w:t>4</w:t>
      </w:r>
      <w:r w:rsidR="00036C2A">
        <w:rPr>
          <w:rFonts w:hint="eastAsia"/>
        </w:rPr>
        <w:t>%</w:t>
      </w:r>
      <w:r w:rsidR="008260F3">
        <w:rPr>
          <w:rFonts w:hint="eastAsia"/>
        </w:rPr>
        <w:t>，有待賡續</w:t>
      </w:r>
      <w:r w:rsidR="001D25AC">
        <w:rPr>
          <w:rFonts w:hint="eastAsia"/>
        </w:rPr>
        <w:t>依據</w:t>
      </w:r>
      <w:r w:rsidR="001D25AC" w:rsidRPr="008527DF">
        <w:t>「金融重建基金屆期結束相關問題處理規劃方案」</w:t>
      </w:r>
      <w:r w:rsidR="008260F3">
        <w:rPr>
          <w:rFonts w:hint="eastAsia"/>
        </w:rPr>
        <w:t>辦理</w:t>
      </w:r>
      <w:r w:rsidR="001D25AC">
        <w:rPr>
          <w:rFonts w:hint="eastAsia"/>
        </w:rPr>
        <w:t>相關</w:t>
      </w:r>
      <w:r w:rsidR="008260F3">
        <w:rPr>
          <w:rFonts w:hint="eastAsia"/>
        </w:rPr>
        <w:t>追償事宜</w:t>
      </w:r>
      <w:r w:rsidR="003E55F4">
        <w:rPr>
          <w:rFonts w:hint="eastAsia"/>
        </w:rPr>
        <w:t>。</w:t>
      </w:r>
    </w:p>
    <w:p w:rsidR="00F81933" w:rsidRPr="00237CDE" w:rsidRDefault="00F81933" w:rsidP="00F81933">
      <w:pPr>
        <w:pStyle w:val="a4"/>
        <w:ind w:left="849" w:hanging="283"/>
        <w:rPr>
          <w:rFonts w:hint="eastAsia"/>
          <w:b/>
        </w:rPr>
      </w:pPr>
      <w:r w:rsidRPr="00237CDE">
        <w:rPr>
          <w:rFonts w:hint="eastAsia"/>
          <w:b/>
          <w:lang w:eastAsia="zh-HK"/>
        </w:rPr>
        <w:t>(</w:t>
      </w:r>
      <w:r w:rsidRPr="00237CDE">
        <w:rPr>
          <w:rFonts w:hint="eastAsia"/>
          <w:b/>
        </w:rPr>
        <w:t>二)</w:t>
      </w:r>
      <w:r w:rsidRPr="00237CDE">
        <w:rPr>
          <w:rFonts w:hint="eastAsia"/>
          <w:b/>
          <w:lang w:eastAsia="zh-HK"/>
        </w:rPr>
        <w:t>截至1</w:t>
      </w:r>
      <w:r w:rsidRPr="00237CDE">
        <w:rPr>
          <w:rFonts w:hint="eastAsia"/>
          <w:b/>
        </w:rPr>
        <w:t>12</w:t>
      </w:r>
      <w:r w:rsidRPr="00237CDE">
        <w:rPr>
          <w:rFonts w:hint="eastAsia"/>
          <w:b/>
          <w:lang w:eastAsia="zh-HK"/>
        </w:rPr>
        <w:t>年底止，</w:t>
      </w:r>
      <w:r w:rsidR="0079054D" w:rsidRPr="00237CDE">
        <w:rPr>
          <w:rFonts w:hint="eastAsia"/>
          <w:b/>
          <w:lang w:eastAsia="zh-HK"/>
        </w:rPr>
        <w:t>待處理</w:t>
      </w:r>
      <w:r w:rsidR="0079054D">
        <w:rPr>
          <w:rFonts w:hint="eastAsia"/>
          <w:b/>
          <w:lang w:eastAsia="zh-HK"/>
        </w:rPr>
        <w:t>之</w:t>
      </w:r>
      <w:r w:rsidRPr="00237CDE">
        <w:rPr>
          <w:rFonts w:hint="eastAsia"/>
          <w:b/>
          <w:lang w:eastAsia="zh-HK"/>
        </w:rPr>
        <w:t>保留資產</w:t>
      </w:r>
      <w:r w:rsidR="0079054D" w:rsidRPr="00237CDE">
        <w:rPr>
          <w:rFonts w:hint="eastAsia"/>
          <w:b/>
          <w:lang w:eastAsia="zh-HK"/>
        </w:rPr>
        <w:t>仍</w:t>
      </w:r>
      <w:r w:rsidR="0079054D">
        <w:rPr>
          <w:rFonts w:hint="eastAsia"/>
          <w:b/>
          <w:lang w:eastAsia="zh-HK"/>
        </w:rPr>
        <w:t>有</w:t>
      </w:r>
      <w:r w:rsidR="0079054D" w:rsidRPr="00237CDE">
        <w:rPr>
          <w:rFonts w:hint="eastAsia"/>
          <w:b/>
        </w:rPr>
        <w:t>31.6</w:t>
      </w:r>
      <w:r w:rsidR="0079054D">
        <w:rPr>
          <w:rFonts w:hint="eastAsia"/>
          <w:b/>
        </w:rPr>
        <w:t>2</w:t>
      </w:r>
      <w:r w:rsidR="0079054D" w:rsidRPr="00237CDE">
        <w:rPr>
          <w:rFonts w:hint="eastAsia"/>
          <w:b/>
          <w:lang w:eastAsia="zh-HK"/>
        </w:rPr>
        <w:t>億元</w:t>
      </w:r>
      <w:r w:rsidR="0079054D">
        <w:rPr>
          <w:rFonts w:hint="eastAsia"/>
          <w:b/>
          <w:lang w:eastAsia="zh-HK"/>
        </w:rPr>
        <w:t>，</w:t>
      </w:r>
      <w:r w:rsidR="00D337FA">
        <w:rPr>
          <w:rFonts w:hint="eastAsia"/>
          <w:b/>
          <w:lang w:eastAsia="zh-HK"/>
        </w:rPr>
        <w:t>有待積極辦理處分事宜，以加速回收</w:t>
      </w:r>
      <w:r w:rsidR="0080252F">
        <w:rPr>
          <w:rFonts w:hint="eastAsia"/>
          <w:b/>
          <w:lang w:eastAsia="zh-HK"/>
        </w:rPr>
        <w:t>分攤之</w:t>
      </w:r>
      <w:r w:rsidR="00D337FA">
        <w:rPr>
          <w:rFonts w:hint="eastAsia"/>
          <w:b/>
          <w:lang w:eastAsia="zh-HK"/>
        </w:rPr>
        <w:t>賠付款</w:t>
      </w:r>
    </w:p>
    <w:p w:rsidR="00F81933" w:rsidRPr="00237CDE" w:rsidRDefault="00664600" w:rsidP="00FA2D36">
      <w:pPr>
        <w:pStyle w:val="21"/>
        <w:ind w:left="850" w:firstLine="566"/>
      </w:pPr>
      <w:r>
        <w:rPr>
          <w:rFonts w:hint="eastAsia"/>
        </w:rPr>
        <w:t>依據上揭方案，</w:t>
      </w:r>
      <w:r>
        <w:t>經營不善金融機構</w:t>
      </w:r>
      <w:r>
        <w:rPr>
          <w:rFonts w:hint="eastAsia"/>
        </w:rPr>
        <w:t>之</w:t>
      </w:r>
      <w:r>
        <w:t>保留資產及其他未結事項</w:t>
      </w:r>
      <w:r>
        <w:rPr>
          <w:rFonts w:hint="eastAsia"/>
        </w:rPr>
        <w:t>由存保公司賡續進行</w:t>
      </w:r>
      <w:r w:rsidRPr="0079054D">
        <w:rPr>
          <w:rFonts w:hint="eastAsia"/>
        </w:rPr>
        <w:t>處分或催理</w:t>
      </w:r>
      <w:r>
        <w:rPr>
          <w:rFonts w:hint="eastAsia"/>
        </w:rPr>
        <w:t>，</w:t>
      </w:r>
      <w:r w:rsidR="00F81933" w:rsidRPr="00237CDE">
        <w:rPr>
          <w:rFonts w:hint="eastAsia"/>
        </w:rPr>
        <w:t>截至112年底止，尚餘保留資產</w:t>
      </w:r>
      <w:r w:rsidR="00D337FA">
        <w:rPr>
          <w:rFonts w:hint="eastAsia"/>
        </w:rPr>
        <w:t>之</w:t>
      </w:r>
      <w:r w:rsidR="00F81933" w:rsidRPr="00237CDE">
        <w:rPr>
          <w:rFonts w:hint="eastAsia"/>
        </w:rPr>
        <w:t>帳面淨額</w:t>
      </w:r>
      <w:r w:rsidR="00224701">
        <w:rPr>
          <w:rFonts w:hint="eastAsia"/>
        </w:rPr>
        <w:t>達</w:t>
      </w:r>
      <w:r w:rsidR="00F81933" w:rsidRPr="00237CDE">
        <w:rPr>
          <w:rFonts w:hint="eastAsia"/>
        </w:rPr>
        <w:t>31.6</w:t>
      </w:r>
      <w:r w:rsidR="006E2DFA">
        <w:rPr>
          <w:rFonts w:hint="eastAsia"/>
        </w:rPr>
        <w:t>2</w:t>
      </w:r>
      <w:r w:rsidR="00F81933" w:rsidRPr="00237CDE">
        <w:rPr>
          <w:rFonts w:hint="eastAsia"/>
        </w:rPr>
        <w:t>億元，</w:t>
      </w:r>
      <w:r w:rsidR="00B44CD2">
        <w:rPr>
          <w:rFonts w:hint="eastAsia"/>
        </w:rPr>
        <w:t>其中</w:t>
      </w:r>
      <w:r w:rsidR="00F81933" w:rsidRPr="00237CDE">
        <w:rPr>
          <w:rFonts w:hint="eastAsia"/>
        </w:rPr>
        <w:t>包含</w:t>
      </w:r>
      <w:r w:rsidR="00F81933" w:rsidRPr="00237CDE">
        <w:rPr>
          <w:rFonts w:hint="eastAsia"/>
          <w:lang w:eastAsia="zh-HK"/>
        </w:rPr>
        <w:t>中聯信託持有台北金融(101)大樓公司之股權</w:t>
      </w:r>
      <w:r w:rsidR="00F81933" w:rsidRPr="00237CDE">
        <w:rPr>
          <w:lang w:eastAsia="zh-HK"/>
        </w:rPr>
        <w:t>22</w:t>
      </w:r>
      <w:r w:rsidR="00F81933" w:rsidRPr="00237CDE">
        <w:rPr>
          <w:rFonts w:hint="eastAsia"/>
        </w:rPr>
        <w:t>.22</w:t>
      </w:r>
      <w:r w:rsidR="00F81933" w:rsidRPr="00237CDE">
        <w:rPr>
          <w:rFonts w:hint="eastAsia"/>
          <w:lang w:eastAsia="zh-HK"/>
        </w:rPr>
        <w:t>億元</w:t>
      </w:r>
      <w:r w:rsidR="00F81933" w:rsidRPr="00237CDE">
        <w:rPr>
          <w:rStyle w:val="af1"/>
          <w:lang w:eastAsia="zh-HK"/>
        </w:rPr>
        <w:footnoteReference w:id="6"/>
      </w:r>
      <w:r w:rsidR="00F81933" w:rsidRPr="00237CDE">
        <w:rPr>
          <w:rFonts w:hint="eastAsia"/>
        </w:rPr>
        <w:t>及4件</w:t>
      </w:r>
      <w:r w:rsidR="008C726E" w:rsidRPr="0069670F">
        <w:rPr>
          <w:rFonts w:hint="eastAsia"/>
        </w:rPr>
        <w:t>慶豐銀行</w:t>
      </w:r>
      <w:r w:rsidR="00F81933" w:rsidRPr="00237CDE">
        <w:rPr>
          <w:rFonts w:hint="eastAsia"/>
        </w:rPr>
        <w:t>不動產9.4億元(詳表1)。</w:t>
      </w:r>
      <w:r w:rsidR="008C726E">
        <w:rPr>
          <w:rFonts w:hint="eastAsia"/>
        </w:rPr>
        <w:t>有關</w:t>
      </w:r>
      <w:r w:rsidR="00F81933" w:rsidRPr="00237CDE">
        <w:rPr>
          <w:rFonts w:hint="eastAsia"/>
          <w:lang w:eastAsia="zh-HK"/>
        </w:rPr>
        <w:t>台北金融(101)大樓</w:t>
      </w:r>
      <w:r w:rsidR="00F81933" w:rsidRPr="00237CDE">
        <w:rPr>
          <w:rFonts w:hint="eastAsia"/>
        </w:rPr>
        <w:t>公司之</w:t>
      </w:r>
      <w:r w:rsidR="008C726E">
        <w:rPr>
          <w:rFonts w:hint="eastAsia"/>
        </w:rPr>
        <w:t>股權，存保公司考量先前</w:t>
      </w:r>
      <w:r w:rsidR="00F81933" w:rsidRPr="00237CDE">
        <w:rPr>
          <w:rFonts w:hint="eastAsia"/>
        </w:rPr>
        <w:t>因</w:t>
      </w:r>
      <w:r w:rsidR="008C726E">
        <w:rPr>
          <w:rFonts w:hint="eastAsia"/>
        </w:rPr>
        <w:t>C</w:t>
      </w:r>
      <w:r w:rsidR="008C726E">
        <w:t>ovid-19</w:t>
      </w:r>
      <w:r w:rsidR="00F81933" w:rsidRPr="00237CDE">
        <w:rPr>
          <w:rFonts w:hint="eastAsia"/>
        </w:rPr>
        <w:t>疫情衝擊導致獲利大幅下滑，恐非股權處分之適當時機，惟近來疫情已趨緩，</w:t>
      </w:r>
      <w:r w:rsidR="00F81933">
        <w:rPr>
          <w:rFonts w:hint="eastAsia"/>
        </w:rPr>
        <w:t>或</w:t>
      </w:r>
      <w:r w:rsidR="00F81933" w:rsidRPr="00237CDE">
        <w:rPr>
          <w:rFonts w:hint="eastAsia"/>
        </w:rPr>
        <w:t>可視財務及營運狀況適時啟動股權處分事宜；另4件</w:t>
      </w:r>
      <w:r w:rsidR="00C2631E" w:rsidRPr="0069670F">
        <w:rPr>
          <w:rFonts w:hint="eastAsia"/>
        </w:rPr>
        <w:t>慶豐銀行</w:t>
      </w:r>
      <w:r w:rsidR="00F81933" w:rsidRPr="00237CDE">
        <w:rPr>
          <w:rFonts w:hint="eastAsia"/>
        </w:rPr>
        <w:t>不動產</w:t>
      </w:r>
      <w:r w:rsidR="003B247C">
        <w:rPr>
          <w:rFonts w:hint="eastAsia"/>
        </w:rPr>
        <w:t>於112年度分別委託2家顧問公司共辦理4次</w:t>
      </w:r>
      <w:r w:rsidR="00972D84">
        <w:rPr>
          <w:rFonts w:hint="eastAsia"/>
        </w:rPr>
        <w:t>公開</w:t>
      </w:r>
      <w:r w:rsidR="003B247C">
        <w:rPr>
          <w:rFonts w:hint="eastAsia"/>
        </w:rPr>
        <w:t>標售作業</w:t>
      </w:r>
      <w:r w:rsidR="00224701">
        <w:rPr>
          <w:rStyle w:val="af1"/>
        </w:rPr>
        <w:footnoteReference w:id="7"/>
      </w:r>
      <w:r w:rsidR="003B247C">
        <w:rPr>
          <w:rFonts w:hint="eastAsia"/>
        </w:rPr>
        <w:t>，</w:t>
      </w:r>
      <w:r w:rsidR="00C2631E">
        <w:rPr>
          <w:rFonts w:hint="eastAsia"/>
        </w:rPr>
        <w:t>均因無人投標而</w:t>
      </w:r>
      <w:r w:rsidR="00B717C6">
        <w:rPr>
          <w:rFonts w:hint="eastAsia"/>
        </w:rPr>
        <w:t>流標</w:t>
      </w:r>
      <w:r w:rsidR="0055512D" w:rsidRPr="00663596">
        <w:rPr>
          <w:rFonts w:hAnsi="標楷體"/>
        </w:rPr>
        <w:t>，</w:t>
      </w:r>
      <w:r w:rsidR="003B247C">
        <w:rPr>
          <w:rFonts w:hAnsi="標楷體" w:hint="eastAsia"/>
        </w:rPr>
        <w:t>其中1</w:t>
      </w:r>
      <w:r w:rsidR="00972D84">
        <w:rPr>
          <w:rFonts w:hAnsi="標楷體" w:hint="eastAsia"/>
        </w:rPr>
        <w:t>件雖賡</w:t>
      </w:r>
      <w:r w:rsidR="003B247C">
        <w:rPr>
          <w:rFonts w:hAnsi="標楷體" w:hint="eastAsia"/>
        </w:rPr>
        <w:t>續</w:t>
      </w:r>
      <w:r w:rsidR="0055512D" w:rsidRPr="00663596">
        <w:rPr>
          <w:rFonts w:hAnsi="標楷體" w:hint="eastAsia"/>
        </w:rPr>
        <w:t>於</w:t>
      </w:r>
      <w:r w:rsidR="00B717C6">
        <w:rPr>
          <w:rFonts w:hAnsi="標楷體" w:hint="eastAsia"/>
        </w:rPr>
        <w:t>該</w:t>
      </w:r>
      <w:r w:rsidR="0055512D" w:rsidRPr="00663596">
        <w:rPr>
          <w:rFonts w:hAnsi="標楷體" w:hint="eastAsia"/>
        </w:rPr>
        <w:t>公司網站自行辦理公告出售</w:t>
      </w:r>
      <w:r w:rsidR="00F81933" w:rsidRPr="00237CDE">
        <w:rPr>
          <w:rFonts w:hint="eastAsia"/>
        </w:rPr>
        <w:t>，</w:t>
      </w:r>
      <w:r w:rsidR="00224701">
        <w:rPr>
          <w:rFonts w:hint="eastAsia"/>
        </w:rPr>
        <w:t>惟</w:t>
      </w:r>
      <w:r w:rsidR="003B247C">
        <w:rPr>
          <w:rFonts w:hint="eastAsia"/>
        </w:rPr>
        <w:t>迄112年底亦未能售出，</w:t>
      </w:r>
      <w:r w:rsidR="00F81933" w:rsidRPr="00237CDE">
        <w:rPr>
          <w:rFonts w:hint="eastAsia"/>
        </w:rPr>
        <w:t>尚須持續謀求</w:t>
      </w:r>
      <w:r w:rsidR="00F81933" w:rsidRPr="00237CDE">
        <w:t>有效</w:t>
      </w:r>
      <w:r w:rsidR="00F81933" w:rsidRPr="00237CDE">
        <w:rPr>
          <w:rFonts w:hint="eastAsia"/>
        </w:rPr>
        <w:t>之</w:t>
      </w:r>
      <w:r w:rsidR="00F81933" w:rsidRPr="00237CDE">
        <w:t>清理方案</w:t>
      </w:r>
      <w:r w:rsidR="00D23E4B">
        <w:rPr>
          <w:rFonts w:hint="eastAsia"/>
        </w:rPr>
        <w:t>，</w:t>
      </w:r>
      <w:r w:rsidR="00D23E4B" w:rsidRPr="00D23E4B">
        <w:rPr>
          <w:rFonts w:hint="eastAsia"/>
        </w:rPr>
        <w:t>以加速回收分攤之賠付款</w:t>
      </w:r>
      <w:r w:rsidR="00F81933" w:rsidRPr="00237CDE">
        <w:rPr>
          <w:rFonts w:hint="eastAsia"/>
        </w:rPr>
        <w:t>。</w:t>
      </w:r>
    </w:p>
    <w:p w:rsidR="00F81933" w:rsidRPr="00237CDE" w:rsidRDefault="00F81933" w:rsidP="00F81933">
      <w:pPr>
        <w:ind w:left="566" w:firstLine="566"/>
        <w:rPr>
          <w:rFonts w:hint="eastAsia"/>
        </w:rPr>
      </w:pPr>
      <w:r w:rsidRPr="00237CDE">
        <w:rPr>
          <w:rFonts w:hint="eastAsia"/>
          <w:lang w:eastAsia="zh-HK"/>
        </w:rPr>
        <w:t>綜上，金融重建基金於100年底屆期結束後，</w:t>
      </w:r>
      <w:r w:rsidR="00C2631E">
        <w:rPr>
          <w:rFonts w:hint="eastAsia"/>
          <w:lang w:eastAsia="zh-HK"/>
        </w:rPr>
        <w:t>由</w:t>
      </w:r>
      <w:r w:rsidRPr="00237CDE">
        <w:rPr>
          <w:rFonts w:hint="eastAsia"/>
          <w:lang w:eastAsia="zh-HK"/>
        </w:rPr>
        <w:t>存保公司</w:t>
      </w:r>
      <w:r w:rsidR="00C2631E">
        <w:rPr>
          <w:rFonts w:hint="eastAsia"/>
          <w:lang w:eastAsia="zh-HK"/>
        </w:rPr>
        <w:t>擔任</w:t>
      </w:r>
      <w:r w:rsidRPr="00237CDE">
        <w:rPr>
          <w:rFonts w:hint="eastAsia"/>
          <w:lang w:eastAsia="zh-HK"/>
        </w:rPr>
        <w:t>接管人或清理人</w:t>
      </w:r>
      <w:r w:rsidR="00C2631E">
        <w:rPr>
          <w:rFonts w:hint="eastAsia"/>
          <w:lang w:eastAsia="zh-HK"/>
        </w:rPr>
        <w:t>，接續</w:t>
      </w:r>
      <w:r w:rsidRPr="00237CDE">
        <w:rPr>
          <w:rFonts w:hint="eastAsia"/>
          <w:lang w:eastAsia="zh-HK"/>
        </w:rPr>
        <w:t>處理經營不善金融機構之保留資產及其他未結事項，惟</w:t>
      </w:r>
      <w:r w:rsidR="00254238">
        <w:rPr>
          <w:rFonts w:hint="eastAsia"/>
        </w:rPr>
        <w:t>歷經10餘年，</w:t>
      </w:r>
      <w:r w:rsidRPr="00237CDE">
        <w:rPr>
          <w:rFonts w:hint="eastAsia"/>
          <w:lang w:eastAsia="zh-HK"/>
        </w:rPr>
        <w:t>迄至1</w:t>
      </w:r>
      <w:r w:rsidRPr="00237CDE">
        <w:rPr>
          <w:rFonts w:hint="eastAsia"/>
        </w:rPr>
        <w:t>12</w:t>
      </w:r>
      <w:r w:rsidRPr="00237CDE">
        <w:rPr>
          <w:rFonts w:hint="eastAsia"/>
          <w:lang w:eastAsia="zh-HK"/>
        </w:rPr>
        <w:t>年底仍有高達</w:t>
      </w:r>
      <w:r w:rsidRPr="00237CDE">
        <w:rPr>
          <w:rFonts w:hint="eastAsia"/>
        </w:rPr>
        <w:t>31.6</w:t>
      </w:r>
      <w:r w:rsidR="00C2631E">
        <w:rPr>
          <w:rFonts w:hint="eastAsia"/>
        </w:rPr>
        <w:t>2</w:t>
      </w:r>
      <w:r w:rsidRPr="00237CDE">
        <w:rPr>
          <w:rFonts w:hint="eastAsia"/>
        </w:rPr>
        <w:t>億元</w:t>
      </w:r>
      <w:r w:rsidRPr="00237CDE">
        <w:rPr>
          <w:rFonts w:hint="eastAsia"/>
          <w:lang w:eastAsia="zh-HK"/>
        </w:rPr>
        <w:t>之保留資產待處理，</w:t>
      </w:r>
      <w:r w:rsidR="00293A15">
        <w:rPr>
          <w:rFonts w:hint="eastAsia"/>
          <w:lang w:eastAsia="zh-HK"/>
        </w:rPr>
        <w:t>其中關於</w:t>
      </w:r>
      <w:r w:rsidRPr="00237CDE">
        <w:rPr>
          <w:rFonts w:hint="eastAsia"/>
          <w:lang w:eastAsia="zh-HK"/>
        </w:rPr>
        <w:t>中聯信託持有台北金融(101)大樓股權部分，</w:t>
      </w:r>
      <w:r w:rsidRPr="00237CDE">
        <w:rPr>
          <w:rFonts w:hint="eastAsia"/>
        </w:rPr>
        <w:t>考量近期疫情趨緩，</w:t>
      </w:r>
      <w:r>
        <w:rPr>
          <w:rFonts w:hint="eastAsia"/>
        </w:rPr>
        <w:t>或可視財務及營運狀況，</w:t>
      </w:r>
      <w:r w:rsidR="00254238">
        <w:rPr>
          <w:rFonts w:hint="eastAsia"/>
        </w:rPr>
        <w:t>等待適當時機</w:t>
      </w:r>
      <w:r>
        <w:rPr>
          <w:rFonts w:hint="eastAsia"/>
        </w:rPr>
        <w:t>啟動</w:t>
      </w:r>
      <w:r w:rsidRPr="00237CDE">
        <w:rPr>
          <w:rFonts w:hint="eastAsia"/>
        </w:rPr>
        <w:t>股權處分事宜</w:t>
      </w:r>
      <w:r w:rsidRPr="00237CDE">
        <w:rPr>
          <w:rFonts w:hint="eastAsia"/>
          <w:lang w:eastAsia="zh-HK"/>
        </w:rPr>
        <w:t>，</w:t>
      </w:r>
      <w:r w:rsidR="00293A15">
        <w:rPr>
          <w:rFonts w:hint="eastAsia"/>
        </w:rPr>
        <w:t>另關於慶豐銀行不動產部分，允宜</w:t>
      </w:r>
      <w:r w:rsidRPr="00237CDE">
        <w:rPr>
          <w:rFonts w:hint="eastAsia"/>
        </w:rPr>
        <w:t>積極研謀解決標(出)售</w:t>
      </w:r>
      <w:r w:rsidR="00293A15">
        <w:rPr>
          <w:rFonts w:hint="eastAsia"/>
        </w:rPr>
        <w:t>不易</w:t>
      </w:r>
      <w:r w:rsidRPr="00237CDE">
        <w:rPr>
          <w:rFonts w:hint="eastAsia"/>
        </w:rPr>
        <w:t>之困境，</w:t>
      </w:r>
      <w:r w:rsidRPr="00237CDE">
        <w:rPr>
          <w:rFonts w:hint="eastAsia"/>
          <w:lang w:eastAsia="zh-HK"/>
        </w:rPr>
        <w:t>以維護</w:t>
      </w:r>
      <w:r w:rsidR="00D23E4B">
        <w:rPr>
          <w:rFonts w:hint="eastAsia"/>
          <w:lang w:eastAsia="zh-HK"/>
        </w:rPr>
        <w:t>公司</w:t>
      </w:r>
      <w:r w:rsidRPr="00237CDE">
        <w:rPr>
          <w:rFonts w:hint="eastAsia"/>
          <w:lang w:eastAsia="zh-HK"/>
        </w:rPr>
        <w:t>權益。</w:t>
      </w:r>
    </w:p>
    <w:bookmarkEnd w:id="2"/>
    <w:bookmarkEnd w:id="3"/>
    <w:p w:rsidR="007015A1" w:rsidRDefault="008613EE" w:rsidP="00BF3765">
      <w:pPr>
        <w:suppressAutoHyphens/>
        <w:wordWrap w:val="0"/>
        <w:autoSpaceDN w:val="0"/>
        <w:ind w:leftChars="0" w:left="560" w:firstLineChars="0" w:firstLine="560"/>
        <w:jc w:val="right"/>
        <w:textAlignment w:val="baseline"/>
      </w:pPr>
      <w:r>
        <w:rPr>
          <w:rFonts w:hAnsi="標楷體" w:hint="eastAsia"/>
          <w:snapToGrid/>
          <w:kern w:val="3"/>
          <w:sz w:val="24"/>
        </w:rPr>
        <w:t>(</w:t>
      </w:r>
      <w:r w:rsidR="00B93EF8" w:rsidRPr="00B93EF8">
        <w:rPr>
          <w:rFonts w:hAnsi="標楷體"/>
          <w:snapToGrid/>
          <w:kern w:val="3"/>
          <w:sz w:val="24"/>
        </w:rPr>
        <w:t>分機：</w:t>
      </w:r>
      <w:r w:rsidR="000B63B4">
        <w:rPr>
          <w:rFonts w:hAnsi="標楷體" w:hint="eastAsia"/>
          <w:snapToGrid/>
          <w:kern w:val="3"/>
          <w:sz w:val="24"/>
        </w:rPr>
        <w:t>19</w:t>
      </w:r>
      <w:r w:rsidR="00336EC2">
        <w:rPr>
          <w:rFonts w:hAnsi="標楷體" w:hint="eastAsia"/>
          <w:snapToGrid/>
          <w:kern w:val="3"/>
          <w:sz w:val="24"/>
        </w:rPr>
        <w:t>34</w:t>
      </w:r>
      <w:r w:rsidR="001A225D">
        <w:rPr>
          <w:rFonts w:hAnsi="標楷體" w:hint="eastAsia"/>
          <w:snapToGrid/>
          <w:kern w:val="3"/>
          <w:sz w:val="24"/>
        </w:rPr>
        <w:t xml:space="preserve"> </w:t>
      </w:r>
      <w:r w:rsidR="000B63B4">
        <w:rPr>
          <w:rFonts w:hAnsi="標楷體" w:hint="eastAsia"/>
          <w:snapToGrid/>
          <w:kern w:val="3"/>
          <w:sz w:val="24"/>
        </w:rPr>
        <w:t>劉宜姈</w:t>
      </w:r>
      <w:r>
        <w:rPr>
          <w:rFonts w:hAnsi="標楷體" w:hint="eastAsia"/>
          <w:snapToGrid/>
          <w:kern w:val="3"/>
          <w:sz w:val="24"/>
        </w:rPr>
        <w:t>)</w:t>
      </w:r>
    </w:p>
    <w:sectPr w:rsidR="007015A1" w:rsidSect="002D5480">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3472" w:rsidRDefault="00103472" w:rsidP="009402BF">
      <w:pPr>
        <w:spacing w:line="240" w:lineRule="auto"/>
        <w:ind w:left="560" w:firstLine="560"/>
      </w:pPr>
      <w:r>
        <w:separator/>
      </w:r>
    </w:p>
  </w:endnote>
  <w:endnote w:type="continuationSeparator" w:id="0">
    <w:p w:rsidR="00103472" w:rsidRDefault="00103472" w:rsidP="009402B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細明體_HKSCS">
    <w:panose1 w:val="02020500000000000000"/>
    <w:charset w:val="88"/>
    <w:family w:val="roman"/>
    <w:pitch w:val="variable"/>
    <w:sig w:usb0="A00002FF" w:usb1="28CFFCFA" w:usb2="00000016" w:usb3="00000000" w:csb0="00100001" w:csb1="00000000"/>
  </w:font>
  <w:font w:name="華康細明體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8"/>
      <w:jc w:val="center"/>
    </w:pPr>
    <w:r>
      <w:rPr>
        <w:rFonts w:ascii="標楷體" w:eastAsia="標楷體" w:hAnsi="標楷體"/>
        <w:sz w:val="20"/>
        <w:szCs w:val="20"/>
        <w:lang w:val="zh-TW"/>
      </w:rPr>
      <w:fldChar w:fldCharType="begin"/>
    </w:r>
    <w:r>
      <w:rPr>
        <w:rFonts w:ascii="標楷體" w:eastAsia="標楷體" w:hAnsi="標楷體"/>
        <w:sz w:val="20"/>
        <w:szCs w:val="20"/>
        <w:lang w:val="zh-TW"/>
      </w:rPr>
      <w:instrText xml:space="preserve"> PAGE </w:instrText>
    </w:r>
    <w:r>
      <w:rPr>
        <w:rFonts w:ascii="標楷體" w:eastAsia="標楷體" w:hAnsi="標楷體"/>
        <w:sz w:val="20"/>
        <w:szCs w:val="20"/>
        <w:lang w:val="zh-TW"/>
      </w:rPr>
      <w:fldChar w:fldCharType="separate"/>
    </w:r>
    <w:r w:rsidR="002E70A0">
      <w:rPr>
        <w:rFonts w:ascii="標楷體" w:eastAsia="標楷體" w:hAnsi="標楷體"/>
        <w:noProof/>
        <w:sz w:val="20"/>
        <w:szCs w:val="20"/>
        <w:lang w:val="zh-TW"/>
      </w:rPr>
      <w:t>1</w:t>
    </w:r>
    <w:r>
      <w:rPr>
        <w:rFonts w:ascii="標楷體" w:eastAsia="標楷體" w:hAnsi="標楷體"/>
        <w:sz w:val="20"/>
        <w:szCs w:val="20"/>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3472" w:rsidRDefault="00103472" w:rsidP="009402BF">
      <w:pPr>
        <w:spacing w:line="240" w:lineRule="auto"/>
        <w:ind w:left="560" w:firstLine="560"/>
      </w:pPr>
      <w:r>
        <w:separator/>
      </w:r>
    </w:p>
  </w:footnote>
  <w:footnote w:type="continuationSeparator" w:id="0">
    <w:p w:rsidR="00103472" w:rsidRDefault="00103472" w:rsidP="009402BF">
      <w:pPr>
        <w:spacing w:line="240" w:lineRule="auto"/>
        <w:ind w:left="560" w:firstLine="560"/>
      </w:pPr>
      <w:r>
        <w:continuationSeparator/>
      </w:r>
    </w:p>
  </w:footnote>
  <w:footnote w:id="1">
    <w:p w:rsidR="00F51EB2" w:rsidRPr="009725FB" w:rsidRDefault="00F51EB2" w:rsidP="00102B60">
      <w:pPr>
        <w:pStyle w:val="142"/>
        <w:ind w:left="170" w:hangingChars="70" w:hanging="170"/>
        <w:jc w:val="both"/>
        <w:rPr>
          <w:rFonts w:hint="eastAsia"/>
        </w:rPr>
      </w:pPr>
      <w:r w:rsidRPr="009725FB">
        <w:rPr>
          <w:rStyle w:val="af1"/>
        </w:rPr>
        <w:footnoteRef/>
      </w:r>
      <w:r w:rsidRPr="009725FB">
        <w:t xml:space="preserve"> </w:t>
      </w:r>
      <w:r w:rsidRPr="009725FB">
        <w:rPr>
          <w:rFonts w:hint="eastAsia"/>
        </w:rPr>
        <w:t>存款保險條例第5條規定：「存保公司每年度收入總額減除各項成本費用及損失後之餘額，應全數提存保險賠款特別準備金。」由於該公司盈餘無列數，故其營收之策略目標係持續累積</w:t>
      </w:r>
      <w:r w:rsidR="000C6F93">
        <w:rPr>
          <w:rFonts w:hint="eastAsia"/>
        </w:rPr>
        <w:t>該</w:t>
      </w:r>
      <w:r w:rsidRPr="009725FB">
        <w:rPr>
          <w:rFonts w:hint="eastAsia"/>
        </w:rPr>
        <w:t>準備金。</w:t>
      </w:r>
    </w:p>
  </w:footnote>
  <w:footnote w:id="2">
    <w:p w:rsidR="00AC285E" w:rsidRPr="00AC285E" w:rsidRDefault="00AC285E" w:rsidP="00102B60">
      <w:pPr>
        <w:pStyle w:val="142"/>
        <w:ind w:left="170" w:hangingChars="70" w:hanging="170"/>
        <w:rPr>
          <w:rFonts w:hint="eastAsia"/>
        </w:rPr>
      </w:pPr>
      <w:r>
        <w:rPr>
          <w:rStyle w:val="af1"/>
        </w:rPr>
        <w:footnoteRef/>
      </w:r>
      <w:r>
        <w:t xml:space="preserve"> </w:t>
      </w:r>
      <w:r w:rsidRPr="00AC285E">
        <w:rPr>
          <w:rFonts w:hint="eastAsia"/>
        </w:rPr>
        <w:t>「附屬單位預算共同項目編列作業規範」第壹、甲、二點之規定</w:t>
      </w:r>
      <w:r w:rsidR="00102B60">
        <w:rPr>
          <w:rFonts w:hint="eastAsia"/>
        </w:rPr>
        <w:t>：「</w:t>
      </w:r>
      <w:r w:rsidRPr="00AC285E">
        <w:rPr>
          <w:rFonts w:hint="eastAsia"/>
        </w:rPr>
        <w:t>營業收入之產銷營運量應依據盈餘(或虧損改善)目標，並參酌過去實績、市場趨勢、擴充設備能量、提高設備利用率與人員效率等因素，縝密編列。</w:t>
      </w:r>
      <w:r w:rsidR="00102B60">
        <w:rPr>
          <w:rFonts w:hint="eastAsia"/>
        </w:rPr>
        <w:t>…」</w:t>
      </w:r>
    </w:p>
  </w:footnote>
  <w:footnote w:id="3">
    <w:p w:rsidR="00BD1AF8" w:rsidRPr="00BD1AF8" w:rsidRDefault="00BD1AF8" w:rsidP="00735B1F">
      <w:pPr>
        <w:pStyle w:val="142"/>
        <w:ind w:left="170" w:hangingChars="70" w:hanging="170"/>
        <w:jc w:val="both"/>
      </w:pPr>
      <w:r>
        <w:rPr>
          <w:rStyle w:val="af1"/>
        </w:rPr>
        <w:footnoteRef/>
      </w:r>
      <w:r>
        <w:t xml:space="preserve"> </w:t>
      </w:r>
      <w:r>
        <w:rPr>
          <w:rFonts w:hint="eastAsia"/>
        </w:rPr>
        <w:t>依據存保公司</w:t>
      </w:r>
      <w:r w:rsidR="00F02F6A">
        <w:rPr>
          <w:rFonts w:hint="eastAsia"/>
        </w:rPr>
        <w:t>2023</w:t>
      </w:r>
      <w:r>
        <w:rPr>
          <w:rFonts w:hint="eastAsia"/>
        </w:rPr>
        <w:t>永續發展報告書所載，2024年目標為：</w:t>
      </w:r>
      <w:r w:rsidRPr="00FB30BF">
        <w:rPr>
          <w:rFonts w:hint="eastAsia"/>
        </w:rPr>
        <w:t>年底永續投資餘額不低於上一年底餘額</w:t>
      </w:r>
      <w:r>
        <w:rPr>
          <w:rFonts w:hint="eastAsia"/>
        </w:rPr>
        <w:t>。</w:t>
      </w:r>
    </w:p>
  </w:footnote>
  <w:footnote w:id="4">
    <w:p w:rsidR="00961404" w:rsidRPr="00E35C40" w:rsidRDefault="00961404" w:rsidP="00224701">
      <w:pPr>
        <w:pStyle w:val="142"/>
        <w:ind w:left="170" w:hangingChars="70" w:hanging="170"/>
        <w:jc w:val="both"/>
        <w:rPr>
          <w:rFonts w:hint="eastAsia"/>
        </w:rPr>
      </w:pPr>
      <w:r>
        <w:rPr>
          <w:rStyle w:val="af1"/>
        </w:rPr>
        <w:footnoteRef/>
      </w:r>
      <w:r>
        <w:t xml:space="preserve"> </w:t>
      </w:r>
      <w:r w:rsidRPr="00237CDE">
        <w:rPr>
          <w:rFonts w:hAnsi="標楷體" w:hint="eastAsia"/>
          <w:lang w:eastAsia="zh-HK"/>
        </w:rPr>
        <w:t>「</w:t>
      </w:r>
      <w:r w:rsidRPr="00237CDE">
        <w:rPr>
          <w:rFonts w:hint="eastAsia"/>
          <w:lang w:eastAsia="zh-HK"/>
        </w:rPr>
        <w:t>行政院金融重建基金設置及管理條例</w:t>
      </w:r>
      <w:r w:rsidRPr="00237CDE">
        <w:rPr>
          <w:rFonts w:hAnsi="標楷體" w:hint="eastAsia"/>
          <w:lang w:eastAsia="zh-HK"/>
        </w:rPr>
        <w:t>」</w:t>
      </w:r>
      <w:r w:rsidRPr="00237CDE">
        <w:rPr>
          <w:rFonts w:hint="eastAsia"/>
          <w:lang w:eastAsia="zh-HK"/>
        </w:rPr>
        <w:t>第15條</w:t>
      </w:r>
      <w:r>
        <w:rPr>
          <w:rFonts w:hint="eastAsia"/>
          <w:lang w:eastAsia="zh-HK"/>
        </w:rPr>
        <w:t>規定：「</w:t>
      </w:r>
      <w:r>
        <w:rPr>
          <w:rFonts w:hint="eastAsia"/>
        </w:rPr>
        <w:t>…</w:t>
      </w:r>
      <w:r w:rsidRPr="00E35C40">
        <w:rPr>
          <w:rFonts w:hint="eastAsia"/>
        </w:rPr>
        <w:t>本基金於第三條第一項第一款、第二款之稅款及保險費停止列入時，應予結束。本基金結束時，依第三條第一項第一款及第二款規定列入本基金財源之稅款及保險費收入，於償付本基金因處理經營不善金融機構所產生負債之本金、利息及費用後，其餘資產與負債，由國庫概括承受。</w:t>
      </w:r>
      <w:r>
        <w:rPr>
          <w:rFonts w:hint="eastAsia"/>
        </w:rPr>
        <w:t>」</w:t>
      </w:r>
    </w:p>
  </w:footnote>
  <w:footnote w:id="5">
    <w:p w:rsidR="00444520" w:rsidRPr="00444520" w:rsidRDefault="00444520" w:rsidP="00444520">
      <w:pPr>
        <w:pStyle w:val="142"/>
        <w:ind w:left="170" w:hangingChars="70" w:hanging="170"/>
        <w:rPr>
          <w:rFonts w:hint="eastAsia"/>
        </w:rPr>
      </w:pPr>
      <w:r>
        <w:rPr>
          <w:rStyle w:val="af1"/>
        </w:rPr>
        <w:footnoteRef/>
      </w:r>
      <w:r>
        <w:t xml:space="preserve"> </w:t>
      </w:r>
      <w:r>
        <w:rPr>
          <w:rFonts w:hint="eastAsia"/>
        </w:rPr>
        <w:t>依據行</w:t>
      </w:r>
      <w:r w:rsidRPr="00444520">
        <w:rPr>
          <w:rFonts w:hint="eastAsia"/>
        </w:rPr>
        <w:t>政院核定之「金融重建基金與存款保險準備金合併運用機制」，</w:t>
      </w:r>
      <w:r w:rsidR="00424978">
        <w:rPr>
          <w:rFonts w:hint="eastAsia"/>
        </w:rPr>
        <w:t>該</w:t>
      </w:r>
      <w:r w:rsidRPr="00444520">
        <w:rPr>
          <w:rFonts w:hint="eastAsia"/>
        </w:rPr>
        <w:t>準備金與金融重建基金共同分攤台東區中小企銀等</w:t>
      </w:r>
      <w:r>
        <w:rPr>
          <w:rFonts w:hint="eastAsia"/>
        </w:rPr>
        <w:t>7</w:t>
      </w:r>
      <w:r w:rsidRPr="00444520">
        <w:rPr>
          <w:rFonts w:hint="eastAsia"/>
        </w:rPr>
        <w:t>家金融機構</w:t>
      </w:r>
      <w:r>
        <w:rPr>
          <w:rFonts w:hint="eastAsia"/>
        </w:rPr>
        <w:t>。</w:t>
      </w:r>
    </w:p>
  </w:footnote>
  <w:footnote w:id="6">
    <w:p w:rsidR="00F81933" w:rsidRPr="009725FB" w:rsidRDefault="00F81933" w:rsidP="00224701">
      <w:pPr>
        <w:pStyle w:val="142"/>
        <w:ind w:left="170" w:hangingChars="70" w:hanging="170"/>
        <w:jc w:val="both"/>
        <w:rPr>
          <w:rFonts w:hint="eastAsia"/>
        </w:rPr>
      </w:pPr>
      <w:r w:rsidRPr="009725FB">
        <w:rPr>
          <w:rStyle w:val="af1"/>
        </w:rPr>
        <w:footnoteRef/>
      </w:r>
      <w:r w:rsidRPr="009725FB">
        <w:t xml:space="preserve"> </w:t>
      </w:r>
      <w:r w:rsidRPr="009725FB">
        <w:rPr>
          <w:rFonts w:hint="eastAsia"/>
        </w:rPr>
        <w:t>存保公司補充說明，為加速回收賠付款，經報奉金管會同意推派2位監察人，持續督促該公司財、業務改善</w:t>
      </w:r>
      <w:r w:rsidR="00B44CD2">
        <w:rPr>
          <w:rFonts w:hint="eastAsia"/>
        </w:rPr>
        <w:t>；112年度共計獲配111年度現金股利約2.08億元及監察人酬勞約115萬元</w:t>
      </w:r>
      <w:r w:rsidRPr="009725FB">
        <w:rPr>
          <w:rFonts w:hint="eastAsia"/>
        </w:rPr>
        <w:t>。</w:t>
      </w:r>
    </w:p>
  </w:footnote>
  <w:footnote w:id="7">
    <w:p w:rsidR="00224701" w:rsidRDefault="00224701" w:rsidP="00224701">
      <w:pPr>
        <w:pStyle w:val="142"/>
        <w:ind w:left="170" w:hangingChars="70" w:hanging="170"/>
        <w:jc w:val="both"/>
        <w:rPr>
          <w:rFonts w:hint="eastAsia"/>
        </w:rPr>
      </w:pPr>
      <w:r>
        <w:rPr>
          <w:rStyle w:val="af1"/>
        </w:rPr>
        <w:footnoteRef/>
      </w:r>
      <w:r>
        <w:t xml:space="preserve"> </w:t>
      </w:r>
      <w:r>
        <w:rPr>
          <w:rFonts w:hint="eastAsia"/>
        </w:rPr>
        <w:t>臺北市仁愛路3段28號地下室等3件不動產，112年度辦理3次公開標售；另慶豐特區土地於112年度辦理1次公開標售。</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c"/>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E403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897676"/>
    <w:multiLevelType w:val="hybridMultilevel"/>
    <w:tmpl w:val="E508E48A"/>
    <w:lvl w:ilvl="0" w:tplc="407C293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12BB43F7"/>
    <w:multiLevelType w:val="hybridMultilevel"/>
    <w:tmpl w:val="D5EA1A74"/>
    <w:lvl w:ilvl="0" w:tplc="39E6BD1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3" w15:restartNumberingAfterBreak="0">
    <w:nsid w:val="2A00046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AFE1149"/>
    <w:multiLevelType w:val="hybridMultilevel"/>
    <w:tmpl w:val="D4045428"/>
    <w:lvl w:ilvl="0" w:tplc="9850B192">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BBE2A0E"/>
    <w:multiLevelType w:val="hybridMultilevel"/>
    <w:tmpl w:val="C9B6FC6E"/>
    <w:lvl w:ilvl="0" w:tplc="D098EC96">
      <w:start w:val="1"/>
      <w:numFmt w:val="decimal"/>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0D2736E"/>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A2E1B25"/>
    <w:multiLevelType w:val="hybridMultilevel"/>
    <w:tmpl w:val="335CACE4"/>
    <w:lvl w:ilvl="0" w:tplc="18E4638A">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8" w15:restartNumberingAfterBreak="0">
    <w:nsid w:val="78AD5F34"/>
    <w:multiLevelType w:val="hybridMultilevel"/>
    <w:tmpl w:val="A9B28312"/>
    <w:lvl w:ilvl="0" w:tplc="87868D2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num w:numId="1">
    <w:abstractNumId w:val="2"/>
  </w:num>
  <w:num w:numId="2">
    <w:abstractNumId w:val="4"/>
  </w:num>
  <w:num w:numId="3">
    <w:abstractNumId w:val="8"/>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6"/>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1957"/>
    <w:rsid w:val="00001F3F"/>
    <w:rsid w:val="00001FBA"/>
    <w:rsid w:val="000058A1"/>
    <w:rsid w:val="00007FF6"/>
    <w:rsid w:val="00010D4A"/>
    <w:rsid w:val="00010E9D"/>
    <w:rsid w:val="000115BC"/>
    <w:rsid w:val="00011792"/>
    <w:rsid w:val="0001292C"/>
    <w:rsid w:val="00013E9E"/>
    <w:rsid w:val="00014A6F"/>
    <w:rsid w:val="00017771"/>
    <w:rsid w:val="00021746"/>
    <w:rsid w:val="00023A5C"/>
    <w:rsid w:val="00025287"/>
    <w:rsid w:val="00025A19"/>
    <w:rsid w:val="00027631"/>
    <w:rsid w:val="0002785A"/>
    <w:rsid w:val="00031B03"/>
    <w:rsid w:val="00033113"/>
    <w:rsid w:val="00033EDF"/>
    <w:rsid w:val="000369A3"/>
    <w:rsid w:val="00036C2A"/>
    <w:rsid w:val="00040E33"/>
    <w:rsid w:val="000423A2"/>
    <w:rsid w:val="00046763"/>
    <w:rsid w:val="00051FB0"/>
    <w:rsid w:val="0005243D"/>
    <w:rsid w:val="00055B34"/>
    <w:rsid w:val="00060857"/>
    <w:rsid w:val="0006649B"/>
    <w:rsid w:val="00066A83"/>
    <w:rsid w:val="00066D54"/>
    <w:rsid w:val="00067DE2"/>
    <w:rsid w:val="0007155E"/>
    <w:rsid w:val="000723F3"/>
    <w:rsid w:val="00074636"/>
    <w:rsid w:val="00077ADA"/>
    <w:rsid w:val="0008034A"/>
    <w:rsid w:val="000817F2"/>
    <w:rsid w:val="0008271F"/>
    <w:rsid w:val="0008356E"/>
    <w:rsid w:val="00084B66"/>
    <w:rsid w:val="0009017C"/>
    <w:rsid w:val="00090977"/>
    <w:rsid w:val="00092469"/>
    <w:rsid w:val="00095788"/>
    <w:rsid w:val="0009659A"/>
    <w:rsid w:val="00096BBF"/>
    <w:rsid w:val="00097EC4"/>
    <w:rsid w:val="000A18EF"/>
    <w:rsid w:val="000A206F"/>
    <w:rsid w:val="000A29EF"/>
    <w:rsid w:val="000A34AC"/>
    <w:rsid w:val="000A6443"/>
    <w:rsid w:val="000A6DFE"/>
    <w:rsid w:val="000A77F4"/>
    <w:rsid w:val="000B0583"/>
    <w:rsid w:val="000B2DAE"/>
    <w:rsid w:val="000B63B4"/>
    <w:rsid w:val="000B7A4B"/>
    <w:rsid w:val="000C3A1F"/>
    <w:rsid w:val="000C551A"/>
    <w:rsid w:val="000C667A"/>
    <w:rsid w:val="000C6F93"/>
    <w:rsid w:val="000C73EF"/>
    <w:rsid w:val="000D2560"/>
    <w:rsid w:val="000D56EC"/>
    <w:rsid w:val="000D611A"/>
    <w:rsid w:val="000D7E7A"/>
    <w:rsid w:val="000E055E"/>
    <w:rsid w:val="000E082B"/>
    <w:rsid w:val="000E1F1A"/>
    <w:rsid w:val="000E3553"/>
    <w:rsid w:val="000E712B"/>
    <w:rsid w:val="000F1D44"/>
    <w:rsid w:val="000F43CF"/>
    <w:rsid w:val="000F4D40"/>
    <w:rsid w:val="000F5564"/>
    <w:rsid w:val="000F5C96"/>
    <w:rsid w:val="001009CF"/>
    <w:rsid w:val="00101CB2"/>
    <w:rsid w:val="00102B60"/>
    <w:rsid w:val="00103472"/>
    <w:rsid w:val="00104BF0"/>
    <w:rsid w:val="00106F7F"/>
    <w:rsid w:val="0010703E"/>
    <w:rsid w:val="00110329"/>
    <w:rsid w:val="001129FC"/>
    <w:rsid w:val="0011315E"/>
    <w:rsid w:val="0011515D"/>
    <w:rsid w:val="00117BF4"/>
    <w:rsid w:val="00117CCD"/>
    <w:rsid w:val="0012038A"/>
    <w:rsid w:val="00120914"/>
    <w:rsid w:val="00120C10"/>
    <w:rsid w:val="00121011"/>
    <w:rsid w:val="00121D07"/>
    <w:rsid w:val="00123406"/>
    <w:rsid w:val="00125C9B"/>
    <w:rsid w:val="0012728A"/>
    <w:rsid w:val="0013037C"/>
    <w:rsid w:val="001307AF"/>
    <w:rsid w:val="00131123"/>
    <w:rsid w:val="00133842"/>
    <w:rsid w:val="00133EC6"/>
    <w:rsid w:val="00135D0D"/>
    <w:rsid w:val="00136502"/>
    <w:rsid w:val="00141957"/>
    <w:rsid w:val="001419ED"/>
    <w:rsid w:val="001429DE"/>
    <w:rsid w:val="00143F52"/>
    <w:rsid w:val="001460B2"/>
    <w:rsid w:val="00146338"/>
    <w:rsid w:val="00146C32"/>
    <w:rsid w:val="00150BF2"/>
    <w:rsid w:val="001530D4"/>
    <w:rsid w:val="00153FCB"/>
    <w:rsid w:val="00157678"/>
    <w:rsid w:val="00157701"/>
    <w:rsid w:val="0016168C"/>
    <w:rsid w:val="001646DC"/>
    <w:rsid w:val="00166337"/>
    <w:rsid w:val="00166D12"/>
    <w:rsid w:val="00175E28"/>
    <w:rsid w:val="00181448"/>
    <w:rsid w:val="00182200"/>
    <w:rsid w:val="0018254B"/>
    <w:rsid w:val="00182C18"/>
    <w:rsid w:val="00183374"/>
    <w:rsid w:val="00183E6B"/>
    <w:rsid w:val="00184069"/>
    <w:rsid w:val="0018599F"/>
    <w:rsid w:val="00186B65"/>
    <w:rsid w:val="00186E8A"/>
    <w:rsid w:val="0018727F"/>
    <w:rsid w:val="00190AD6"/>
    <w:rsid w:val="00190FF1"/>
    <w:rsid w:val="00191BD4"/>
    <w:rsid w:val="00191D5E"/>
    <w:rsid w:val="001933B4"/>
    <w:rsid w:val="0019556F"/>
    <w:rsid w:val="001967DD"/>
    <w:rsid w:val="001A225D"/>
    <w:rsid w:val="001A2B04"/>
    <w:rsid w:val="001B0859"/>
    <w:rsid w:val="001B0C78"/>
    <w:rsid w:val="001B268B"/>
    <w:rsid w:val="001B26C4"/>
    <w:rsid w:val="001B381F"/>
    <w:rsid w:val="001B3E4C"/>
    <w:rsid w:val="001B45BA"/>
    <w:rsid w:val="001B4D9C"/>
    <w:rsid w:val="001B517A"/>
    <w:rsid w:val="001B70C6"/>
    <w:rsid w:val="001B7F03"/>
    <w:rsid w:val="001C25AD"/>
    <w:rsid w:val="001C5FCA"/>
    <w:rsid w:val="001C6AA4"/>
    <w:rsid w:val="001D0F3D"/>
    <w:rsid w:val="001D1103"/>
    <w:rsid w:val="001D25AC"/>
    <w:rsid w:val="001D38FF"/>
    <w:rsid w:val="001D4BCE"/>
    <w:rsid w:val="001D51B7"/>
    <w:rsid w:val="001E1A43"/>
    <w:rsid w:val="001E1BE1"/>
    <w:rsid w:val="001E2633"/>
    <w:rsid w:val="001E2C3B"/>
    <w:rsid w:val="001E3A60"/>
    <w:rsid w:val="001E551F"/>
    <w:rsid w:val="001E5D86"/>
    <w:rsid w:val="001F0EBB"/>
    <w:rsid w:val="001F383F"/>
    <w:rsid w:val="001F7A8B"/>
    <w:rsid w:val="001F7C7C"/>
    <w:rsid w:val="0020377B"/>
    <w:rsid w:val="00203F6E"/>
    <w:rsid w:val="00204003"/>
    <w:rsid w:val="002045AF"/>
    <w:rsid w:val="00204B15"/>
    <w:rsid w:val="00204B9F"/>
    <w:rsid w:val="0020780B"/>
    <w:rsid w:val="00212527"/>
    <w:rsid w:val="0021301D"/>
    <w:rsid w:val="00214453"/>
    <w:rsid w:val="002157DA"/>
    <w:rsid w:val="00217346"/>
    <w:rsid w:val="002206FC"/>
    <w:rsid w:val="00220977"/>
    <w:rsid w:val="00221DD7"/>
    <w:rsid w:val="00224701"/>
    <w:rsid w:val="00224E0E"/>
    <w:rsid w:val="00227B71"/>
    <w:rsid w:val="0023064E"/>
    <w:rsid w:val="0023087B"/>
    <w:rsid w:val="002338CA"/>
    <w:rsid w:val="00233A12"/>
    <w:rsid w:val="00236C8C"/>
    <w:rsid w:val="00237F80"/>
    <w:rsid w:val="00240A4C"/>
    <w:rsid w:val="0024248F"/>
    <w:rsid w:val="00252171"/>
    <w:rsid w:val="0025249A"/>
    <w:rsid w:val="0025292B"/>
    <w:rsid w:val="00252F26"/>
    <w:rsid w:val="0025369C"/>
    <w:rsid w:val="00254238"/>
    <w:rsid w:val="002548F6"/>
    <w:rsid w:val="00257FD2"/>
    <w:rsid w:val="00265D21"/>
    <w:rsid w:val="00267136"/>
    <w:rsid w:val="00271E53"/>
    <w:rsid w:val="0027317C"/>
    <w:rsid w:val="00273786"/>
    <w:rsid w:val="002737DC"/>
    <w:rsid w:val="00277C3A"/>
    <w:rsid w:val="0028121C"/>
    <w:rsid w:val="002851DD"/>
    <w:rsid w:val="00285235"/>
    <w:rsid w:val="0028672F"/>
    <w:rsid w:val="00286CC1"/>
    <w:rsid w:val="0028705F"/>
    <w:rsid w:val="00290743"/>
    <w:rsid w:val="00290CC6"/>
    <w:rsid w:val="00291953"/>
    <w:rsid w:val="00293A15"/>
    <w:rsid w:val="002947A1"/>
    <w:rsid w:val="00294845"/>
    <w:rsid w:val="00295148"/>
    <w:rsid w:val="00295B15"/>
    <w:rsid w:val="0029779C"/>
    <w:rsid w:val="00297D3A"/>
    <w:rsid w:val="002A08F6"/>
    <w:rsid w:val="002A0997"/>
    <w:rsid w:val="002A30E9"/>
    <w:rsid w:val="002A3212"/>
    <w:rsid w:val="002A3369"/>
    <w:rsid w:val="002A3525"/>
    <w:rsid w:val="002A4A97"/>
    <w:rsid w:val="002A4FD4"/>
    <w:rsid w:val="002A6B46"/>
    <w:rsid w:val="002A7E4F"/>
    <w:rsid w:val="002B4EC9"/>
    <w:rsid w:val="002B5A25"/>
    <w:rsid w:val="002C1CCE"/>
    <w:rsid w:val="002C501C"/>
    <w:rsid w:val="002C584D"/>
    <w:rsid w:val="002C65CC"/>
    <w:rsid w:val="002D1126"/>
    <w:rsid w:val="002D197C"/>
    <w:rsid w:val="002D5480"/>
    <w:rsid w:val="002D7304"/>
    <w:rsid w:val="002E0014"/>
    <w:rsid w:val="002E1FB9"/>
    <w:rsid w:val="002E1FF3"/>
    <w:rsid w:val="002E2719"/>
    <w:rsid w:val="002E3D48"/>
    <w:rsid w:val="002E4039"/>
    <w:rsid w:val="002E5009"/>
    <w:rsid w:val="002E6543"/>
    <w:rsid w:val="002E70A0"/>
    <w:rsid w:val="002F0873"/>
    <w:rsid w:val="002F1D99"/>
    <w:rsid w:val="002F1DED"/>
    <w:rsid w:val="002F6769"/>
    <w:rsid w:val="002F74EC"/>
    <w:rsid w:val="002F75F4"/>
    <w:rsid w:val="002F7EC2"/>
    <w:rsid w:val="00302D84"/>
    <w:rsid w:val="00305F85"/>
    <w:rsid w:val="00310763"/>
    <w:rsid w:val="003113F0"/>
    <w:rsid w:val="00311464"/>
    <w:rsid w:val="003137D4"/>
    <w:rsid w:val="003139E7"/>
    <w:rsid w:val="00314E98"/>
    <w:rsid w:val="00314F9D"/>
    <w:rsid w:val="00321D1C"/>
    <w:rsid w:val="00324EEC"/>
    <w:rsid w:val="003261F6"/>
    <w:rsid w:val="0033191B"/>
    <w:rsid w:val="00332DA9"/>
    <w:rsid w:val="0033328B"/>
    <w:rsid w:val="0033543B"/>
    <w:rsid w:val="00336EC2"/>
    <w:rsid w:val="0033714E"/>
    <w:rsid w:val="00337AC7"/>
    <w:rsid w:val="003416C2"/>
    <w:rsid w:val="00341708"/>
    <w:rsid w:val="0034283E"/>
    <w:rsid w:val="00344844"/>
    <w:rsid w:val="003471A4"/>
    <w:rsid w:val="00350B5E"/>
    <w:rsid w:val="00351B09"/>
    <w:rsid w:val="003538B7"/>
    <w:rsid w:val="00353E81"/>
    <w:rsid w:val="00354734"/>
    <w:rsid w:val="00362881"/>
    <w:rsid w:val="00363B3D"/>
    <w:rsid w:val="00364348"/>
    <w:rsid w:val="00365049"/>
    <w:rsid w:val="003659FF"/>
    <w:rsid w:val="0036663C"/>
    <w:rsid w:val="00370A77"/>
    <w:rsid w:val="003734A7"/>
    <w:rsid w:val="00373C13"/>
    <w:rsid w:val="00375642"/>
    <w:rsid w:val="00375C08"/>
    <w:rsid w:val="00376229"/>
    <w:rsid w:val="00380B7D"/>
    <w:rsid w:val="0038511A"/>
    <w:rsid w:val="00386E46"/>
    <w:rsid w:val="003872AB"/>
    <w:rsid w:val="00396E79"/>
    <w:rsid w:val="003A11E5"/>
    <w:rsid w:val="003A27B9"/>
    <w:rsid w:val="003A34EF"/>
    <w:rsid w:val="003A3974"/>
    <w:rsid w:val="003A52D4"/>
    <w:rsid w:val="003B062D"/>
    <w:rsid w:val="003B2019"/>
    <w:rsid w:val="003B247C"/>
    <w:rsid w:val="003B27EC"/>
    <w:rsid w:val="003B7D67"/>
    <w:rsid w:val="003C0F53"/>
    <w:rsid w:val="003D0A61"/>
    <w:rsid w:val="003D0B1F"/>
    <w:rsid w:val="003D0CE2"/>
    <w:rsid w:val="003D48BA"/>
    <w:rsid w:val="003D6CE2"/>
    <w:rsid w:val="003D7D16"/>
    <w:rsid w:val="003E0753"/>
    <w:rsid w:val="003E49F8"/>
    <w:rsid w:val="003E5222"/>
    <w:rsid w:val="003E55F4"/>
    <w:rsid w:val="003F2AB9"/>
    <w:rsid w:val="003F4A5B"/>
    <w:rsid w:val="003F64F0"/>
    <w:rsid w:val="003F7DB5"/>
    <w:rsid w:val="00400366"/>
    <w:rsid w:val="004017B8"/>
    <w:rsid w:val="0040364D"/>
    <w:rsid w:val="00403842"/>
    <w:rsid w:val="00404916"/>
    <w:rsid w:val="004125AA"/>
    <w:rsid w:val="00412EF2"/>
    <w:rsid w:val="004203A3"/>
    <w:rsid w:val="00420D0D"/>
    <w:rsid w:val="00421258"/>
    <w:rsid w:val="00424978"/>
    <w:rsid w:val="004310B5"/>
    <w:rsid w:val="00431866"/>
    <w:rsid w:val="004325FF"/>
    <w:rsid w:val="00440FC6"/>
    <w:rsid w:val="00443650"/>
    <w:rsid w:val="004436F8"/>
    <w:rsid w:val="00443DAD"/>
    <w:rsid w:val="00444520"/>
    <w:rsid w:val="00447016"/>
    <w:rsid w:val="00450D2C"/>
    <w:rsid w:val="00455714"/>
    <w:rsid w:val="00455E6F"/>
    <w:rsid w:val="0046149C"/>
    <w:rsid w:val="00462497"/>
    <w:rsid w:val="00464949"/>
    <w:rsid w:val="00464DB1"/>
    <w:rsid w:val="00466FB6"/>
    <w:rsid w:val="0046736A"/>
    <w:rsid w:val="0047214B"/>
    <w:rsid w:val="004726D3"/>
    <w:rsid w:val="0047559E"/>
    <w:rsid w:val="00475D38"/>
    <w:rsid w:val="00480C2C"/>
    <w:rsid w:val="00481D3E"/>
    <w:rsid w:val="00487ECB"/>
    <w:rsid w:val="004923D6"/>
    <w:rsid w:val="00492A4D"/>
    <w:rsid w:val="004933CB"/>
    <w:rsid w:val="00493DFC"/>
    <w:rsid w:val="00496D66"/>
    <w:rsid w:val="00497634"/>
    <w:rsid w:val="004A1EF1"/>
    <w:rsid w:val="004A1F8F"/>
    <w:rsid w:val="004A2587"/>
    <w:rsid w:val="004A2B02"/>
    <w:rsid w:val="004A7A44"/>
    <w:rsid w:val="004B064F"/>
    <w:rsid w:val="004B08A3"/>
    <w:rsid w:val="004B1BCA"/>
    <w:rsid w:val="004B3201"/>
    <w:rsid w:val="004B54CC"/>
    <w:rsid w:val="004B609E"/>
    <w:rsid w:val="004C0662"/>
    <w:rsid w:val="004C06B3"/>
    <w:rsid w:val="004C2179"/>
    <w:rsid w:val="004C2618"/>
    <w:rsid w:val="004C5F71"/>
    <w:rsid w:val="004C72D0"/>
    <w:rsid w:val="004D0281"/>
    <w:rsid w:val="004D2319"/>
    <w:rsid w:val="004D2664"/>
    <w:rsid w:val="004D73C0"/>
    <w:rsid w:val="004D77CE"/>
    <w:rsid w:val="004D7B35"/>
    <w:rsid w:val="004E37A3"/>
    <w:rsid w:val="004E5595"/>
    <w:rsid w:val="004E6070"/>
    <w:rsid w:val="004E6C87"/>
    <w:rsid w:val="004E788B"/>
    <w:rsid w:val="004F2372"/>
    <w:rsid w:val="004F2BED"/>
    <w:rsid w:val="004F2C5C"/>
    <w:rsid w:val="00500D87"/>
    <w:rsid w:val="00501F82"/>
    <w:rsid w:val="005056AD"/>
    <w:rsid w:val="00506D52"/>
    <w:rsid w:val="00506ECC"/>
    <w:rsid w:val="00507738"/>
    <w:rsid w:val="00511F91"/>
    <w:rsid w:val="005128EA"/>
    <w:rsid w:val="00512ED7"/>
    <w:rsid w:val="00516A9D"/>
    <w:rsid w:val="00517F49"/>
    <w:rsid w:val="005201B2"/>
    <w:rsid w:val="00520262"/>
    <w:rsid w:val="00520796"/>
    <w:rsid w:val="0052230F"/>
    <w:rsid w:val="00522602"/>
    <w:rsid w:val="00525828"/>
    <w:rsid w:val="00526918"/>
    <w:rsid w:val="00526EA2"/>
    <w:rsid w:val="00531DAD"/>
    <w:rsid w:val="00533271"/>
    <w:rsid w:val="0053764A"/>
    <w:rsid w:val="00541954"/>
    <w:rsid w:val="00545241"/>
    <w:rsid w:val="0054650C"/>
    <w:rsid w:val="005469A4"/>
    <w:rsid w:val="0055056C"/>
    <w:rsid w:val="00550795"/>
    <w:rsid w:val="0055512D"/>
    <w:rsid w:val="00555F1F"/>
    <w:rsid w:val="00562BC8"/>
    <w:rsid w:val="005643AD"/>
    <w:rsid w:val="005664B0"/>
    <w:rsid w:val="00571E2A"/>
    <w:rsid w:val="005765EF"/>
    <w:rsid w:val="00576F50"/>
    <w:rsid w:val="005779E4"/>
    <w:rsid w:val="005815D6"/>
    <w:rsid w:val="0058169E"/>
    <w:rsid w:val="005824FA"/>
    <w:rsid w:val="005848B9"/>
    <w:rsid w:val="005856A0"/>
    <w:rsid w:val="0058650A"/>
    <w:rsid w:val="005869AC"/>
    <w:rsid w:val="00587438"/>
    <w:rsid w:val="0058767A"/>
    <w:rsid w:val="00587C20"/>
    <w:rsid w:val="00590D57"/>
    <w:rsid w:val="00595802"/>
    <w:rsid w:val="005960BD"/>
    <w:rsid w:val="0059686B"/>
    <w:rsid w:val="005A0BAA"/>
    <w:rsid w:val="005A1473"/>
    <w:rsid w:val="005A5C16"/>
    <w:rsid w:val="005A7FDC"/>
    <w:rsid w:val="005B06DA"/>
    <w:rsid w:val="005B24FD"/>
    <w:rsid w:val="005B4930"/>
    <w:rsid w:val="005B5A21"/>
    <w:rsid w:val="005B6070"/>
    <w:rsid w:val="005B684B"/>
    <w:rsid w:val="005C010B"/>
    <w:rsid w:val="005C12CD"/>
    <w:rsid w:val="005C3490"/>
    <w:rsid w:val="005C5547"/>
    <w:rsid w:val="005C57B3"/>
    <w:rsid w:val="005C734F"/>
    <w:rsid w:val="005D077B"/>
    <w:rsid w:val="005D106D"/>
    <w:rsid w:val="005D139E"/>
    <w:rsid w:val="005D2A16"/>
    <w:rsid w:val="005D57AB"/>
    <w:rsid w:val="005E10D0"/>
    <w:rsid w:val="005E1A7B"/>
    <w:rsid w:val="005E2717"/>
    <w:rsid w:val="005E723D"/>
    <w:rsid w:val="005F1090"/>
    <w:rsid w:val="005F112E"/>
    <w:rsid w:val="005F26E7"/>
    <w:rsid w:val="005F4D14"/>
    <w:rsid w:val="005F4EC3"/>
    <w:rsid w:val="00601367"/>
    <w:rsid w:val="00601BB5"/>
    <w:rsid w:val="00603AA8"/>
    <w:rsid w:val="00606653"/>
    <w:rsid w:val="006076C3"/>
    <w:rsid w:val="00610B86"/>
    <w:rsid w:val="00610F81"/>
    <w:rsid w:val="00611021"/>
    <w:rsid w:val="00614559"/>
    <w:rsid w:val="00617828"/>
    <w:rsid w:val="0062243E"/>
    <w:rsid w:val="00624762"/>
    <w:rsid w:val="00624AD0"/>
    <w:rsid w:val="00626EB1"/>
    <w:rsid w:val="00631F15"/>
    <w:rsid w:val="0063267F"/>
    <w:rsid w:val="00633516"/>
    <w:rsid w:val="006364B7"/>
    <w:rsid w:val="006366A9"/>
    <w:rsid w:val="006423C8"/>
    <w:rsid w:val="006423D4"/>
    <w:rsid w:val="00643429"/>
    <w:rsid w:val="00644836"/>
    <w:rsid w:val="0065214A"/>
    <w:rsid w:val="00652B1D"/>
    <w:rsid w:val="00652FB7"/>
    <w:rsid w:val="00653436"/>
    <w:rsid w:val="00653487"/>
    <w:rsid w:val="0065446A"/>
    <w:rsid w:val="00655EDA"/>
    <w:rsid w:val="00660538"/>
    <w:rsid w:val="00661991"/>
    <w:rsid w:val="00662484"/>
    <w:rsid w:val="00664600"/>
    <w:rsid w:val="006654C8"/>
    <w:rsid w:val="006661EB"/>
    <w:rsid w:val="00666786"/>
    <w:rsid w:val="006709F5"/>
    <w:rsid w:val="00671652"/>
    <w:rsid w:val="006726AD"/>
    <w:rsid w:val="00673236"/>
    <w:rsid w:val="006747C9"/>
    <w:rsid w:val="00683E61"/>
    <w:rsid w:val="00684762"/>
    <w:rsid w:val="00685F36"/>
    <w:rsid w:val="00690616"/>
    <w:rsid w:val="006914F2"/>
    <w:rsid w:val="0069174C"/>
    <w:rsid w:val="00692F1C"/>
    <w:rsid w:val="0069576F"/>
    <w:rsid w:val="0069670F"/>
    <w:rsid w:val="0069721E"/>
    <w:rsid w:val="006974D9"/>
    <w:rsid w:val="006A1BDE"/>
    <w:rsid w:val="006A24DD"/>
    <w:rsid w:val="006A604D"/>
    <w:rsid w:val="006B0DF4"/>
    <w:rsid w:val="006B179B"/>
    <w:rsid w:val="006B303D"/>
    <w:rsid w:val="006B3D73"/>
    <w:rsid w:val="006C02B5"/>
    <w:rsid w:val="006C5E4D"/>
    <w:rsid w:val="006C63BA"/>
    <w:rsid w:val="006C7EB7"/>
    <w:rsid w:val="006C7FEF"/>
    <w:rsid w:val="006D06B4"/>
    <w:rsid w:val="006D0E9A"/>
    <w:rsid w:val="006D3986"/>
    <w:rsid w:val="006D5A8F"/>
    <w:rsid w:val="006D7868"/>
    <w:rsid w:val="006E2DFA"/>
    <w:rsid w:val="006E4B4E"/>
    <w:rsid w:val="006E67B5"/>
    <w:rsid w:val="006E6A46"/>
    <w:rsid w:val="006E6DCC"/>
    <w:rsid w:val="006F0007"/>
    <w:rsid w:val="006F53CC"/>
    <w:rsid w:val="006F699A"/>
    <w:rsid w:val="006F76E6"/>
    <w:rsid w:val="00700524"/>
    <w:rsid w:val="007015A1"/>
    <w:rsid w:val="00705232"/>
    <w:rsid w:val="00705C49"/>
    <w:rsid w:val="00705C7B"/>
    <w:rsid w:val="007100FA"/>
    <w:rsid w:val="00710B2D"/>
    <w:rsid w:val="007126E7"/>
    <w:rsid w:val="00712726"/>
    <w:rsid w:val="0071408E"/>
    <w:rsid w:val="0071424C"/>
    <w:rsid w:val="00715CC3"/>
    <w:rsid w:val="007162E3"/>
    <w:rsid w:val="00716AD6"/>
    <w:rsid w:val="00716C75"/>
    <w:rsid w:val="007172B6"/>
    <w:rsid w:val="007177C9"/>
    <w:rsid w:val="00717B5E"/>
    <w:rsid w:val="00720093"/>
    <w:rsid w:val="0072271D"/>
    <w:rsid w:val="00724F20"/>
    <w:rsid w:val="0072636D"/>
    <w:rsid w:val="007267A4"/>
    <w:rsid w:val="0072762E"/>
    <w:rsid w:val="007306A3"/>
    <w:rsid w:val="007308ED"/>
    <w:rsid w:val="00731B4D"/>
    <w:rsid w:val="0073302A"/>
    <w:rsid w:val="00735B1F"/>
    <w:rsid w:val="00735DBF"/>
    <w:rsid w:val="00736771"/>
    <w:rsid w:val="007402DA"/>
    <w:rsid w:val="00744408"/>
    <w:rsid w:val="00746169"/>
    <w:rsid w:val="007479F8"/>
    <w:rsid w:val="00750A97"/>
    <w:rsid w:val="007524A5"/>
    <w:rsid w:val="00754C02"/>
    <w:rsid w:val="00764AF8"/>
    <w:rsid w:val="00765327"/>
    <w:rsid w:val="00767085"/>
    <w:rsid w:val="007673B6"/>
    <w:rsid w:val="007710BC"/>
    <w:rsid w:val="00771317"/>
    <w:rsid w:val="00771485"/>
    <w:rsid w:val="0077214C"/>
    <w:rsid w:val="00774916"/>
    <w:rsid w:val="00775D23"/>
    <w:rsid w:val="00777577"/>
    <w:rsid w:val="00780F8C"/>
    <w:rsid w:val="0078198E"/>
    <w:rsid w:val="00782340"/>
    <w:rsid w:val="007839F8"/>
    <w:rsid w:val="007851F7"/>
    <w:rsid w:val="00785EEC"/>
    <w:rsid w:val="007873FB"/>
    <w:rsid w:val="0079054D"/>
    <w:rsid w:val="00792D14"/>
    <w:rsid w:val="00793F04"/>
    <w:rsid w:val="007976E6"/>
    <w:rsid w:val="00797B7D"/>
    <w:rsid w:val="007A23D8"/>
    <w:rsid w:val="007A2DAB"/>
    <w:rsid w:val="007A38C2"/>
    <w:rsid w:val="007A5B85"/>
    <w:rsid w:val="007A6C5C"/>
    <w:rsid w:val="007A7790"/>
    <w:rsid w:val="007B03C0"/>
    <w:rsid w:val="007B08C3"/>
    <w:rsid w:val="007B30A3"/>
    <w:rsid w:val="007B4530"/>
    <w:rsid w:val="007B511A"/>
    <w:rsid w:val="007B5FB6"/>
    <w:rsid w:val="007B7A69"/>
    <w:rsid w:val="007C0C80"/>
    <w:rsid w:val="007C432A"/>
    <w:rsid w:val="007C6338"/>
    <w:rsid w:val="007C7AE2"/>
    <w:rsid w:val="007D025B"/>
    <w:rsid w:val="007D0405"/>
    <w:rsid w:val="007D1BBA"/>
    <w:rsid w:val="007D3277"/>
    <w:rsid w:val="007D4CB5"/>
    <w:rsid w:val="007D5BED"/>
    <w:rsid w:val="007D5DAB"/>
    <w:rsid w:val="007D6A36"/>
    <w:rsid w:val="007D6EA4"/>
    <w:rsid w:val="007E30BE"/>
    <w:rsid w:val="007E31F0"/>
    <w:rsid w:val="007E35D5"/>
    <w:rsid w:val="007F3120"/>
    <w:rsid w:val="007F4872"/>
    <w:rsid w:val="0080072E"/>
    <w:rsid w:val="0080098F"/>
    <w:rsid w:val="0080252F"/>
    <w:rsid w:val="008037D4"/>
    <w:rsid w:val="00807D0E"/>
    <w:rsid w:val="00807FD0"/>
    <w:rsid w:val="0081036B"/>
    <w:rsid w:val="00810E88"/>
    <w:rsid w:val="00816169"/>
    <w:rsid w:val="008167E3"/>
    <w:rsid w:val="00820597"/>
    <w:rsid w:val="00821039"/>
    <w:rsid w:val="00822B15"/>
    <w:rsid w:val="008260F3"/>
    <w:rsid w:val="00826C37"/>
    <w:rsid w:val="008273D7"/>
    <w:rsid w:val="008304A1"/>
    <w:rsid w:val="008317A7"/>
    <w:rsid w:val="0083427A"/>
    <w:rsid w:val="0083453E"/>
    <w:rsid w:val="00834B2F"/>
    <w:rsid w:val="00835173"/>
    <w:rsid w:val="00835A43"/>
    <w:rsid w:val="00837F11"/>
    <w:rsid w:val="008427A4"/>
    <w:rsid w:val="00843310"/>
    <w:rsid w:val="00843B17"/>
    <w:rsid w:val="008454A5"/>
    <w:rsid w:val="00847318"/>
    <w:rsid w:val="008476B7"/>
    <w:rsid w:val="008479C2"/>
    <w:rsid w:val="00850CEB"/>
    <w:rsid w:val="008527DF"/>
    <w:rsid w:val="0085357A"/>
    <w:rsid w:val="00856869"/>
    <w:rsid w:val="00856C87"/>
    <w:rsid w:val="00860D5E"/>
    <w:rsid w:val="008613EE"/>
    <w:rsid w:val="00861638"/>
    <w:rsid w:val="00862004"/>
    <w:rsid w:val="0086575C"/>
    <w:rsid w:val="008659A3"/>
    <w:rsid w:val="008663EE"/>
    <w:rsid w:val="008675BE"/>
    <w:rsid w:val="00870C0A"/>
    <w:rsid w:val="00870D09"/>
    <w:rsid w:val="008742C0"/>
    <w:rsid w:val="008747F5"/>
    <w:rsid w:val="00875B67"/>
    <w:rsid w:val="00876CC2"/>
    <w:rsid w:val="00876D6F"/>
    <w:rsid w:val="00876EDF"/>
    <w:rsid w:val="0088244E"/>
    <w:rsid w:val="008829C6"/>
    <w:rsid w:val="0088317C"/>
    <w:rsid w:val="0088344B"/>
    <w:rsid w:val="00884490"/>
    <w:rsid w:val="00885551"/>
    <w:rsid w:val="008858EA"/>
    <w:rsid w:val="0089293F"/>
    <w:rsid w:val="00892B73"/>
    <w:rsid w:val="00892C61"/>
    <w:rsid w:val="00895D2E"/>
    <w:rsid w:val="00896714"/>
    <w:rsid w:val="008A0370"/>
    <w:rsid w:val="008A1EFD"/>
    <w:rsid w:val="008A6A14"/>
    <w:rsid w:val="008B2496"/>
    <w:rsid w:val="008B40AF"/>
    <w:rsid w:val="008B4244"/>
    <w:rsid w:val="008B58A0"/>
    <w:rsid w:val="008C0B09"/>
    <w:rsid w:val="008C42FF"/>
    <w:rsid w:val="008C726E"/>
    <w:rsid w:val="008D1D57"/>
    <w:rsid w:val="008D280F"/>
    <w:rsid w:val="008D4648"/>
    <w:rsid w:val="008E2068"/>
    <w:rsid w:val="008E3078"/>
    <w:rsid w:val="008E30C8"/>
    <w:rsid w:val="008E38B9"/>
    <w:rsid w:val="008E6F2C"/>
    <w:rsid w:val="008F00DF"/>
    <w:rsid w:val="008F2317"/>
    <w:rsid w:val="008F268D"/>
    <w:rsid w:val="008F344E"/>
    <w:rsid w:val="008F3EA2"/>
    <w:rsid w:val="008F685E"/>
    <w:rsid w:val="00900A8B"/>
    <w:rsid w:val="00900E07"/>
    <w:rsid w:val="00903873"/>
    <w:rsid w:val="00903FD6"/>
    <w:rsid w:val="00905ED0"/>
    <w:rsid w:val="00906A2D"/>
    <w:rsid w:val="009073C4"/>
    <w:rsid w:val="00920BF0"/>
    <w:rsid w:val="00922448"/>
    <w:rsid w:val="00922C25"/>
    <w:rsid w:val="00923E01"/>
    <w:rsid w:val="009266ED"/>
    <w:rsid w:val="00930B32"/>
    <w:rsid w:val="00934ABE"/>
    <w:rsid w:val="00937DEF"/>
    <w:rsid w:val="009402BF"/>
    <w:rsid w:val="009469B4"/>
    <w:rsid w:val="0095051F"/>
    <w:rsid w:val="00951DCD"/>
    <w:rsid w:val="009541CC"/>
    <w:rsid w:val="00955559"/>
    <w:rsid w:val="00955E57"/>
    <w:rsid w:val="00956ED4"/>
    <w:rsid w:val="00957D87"/>
    <w:rsid w:val="00961404"/>
    <w:rsid w:val="0096217F"/>
    <w:rsid w:val="009640A1"/>
    <w:rsid w:val="00965293"/>
    <w:rsid w:val="00966F01"/>
    <w:rsid w:val="00967FA0"/>
    <w:rsid w:val="00971531"/>
    <w:rsid w:val="00972D84"/>
    <w:rsid w:val="009735B0"/>
    <w:rsid w:val="00973CE5"/>
    <w:rsid w:val="00973F13"/>
    <w:rsid w:val="0097458E"/>
    <w:rsid w:val="00974D32"/>
    <w:rsid w:val="00975624"/>
    <w:rsid w:val="0097727A"/>
    <w:rsid w:val="00977B80"/>
    <w:rsid w:val="00977EB0"/>
    <w:rsid w:val="00981A1D"/>
    <w:rsid w:val="00981DB6"/>
    <w:rsid w:val="00982C75"/>
    <w:rsid w:val="00984AB0"/>
    <w:rsid w:val="009870CE"/>
    <w:rsid w:val="0099206B"/>
    <w:rsid w:val="009922DC"/>
    <w:rsid w:val="00993EAA"/>
    <w:rsid w:val="00995CD8"/>
    <w:rsid w:val="009A44E2"/>
    <w:rsid w:val="009A4F17"/>
    <w:rsid w:val="009A6745"/>
    <w:rsid w:val="009B09A9"/>
    <w:rsid w:val="009B1762"/>
    <w:rsid w:val="009B299C"/>
    <w:rsid w:val="009B7C6C"/>
    <w:rsid w:val="009C093F"/>
    <w:rsid w:val="009C1117"/>
    <w:rsid w:val="009C22AC"/>
    <w:rsid w:val="009C39E4"/>
    <w:rsid w:val="009C3AAE"/>
    <w:rsid w:val="009C57A0"/>
    <w:rsid w:val="009D0123"/>
    <w:rsid w:val="009D01AA"/>
    <w:rsid w:val="009D3BA8"/>
    <w:rsid w:val="009E002D"/>
    <w:rsid w:val="009E0B23"/>
    <w:rsid w:val="009E37FF"/>
    <w:rsid w:val="009E7FAD"/>
    <w:rsid w:val="009F0E3C"/>
    <w:rsid w:val="009F5F74"/>
    <w:rsid w:val="009F6837"/>
    <w:rsid w:val="00A003F5"/>
    <w:rsid w:val="00A01E99"/>
    <w:rsid w:val="00A07272"/>
    <w:rsid w:val="00A07511"/>
    <w:rsid w:val="00A1078F"/>
    <w:rsid w:val="00A12A77"/>
    <w:rsid w:val="00A14D77"/>
    <w:rsid w:val="00A15D7C"/>
    <w:rsid w:val="00A170A5"/>
    <w:rsid w:val="00A17939"/>
    <w:rsid w:val="00A20B18"/>
    <w:rsid w:val="00A2116C"/>
    <w:rsid w:val="00A2387F"/>
    <w:rsid w:val="00A26FBC"/>
    <w:rsid w:val="00A31E59"/>
    <w:rsid w:val="00A34A19"/>
    <w:rsid w:val="00A35CAF"/>
    <w:rsid w:val="00A41177"/>
    <w:rsid w:val="00A41FBB"/>
    <w:rsid w:val="00A42294"/>
    <w:rsid w:val="00A42D08"/>
    <w:rsid w:val="00A438EF"/>
    <w:rsid w:val="00A445F9"/>
    <w:rsid w:val="00A46CCE"/>
    <w:rsid w:val="00A5156C"/>
    <w:rsid w:val="00A51F98"/>
    <w:rsid w:val="00A53706"/>
    <w:rsid w:val="00A615DE"/>
    <w:rsid w:val="00A61C17"/>
    <w:rsid w:val="00A62673"/>
    <w:rsid w:val="00A63F02"/>
    <w:rsid w:val="00A67A4A"/>
    <w:rsid w:val="00A703B5"/>
    <w:rsid w:val="00A71AB2"/>
    <w:rsid w:val="00A74996"/>
    <w:rsid w:val="00A83288"/>
    <w:rsid w:val="00A83BEA"/>
    <w:rsid w:val="00A845C3"/>
    <w:rsid w:val="00A85E7E"/>
    <w:rsid w:val="00A879FD"/>
    <w:rsid w:val="00A87EF2"/>
    <w:rsid w:val="00A902E5"/>
    <w:rsid w:val="00A918AF"/>
    <w:rsid w:val="00A91C8E"/>
    <w:rsid w:val="00A95F31"/>
    <w:rsid w:val="00A96A7B"/>
    <w:rsid w:val="00AA1EB7"/>
    <w:rsid w:val="00AA6872"/>
    <w:rsid w:val="00AA7777"/>
    <w:rsid w:val="00AB2E3E"/>
    <w:rsid w:val="00AB36DB"/>
    <w:rsid w:val="00AB5A22"/>
    <w:rsid w:val="00AB5CB4"/>
    <w:rsid w:val="00AB6226"/>
    <w:rsid w:val="00AB7301"/>
    <w:rsid w:val="00AB7416"/>
    <w:rsid w:val="00AB79C9"/>
    <w:rsid w:val="00AC285E"/>
    <w:rsid w:val="00AC4854"/>
    <w:rsid w:val="00AC7D8E"/>
    <w:rsid w:val="00AD0634"/>
    <w:rsid w:val="00AD1FB5"/>
    <w:rsid w:val="00AD5D73"/>
    <w:rsid w:val="00AD61D8"/>
    <w:rsid w:val="00AD73E1"/>
    <w:rsid w:val="00AE013D"/>
    <w:rsid w:val="00AE0E76"/>
    <w:rsid w:val="00AE3B62"/>
    <w:rsid w:val="00AE5C40"/>
    <w:rsid w:val="00AE7641"/>
    <w:rsid w:val="00AE78B3"/>
    <w:rsid w:val="00AF107B"/>
    <w:rsid w:val="00AF4B42"/>
    <w:rsid w:val="00B025C5"/>
    <w:rsid w:val="00B027AB"/>
    <w:rsid w:val="00B0386C"/>
    <w:rsid w:val="00B04765"/>
    <w:rsid w:val="00B049B9"/>
    <w:rsid w:val="00B04F2A"/>
    <w:rsid w:val="00B05570"/>
    <w:rsid w:val="00B06520"/>
    <w:rsid w:val="00B10376"/>
    <w:rsid w:val="00B15ECF"/>
    <w:rsid w:val="00B172C3"/>
    <w:rsid w:val="00B17909"/>
    <w:rsid w:val="00B2158D"/>
    <w:rsid w:val="00B21E61"/>
    <w:rsid w:val="00B25181"/>
    <w:rsid w:val="00B251AF"/>
    <w:rsid w:val="00B2731E"/>
    <w:rsid w:val="00B274F9"/>
    <w:rsid w:val="00B27AE4"/>
    <w:rsid w:val="00B30B76"/>
    <w:rsid w:val="00B34CF7"/>
    <w:rsid w:val="00B36167"/>
    <w:rsid w:val="00B40451"/>
    <w:rsid w:val="00B44CD2"/>
    <w:rsid w:val="00B45EC5"/>
    <w:rsid w:val="00B50ABB"/>
    <w:rsid w:val="00B50AD6"/>
    <w:rsid w:val="00B51C92"/>
    <w:rsid w:val="00B53735"/>
    <w:rsid w:val="00B54075"/>
    <w:rsid w:val="00B60600"/>
    <w:rsid w:val="00B6161A"/>
    <w:rsid w:val="00B625AB"/>
    <w:rsid w:val="00B64839"/>
    <w:rsid w:val="00B651D8"/>
    <w:rsid w:val="00B666BE"/>
    <w:rsid w:val="00B66C64"/>
    <w:rsid w:val="00B66ED4"/>
    <w:rsid w:val="00B70699"/>
    <w:rsid w:val="00B70DEA"/>
    <w:rsid w:val="00B717C6"/>
    <w:rsid w:val="00B7298A"/>
    <w:rsid w:val="00B72CC0"/>
    <w:rsid w:val="00B7328A"/>
    <w:rsid w:val="00B73604"/>
    <w:rsid w:val="00B73DA6"/>
    <w:rsid w:val="00B741D1"/>
    <w:rsid w:val="00B75F56"/>
    <w:rsid w:val="00B802B1"/>
    <w:rsid w:val="00B805B1"/>
    <w:rsid w:val="00B823D6"/>
    <w:rsid w:val="00B82705"/>
    <w:rsid w:val="00B85FB0"/>
    <w:rsid w:val="00B92F07"/>
    <w:rsid w:val="00B93D93"/>
    <w:rsid w:val="00B93EF8"/>
    <w:rsid w:val="00B95EE5"/>
    <w:rsid w:val="00B96132"/>
    <w:rsid w:val="00B96C88"/>
    <w:rsid w:val="00B97C17"/>
    <w:rsid w:val="00BA1320"/>
    <w:rsid w:val="00BA3108"/>
    <w:rsid w:val="00BA402E"/>
    <w:rsid w:val="00BA68BC"/>
    <w:rsid w:val="00BB0633"/>
    <w:rsid w:val="00BB0BE0"/>
    <w:rsid w:val="00BB2156"/>
    <w:rsid w:val="00BB21C4"/>
    <w:rsid w:val="00BB29A7"/>
    <w:rsid w:val="00BB35BA"/>
    <w:rsid w:val="00BB3989"/>
    <w:rsid w:val="00BC014F"/>
    <w:rsid w:val="00BC1C33"/>
    <w:rsid w:val="00BC2BBE"/>
    <w:rsid w:val="00BC5F38"/>
    <w:rsid w:val="00BC6C4F"/>
    <w:rsid w:val="00BC7390"/>
    <w:rsid w:val="00BD06F4"/>
    <w:rsid w:val="00BD15C6"/>
    <w:rsid w:val="00BD1AF8"/>
    <w:rsid w:val="00BD3A5D"/>
    <w:rsid w:val="00BD5D87"/>
    <w:rsid w:val="00BD61BA"/>
    <w:rsid w:val="00BD678F"/>
    <w:rsid w:val="00BD7A88"/>
    <w:rsid w:val="00BE1878"/>
    <w:rsid w:val="00BE3958"/>
    <w:rsid w:val="00BE5182"/>
    <w:rsid w:val="00BE5C4C"/>
    <w:rsid w:val="00BE5E07"/>
    <w:rsid w:val="00BE7BB5"/>
    <w:rsid w:val="00BF0121"/>
    <w:rsid w:val="00BF2B74"/>
    <w:rsid w:val="00BF3765"/>
    <w:rsid w:val="00BF381F"/>
    <w:rsid w:val="00BF3E0E"/>
    <w:rsid w:val="00BF51F2"/>
    <w:rsid w:val="00BF5504"/>
    <w:rsid w:val="00BF55D7"/>
    <w:rsid w:val="00C01344"/>
    <w:rsid w:val="00C02395"/>
    <w:rsid w:val="00C03A49"/>
    <w:rsid w:val="00C03D8A"/>
    <w:rsid w:val="00C10782"/>
    <w:rsid w:val="00C128A6"/>
    <w:rsid w:val="00C1582D"/>
    <w:rsid w:val="00C206EE"/>
    <w:rsid w:val="00C24F63"/>
    <w:rsid w:val="00C2631E"/>
    <w:rsid w:val="00C2713B"/>
    <w:rsid w:val="00C31995"/>
    <w:rsid w:val="00C35E99"/>
    <w:rsid w:val="00C36B4F"/>
    <w:rsid w:val="00C411E1"/>
    <w:rsid w:val="00C430A6"/>
    <w:rsid w:val="00C43FB5"/>
    <w:rsid w:val="00C50AD8"/>
    <w:rsid w:val="00C52EA2"/>
    <w:rsid w:val="00C557F9"/>
    <w:rsid w:val="00C55C61"/>
    <w:rsid w:val="00C56D0F"/>
    <w:rsid w:val="00C625D8"/>
    <w:rsid w:val="00C7275B"/>
    <w:rsid w:val="00C731DD"/>
    <w:rsid w:val="00C7351E"/>
    <w:rsid w:val="00C80598"/>
    <w:rsid w:val="00C86502"/>
    <w:rsid w:val="00C91D06"/>
    <w:rsid w:val="00C920DF"/>
    <w:rsid w:val="00C93F21"/>
    <w:rsid w:val="00C961BC"/>
    <w:rsid w:val="00C96B72"/>
    <w:rsid w:val="00CA2977"/>
    <w:rsid w:val="00CA31CE"/>
    <w:rsid w:val="00CA3CEB"/>
    <w:rsid w:val="00CA6122"/>
    <w:rsid w:val="00CA708F"/>
    <w:rsid w:val="00CC34B3"/>
    <w:rsid w:val="00CC364D"/>
    <w:rsid w:val="00CC3A3E"/>
    <w:rsid w:val="00CC3E0C"/>
    <w:rsid w:val="00CC464C"/>
    <w:rsid w:val="00CC62FC"/>
    <w:rsid w:val="00CC7A35"/>
    <w:rsid w:val="00CD0A22"/>
    <w:rsid w:val="00CD10D7"/>
    <w:rsid w:val="00CD1493"/>
    <w:rsid w:val="00CD2630"/>
    <w:rsid w:val="00CD332E"/>
    <w:rsid w:val="00CD46C9"/>
    <w:rsid w:val="00CD75FF"/>
    <w:rsid w:val="00CD7EA9"/>
    <w:rsid w:val="00CE2DD3"/>
    <w:rsid w:val="00CE3974"/>
    <w:rsid w:val="00CE4359"/>
    <w:rsid w:val="00CE5E35"/>
    <w:rsid w:val="00CF1149"/>
    <w:rsid w:val="00CF27A7"/>
    <w:rsid w:val="00CF345D"/>
    <w:rsid w:val="00CF46B2"/>
    <w:rsid w:val="00CF534F"/>
    <w:rsid w:val="00CF721B"/>
    <w:rsid w:val="00CF73B1"/>
    <w:rsid w:val="00D00F26"/>
    <w:rsid w:val="00D016D4"/>
    <w:rsid w:val="00D0338B"/>
    <w:rsid w:val="00D17164"/>
    <w:rsid w:val="00D204A7"/>
    <w:rsid w:val="00D211FD"/>
    <w:rsid w:val="00D21995"/>
    <w:rsid w:val="00D226DF"/>
    <w:rsid w:val="00D23E4B"/>
    <w:rsid w:val="00D254AF"/>
    <w:rsid w:val="00D31785"/>
    <w:rsid w:val="00D324F8"/>
    <w:rsid w:val="00D337FA"/>
    <w:rsid w:val="00D348D2"/>
    <w:rsid w:val="00D368AC"/>
    <w:rsid w:val="00D36B2A"/>
    <w:rsid w:val="00D372C0"/>
    <w:rsid w:val="00D37919"/>
    <w:rsid w:val="00D4232E"/>
    <w:rsid w:val="00D45C72"/>
    <w:rsid w:val="00D45C8D"/>
    <w:rsid w:val="00D47150"/>
    <w:rsid w:val="00D474D7"/>
    <w:rsid w:val="00D52F6D"/>
    <w:rsid w:val="00D530CF"/>
    <w:rsid w:val="00D54C2E"/>
    <w:rsid w:val="00D556A0"/>
    <w:rsid w:val="00D5618A"/>
    <w:rsid w:val="00D5766A"/>
    <w:rsid w:val="00D57E29"/>
    <w:rsid w:val="00D61036"/>
    <w:rsid w:val="00D6103B"/>
    <w:rsid w:val="00D64050"/>
    <w:rsid w:val="00D6465B"/>
    <w:rsid w:val="00D64EB7"/>
    <w:rsid w:val="00D70E71"/>
    <w:rsid w:val="00D74402"/>
    <w:rsid w:val="00D768FC"/>
    <w:rsid w:val="00D77794"/>
    <w:rsid w:val="00D80DFA"/>
    <w:rsid w:val="00D80F6A"/>
    <w:rsid w:val="00D81186"/>
    <w:rsid w:val="00D83243"/>
    <w:rsid w:val="00D83761"/>
    <w:rsid w:val="00D83AD1"/>
    <w:rsid w:val="00D84149"/>
    <w:rsid w:val="00D84B4C"/>
    <w:rsid w:val="00D85388"/>
    <w:rsid w:val="00D879EA"/>
    <w:rsid w:val="00D90619"/>
    <w:rsid w:val="00D90635"/>
    <w:rsid w:val="00D913C5"/>
    <w:rsid w:val="00D916F0"/>
    <w:rsid w:val="00D956E0"/>
    <w:rsid w:val="00D96D82"/>
    <w:rsid w:val="00D97788"/>
    <w:rsid w:val="00DA1BDB"/>
    <w:rsid w:val="00DA3C32"/>
    <w:rsid w:val="00DB1A83"/>
    <w:rsid w:val="00DB2CB8"/>
    <w:rsid w:val="00DB2D0E"/>
    <w:rsid w:val="00DB4287"/>
    <w:rsid w:val="00DB4C99"/>
    <w:rsid w:val="00DB764C"/>
    <w:rsid w:val="00DB76C5"/>
    <w:rsid w:val="00DB7D4A"/>
    <w:rsid w:val="00DC068C"/>
    <w:rsid w:val="00DC2090"/>
    <w:rsid w:val="00DC4A13"/>
    <w:rsid w:val="00DC55F6"/>
    <w:rsid w:val="00DC5897"/>
    <w:rsid w:val="00DC7CA1"/>
    <w:rsid w:val="00DD5C46"/>
    <w:rsid w:val="00DD6813"/>
    <w:rsid w:val="00DD6F92"/>
    <w:rsid w:val="00DE0D00"/>
    <w:rsid w:val="00DE2003"/>
    <w:rsid w:val="00DE254B"/>
    <w:rsid w:val="00DE2DAF"/>
    <w:rsid w:val="00DE3006"/>
    <w:rsid w:val="00DE33DF"/>
    <w:rsid w:val="00DE488D"/>
    <w:rsid w:val="00DE6763"/>
    <w:rsid w:val="00DF2763"/>
    <w:rsid w:val="00DF6357"/>
    <w:rsid w:val="00DF7383"/>
    <w:rsid w:val="00DF7E58"/>
    <w:rsid w:val="00E01276"/>
    <w:rsid w:val="00E013FF"/>
    <w:rsid w:val="00E016C0"/>
    <w:rsid w:val="00E03A11"/>
    <w:rsid w:val="00E0713E"/>
    <w:rsid w:val="00E072C4"/>
    <w:rsid w:val="00E12F19"/>
    <w:rsid w:val="00E13025"/>
    <w:rsid w:val="00E155A8"/>
    <w:rsid w:val="00E160C6"/>
    <w:rsid w:val="00E175FA"/>
    <w:rsid w:val="00E20A5F"/>
    <w:rsid w:val="00E213FE"/>
    <w:rsid w:val="00E25B71"/>
    <w:rsid w:val="00E264AB"/>
    <w:rsid w:val="00E2699C"/>
    <w:rsid w:val="00E32931"/>
    <w:rsid w:val="00E35C40"/>
    <w:rsid w:val="00E37EE5"/>
    <w:rsid w:val="00E41A76"/>
    <w:rsid w:val="00E41ED3"/>
    <w:rsid w:val="00E457EE"/>
    <w:rsid w:val="00E4702C"/>
    <w:rsid w:val="00E51E95"/>
    <w:rsid w:val="00E526E6"/>
    <w:rsid w:val="00E53902"/>
    <w:rsid w:val="00E56D1C"/>
    <w:rsid w:val="00E61124"/>
    <w:rsid w:val="00E6373D"/>
    <w:rsid w:val="00E63CD9"/>
    <w:rsid w:val="00E654BF"/>
    <w:rsid w:val="00E657AE"/>
    <w:rsid w:val="00E65BC0"/>
    <w:rsid w:val="00E70E4D"/>
    <w:rsid w:val="00E72A5C"/>
    <w:rsid w:val="00E73398"/>
    <w:rsid w:val="00E73920"/>
    <w:rsid w:val="00E751A0"/>
    <w:rsid w:val="00E76156"/>
    <w:rsid w:val="00E855E5"/>
    <w:rsid w:val="00E85679"/>
    <w:rsid w:val="00E8744B"/>
    <w:rsid w:val="00E9483F"/>
    <w:rsid w:val="00EA1052"/>
    <w:rsid w:val="00EA1E02"/>
    <w:rsid w:val="00EA25C3"/>
    <w:rsid w:val="00EA52AD"/>
    <w:rsid w:val="00EA5F18"/>
    <w:rsid w:val="00EB0008"/>
    <w:rsid w:val="00EB08A4"/>
    <w:rsid w:val="00EB1ADF"/>
    <w:rsid w:val="00EB2015"/>
    <w:rsid w:val="00EB2915"/>
    <w:rsid w:val="00EB33B5"/>
    <w:rsid w:val="00EB4891"/>
    <w:rsid w:val="00EB4F28"/>
    <w:rsid w:val="00EB6247"/>
    <w:rsid w:val="00EB7D4F"/>
    <w:rsid w:val="00EB7DF4"/>
    <w:rsid w:val="00EB7EC1"/>
    <w:rsid w:val="00EC023F"/>
    <w:rsid w:val="00EC1316"/>
    <w:rsid w:val="00EC153E"/>
    <w:rsid w:val="00EC15F7"/>
    <w:rsid w:val="00EC411C"/>
    <w:rsid w:val="00EC42BA"/>
    <w:rsid w:val="00EC6DC5"/>
    <w:rsid w:val="00EC7AF7"/>
    <w:rsid w:val="00ED0521"/>
    <w:rsid w:val="00ED228C"/>
    <w:rsid w:val="00ED4654"/>
    <w:rsid w:val="00ED6136"/>
    <w:rsid w:val="00ED76DF"/>
    <w:rsid w:val="00EE0311"/>
    <w:rsid w:val="00EE09D5"/>
    <w:rsid w:val="00EE4F12"/>
    <w:rsid w:val="00EE7A73"/>
    <w:rsid w:val="00EE7DE4"/>
    <w:rsid w:val="00EF631F"/>
    <w:rsid w:val="00EF6D7B"/>
    <w:rsid w:val="00F0070A"/>
    <w:rsid w:val="00F02F6A"/>
    <w:rsid w:val="00F046DB"/>
    <w:rsid w:val="00F05E56"/>
    <w:rsid w:val="00F108FB"/>
    <w:rsid w:val="00F125E0"/>
    <w:rsid w:val="00F13206"/>
    <w:rsid w:val="00F13D00"/>
    <w:rsid w:val="00F14092"/>
    <w:rsid w:val="00F14F40"/>
    <w:rsid w:val="00F167D8"/>
    <w:rsid w:val="00F174AA"/>
    <w:rsid w:val="00F178E8"/>
    <w:rsid w:val="00F203DD"/>
    <w:rsid w:val="00F20D81"/>
    <w:rsid w:val="00F22CF3"/>
    <w:rsid w:val="00F25B78"/>
    <w:rsid w:val="00F305BD"/>
    <w:rsid w:val="00F30844"/>
    <w:rsid w:val="00F3179C"/>
    <w:rsid w:val="00F32578"/>
    <w:rsid w:val="00F332BC"/>
    <w:rsid w:val="00F336F1"/>
    <w:rsid w:val="00F37DD8"/>
    <w:rsid w:val="00F4471B"/>
    <w:rsid w:val="00F459F0"/>
    <w:rsid w:val="00F471A4"/>
    <w:rsid w:val="00F51C18"/>
    <w:rsid w:val="00F51EB2"/>
    <w:rsid w:val="00F5245E"/>
    <w:rsid w:val="00F52CE4"/>
    <w:rsid w:val="00F5401F"/>
    <w:rsid w:val="00F54D14"/>
    <w:rsid w:val="00F62A43"/>
    <w:rsid w:val="00F641AF"/>
    <w:rsid w:val="00F66DAF"/>
    <w:rsid w:val="00F74F9F"/>
    <w:rsid w:val="00F77AF7"/>
    <w:rsid w:val="00F8162F"/>
    <w:rsid w:val="00F81933"/>
    <w:rsid w:val="00F82977"/>
    <w:rsid w:val="00F84675"/>
    <w:rsid w:val="00F859BF"/>
    <w:rsid w:val="00F85C27"/>
    <w:rsid w:val="00F91648"/>
    <w:rsid w:val="00F91987"/>
    <w:rsid w:val="00F91CDC"/>
    <w:rsid w:val="00F94659"/>
    <w:rsid w:val="00F96B5C"/>
    <w:rsid w:val="00F96C3B"/>
    <w:rsid w:val="00F9780B"/>
    <w:rsid w:val="00F97ED1"/>
    <w:rsid w:val="00FA2D36"/>
    <w:rsid w:val="00FA6A82"/>
    <w:rsid w:val="00FA7573"/>
    <w:rsid w:val="00FB06DC"/>
    <w:rsid w:val="00FB28BD"/>
    <w:rsid w:val="00FB30BF"/>
    <w:rsid w:val="00FB65B2"/>
    <w:rsid w:val="00FC5083"/>
    <w:rsid w:val="00FC6182"/>
    <w:rsid w:val="00FC7195"/>
    <w:rsid w:val="00FC76DA"/>
    <w:rsid w:val="00FD3338"/>
    <w:rsid w:val="00FD5D90"/>
    <w:rsid w:val="00FD7FCC"/>
    <w:rsid w:val="00FE0B32"/>
    <w:rsid w:val="00FE17FE"/>
    <w:rsid w:val="00FE2FA6"/>
    <w:rsid w:val="00FE438A"/>
    <w:rsid w:val="00FE5113"/>
    <w:rsid w:val="00FE5F64"/>
    <w:rsid w:val="00FE739F"/>
    <w:rsid w:val="00FE7D52"/>
    <w:rsid w:val="00FF00DC"/>
    <w:rsid w:val="00FF2A90"/>
    <w:rsid w:val="00FF33CC"/>
    <w:rsid w:val="00FF55A1"/>
    <w:rsid w:val="00FF7DA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D256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141957"/>
    <w:pPr>
      <w:keepNext/>
      <w:suppressAutoHyphens/>
      <w:autoSpaceDN w:val="0"/>
      <w:spacing w:before="180" w:after="180" w:line="720" w:lineRule="atLeast"/>
      <w:ind w:leftChars="0" w:left="0" w:firstLineChars="0" w:firstLine="0"/>
      <w:textAlignment w:val="baseline"/>
      <w:outlineLvl w:val="0"/>
    </w:pPr>
    <w:rPr>
      <w:rFonts w:ascii="Cambria" w:eastAsia="新細明體" w:hAnsi="Cambria"/>
      <w:b/>
      <w:bCs/>
      <w:snapToGrid/>
      <w:kern w:val="3"/>
      <w:sz w:val="52"/>
      <w:szCs w:val="52"/>
    </w:rPr>
  </w:style>
  <w:style w:type="paragraph" w:styleId="2">
    <w:name w:val="heading 2"/>
    <w:basedOn w:val="a"/>
    <w:next w:val="a"/>
    <w:link w:val="20"/>
    <w:rsid w:val="00141957"/>
    <w:pPr>
      <w:keepNext/>
      <w:suppressAutoHyphens/>
      <w:autoSpaceDN w:val="0"/>
      <w:spacing w:line="720" w:lineRule="atLeast"/>
      <w:ind w:leftChars="0" w:left="0" w:firstLineChars="0" w:firstLine="0"/>
      <w:textAlignment w:val="baseline"/>
      <w:outlineLvl w:val="1"/>
    </w:pPr>
    <w:rPr>
      <w:rFonts w:ascii="Cambria" w:eastAsia="新細明體" w:hAnsi="Cambria"/>
      <w:b/>
      <w:bCs/>
      <w:snapToGrid/>
      <w:kern w:val="3"/>
      <w:sz w:val="48"/>
      <w:szCs w:val="48"/>
    </w:rPr>
  </w:style>
  <w:style w:type="paragraph" w:styleId="3">
    <w:name w:val="heading 3"/>
    <w:basedOn w:val="a"/>
    <w:next w:val="a"/>
    <w:link w:val="30"/>
    <w:rsid w:val="00141957"/>
    <w:pPr>
      <w:keepNext/>
      <w:suppressAutoHyphens/>
      <w:autoSpaceDN w:val="0"/>
      <w:spacing w:line="720" w:lineRule="atLeast"/>
      <w:ind w:leftChars="0" w:left="0" w:firstLineChars="0" w:firstLine="0"/>
      <w:textAlignment w:val="baseline"/>
      <w:outlineLvl w:val="2"/>
    </w:pPr>
    <w:rPr>
      <w:rFonts w:ascii="Cambria" w:eastAsia="新細明體" w:hAnsi="Cambria"/>
      <w:b/>
      <w:bCs/>
      <w:snapToGrid/>
      <w:kern w:val="3"/>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1E551F"/>
    <w:pPr>
      <w:spacing w:line="500" w:lineRule="exact"/>
      <w:ind w:left="567" w:hangingChars="200" w:hanging="567"/>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qFormat/>
    <w:rsid w:val="000E712B"/>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rsid w:val="004C72D0"/>
    <w:pPr>
      <w:spacing w:line="400" w:lineRule="exact"/>
    </w:pPr>
    <w:rPr>
      <w:b/>
      <w:sz w:val="28"/>
    </w:rPr>
  </w:style>
  <w:style w:type="character" w:customStyle="1" w:styleId="10">
    <w:name w:val="標題 1 字元"/>
    <w:link w:val="1"/>
    <w:rsid w:val="00141957"/>
    <w:rPr>
      <w:rFonts w:ascii="Cambria" w:hAnsi="Cambria"/>
      <w:b/>
      <w:bCs/>
      <w:kern w:val="3"/>
      <w:sz w:val="52"/>
      <w:szCs w:val="52"/>
    </w:rPr>
  </w:style>
  <w:style w:type="paragraph" w:styleId="a8">
    <w:name w:val="table of figures"/>
    <w:basedOn w:val="a"/>
    <w:next w:val="a"/>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18599F"/>
    <w:pPr>
      <w:tabs>
        <w:tab w:val="right" w:leader="hyphen" w:pos="8490"/>
      </w:tabs>
      <w:ind w:leftChars="1" w:left="489" w:rightChars="80" w:right="227" w:hangingChars="200" w:hanging="486"/>
    </w:pPr>
    <w:rPr>
      <w:noProof/>
      <w:sz w:val="24"/>
    </w:rPr>
  </w:style>
  <w:style w:type="paragraph" w:styleId="23">
    <w:name w:val="toc 2"/>
    <w:basedOn w:val="a"/>
    <w:next w:val="a"/>
    <w:autoRedefine/>
    <w:pPr>
      <w:tabs>
        <w:tab w:val="right" w:leader="hyphen" w:pos="8490"/>
      </w:tabs>
      <w:ind w:leftChars="0" w:left="566" w:hangingChars="200" w:hanging="566"/>
    </w:pPr>
  </w:style>
  <w:style w:type="character" w:customStyle="1" w:styleId="20">
    <w:name w:val="標題 2 字元"/>
    <w:link w:val="2"/>
    <w:rsid w:val="00141957"/>
    <w:rPr>
      <w:rFonts w:ascii="Cambria" w:hAnsi="Cambria"/>
      <w:b/>
      <w:bCs/>
      <w:kern w:val="3"/>
      <w:sz w:val="48"/>
      <w:szCs w:val="48"/>
    </w:rPr>
  </w:style>
  <w:style w:type="character" w:customStyle="1" w:styleId="30">
    <w:name w:val="標題 3 字元"/>
    <w:link w:val="3"/>
    <w:rsid w:val="00141957"/>
    <w:rPr>
      <w:rFonts w:ascii="Cambria" w:hAnsi="Cambria"/>
      <w:b/>
      <w:bCs/>
      <w:kern w:val="3"/>
      <w:sz w:val="36"/>
      <w:szCs w:val="36"/>
    </w:rPr>
  </w:style>
  <w:style w:type="numbering" w:customStyle="1" w:styleId="12">
    <w:name w:val="無清單1"/>
    <w:next w:val="a2"/>
    <w:uiPriority w:val="99"/>
    <w:semiHidden/>
    <w:unhideWhenUsed/>
    <w:rsid w:val="00141957"/>
  </w:style>
  <w:style w:type="character" w:customStyle="1" w:styleId="ac">
    <w:name w:val="(一)(二)(三) 字元"/>
    <w:rsid w:val="00141957"/>
    <w:rPr>
      <w:rFonts w:ascii="華康楷書體W5外字集" w:eastAsia="標楷體" w:hAnsi="華康楷書體W5外字集" w:cs="細明體_HKSCS"/>
      <w:kern w:val="3"/>
      <w:sz w:val="28"/>
      <w:szCs w:val="28"/>
    </w:rPr>
  </w:style>
  <w:style w:type="table" w:styleId="ad">
    <w:name w:val="Table Grid"/>
    <w:basedOn w:val="a1"/>
    <w:uiPriority w:val="59"/>
    <w:rsid w:val="00EC1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basedOn w:val="a"/>
    <w:link w:val="af"/>
    <w:semiHidden/>
    <w:unhideWhenUsed/>
    <w:rsid w:val="00BE5E07"/>
    <w:pPr>
      <w:snapToGrid w:val="0"/>
      <w:jc w:val="left"/>
    </w:pPr>
    <w:rPr>
      <w:sz w:val="20"/>
      <w:szCs w:val="20"/>
    </w:rPr>
  </w:style>
  <w:style w:type="character" w:customStyle="1" w:styleId="af">
    <w:name w:val="註腳文字 字元"/>
    <w:link w:val="ae"/>
    <w:semiHidden/>
    <w:rsid w:val="00BE5E07"/>
    <w:rPr>
      <w:rFonts w:ascii="標楷體" w:eastAsia="標楷體"/>
      <w:snapToGrid w:val="0"/>
      <w:kern w:val="2"/>
    </w:rPr>
  </w:style>
  <w:style w:type="character" w:customStyle="1" w:styleId="143">
    <w:name w:val="表格內文(14行高) 字元"/>
    <w:link w:val="142"/>
    <w:qFormat/>
    <w:locked/>
    <w:rsid w:val="00BF2B74"/>
    <w:rPr>
      <w:rFonts w:ascii="標楷體" w:eastAsia="標楷體"/>
      <w:snapToGrid w:val="0"/>
      <w:kern w:val="2"/>
      <w:sz w:val="24"/>
      <w:szCs w:val="28"/>
    </w:rPr>
  </w:style>
  <w:style w:type="character" w:styleId="af0">
    <w:name w:val="Hyperlink"/>
    <w:uiPriority w:val="99"/>
    <w:rsid w:val="00141957"/>
    <w:rPr>
      <w:color w:val="0000FF"/>
      <w:u w:val="single"/>
    </w:rPr>
  </w:style>
  <w:style w:type="character" w:customStyle="1" w:styleId="201">
    <w:name w:val="表格內文(20行高) 字元"/>
    <w:link w:val="200"/>
    <w:rsid w:val="004C72D0"/>
    <w:rPr>
      <w:rFonts w:ascii="標楷體" w:eastAsia="標楷體"/>
      <w:b/>
      <w:snapToGrid w:val="0"/>
      <w:kern w:val="2"/>
      <w:sz w:val="28"/>
      <w:szCs w:val="28"/>
    </w:rPr>
  </w:style>
  <w:style w:type="paragraph" w:customStyle="1" w:styleId="13">
    <w:name w:val="樣式1"/>
    <w:basedOn w:val="a"/>
    <w:link w:val="15"/>
    <w:qFormat/>
    <w:rsid w:val="0085357A"/>
    <w:pPr>
      <w:spacing w:line="480" w:lineRule="exact"/>
      <w:ind w:leftChars="0" w:hangingChars="200" w:hanging="200"/>
    </w:pPr>
    <w:rPr>
      <w:rFonts w:hAnsi="標楷體"/>
      <w:snapToGrid/>
    </w:rPr>
  </w:style>
  <w:style w:type="character" w:styleId="af1">
    <w:name w:val="footnote reference"/>
    <w:aliases w:val="FR,Ref,de nota al pie,註腳內容,Error-Fußnotenzeichen5,Error-Fußnotenzeichen6,Error-Fußnotenzeichen3"/>
    <w:rsid w:val="00141957"/>
    <w:rPr>
      <w:position w:val="0"/>
      <w:vertAlign w:val="superscript"/>
    </w:rPr>
  </w:style>
  <w:style w:type="character" w:customStyle="1" w:styleId="15">
    <w:name w:val="樣式1 字元"/>
    <w:link w:val="13"/>
    <w:rsid w:val="0085357A"/>
    <w:rPr>
      <w:rFonts w:ascii="標楷體" w:eastAsia="標楷體" w:hAnsi="標楷體"/>
      <w:kern w:val="2"/>
      <w:sz w:val="28"/>
      <w:szCs w:val="28"/>
    </w:rPr>
  </w:style>
  <w:style w:type="character" w:customStyle="1" w:styleId="1231">
    <w:name w:val="1.2.3. 字元"/>
    <w:rsid w:val="00141957"/>
    <w:rPr>
      <w:rFonts w:ascii="華康細明體外字集" w:eastAsia="標楷體" w:hAnsi="華康細明體外字集" w:cs="標楷體"/>
      <w:color w:val="000000"/>
      <w:kern w:val="3"/>
      <w:sz w:val="28"/>
      <w:szCs w:val="28"/>
    </w:rPr>
  </w:style>
  <w:style w:type="character" w:styleId="af2">
    <w:name w:val="annotation reference"/>
    <w:rsid w:val="00141957"/>
    <w:rPr>
      <w:sz w:val="18"/>
      <w:szCs w:val="18"/>
    </w:rPr>
  </w:style>
  <w:style w:type="paragraph" w:styleId="af3">
    <w:name w:val="Balloon Text"/>
    <w:basedOn w:val="a"/>
    <w:link w:val="af4"/>
    <w:rsid w:val="00141957"/>
    <w:pPr>
      <w:suppressAutoHyphens/>
      <w:autoSpaceDN w:val="0"/>
      <w:spacing w:line="240" w:lineRule="auto"/>
      <w:ind w:leftChars="0" w:left="0" w:firstLineChars="0" w:firstLine="0"/>
      <w:textAlignment w:val="baseline"/>
    </w:pPr>
    <w:rPr>
      <w:rFonts w:ascii="Cambria" w:eastAsia="新細明體" w:hAnsi="Cambria"/>
      <w:snapToGrid/>
      <w:kern w:val="3"/>
      <w:sz w:val="18"/>
      <w:szCs w:val="18"/>
    </w:rPr>
  </w:style>
  <w:style w:type="character" w:customStyle="1" w:styleId="af4">
    <w:name w:val="註解方塊文字 字元"/>
    <w:link w:val="af3"/>
    <w:rsid w:val="00141957"/>
    <w:rPr>
      <w:rFonts w:ascii="Cambria" w:hAnsi="Cambria"/>
      <w:kern w:val="3"/>
      <w:sz w:val="18"/>
      <w:szCs w:val="18"/>
    </w:rPr>
  </w:style>
  <w:style w:type="character" w:customStyle="1" w:styleId="22">
    <w:name w:val="(一)下內文縮2 字元"/>
    <w:link w:val="21"/>
    <w:rsid w:val="0078198E"/>
    <w:rPr>
      <w:rFonts w:ascii="標楷體" w:eastAsia="標楷體"/>
      <w:snapToGrid w:val="0"/>
      <w:kern w:val="2"/>
      <w:sz w:val="28"/>
      <w:szCs w:val="28"/>
    </w:rPr>
  </w:style>
  <w:style w:type="character" w:customStyle="1" w:styleId="140">
    <w:name w:val="第二層(14號字) 字元"/>
    <w:link w:val="14"/>
    <w:rsid w:val="008D1D57"/>
    <w:rPr>
      <w:rFonts w:ascii="標楷體" w:eastAsia="標楷體"/>
      <w:b/>
      <w:snapToGrid w:val="0"/>
      <w:kern w:val="2"/>
      <w:sz w:val="28"/>
    </w:rPr>
  </w:style>
  <w:style w:type="paragraph" w:styleId="af5">
    <w:name w:val="Body Text"/>
    <w:basedOn w:val="a"/>
    <w:link w:val="af6"/>
    <w:rsid w:val="00141957"/>
    <w:pPr>
      <w:suppressAutoHyphens/>
      <w:autoSpaceDN w:val="0"/>
      <w:spacing w:line="240" w:lineRule="auto"/>
      <w:ind w:leftChars="0" w:left="0" w:firstLineChars="0" w:firstLine="0"/>
      <w:jc w:val="left"/>
      <w:textAlignment w:val="baseline"/>
    </w:pPr>
    <w:rPr>
      <w:rFonts w:ascii="Times New Roman"/>
      <w:snapToGrid/>
      <w:kern w:val="3"/>
      <w:sz w:val="32"/>
      <w:szCs w:val="20"/>
    </w:rPr>
  </w:style>
  <w:style w:type="character" w:customStyle="1" w:styleId="af6">
    <w:name w:val="本文 字元"/>
    <w:link w:val="af5"/>
    <w:rsid w:val="00141957"/>
    <w:rPr>
      <w:rFonts w:eastAsia="標楷體"/>
      <w:kern w:val="3"/>
      <w:sz w:val="32"/>
    </w:rPr>
  </w:style>
  <w:style w:type="paragraph" w:styleId="af7">
    <w:name w:val="List Paragraph"/>
    <w:basedOn w:val="a"/>
    <w:uiPriority w:val="34"/>
    <w:qFormat/>
    <w:rsid w:val="00141957"/>
    <w:pPr>
      <w:suppressAutoHyphens/>
      <w:autoSpaceDN w:val="0"/>
      <w:spacing w:line="240" w:lineRule="auto"/>
      <w:ind w:leftChars="0" w:left="480" w:firstLineChars="0" w:firstLine="0"/>
      <w:jc w:val="left"/>
      <w:textAlignment w:val="baseline"/>
    </w:pPr>
    <w:rPr>
      <w:rFonts w:ascii="Calibri" w:eastAsia="新細明體" w:hAnsi="Calibri"/>
      <w:snapToGrid/>
      <w:kern w:val="3"/>
      <w:sz w:val="24"/>
      <w:szCs w:val="22"/>
    </w:rPr>
  </w:style>
  <w:style w:type="paragraph" w:styleId="af8">
    <w:name w:val="footer"/>
    <w:basedOn w:val="a"/>
    <w:link w:val="af9"/>
    <w:uiPriority w:val="99"/>
    <w:rsid w:val="00141957"/>
    <w:pPr>
      <w:widowControl/>
      <w:tabs>
        <w:tab w:val="center" w:pos="4680"/>
        <w:tab w:val="right" w:pos="9360"/>
      </w:tabs>
      <w:suppressAutoHyphens/>
      <w:autoSpaceDN w:val="0"/>
      <w:spacing w:line="240" w:lineRule="auto"/>
      <w:ind w:leftChars="0" w:left="0" w:firstLineChars="0" w:firstLine="0"/>
      <w:jc w:val="left"/>
      <w:textAlignment w:val="baseline"/>
    </w:pPr>
    <w:rPr>
      <w:rFonts w:ascii="Calibri" w:eastAsia="Calibri" w:hAnsi="Calibri"/>
      <w:snapToGrid/>
      <w:kern w:val="0"/>
      <w:sz w:val="21"/>
      <w:szCs w:val="21"/>
    </w:rPr>
  </w:style>
  <w:style w:type="character" w:customStyle="1" w:styleId="af9">
    <w:name w:val="頁尾 字元"/>
    <w:link w:val="af8"/>
    <w:uiPriority w:val="99"/>
    <w:rsid w:val="00141957"/>
    <w:rPr>
      <w:rFonts w:ascii="Calibri" w:eastAsia="Calibri" w:hAnsi="Calibri"/>
      <w:sz w:val="21"/>
      <w:szCs w:val="21"/>
    </w:rPr>
  </w:style>
  <w:style w:type="paragraph" w:styleId="afa">
    <w:name w:val="Date"/>
    <w:basedOn w:val="a"/>
    <w:next w:val="a"/>
    <w:link w:val="afb"/>
    <w:rsid w:val="00141957"/>
    <w:pPr>
      <w:suppressAutoHyphens/>
      <w:autoSpaceDN w:val="0"/>
      <w:spacing w:line="240" w:lineRule="auto"/>
      <w:ind w:leftChars="0" w:left="0" w:firstLineChars="0" w:firstLine="0"/>
      <w:jc w:val="right"/>
      <w:textAlignment w:val="baseline"/>
    </w:pPr>
    <w:rPr>
      <w:rFonts w:ascii="Times New Roman"/>
      <w:b/>
      <w:bCs/>
      <w:snapToGrid/>
      <w:kern w:val="3"/>
      <w:sz w:val="36"/>
      <w:szCs w:val="24"/>
    </w:rPr>
  </w:style>
  <w:style w:type="character" w:customStyle="1" w:styleId="afb">
    <w:name w:val="日期 字元"/>
    <w:link w:val="afa"/>
    <w:rsid w:val="00141957"/>
    <w:rPr>
      <w:rFonts w:eastAsia="標楷體"/>
      <w:b/>
      <w:bCs/>
      <w:kern w:val="3"/>
      <w:sz w:val="36"/>
      <w:szCs w:val="24"/>
    </w:rPr>
  </w:style>
  <w:style w:type="paragraph" w:styleId="afc">
    <w:name w:val="header"/>
    <w:basedOn w:val="a"/>
    <w:link w:val="afd"/>
    <w:uiPriority w:val="99"/>
    <w:unhideWhenUsed/>
    <w:rsid w:val="00141957"/>
    <w:pPr>
      <w:tabs>
        <w:tab w:val="center" w:pos="4153"/>
        <w:tab w:val="right" w:pos="8306"/>
      </w:tabs>
      <w:suppressAutoHyphens/>
      <w:autoSpaceDN w:val="0"/>
      <w:snapToGrid w:val="0"/>
      <w:ind w:leftChars="0" w:left="0" w:firstLineChars="0" w:firstLine="0"/>
      <w:textAlignment w:val="baseline"/>
    </w:pPr>
    <w:rPr>
      <w:rFonts w:hAnsi="標楷體"/>
      <w:snapToGrid/>
      <w:kern w:val="3"/>
      <w:sz w:val="20"/>
      <w:szCs w:val="20"/>
    </w:rPr>
  </w:style>
  <w:style w:type="character" w:customStyle="1" w:styleId="afd">
    <w:name w:val="頁首 字元"/>
    <w:link w:val="afc"/>
    <w:uiPriority w:val="99"/>
    <w:rsid w:val="00141957"/>
    <w:rPr>
      <w:rFonts w:ascii="標楷體" w:eastAsia="標楷體" w:hAnsi="標楷體"/>
      <w:kern w:val="3"/>
    </w:rPr>
  </w:style>
  <w:style w:type="paragraph" w:customStyle="1" w:styleId="afe">
    <w:name w:val="字元 字元"/>
    <w:basedOn w:val="a"/>
    <w:semiHidden/>
    <w:rsid w:val="006D06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
    <w:name w:val="annotation text"/>
    <w:basedOn w:val="a"/>
    <w:link w:val="aff0"/>
    <w:uiPriority w:val="99"/>
    <w:semiHidden/>
    <w:unhideWhenUsed/>
    <w:rsid w:val="00FE739F"/>
    <w:pPr>
      <w:jc w:val="left"/>
    </w:pPr>
  </w:style>
  <w:style w:type="character" w:customStyle="1" w:styleId="aff0">
    <w:name w:val="註解文字 字元"/>
    <w:link w:val="aff"/>
    <w:uiPriority w:val="99"/>
    <w:semiHidden/>
    <w:rsid w:val="00FE739F"/>
    <w:rPr>
      <w:rFonts w:ascii="標楷體" w:eastAsia="標楷體"/>
      <w:snapToGrid w:val="0"/>
      <w:kern w:val="2"/>
      <w:sz w:val="28"/>
      <w:szCs w:val="28"/>
    </w:rPr>
  </w:style>
  <w:style w:type="paragraph" w:styleId="aff1">
    <w:name w:val="annotation subject"/>
    <w:basedOn w:val="aff"/>
    <w:next w:val="aff"/>
    <w:link w:val="aff2"/>
    <w:uiPriority w:val="99"/>
    <w:semiHidden/>
    <w:unhideWhenUsed/>
    <w:rsid w:val="00FE739F"/>
    <w:rPr>
      <w:b/>
      <w:bCs/>
    </w:rPr>
  </w:style>
  <w:style w:type="character" w:customStyle="1" w:styleId="aff2">
    <w:name w:val="註解主旨 字元"/>
    <w:link w:val="aff1"/>
    <w:uiPriority w:val="99"/>
    <w:semiHidden/>
    <w:rsid w:val="00FE739F"/>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626913">
      <w:bodyDiv w:val="1"/>
      <w:marLeft w:val="0"/>
      <w:marRight w:val="0"/>
      <w:marTop w:val="0"/>
      <w:marBottom w:val="0"/>
      <w:divBdr>
        <w:top w:val="none" w:sz="0" w:space="0" w:color="auto"/>
        <w:left w:val="none" w:sz="0" w:space="0" w:color="auto"/>
        <w:bottom w:val="none" w:sz="0" w:space="0" w:color="auto"/>
        <w:right w:val="none" w:sz="0" w:space="0" w:color="auto"/>
      </w:divBdr>
    </w:div>
    <w:div w:id="197857629">
      <w:bodyDiv w:val="1"/>
      <w:marLeft w:val="0"/>
      <w:marRight w:val="0"/>
      <w:marTop w:val="0"/>
      <w:marBottom w:val="0"/>
      <w:divBdr>
        <w:top w:val="none" w:sz="0" w:space="0" w:color="auto"/>
        <w:left w:val="none" w:sz="0" w:space="0" w:color="auto"/>
        <w:bottom w:val="none" w:sz="0" w:space="0" w:color="auto"/>
        <w:right w:val="none" w:sz="0" w:space="0" w:color="auto"/>
      </w:divBdr>
    </w:div>
    <w:div w:id="215288297">
      <w:bodyDiv w:val="1"/>
      <w:marLeft w:val="0"/>
      <w:marRight w:val="0"/>
      <w:marTop w:val="0"/>
      <w:marBottom w:val="0"/>
      <w:divBdr>
        <w:top w:val="none" w:sz="0" w:space="0" w:color="auto"/>
        <w:left w:val="none" w:sz="0" w:space="0" w:color="auto"/>
        <w:bottom w:val="none" w:sz="0" w:space="0" w:color="auto"/>
        <w:right w:val="none" w:sz="0" w:space="0" w:color="auto"/>
      </w:divBdr>
    </w:div>
    <w:div w:id="263539491">
      <w:bodyDiv w:val="1"/>
      <w:marLeft w:val="0"/>
      <w:marRight w:val="0"/>
      <w:marTop w:val="0"/>
      <w:marBottom w:val="0"/>
      <w:divBdr>
        <w:top w:val="none" w:sz="0" w:space="0" w:color="auto"/>
        <w:left w:val="none" w:sz="0" w:space="0" w:color="auto"/>
        <w:bottom w:val="none" w:sz="0" w:space="0" w:color="auto"/>
        <w:right w:val="none" w:sz="0" w:space="0" w:color="auto"/>
      </w:divBdr>
    </w:div>
    <w:div w:id="350035263">
      <w:bodyDiv w:val="1"/>
      <w:marLeft w:val="0"/>
      <w:marRight w:val="0"/>
      <w:marTop w:val="0"/>
      <w:marBottom w:val="0"/>
      <w:divBdr>
        <w:top w:val="none" w:sz="0" w:space="0" w:color="auto"/>
        <w:left w:val="none" w:sz="0" w:space="0" w:color="auto"/>
        <w:bottom w:val="none" w:sz="0" w:space="0" w:color="auto"/>
        <w:right w:val="none" w:sz="0" w:space="0" w:color="auto"/>
      </w:divBdr>
    </w:div>
    <w:div w:id="595134917">
      <w:bodyDiv w:val="1"/>
      <w:marLeft w:val="0"/>
      <w:marRight w:val="0"/>
      <w:marTop w:val="0"/>
      <w:marBottom w:val="0"/>
      <w:divBdr>
        <w:top w:val="none" w:sz="0" w:space="0" w:color="auto"/>
        <w:left w:val="none" w:sz="0" w:space="0" w:color="auto"/>
        <w:bottom w:val="none" w:sz="0" w:space="0" w:color="auto"/>
        <w:right w:val="none" w:sz="0" w:space="0" w:color="auto"/>
      </w:divBdr>
    </w:div>
    <w:div w:id="721489443">
      <w:bodyDiv w:val="1"/>
      <w:marLeft w:val="0"/>
      <w:marRight w:val="0"/>
      <w:marTop w:val="0"/>
      <w:marBottom w:val="0"/>
      <w:divBdr>
        <w:top w:val="none" w:sz="0" w:space="0" w:color="auto"/>
        <w:left w:val="none" w:sz="0" w:space="0" w:color="auto"/>
        <w:bottom w:val="none" w:sz="0" w:space="0" w:color="auto"/>
        <w:right w:val="none" w:sz="0" w:space="0" w:color="auto"/>
      </w:divBdr>
    </w:div>
    <w:div w:id="766847535">
      <w:bodyDiv w:val="1"/>
      <w:marLeft w:val="0"/>
      <w:marRight w:val="0"/>
      <w:marTop w:val="0"/>
      <w:marBottom w:val="0"/>
      <w:divBdr>
        <w:top w:val="none" w:sz="0" w:space="0" w:color="auto"/>
        <w:left w:val="none" w:sz="0" w:space="0" w:color="auto"/>
        <w:bottom w:val="none" w:sz="0" w:space="0" w:color="auto"/>
        <w:right w:val="none" w:sz="0" w:space="0" w:color="auto"/>
      </w:divBdr>
    </w:div>
    <w:div w:id="794717729">
      <w:bodyDiv w:val="1"/>
      <w:marLeft w:val="0"/>
      <w:marRight w:val="0"/>
      <w:marTop w:val="0"/>
      <w:marBottom w:val="0"/>
      <w:divBdr>
        <w:top w:val="none" w:sz="0" w:space="0" w:color="auto"/>
        <w:left w:val="none" w:sz="0" w:space="0" w:color="auto"/>
        <w:bottom w:val="none" w:sz="0" w:space="0" w:color="auto"/>
        <w:right w:val="none" w:sz="0" w:space="0" w:color="auto"/>
      </w:divBdr>
    </w:div>
    <w:div w:id="1061171645">
      <w:bodyDiv w:val="1"/>
      <w:marLeft w:val="0"/>
      <w:marRight w:val="0"/>
      <w:marTop w:val="0"/>
      <w:marBottom w:val="0"/>
      <w:divBdr>
        <w:top w:val="none" w:sz="0" w:space="0" w:color="auto"/>
        <w:left w:val="none" w:sz="0" w:space="0" w:color="auto"/>
        <w:bottom w:val="none" w:sz="0" w:space="0" w:color="auto"/>
        <w:right w:val="none" w:sz="0" w:space="0" w:color="auto"/>
      </w:divBdr>
    </w:div>
    <w:div w:id="1206480763">
      <w:bodyDiv w:val="1"/>
      <w:marLeft w:val="0"/>
      <w:marRight w:val="0"/>
      <w:marTop w:val="0"/>
      <w:marBottom w:val="0"/>
      <w:divBdr>
        <w:top w:val="none" w:sz="0" w:space="0" w:color="auto"/>
        <w:left w:val="none" w:sz="0" w:space="0" w:color="auto"/>
        <w:bottom w:val="none" w:sz="0" w:space="0" w:color="auto"/>
        <w:right w:val="none" w:sz="0" w:space="0" w:color="auto"/>
      </w:divBdr>
    </w:div>
    <w:div w:id="1285847288">
      <w:bodyDiv w:val="1"/>
      <w:marLeft w:val="0"/>
      <w:marRight w:val="0"/>
      <w:marTop w:val="0"/>
      <w:marBottom w:val="0"/>
      <w:divBdr>
        <w:top w:val="none" w:sz="0" w:space="0" w:color="auto"/>
        <w:left w:val="none" w:sz="0" w:space="0" w:color="auto"/>
        <w:bottom w:val="none" w:sz="0" w:space="0" w:color="auto"/>
        <w:right w:val="none" w:sz="0" w:space="0" w:color="auto"/>
      </w:divBdr>
    </w:div>
    <w:div w:id="1490755729">
      <w:bodyDiv w:val="1"/>
      <w:marLeft w:val="0"/>
      <w:marRight w:val="0"/>
      <w:marTop w:val="0"/>
      <w:marBottom w:val="0"/>
      <w:divBdr>
        <w:top w:val="none" w:sz="0" w:space="0" w:color="auto"/>
        <w:left w:val="none" w:sz="0" w:space="0" w:color="auto"/>
        <w:bottom w:val="none" w:sz="0" w:space="0" w:color="auto"/>
        <w:right w:val="none" w:sz="0" w:space="0" w:color="auto"/>
      </w:divBdr>
    </w:div>
    <w:div w:id="1581480746">
      <w:bodyDiv w:val="1"/>
      <w:marLeft w:val="0"/>
      <w:marRight w:val="0"/>
      <w:marTop w:val="0"/>
      <w:marBottom w:val="0"/>
      <w:divBdr>
        <w:top w:val="none" w:sz="0" w:space="0" w:color="auto"/>
        <w:left w:val="none" w:sz="0" w:space="0" w:color="auto"/>
        <w:bottom w:val="none" w:sz="0" w:space="0" w:color="auto"/>
        <w:right w:val="none" w:sz="0" w:space="0" w:color="auto"/>
      </w:divBdr>
    </w:div>
    <w:div w:id="1700618967">
      <w:bodyDiv w:val="1"/>
      <w:marLeft w:val="0"/>
      <w:marRight w:val="0"/>
      <w:marTop w:val="0"/>
      <w:marBottom w:val="0"/>
      <w:divBdr>
        <w:top w:val="none" w:sz="0" w:space="0" w:color="auto"/>
        <w:left w:val="none" w:sz="0" w:space="0" w:color="auto"/>
        <w:bottom w:val="none" w:sz="0" w:space="0" w:color="auto"/>
        <w:right w:val="none" w:sz="0" w:space="0" w:color="auto"/>
      </w:divBdr>
    </w:div>
    <w:div w:id="1776902223">
      <w:bodyDiv w:val="1"/>
      <w:marLeft w:val="0"/>
      <w:marRight w:val="0"/>
      <w:marTop w:val="0"/>
      <w:marBottom w:val="0"/>
      <w:divBdr>
        <w:top w:val="none" w:sz="0" w:space="0" w:color="auto"/>
        <w:left w:val="none" w:sz="0" w:space="0" w:color="auto"/>
        <w:bottom w:val="none" w:sz="0" w:space="0" w:color="auto"/>
        <w:right w:val="none" w:sz="0" w:space="0" w:color="auto"/>
      </w:divBdr>
    </w:div>
    <w:div w:id="1832066328">
      <w:bodyDiv w:val="1"/>
      <w:marLeft w:val="0"/>
      <w:marRight w:val="0"/>
      <w:marTop w:val="0"/>
      <w:marBottom w:val="0"/>
      <w:divBdr>
        <w:top w:val="none" w:sz="0" w:space="0" w:color="auto"/>
        <w:left w:val="none" w:sz="0" w:space="0" w:color="auto"/>
        <w:bottom w:val="none" w:sz="0" w:space="0" w:color="auto"/>
        <w:right w:val="none" w:sz="0" w:space="0" w:color="auto"/>
      </w:divBdr>
    </w:div>
    <w:div w:id="1999117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C16BED-C0E0-4C8A-8476-42FF4988A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843</Words>
  <Characters>4807</Characters>
  <Application>Microsoft Office Word</Application>
  <DocSecurity>0</DocSecurity>
  <Lines>40</Lines>
  <Paragraphs>11</Paragraphs>
  <ScaleCrop>false</ScaleCrop>
  <LinksUpToDate>false</LinksUpToDate>
  <CharactersWithSpaces>5639</CharactersWithSpaces>
  <SharedDoc>false</SharedDoc>
  <HLinks>
    <vt:vector size="18" baseType="variant">
      <vt:variant>
        <vt:i4>1966132</vt:i4>
      </vt:variant>
      <vt:variant>
        <vt:i4>14</vt:i4>
      </vt:variant>
      <vt:variant>
        <vt:i4>0</vt:i4>
      </vt:variant>
      <vt:variant>
        <vt:i4>5</vt:i4>
      </vt:variant>
      <vt:variant>
        <vt:lpwstr/>
      </vt:variant>
      <vt:variant>
        <vt:lpwstr>_Toc195173722</vt:lpwstr>
      </vt:variant>
      <vt:variant>
        <vt:i4>1966132</vt:i4>
      </vt:variant>
      <vt:variant>
        <vt:i4>8</vt:i4>
      </vt:variant>
      <vt:variant>
        <vt:i4>0</vt:i4>
      </vt:variant>
      <vt:variant>
        <vt:i4>5</vt:i4>
      </vt:variant>
      <vt:variant>
        <vt:lpwstr/>
      </vt:variant>
      <vt:variant>
        <vt:lpwstr>_Toc195173721</vt:lpwstr>
      </vt:variant>
      <vt:variant>
        <vt:i4>1966132</vt:i4>
      </vt:variant>
      <vt:variant>
        <vt:i4>2</vt:i4>
      </vt:variant>
      <vt:variant>
        <vt:i4>0</vt:i4>
      </vt:variant>
      <vt:variant>
        <vt:i4>5</vt:i4>
      </vt:variant>
      <vt:variant>
        <vt:lpwstr/>
      </vt:variant>
      <vt:variant>
        <vt:lpwstr>_Toc195173720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2025-04-14T02:50:00Z</dcterms:created>
  <dcterms:modified xsi:type="dcterms:W3CDTF">2025-04-14T02:50:00Z</dcterms:modified>
</cp:coreProperties>
</file>