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610AF1" w:rsidRDefault="00541C00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610AF1">
        <w:rPr>
          <w:rFonts w:hAnsi="標楷體" w:hint="eastAsia"/>
          <w:color w:val="000000"/>
          <w:spacing w:val="-8"/>
        </w:rPr>
        <w:t>醫療財團法人病理發展基金會</w:t>
      </w:r>
      <w:r w:rsidR="00BB691A" w:rsidRPr="00610AF1">
        <w:rPr>
          <w:rFonts w:hAnsi="標楷體"/>
          <w:color w:val="000000"/>
          <w:spacing w:val="-8"/>
        </w:rPr>
        <w:t>11</w:t>
      </w:r>
      <w:r w:rsidR="0017294A">
        <w:rPr>
          <w:rFonts w:hAnsi="標楷體"/>
          <w:color w:val="000000"/>
          <w:spacing w:val="-8"/>
        </w:rPr>
        <w:t>4</w:t>
      </w:r>
      <w:r w:rsidRPr="00610AF1">
        <w:rPr>
          <w:rFonts w:hAnsi="標楷體" w:hint="eastAsia"/>
          <w:color w:val="000000"/>
          <w:spacing w:val="-8"/>
        </w:rPr>
        <w:t>年度</w:t>
      </w:r>
      <w:r w:rsidR="001E3738" w:rsidRPr="00610AF1">
        <w:rPr>
          <w:rFonts w:hAnsi="標楷體" w:hint="eastAsia"/>
          <w:color w:val="000000"/>
          <w:spacing w:val="-8"/>
        </w:rPr>
        <w:t>預算評估報告</w:t>
      </w:r>
    </w:p>
    <w:p w:rsidR="00BB691A" w:rsidRPr="00610AF1" w:rsidRDefault="0017294A" w:rsidP="00BB691A">
      <w:pPr>
        <w:pStyle w:val="a8"/>
        <w:ind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醫療財團法人病理發展基金會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以下簡稱病理基金會</w:t>
      </w:r>
      <w:r w:rsidRPr="0017294A">
        <w:rPr>
          <w:rFonts w:hAnsi="標楷體"/>
          <w:color w:val="000000"/>
        </w:rPr>
        <w:t>)</w:t>
      </w:r>
      <w:r w:rsidRPr="0017294A">
        <w:rPr>
          <w:rFonts w:hAnsi="標楷體" w:hint="eastAsia"/>
          <w:color w:val="000000"/>
        </w:rPr>
        <w:t>係依民法、醫療法等規定，由臺北市政府及臺北市瑠公農田水利會各捐助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億元所設立，其設立目的旨在加強國內病理檢驗服務與研究，以提高我國醫療水準。病理發展基金會</w:t>
      </w:r>
      <w:r w:rsidRPr="0017294A">
        <w:rPr>
          <w:rFonts w:hAnsi="標楷體"/>
          <w:color w:val="000000"/>
        </w:rPr>
        <w:t>114</w:t>
      </w:r>
      <w:r w:rsidRPr="0017294A">
        <w:rPr>
          <w:rFonts w:hAnsi="標楷體" w:hint="eastAsia"/>
          <w:color w:val="000000"/>
        </w:rPr>
        <w:t>年度預算案編列收入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="00FF79A2">
        <w:rPr>
          <w:rFonts w:hAnsi="標楷體" w:hint="eastAsia"/>
          <w:color w:val="000000"/>
        </w:rPr>
        <w:t>4</w:t>
      </w:r>
      <w:r w:rsidR="00FF79A2">
        <w:rPr>
          <w:rFonts w:hAnsi="標楷體"/>
          <w:color w:val="000000"/>
        </w:rPr>
        <w:t>,333</w:t>
      </w:r>
      <w:r w:rsidRPr="0017294A">
        <w:rPr>
          <w:rFonts w:hAnsi="標楷體" w:hint="eastAsia"/>
          <w:color w:val="000000"/>
        </w:rPr>
        <w:t>萬</w:t>
      </w:r>
      <w:r w:rsidR="00FF79A2">
        <w:rPr>
          <w:rFonts w:hAnsi="標楷體"/>
          <w:color w:val="000000"/>
        </w:rPr>
        <w:t>9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0.37%)</w:t>
      </w:r>
      <w:r w:rsidRPr="0017294A">
        <w:rPr>
          <w:rFonts w:hAnsi="標楷體" w:hint="eastAsia"/>
          <w:color w:val="000000"/>
        </w:rPr>
        <w:t>；支出編列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Pr="0017294A">
        <w:rPr>
          <w:rFonts w:hAnsi="標楷體"/>
          <w:color w:val="000000"/>
        </w:rPr>
        <w:t>3,320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1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0.38%)</w:t>
      </w:r>
      <w:r w:rsidRPr="0017294A">
        <w:rPr>
          <w:rFonts w:hAnsi="標楷體" w:hint="eastAsia"/>
          <w:color w:val="000000"/>
        </w:rPr>
        <w:t>；收支相抵後預計賸餘</w:t>
      </w:r>
      <w:r w:rsidRPr="0017294A">
        <w:rPr>
          <w:rFonts w:hAnsi="標楷體"/>
          <w:color w:val="000000"/>
        </w:rPr>
        <w:t>1‚013</w:t>
      </w:r>
      <w:r w:rsidRPr="0017294A">
        <w:rPr>
          <w:rFonts w:hAnsi="標楷體" w:hint="eastAsia"/>
          <w:color w:val="000000"/>
        </w:rPr>
        <w:t>萬元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0.04%)</w:t>
      </w:r>
      <w:r w:rsidRPr="0017294A">
        <w:rPr>
          <w:rFonts w:hAnsi="標楷體" w:hint="eastAsia"/>
          <w:color w:val="000000"/>
        </w:rPr>
        <w:t>，主要係利息收入增加及解剖病理部收入減</w:t>
      </w:r>
      <w:r w:rsidR="008975F2">
        <w:rPr>
          <w:rFonts w:hAnsi="標楷體" w:hint="eastAsia"/>
          <w:color w:val="000000"/>
        </w:rPr>
        <w:t>少</w:t>
      </w:r>
      <w:r w:rsidRPr="0017294A">
        <w:rPr>
          <w:rFonts w:hAnsi="標楷體" w:hint="eastAsia"/>
          <w:color w:val="000000"/>
        </w:rPr>
        <w:t>增減互抵所致。謹就該基金會114年度預算案評估如次：</w:t>
      </w:r>
    </w:p>
    <w:p w:rsidR="00BB691A" w:rsidRPr="00610AF1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1" w:name="_Toc115337435"/>
      <w:bookmarkStart w:id="2" w:name="_Toc195626527"/>
      <w:r w:rsidRPr="00610AF1">
        <w:rPr>
          <w:rFonts w:hAnsi="標楷體" w:hint="eastAsia"/>
          <w:color w:val="000000"/>
        </w:rPr>
        <w:t>一、</w:t>
      </w:r>
      <w:bookmarkEnd w:id="1"/>
      <w:r w:rsidR="0017294A" w:rsidRPr="0017294A">
        <w:rPr>
          <w:rFonts w:hAnsi="標楷體" w:hint="eastAsia"/>
          <w:color w:val="000000"/>
        </w:rPr>
        <w:t>近年收支營運表本期賸餘預算之編列與執行結果差距甚大，</w:t>
      </w:r>
      <w:r w:rsidR="0068170C">
        <w:rPr>
          <w:rFonts w:hAnsi="標楷體" w:hint="eastAsia"/>
          <w:color w:val="000000"/>
        </w:rPr>
        <w:t>預算數顯</w:t>
      </w:r>
      <w:r w:rsidR="0017294A" w:rsidRPr="0017294A">
        <w:rPr>
          <w:rFonts w:hAnsi="標楷體" w:hint="eastAsia"/>
          <w:color w:val="000000"/>
        </w:rPr>
        <w:t>有低估之虞，</w:t>
      </w:r>
      <w:r w:rsidR="00EA3193" w:rsidRPr="00EA3193">
        <w:rPr>
          <w:rFonts w:hAnsi="標楷體" w:hint="eastAsia"/>
          <w:color w:val="000000"/>
        </w:rPr>
        <w:t>允依業務實際需求覈實編列預算</w:t>
      </w:r>
      <w:bookmarkEnd w:id="2"/>
    </w:p>
    <w:p w:rsidR="00BB691A" w:rsidRPr="00610AF1" w:rsidRDefault="0017294A" w:rsidP="00BB691A">
      <w:pPr>
        <w:ind w:left="566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病理基金會114年度預算案編列本期賸餘1,013萬4千元，較113年度預算1,013萬元增加4千元，增幅僅0.04%。然而，該會近年</w:t>
      </w:r>
      <w:r w:rsidR="004B46E5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執行結果均產生大幅盈餘，遠超過當年度編列之預算數。茲說明如下：</w:t>
      </w:r>
    </w:p>
    <w:p w:rsidR="00BB691A" w:rsidRPr="00610AF1" w:rsidRDefault="00BB691A" w:rsidP="00BB691A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(一)</w:t>
      </w:r>
      <w:r w:rsidR="0017294A" w:rsidRPr="0017294A">
        <w:rPr>
          <w:rFonts w:hAnsi="標楷體" w:hint="eastAsia"/>
          <w:b/>
          <w:color w:val="000000"/>
        </w:rPr>
        <w:t>依財團法人預算</w:t>
      </w:r>
      <w:r w:rsidR="006C6526">
        <w:rPr>
          <w:rFonts w:hAnsi="標楷體" w:hint="eastAsia"/>
          <w:b/>
          <w:color w:val="000000"/>
        </w:rPr>
        <w:t>及財務報告</w:t>
      </w:r>
      <w:r w:rsidR="0017294A" w:rsidRPr="0017294A">
        <w:rPr>
          <w:rFonts w:hAnsi="標楷體" w:hint="eastAsia"/>
          <w:b/>
          <w:color w:val="000000"/>
        </w:rPr>
        <w:t>編製</w:t>
      </w:r>
      <w:r w:rsidR="006C6526">
        <w:rPr>
          <w:rFonts w:hAnsi="標楷體" w:hint="eastAsia"/>
          <w:b/>
          <w:color w:val="000000"/>
        </w:rPr>
        <w:t>之</w:t>
      </w:r>
      <w:r w:rsidR="0017294A" w:rsidRPr="0017294A">
        <w:rPr>
          <w:rFonts w:hAnsi="標楷體" w:hint="eastAsia"/>
          <w:b/>
          <w:color w:val="000000"/>
        </w:rPr>
        <w:t>相關規定</w:t>
      </w:r>
      <w:r w:rsidR="006C6526">
        <w:rPr>
          <w:rFonts w:hAnsi="標楷體" w:hint="eastAsia"/>
          <w:b/>
          <w:color w:val="000000"/>
        </w:rPr>
        <w:t>，會計年度開始前應訂定工作計畫編列預算，且</w:t>
      </w:r>
      <w:r w:rsidR="005004B0" w:rsidRPr="005004B0">
        <w:rPr>
          <w:rFonts w:hAnsi="標楷體" w:hint="eastAsia"/>
          <w:b/>
          <w:color w:val="000000"/>
        </w:rPr>
        <w:t>財務報告之內容應能公允表達醫療法人之財務狀況</w:t>
      </w:r>
    </w:p>
    <w:p w:rsidR="0017294A" w:rsidRPr="001B0AF1" w:rsidRDefault="0017294A" w:rsidP="00BE4630">
      <w:pPr>
        <w:pStyle w:val="2"/>
        <w:ind w:left="850" w:firstLine="566"/>
        <w:rPr>
          <w:rFonts w:hAnsi="標楷體" w:hint="eastAsia"/>
          <w:color w:val="000000"/>
        </w:rPr>
      </w:pPr>
      <w:r w:rsidRPr="001B0AF1">
        <w:rPr>
          <w:rFonts w:hAnsi="標楷體" w:hint="eastAsia"/>
          <w:color w:val="000000"/>
        </w:rPr>
        <w:t>依財團法人法第55條規定：「政府捐助之財團法人之會計年度，應與政府會計年度一致。關於預算、決算之編審，除依下列程序辦理外，並依預算法、決算法及相關法令規定辦理。一、會計年度開始前，應訂定工作計畫，編列預算提經董事會通過後，報請主管機關辦理。…」</w:t>
      </w:r>
      <w:r w:rsidR="004B46E5">
        <w:rPr>
          <w:rFonts w:hAnsi="標楷體" w:hint="eastAsia"/>
          <w:color w:val="000000"/>
        </w:rPr>
        <w:t>，</w:t>
      </w:r>
      <w:r w:rsidR="00BE4630">
        <w:rPr>
          <w:rFonts w:hAnsi="標楷體" w:hint="eastAsia"/>
          <w:color w:val="000000"/>
        </w:rPr>
        <w:t>復依</w:t>
      </w:r>
      <w:r w:rsidR="00D71AE2" w:rsidRPr="00D71AE2">
        <w:rPr>
          <w:rFonts w:hAnsi="標楷體" w:hint="eastAsia"/>
          <w:color w:val="000000"/>
        </w:rPr>
        <w:t>醫療法人財務報告編製準則第</w:t>
      </w:r>
      <w:r w:rsidR="00D71AE2">
        <w:rPr>
          <w:rFonts w:hAnsi="標楷體" w:hint="eastAsia"/>
          <w:color w:val="000000"/>
        </w:rPr>
        <w:t>6</w:t>
      </w:r>
      <w:r w:rsidR="00D71AE2" w:rsidRPr="00D71AE2">
        <w:rPr>
          <w:rFonts w:hAnsi="標楷體" w:hint="eastAsia"/>
          <w:color w:val="000000"/>
        </w:rPr>
        <w:t>條之規定</w:t>
      </w:r>
      <w:r w:rsidR="00BE4630">
        <w:rPr>
          <w:rFonts w:hAnsi="標楷體" w:hint="eastAsia"/>
          <w:color w:val="000000"/>
        </w:rPr>
        <w:t>略以</w:t>
      </w:r>
      <w:r w:rsidR="00D71AE2" w:rsidRPr="00D71AE2">
        <w:rPr>
          <w:rFonts w:hAnsi="標楷體" w:hint="eastAsia"/>
          <w:color w:val="000000"/>
        </w:rPr>
        <w:t>，</w:t>
      </w:r>
      <w:r w:rsidR="00BE4630" w:rsidRPr="00BE4630">
        <w:rPr>
          <w:rFonts w:hAnsi="標楷體" w:hint="eastAsia"/>
          <w:color w:val="000000"/>
        </w:rPr>
        <w:t>財務報告之內容應能公允表達醫療法人之財務狀況、經營結果及現金流量，並不致誤導利害關係人</w:t>
      </w:r>
      <w:r w:rsidR="00BE4630" w:rsidRPr="00BE4630">
        <w:rPr>
          <w:rFonts w:hAnsi="標楷體" w:hint="eastAsia"/>
          <w:color w:val="000000"/>
        </w:rPr>
        <w:lastRenderedPageBreak/>
        <w:t>之判斷及決策。</w:t>
      </w:r>
      <w:r w:rsidRPr="001B0AF1">
        <w:rPr>
          <w:rFonts w:hAnsi="標楷體" w:hint="eastAsia"/>
          <w:color w:val="000000"/>
        </w:rPr>
        <w:t>爰財團法人應於會計年度開始前訂定工作計畫，並</w:t>
      </w:r>
      <w:r w:rsidR="004B46E5">
        <w:rPr>
          <w:rFonts w:hAnsi="標楷體" w:hint="eastAsia"/>
          <w:color w:val="000000"/>
        </w:rPr>
        <w:t>依預算法等相關法令規定</w:t>
      </w:r>
      <w:r w:rsidRPr="001B0AF1">
        <w:rPr>
          <w:rFonts w:hAnsi="標楷體" w:hint="eastAsia"/>
          <w:color w:val="000000"/>
        </w:rPr>
        <w:t>審慎規劃財務資源，合理編列各項預算，以</w:t>
      </w:r>
      <w:r w:rsidR="008B71EC">
        <w:rPr>
          <w:rFonts w:hAnsi="標楷體" w:hint="eastAsia"/>
          <w:color w:val="000000"/>
        </w:rPr>
        <w:t>忠實表達</w:t>
      </w:r>
      <w:r w:rsidRPr="001B0AF1">
        <w:rPr>
          <w:rFonts w:hAnsi="標楷體" w:hint="eastAsia"/>
          <w:color w:val="000000"/>
        </w:rPr>
        <w:t>財務</w:t>
      </w:r>
      <w:r w:rsidR="008B71EC">
        <w:rPr>
          <w:rFonts w:hAnsi="標楷體" w:hint="eastAsia"/>
          <w:color w:val="000000"/>
        </w:rPr>
        <w:t>情形提供外界運用</w:t>
      </w:r>
      <w:r w:rsidRPr="001B0AF1">
        <w:rPr>
          <w:rFonts w:hAnsi="標楷體" w:hint="eastAsia"/>
          <w:color w:val="000000"/>
        </w:rPr>
        <w:t>。</w:t>
      </w:r>
    </w:p>
    <w:p w:rsidR="00BB691A" w:rsidRPr="00610AF1" w:rsidRDefault="00BB691A" w:rsidP="00BB691A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(二)</w:t>
      </w:r>
      <w:r w:rsidR="0017294A" w:rsidRPr="0017294A">
        <w:rPr>
          <w:rFonts w:hAnsi="標楷體" w:hint="eastAsia"/>
          <w:b/>
          <w:color w:val="000000"/>
        </w:rPr>
        <w:t>109至11</w:t>
      </w:r>
      <w:r w:rsidR="006C6526">
        <w:rPr>
          <w:rFonts w:hAnsi="標楷體" w:hint="eastAsia"/>
          <w:b/>
          <w:color w:val="000000"/>
        </w:rPr>
        <w:t>3</w:t>
      </w:r>
      <w:r w:rsidR="0017294A" w:rsidRPr="0017294A">
        <w:rPr>
          <w:rFonts w:hAnsi="標楷體" w:hint="eastAsia"/>
          <w:b/>
          <w:color w:val="000000"/>
        </w:rPr>
        <w:t>年度本期賸餘</w:t>
      </w:r>
      <w:r w:rsidR="0068170C" w:rsidRPr="0017294A">
        <w:rPr>
          <w:rFonts w:hAnsi="標楷體" w:hint="eastAsia"/>
          <w:b/>
          <w:color w:val="000000"/>
        </w:rPr>
        <w:t>決算</w:t>
      </w:r>
      <w:r w:rsidR="0017294A" w:rsidRPr="0017294A">
        <w:rPr>
          <w:rFonts w:hAnsi="標楷體" w:hint="eastAsia"/>
          <w:b/>
          <w:color w:val="000000"/>
        </w:rPr>
        <w:t>較預算之增幅近1倍，預算編列與執行存有顯著落差</w:t>
      </w:r>
    </w:p>
    <w:p w:rsidR="0017294A" w:rsidRPr="0017294A" w:rsidRDefault="0017294A" w:rsidP="0017294A">
      <w:pPr>
        <w:pStyle w:val="2"/>
        <w:ind w:left="850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病理基金會近年收支營運表之本期賸餘預、決算數情形（詳表1），109至</w:t>
      </w:r>
      <w:r w:rsidR="006C6526" w:rsidRPr="0017294A">
        <w:rPr>
          <w:rFonts w:hAnsi="標楷體" w:hint="eastAsia"/>
          <w:color w:val="000000"/>
        </w:rPr>
        <w:t>1</w:t>
      </w:r>
      <w:r w:rsidR="006C6526" w:rsidRPr="0017294A">
        <w:rPr>
          <w:rFonts w:hAnsi="標楷體"/>
          <w:color w:val="000000"/>
        </w:rPr>
        <w:t>1</w:t>
      </w:r>
      <w:r w:rsidR="006C6526">
        <w:rPr>
          <w:rFonts w:hAnsi="標楷體" w:hint="eastAsia"/>
          <w:color w:val="000000"/>
        </w:rPr>
        <w:t>3</w:t>
      </w:r>
      <w:r w:rsidRPr="0017294A">
        <w:rPr>
          <w:rFonts w:hAnsi="標楷體" w:hint="eastAsia"/>
          <w:color w:val="000000"/>
        </w:rPr>
        <w:t>年度預算數介於</w:t>
      </w:r>
      <w:r w:rsidRPr="0017294A">
        <w:rPr>
          <w:rFonts w:hAnsi="標楷體"/>
          <w:color w:val="000000"/>
        </w:rPr>
        <w:t>67</w:t>
      </w:r>
      <w:r w:rsidR="000D77B0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萬</w:t>
      </w:r>
      <w:r w:rsidR="000D77B0">
        <w:rPr>
          <w:rFonts w:hAnsi="標楷體" w:hint="eastAsia"/>
          <w:color w:val="000000"/>
        </w:rPr>
        <w:t>7</w:t>
      </w:r>
      <w:r w:rsidR="000D77B0" w:rsidRPr="0017294A">
        <w:rPr>
          <w:rFonts w:hAnsi="標楷體" w:hint="eastAsia"/>
          <w:color w:val="000000"/>
        </w:rPr>
        <w:t>千</w:t>
      </w:r>
      <w:r w:rsidRPr="0017294A">
        <w:rPr>
          <w:rFonts w:hAnsi="標楷體" w:hint="eastAsia"/>
          <w:color w:val="000000"/>
        </w:rPr>
        <w:t>元至</w:t>
      </w:r>
      <w:r w:rsidR="006C6526">
        <w:rPr>
          <w:rFonts w:hAnsi="標楷體"/>
          <w:color w:val="000000"/>
        </w:rPr>
        <w:t>1,013</w:t>
      </w:r>
      <w:r w:rsidRPr="0017294A">
        <w:rPr>
          <w:rFonts w:hAnsi="標楷體" w:hint="eastAsia"/>
          <w:color w:val="000000"/>
        </w:rPr>
        <w:t>萬元間，決算則介於1</w:t>
      </w:r>
      <w:r w:rsidRPr="0017294A">
        <w:rPr>
          <w:rFonts w:hAnsi="標楷體"/>
          <w:color w:val="000000"/>
        </w:rPr>
        <w:t>,389</w:t>
      </w:r>
      <w:r w:rsidRPr="0017294A">
        <w:rPr>
          <w:rFonts w:hAnsi="標楷體" w:hint="eastAsia"/>
          <w:color w:val="000000"/>
        </w:rPr>
        <w:t>萬9千元至2</w:t>
      </w:r>
      <w:r w:rsidRPr="0017294A">
        <w:rPr>
          <w:rFonts w:hAnsi="標楷體"/>
          <w:color w:val="000000"/>
        </w:rPr>
        <w:t>,921萬</w:t>
      </w:r>
      <w:r w:rsidRPr="0017294A">
        <w:rPr>
          <w:rFonts w:hAnsi="標楷體" w:hint="eastAsia"/>
          <w:color w:val="000000"/>
        </w:rPr>
        <w:t>7千元間，決算</w:t>
      </w:r>
      <w:r w:rsidR="006C6526">
        <w:rPr>
          <w:rFonts w:hAnsi="標楷體" w:hint="eastAsia"/>
          <w:color w:val="000000"/>
        </w:rPr>
        <w:t>高</w:t>
      </w:r>
      <w:r w:rsidRPr="0017294A">
        <w:rPr>
          <w:rFonts w:hAnsi="標楷體" w:hint="eastAsia"/>
          <w:color w:val="000000"/>
        </w:rPr>
        <w:t>於預算數</w:t>
      </w:r>
      <w:r w:rsidR="006C6526">
        <w:rPr>
          <w:rFonts w:hAnsi="標楷體" w:hint="eastAsia"/>
          <w:color w:val="000000"/>
        </w:rPr>
        <w:t>之</w:t>
      </w:r>
      <w:r w:rsidRPr="0017294A">
        <w:rPr>
          <w:rFonts w:hAnsi="標楷體" w:hint="eastAsia"/>
          <w:color w:val="000000"/>
        </w:rPr>
        <w:t>幅</w:t>
      </w:r>
      <w:r w:rsidR="006C6526">
        <w:rPr>
          <w:rFonts w:hAnsi="標楷體" w:hint="eastAsia"/>
          <w:color w:val="000000"/>
        </w:rPr>
        <w:t>度</w:t>
      </w:r>
      <w:r w:rsidRPr="0017294A">
        <w:rPr>
          <w:rFonts w:hAnsi="標楷體" w:hint="eastAsia"/>
          <w:color w:val="000000"/>
        </w:rPr>
        <w:t>介於7</w:t>
      </w:r>
      <w:r w:rsidRPr="0017294A">
        <w:rPr>
          <w:rFonts w:hAnsi="標楷體"/>
          <w:color w:val="000000"/>
        </w:rPr>
        <w:t>3.3</w:t>
      </w:r>
      <w:r w:rsidRPr="0017294A">
        <w:rPr>
          <w:rFonts w:hAnsi="標楷體" w:hint="eastAsia"/>
          <w:color w:val="000000"/>
        </w:rPr>
        <w:t>%至1</w:t>
      </w:r>
      <w:r w:rsidRPr="0017294A">
        <w:rPr>
          <w:rFonts w:hAnsi="標楷體"/>
          <w:color w:val="000000"/>
        </w:rPr>
        <w:t>98.47</w:t>
      </w:r>
      <w:r w:rsidRPr="0017294A">
        <w:rPr>
          <w:rFonts w:hAnsi="標楷體" w:hint="eastAsia"/>
          <w:color w:val="000000"/>
        </w:rPr>
        <w:t>%</w:t>
      </w:r>
      <w:r w:rsidR="006C6526" w:rsidRPr="0017294A">
        <w:rPr>
          <w:rFonts w:hAnsi="標楷體" w:hint="eastAsia"/>
          <w:color w:val="000000"/>
        </w:rPr>
        <w:t>間</w:t>
      </w:r>
      <w:r w:rsidRPr="0017294A">
        <w:rPr>
          <w:rFonts w:hAnsi="標楷體" w:hint="eastAsia"/>
          <w:color w:val="000000"/>
        </w:rPr>
        <w:t>，</w:t>
      </w:r>
      <w:r w:rsidRPr="0017294A">
        <w:rPr>
          <w:rFonts w:hAnsi="標楷體"/>
          <w:color w:val="000000"/>
        </w:rPr>
        <w:t>近</w:t>
      </w:r>
      <w:r w:rsidR="006C6526">
        <w:rPr>
          <w:rFonts w:hAnsi="標楷體"/>
          <w:color w:val="000000"/>
        </w:rPr>
        <w:t>5</w:t>
      </w:r>
      <w:r w:rsidRPr="0017294A">
        <w:rPr>
          <w:rFonts w:hAnsi="標楷體"/>
          <w:color w:val="000000"/>
        </w:rPr>
        <w:t>年</w:t>
      </w:r>
      <w:r w:rsidR="006C6526">
        <w:rPr>
          <w:rFonts w:hAnsi="標楷體" w:hint="eastAsia"/>
          <w:color w:val="000000"/>
        </w:rPr>
        <w:t>(</w:t>
      </w:r>
      <w:r w:rsidR="006C6526">
        <w:rPr>
          <w:rFonts w:hAnsi="標楷體"/>
          <w:color w:val="000000"/>
        </w:rPr>
        <w:t>109</w:t>
      </w:r>
      <w:r w:rsidR="006C6526">
        <w:rPr>
          <w:rFonts w:hAnsi="標楷體" w:hint="eastAsia"/>
          <w:color w:val="000000"/>
        </w:rPr>
        <w:t>至1</w:t>
      </w:r>
      <w:r w:rsidR="006C6526">
        <w:rPr>
          <w:rFonts w:hAnsi="標楷體"/>
          <w:color w:val="000000"/>
        </w:rPr>
        <w:t>13</w:t>
      </w:r>
      <w:r w:rsidR="006C6526">
        <w:rPr>
          <w:rFonts w:hAnsi="標楷體" w:hint="eastAsia"/>
          <w:color w:val="000000"/>
        </w:rPr>
        <w:t>年度</w:t>
      </w:r>
      <w:r w:rsidR="006C6526">
        <w:rPr>
          <w:rFonts w:hAnsi="標楷體"/>
          <w:color w:val="000000"/>
        </w:rPr>
        <w:t>)</w:t>
      </w:r>
      <w:r w:rsidRPr="0017294A">
        <w:rPr>
          <w:rFonts w:hAnsi="標楷體"/>
          <w:color w:val="000000"/>
        </w:rPr>
        <w:t>來決算皆大幅超出預算編列數，</w:t>
      </w:r>
      <w:r w:rsidRPr="0017294A">
        <w:rPr>
          <w:rFonts w:hAnsi="標楷體" w:hint="eastAsia"/>
          <w:color w:val="000000"/>
        </w:rPr>
        <w:t>每年增幅均超過7成，顯示預算編列與執行存有相當落差，</w:t>
      </w:r>
      <w:r w:rsidR="006C6526">
        <w:rPr>
          <w:rFonts w:hAnsi="標楷體" w:hint="eastAsia"/>
          <w:color w:val="000000"/>
        </w:rPr>
        <w:t>然1</w:t>
      </w:r>
      <w:r w:rsidR="006C6526">
        <w:rPr>
          <w:rFonts w:hAnsi="標楷體"/>
          <w:color w:val="000000"/>
        </w:rPr>
        <w:t>14</w:t>
      </w:r>
      <w:r w:rsidR="006C6526">
        <w:rPr>
          <w:rFonts w:hAnsi="標楷體" w:hint="eastAsia"/>
          <w:color w:val="000000"/>
        </w:rPr>
        <w:t>年度預算案</w:t>
      </w:r>
      <w:r w:rsidR="006C6526" w:rsidRPr="006C6526">
        <w:rPr>
          <w:rFonts w:hAnsi="標楷體" w:hint="eastAsia"/>
          <w:color w:val="000000"/>
        </w:rPr>
        <w:t>本期賸餘</w:t>
      </w:r>
      <w:r w:rsidR="006C6526">
        <w:rPr>
          <w:rFonts w:hAnsi="標楷體" w:hint="eastAsia"/>
          <w:color w:val="000000"/>
        </w:rPr>
        <w:t>編列1</w:t>
      </w:r>
      <w:r w:rsidR="006C6526">
        <w:rPr>
          <w:rFonts w:hAnsi="標楷體"/>
          <w:color w:val="000000"/>
        </w:rPr>
        <w:t>,013</w:t>
      </w:r>
      <w:r w:rsidR="006C6526">
        <w:rPr>
          <w:rFonts w:hAnsi="標楷體" w:hint="eastAsia"/>
          <w:color w:val="000000"/>
        </w:rPr>
        <w:t>萬4千元，遠低於近5年決算數，</w:t>
      </w:r>
      <w:r w:rsidRPr="0017294A">
        <w:rPr>
          <w:rFonts w:hAnsi="標楷體" w:hint="eastAsia"/>
          <w:color w:val="000000"/>
        </w:rPr>
        <w:t>允宜參考以前年度</w:t>
      </w:r>
      <w:r w:rsidR="006C6526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</w:t>
      </w:r>
      <w:r w:rsidR="006C6526">
        <w:rPr>
          <w:rFonts w:hAnsi="標楷體" w:hint="eastAsia"/>
          <w:color w:val="000000"/>
        </w:rPr>
        <w:t>成效</w:t>
      </w:r>
      <w:r w:rsidRPr="0017294A">
        <w:rPr>
          <w:rFonts w:hAnsi="標楷體" w:hint="eastAsia"/>
          <w:color w:val="000000"/>
        </w:rPr>
        <w:t>，並詳實評估未來狀況，覈實編列年度收支營運表預算。</w:t>
      </w:r>
    </w:p>
    <w:p w:rsidR="0017294A" w:rsidRPr="006C4045" w:rsidRDefault="0017294A" w:rsidP="0017294A">
      <w:pPr>
        <w:pStyle w:val="20"/>
        <w:spacing w:beforeLines="20" w:before="100"/>
        <w:ind w:leftChars="50" w:left="142"/>
        <w:rPr>
          <w:rFonts w:hAnsi="標楷體"/>
          <w:b/>
          <w:snapToGrid/>
          <w:spacing w:val="-5"/>
          <w:kern w:val="0"/>
          <w:sz w:val="28"/>
          <w:szCs w:val="26"/>
        </w:rPr>
      </w:pPr>
      <w:r w:rsidRPr="006C4045">
        <w:rPr>
          <w:rFonts w:hAnsi="標楷體" w:hint="eastAsia"/>
          <w:b/>
          <w:snapToGrid/>
          <w:spacing w:val="-5"/>
          <w:kern w:val="0"/>
          <w:sz w:val="28"/>
          <w:szCs w:val="26"/>
        </w:rPr>
        <w:t>表1  病理發展基金會109至114年度本期賸餘之預決算數一覽表</w:t>
      </w:r>
    </w:p>
    <w:p w:rsidR="0017294A" w:rsidRPr="006C4045" w:rsidRDefault="0017294A" w:rsidP="0017294A">
      <w:pPr>
        <w:pStyle w:val="142"/>
        <w:ind w:rightChars="49" w:right="139" w:firstLine="567"/>
        <w:jc w:val="right"/>
        <w:rPr>
          <w:rFonts w:hAnsi="標楷體"/>
        </w:rPr>
      </w:pPr>
      <w:r w:rsidRPr="006C4045">
        <w:rPr>
          <w:rFonts w:hAnsi="標楷體" w:hint="eastAsia"/>
        </w:rPr>
        <w:t>單位：新臺幣千元；%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845"/>
        <w:gridCol w:w="1845"/>
        <w:gridCol w:w="1845"/>
        <w:gridCol w:w="1854"/>
      </w:tblGrid>
      <w:tr w:rsidR="0017294A" w:rsidRPr="006C4045" w:rsidTr="0083590D">
        <w:trPr>
          <w:trHeight w:val="20"/>
          <w:tblHeader/>
          <w:jc w:val="right"/>
        </w:trPr>
        <w:tc>
          <w:tcPr>
            <w:tcW w:w="9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年　度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預算(案)數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A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決算數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B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增加數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C=B-A</w:t>
            </w: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增加比率</w:t>
            </w:r>
          </w:p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C/A</w:t>
            </w:r>
            <w:r w:rsidRPr="006C4045">
              <w:rPr>
                <w:rFonts w:hAnsi="標楷體"/>
                <w:szCs w:val="24"/>
              </w:rPr>
              <w:t>×</w:t>
            </w:r>
            <w:r w:rsidRPr="006C4045">
              <w:rPr>
                <w:rFonts w:hAnsi="標楷體" w:hint="eastAsia"/>
                <w:szCs w:val="24"/>
              </w:rPr>
              <w:t>100%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6,757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17,621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10,864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160.78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8,020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13,899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5,879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73.30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9,365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17,202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7,837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83.69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9,789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29,217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19,428 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>198.47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10,130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22,14</w:t>
            </w:r>
            <w:r>
              <w:rPr>
                <w:rFonts w:hAnsi="標楷體" w:hint="eastAsia"/>
                <w:sz w:val="24"/>
                <w:szCs w:val="24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12,01</w:t>
            </w:r>
            <w:r>
              <w:rPr>
                <w:rFonts w:hAnsi="標楷體"/>
                <w:sz w:val="24"/>
                <w:szCs w:val="24"/>
              </w:rPr>
              <w:t>8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648E4">
              <w:rPr>
                <w:rFonts w:hAnsi="標楷體"/>
                <w:sz w:val="24"/>
                <w:szCs w:val="24"/>
              </w:rPr>
              <w:t>118.64</w:t>
            </w:r>
          </w:p>
        </w:tc>
      </w:tr>
      <w:tr w:rsidR="0017294A" w:rsidRPr="006C4045" w:rsidTr="0083590D">
        <w:trPr>
          <w:trHeight w:val="20"/>
          <w:jc w:val="right"/>
        </w:trPr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294A" w:rsidRPr="006C4045" w:rsidRDefault="0017294A" w:rsidP="0083590D">
            <w:pPr>
              <w:pStyle w:val="142"/>
              <w:adjustRightInd w:val="0"/>
              <w:snapToGrid w:val="0"/>
              <w:jc w:val="center"/>
              <w:rPr>
                <w:rFonts w:hAnsi="標楷體"/>
                <w:szCs w:val="24"/>
              </w:rPr>
            </w:pPr>
            <w:r w:rsidRPr="006C4045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845" w:type="dxa"/>
            <w:tcBorders>
              <w:top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C4045">
              <w:rPr>
                <w:rFonts w:hAnsi="標楷體"/>
                <w:sz w:val="24"/>
                <w:szCs w:val="24"/>
              </w:rPr>
              <w:t xml:space="preserve"> 10,134 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17294A" w:rsidRPr="006C4045" w:rsidRDefault="0017294A" w:rsidP="0083590D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</w:tr>
    </w:tbl>
    <w:p w:rsidR="0017294A" w:rsidRPr="006C4045" w:rsidRDefault="0017294A" w:rsidP="0017294A">
      <w:pPr>
        <w:pStyle w:val="142"/>
        <w:ind w:leftChars="50" w:left="1358" w:hangingChars="500" w:hanging="1216"/>
        <w:rPr>
          <w:rFonts w:hAnsi="標楷體"/>
        </w:rPr>
      </w:pPr>
      <w:r w:rsidRPr="006C4045">
        <w:rPr>
          <w:rFonts w:hAnsi="標楷體" w:hint="eastAsia"/>
        </w:rPr>
        <w:t xml:space="preserve">說 </w:t>
      </w:r>
      <w:r w:rsidRPr="006C4045">
        <w:rPr>
          <w:rFonts w:hAnsi="標楷體"/>
        </w:rPr>
        <w:t xml:space="preserve">   </w:t>
      </w:r>
      <w:r w:rsidRPr="006C4045">
        <w:rPr>
          <w:rFonts w:hAnsi="標楷體" w:hint="eastAsia"/>
        </w:rPr>
        <w:t>明：109至113年度為法定預算數，114年度為預算案數；109至</w:t>
      </w:r>
      <w:r w:rsidR="00C82B32" w:rsidRPr="006C4045">
        <w:rPr>
          <w:rFonts w:hAnsi="標楷體"/>
          <w:szCs w:val="24"/>
        </w:rPr>
        <w:t>11</w:t>
      </w:r>
      <w:r w:rsidR="00C82B32">
        <w:rPr>
          <w:rFonts w:hAnsi="標楷體"/>
          <w:szCs w:val="24"/>
        </w:rPr>
        <w:t>2</w:t>
      </w:r>
      <w:r w:rsidR="00C82B32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。</w:t>
      </w:r>
    </w:p>
    <w:p w:rsidR="0017294A" w:rsidRPr="006C4045" w:rsidRDefault="0017294A" w:rsidP="0017294A">
      <w:pPr>
        <w:pStyle w:val="142"/>
        <w:ind w:leftChars="50" w:left="706" w:hangingChars="232" w:hanging="564"/>
        <w:rPr>
          <w:rFonts w:hAnsi="標楷體"/>
        </w:rPr>
      </w:pPr>
      <w:r w:rsidRPr="006C4045">
        <w:rPr>
          <w:rFonts w:hAnsi="標楷體" w:hint="eastAsia"/>
        </w:rPr>
        <w:t>資料來源：病理發展基金會提供。</w:t>
      </w:r>
    </w:p>
    <w:p w:rsidR="0017294A" w:rsidRDefault="0017294A" w:rsidP="0017294A">
      <w:pPr>
        <w:ind w:left="566"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綜上，病理基金會114年度預算案本期賸餘編列1</w:t>
      </w:r>
      <w:r w:rsidRPr="0017294A">
        <w:rPr>
          <w:rFonts w:hAnsi="標楷體"/>
          <w:color w:val="000000"/>
        </w:rPr>
        <w:t>,013</w:t>
      </w:r>
      <w:r w:rsidRPr="0017294A">
        <w:rPr>
          <w:rFonts w:hAnsi="標楷體" w:hint="eastAsia"/>
          <w:color w:val="000000"/>
        </w:rPr>
        <w:t>萬4千元，雖較1</w:t>
      </w:r>
      <w:r w:rsidRPr="0017294A">
        <w:rPr>
          <w:rFonts w:hAnsi="標楷體"/>
          <w:color w:val="000000"/>
        </w:rPr>
        <w:t>13</w:t>
      </w:r>
      <w:r w:rsidRPr="0017294A">
        <w:rPr>
          <w:rFonts w:hAnsi="標楷體" w:hint="eastAsia"/>
          <w:color w:val="000000"/>
        </w:rPr>
        <w:t>年度預算數增加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千元，惟考量109至11</w:t>
      </w:r>
      <w:r w:rsidR="006C6526">
        <w:rPr>
          <w:rFonts w:hAnsi="標楷體" w:hint="eastAsia"/>
          <w:color w:val="000000"/>
        </w:rPr>
        <w:t>3</w:t>
      </w:r>
      <w:r w:rsidRPr="0017294A">
        <w:rPr>
          <w:rFonts w:hAnsi="標楷體" w:hint="eastAsia"/>
          <w:color w:val="000000"/>
        </w:rPr>
        <w:t>年度決算均較預算數增幅達7成以上，</w:t>
      </w:r>
      <w:r w:rsidRPr="0017294A">
        <w:rPr>
          <w:rFonts w:hAnsi="標楷體"/>
          <w:color w:val="000000"/>
        </w:rPr>
        <w:t>顯示</w:t>
      </w:r>
      <w:r w:rsidRPr="0017294A">
        <w:rPr>
          <w:rFonts w:hAnsi="標楷體" w:hint="eastAsia"/>
          <w:color w:val="000000"/>
        </w:rPr>
        <w:t>預算編列與執行存有顯著落差，未能真實反映收支情況，</w:t>
      </w:r>
      <w:r w:rsidR="005004B0">
        <w:rPr>
          <w:rFonts w:hAnsi="標楷體" w:hint="eastAsia"/>
          <w:color w:val="000000"/>
        </w:rPr>
        <w:t>為</w:t>
      </w:r>
      <w:r w:rsidR="005004B0" w:rsidRPr="00BE4630">
        <w:rPr>
          <w:rFonts w:hAnsi="標楷體" w:hint="eastAsia"/>
          <w:color w:val="000000"/>
        </w:rPr>
        <w:t>公允表達財務狀況、經營結果</w:t>
      </w:r>
      <w:r w:rsidR="005004B0">
        <w:rPr>
          <w:rFonts w:hAnsi="標楷體" w:hint="eastAsia"/>
          <w:color w:val="000000"/>
        </w:rPr>
        <w:t>等</w:t>
      </w:r>
      <w:r w:rsidR="005004B0" w:rsidRPr="00BE4630">
        <w:rPr>
          <w:rFonts w:hAnsi="標楷體" w:hint="eastAsia"/>
          <w:color w:val="000000"/>
        </w:rPr>
        <w:t>，</w:t>
      </w:r>
      <w:r w:rsidRPr="0017294A">
        <w:rPr>
          <w:rFonts w:hAnsi="標楷體" w:hint="eastAsia"/>
          <w:color w:val="000000"/>
        </w:rPr>
        <w:t>允宜</w:t>
      </w:r>
      <w:r w:rsidRPr="0017294A">
        <w:rPr>
          <w:rFonts w:hAnsi="標楷體"/>
          <w:color w:val="000000"/>
        </w:rPr>
        <w:t>參酌近年度</w:t>
      </w:r>
      <w:r w:rsidR="006C6526">
        <w:rPr>
          <w:rFonts w:hAnsi="標楷體" w:hint="eastAsia"/>
          <w:color w:val="000000"/>
        </w:rPr>
        <w:t>實際</w:t>
      </w:r>
      <w:r w:rsidRPr="0017294A">
        <w:rPr>
          <w:rFonts w:hAnsi="標楷體" w:hint="eastAsia"/>
          <w:color w:val="000000"/>
        </w:rPr>
        <w:t>執行情形，覈實編列預算</w:t>
      </w:r>
      <w:r w:rsidR="006C6526">
        <w:rPr>
          <w:rFonts w:hAnsi="標楷體" w:hint="eastAsia"/>
          <w:color w:val="000000"/>
        </w:rPr>
        <w:t>，</w:t>
      </w:r>
      <w:r w:rsidRPr="0017294A">
        <w:rPr>
          <w:rFonts w:hAnsi="標楷體"/>
          <w:color w:val="000000"/>
        </w:rPr>
        <w:t>以縮小預算與實際執行間</w:t>
      </w:r>
      <w:r w:rsidR="006C6526">
        <w:rPr>
          <w:rFonts w:hAnsi="標楷體" w:hint="eastAsia"/>
          <w:color w:val="000000"/>
        </w:rPr>
        <w:t>之落</w:t>
      </w:r>
      <w:r w:rsidRPr="0017294A">
        <w:rPr>
          <w:rFonts w:hAnsi="標楷體"/>
          <w:color w:val="000000"/>
        </w:rPr>
        <w:t>差</w:t>
      </w:r>
      <w:r w:rsidRPr="0017294A">
        <w:rPr>
          <w:rFonts w:hAnsi="標楷體" w:hint="eastAsia"/>
          <w:color w:val="000000"/>
        </w:rPr>
        <w:t>，確保財務管理</w:t>
      </w:r>
      <w:r w:rsidR="006C6526">
        <w:rPr>
          <w:rFonts w:hAnsi="標楷體" w:hint="eastAsia"/>
          <w:color w:val="000000"/>
        </w:rPr>
        <w:t>之</w:t>
      </w:r>
      <w:r w:rsidRPr="0017294A">
        <w:rPr>
          <w:rFonts w:hAnsi="標楷體" w:hint="eastAsia"/>
          <w:color w:val="000000"/>
        </w:rPr>
        <w:t>精確性與合理性。</w:t>
      </w:r>
    </w:p>
    <w:sectPr w:rsidR="0017294A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0C" w:rsidRDefault="005A590C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764545" w:rsidRDefault="000D5D96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>
      <w:rPr>
        <w:rStyle w:val="af2"/>
      </w:rPr>
      <w:t>37-</w:t>
    </w:r>
    <w:r w:rsidR="0083590D" w:rsidRPr="00764545">
      <w:rPr>
        <w:rStyle w:val="af2"/>
      </w:rPr>
      <w:fldChar w:fldCharType="begin"/>
    </w:r>
    <w:r w:rsidR="0083590D" w:rsidRPr="00764545">
      <w:rPr>
        <w:rStyle w:val="af2"/>
      </w:rPr>
      <w:instrText xml:space="preserve">PAGE  </w:instrText>
    </w:r>
    <w:r w:rsidR="0083590D" w:rsidRPr="00764545">
      <w:rPr>
        <w:rStyle w:val="af2"/>
      </w:rPr>
      <w:fldChar w:fldCharType="separate"/>
    </w:r>
    <w:r w:rsidR="00117DE8">
      <w:rPr>
        <w:rStyle w:val="af2"/>
        <w:noProof/>
      </w:rPr>
      <w:t>2</w:t>
    </w:r>
    <w:r w:rsidR="0083590D" w:rsidRPr="00764545">
      <w:rPr>
        <w:rStyle w:val="af2"/>
      </w:rPr>
      <w:fldChar w:fldCharType="end"/>
    </w:r>
  </w:p>
  <w:p w:rsidR="0083590D" w:rsidRDefault="0083590D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0C" w:rsidRDefault="005A590C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42AA"/>
    <w:rsid w:val="000346C1"/>
    <w:rsid w:val="00034F5E"/>
    <w:rsid w:val="00034FF5"/>
    <w:rsid w:val="00036C4A"/>
    <w:rsid w:val="00037F0E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2B82"/>
    <w:rsid w:val="000D38FB"/>
    <w:rsid w:val="000D57BB"/>
    <w:rsid w:val="000D5D25"/>
    <w:rsid w:val="000D5D96"/>
    <w:rsid w:val="000D737D"/>
    <w:rsid w:val="000D77B0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5005"/>
    <w:rsid w:val="00115105"/>
    <w:rsid w:val="00115740"/>
    <w:rsid w:val="00115B5C"/>
    <w:rsid w:val="00115EED"/>
    <w:rsid w:val="001168FE"/>
    <w:rsid w:val="001179BA"/>
    <w:rsid w:val="00117DE8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0B8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97A"/>
    <w:rsid w:val="001F1F61"/>
    <w:rsid w:val="001F23C3"/>
    <w:rsid w:val="001F281A"/>
    <w:rsid w:val="001F2DBB"/>
    <w:rsid w:val="001F5E26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1EC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4D95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26F8"/>
    <w:rsid w:val="003C59C4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07DAA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57977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6E5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04B0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B89"/>
    <w:rsid w:val="00587CB8"/>
    <w:rsid w:val="00587F31"/>
    <w:rsid w:val="00587FB4"/>
    <w:rsid w:val="00590986"/>
    <w:rsid w:val="005924DB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90C"/>
    <w:rsid w:val="005A5A27"/>
    <w:rsid w:val="005A70C6"/>
    <w:rsid w:val="005A7ED2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1ABB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3AC9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867"/>
    <w:rsid w:val="00625A86"/>
    <w:rsid w:val="00626778"/>
    <w:rsid w:val="0062747C"/>
    <w:rsid w:val="006275DC"/>
    <w:rsid w:val="0062776C"/>
    <w:rsid w:val="006278CA"/>
    <w:rsid w:val="00627953"/>
    <w:rsid w:val="00630128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1384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5FBB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526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C4F"/>
    <w:rsid w:val="00720DBE"/>
    <w:rsid w:val="00721E86"/>
    <w:rsid w:val="007227A9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44D5"/>
    <w:rsid w:val="0073743F"/>
    <w:rsid w:val="00737886"/>
    <w:rsid w:val="007401F2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F51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A12"/>
    <w:rsid w:val="008162F9"/>
    <w:rsid w:val="00816685"/>
    <w:rsid w:val="0081677B"/>
    <w:rsid w:val="00816CC9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5F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1EC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25C2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3E2"/>
    <w:rsid w:val="00925847"/>
    <w:rsid w:val="00927798"/>
    <w:rsid w:val="00927A51"/>
    <w:rsid w:val="00930A4C"/>
    <w:rsid w:val="009312C9"/>
    <w:rsid w:val="00931E0B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BB8"/>
    <w:rsid w:val="00951DB2"/>
    <w:rsid w:val="00951E9E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33B"/>
    <w:rsid w:val="00965A0E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683"/>
    <w:rsid w:val="00A078FE"/>
    <w:rsid w:val="00A111C5"/>
    <w:rsid w:val="00A11780"/>
    <w:rsid w:val="00A1203A"/>
    <w:rsid w:val="00A12469"/>
    <w:rsid w:val="00A12665"/>
    <w:rsid w:val="00A12E4F"/>
    <w:rsid w:val="00A14EB7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BC2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1BF8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597D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0CD"/>
    <w:rsid w:val="00B43858"/>
    <w:rsid w:val="00B4424A"/>
    <w:rsid w:val="00B456F9"/>
    <w:rsid w:val="00B45B62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630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27CA"/>
    <w:rsid w:val="00C342AA"/>
    <w:rsid w:val="00C34583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3987"/>
    <w:rsid w:val="00C44A34"/>
    <w:rsid w:val="00C44A7F"/>
    <w:rsid w:val="00C45431"/>
    <w:rsid w:val="00C4560C"/>
    <w:rsid w:val="00C45B5C"/>
    <w:rsid w:val="00C45DDB"/>
    <w:rsid w:val="00C46C44"/>
    <w:rsid w:val="00C4773A"/>
    <w:rsid w:val="00C477D7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F12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50B6"/>
    <w:rsid w:val="00CB5BA9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0DD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73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6E06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AE2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4CC"/>
    <w:rsid w:val="00D84A42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0A3B"/>
    <w:rsid w:val="00DB1875"/>
    <w:rsid w:val="00DB1FD0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9F7"/>
    <w:rsid w:val="00E62DDA"/>
    <w:rsid w:val="00E634E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A0867"/>
    <w:rsid w:val="00EA0B15"/>
    <w:rsid w:val="00EA1D81"/>
    <w:rsid w:val="00EA3193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32E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9E0"/>
    <w:rsid w:val="00F47673"/>
    <w:rsid w:val="00F50E6F"/>
    <w:rsid w:val="00F524AC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9A2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1B5DE9B-E124-4F97-9DDB-7A1B1A49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1EF7D-D8FB-456F-8D9A-3234F00B2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_Toc195626530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_Toc195626529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_Toc195626528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2025-04-15T08:52:00Z</cp:lastPrinted>
  <dcterms:created xsi:type="dcterms:W3CDTF">2025-04-21T07:11:00Z</dcterms:created>
  <dcterms:modified xsi:type="dcterms:W3CDTF">2025-04-21T07:11:00Z</dcterms:modified>
</cp:coreProperties>
</file>