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12A" w:rsidRPr="008F26C2" w:rsidRDefault="00722714" w:rsidP="00722714">
      <w:pPr>
        <w:pStyle w:val="ac"/>
        <w:rPr>
          <w:rFonts w:hAnsi="標楷體"/>
          <w:snapToGrid/>
          <w:kern w:val="0"/>
        </w:rPr>
      </w:pPr>
      <w:bookmarkStart w:id="0" w:name="_Toc191374269"/>
      <w:bookmarkStart w:id="1" w:name="_Toc191697070"/>
      <w:bookmarkStart w:id="2" w:name="_GoBack"/>
      <w:bookmarkEnd w:id="2"/>
      <w:r w:rsidRPr="008F26C2">
        <w:rPr>
          <w:rFonts w:hAnsi="標楷體" w:hint="eastAsia"/>
          <w:snapToGrid/>
          <w:kern w:val="0"/>
        </w:rPr>
        <w:t>財團法人中華顧問工程司</w:t>
      </w:r>
      <w:r w:rsidR="007A235A" w:rsidRPr="008F26C2">
        <w:rPr>
          <w:rFonts w:hAnsi="標楷體" w:hint="eastAsia"/>
          <w:snapToGrid/>
          <w:kern w:val="0"/>
        </w:rPr>
        <w:t>114</w:t>
      </w:r>
      <w:r w:rsidRPr="008F26C2">
        <w:rPr>
          <w:rFonts w:hAnsi="標楷體" w:hint="eastAsia"/>
          <w:snapToGrid/>
          <w:kern w:val="0"/>
        </w:rPr>
        <w:t>年度預算評估報告目錄</w:t>
      </w:r>
    </w:p>
    <w:p w:rsidR="00AC7E18" w:rsidRDefault="00D5412A" w:rsidP="00DC5F22">
      <w:pPr>
        <w:pStyle w:val="ac"/>
        <w:ind w:rightChars="-18" w:right="-50"/>
        <w:jc w:val="right"/>
        <w:rPr>
          <w:noProof/>
        </w:rPr>
      </w:pPr>
      <w:r w:rsidRPr="008F26C2">
        <w:rPr>
          <w:rFonts w:hAnsi="標楷體" w:hint="eastAsia"/>
          <w:b w:val="0"/>
          <w:snapToGrid/>
          <w:kern w:val="0"/>
          <w:sz w:val="28"/>
        </w:rPr>
        <w:t>頁次</w:t>
      </w:r>
      <w:r w:rsidR="00DC5F22" w:rsidRPr="008F26C2">
        <w:rPr>
          <w:rFonts w:hAnsi="標楷體"/>
          <w:b w:val="0"/>
          <w:snapToGrid/>
          <w:kern w:val="0"/>
          <w:sz w:val="24"/>
          <w:szCs w:val="24"/>
        </w:rPr>
        <w:fldChar w:fldCharType="begin"/>
      </w:r>
      <w:r w:rsidR="00DC5F22" w:rsidRPr="008F26C2">
        <w:rPr>
          <w:rFonts w:hAnsi="標楷體"/>
          <w:b w:val="0"/>
          <w:snapToGrid/>
          <w:kern w:val="0"/>
          <w:sz w:val="24"/>
          <w:szCs w:val="24"/>
        </w:rPr>
        <w:instrText xml:space="preserve"> TOC \h \z \t "第二層(14號字),1" </w:instrText>
      </w:r>
      <w:r w:rsidR="00DC5F22" w:rsidRPr="008F26C2">
        <w:rPr>
          <w:rFonts w:hAnsi="標楷體"/>
          <w:b w:val="0"/>
          <w:snapToGrid/>
          <w:kern w:val="0"/>
          <w:sz w:val="24"/>
          <w:szCs w:val="24"/>
        </w:rPr>
        <w:fldChar w:fldCharType="separate"/>
      </w:r>
    </w:p>
    <w:p w:rsidR="00AC7E18" w:rsidRPr="002D5BAA" w:rsidRDefault="00AC7E18">
      <w:pPr>
        <w:pStyle w:val="12"/>
        <w:rPr>
          <w:rFonts w:ascii="Calibri" w:eastAsia="新細明體" w:hAnsi="Calibri"/>
          <w:noProof/>
          <w:snapToGrid/>
          <w:szCs w:val="22"/>
        </w:rPr>
      </w:pPr>
      <w:hyperlink w:anchor="_Toc194504494" w:history="1">
        <w:r w:rsidRPr="00750222">
          <w:rPr>
            <w:rStyle w:val="af0"/>
            <w:rFonts w:hAnsi="標楷體" w:cs="標楷體" w:hint="eastAsia"/>
            <w:noProof/>
          </w:rPr>
          <w:t>一、</w:t>
        </w:r>
        <w:r w:rsidRPr="00750222">
          <w:rPr>
            <w:rStyle w:val="af0"/>
            <w:rFonts w:hAnsi="標楷體" w:hint="eastAsia"/>
            <w:noProof/>
          </w:rPr>
          <w:t>近年收入超收幅度逾</w:t>
        </w:r>
        <w:r w:rsidRPr="00750222">
          <w:rPr>
            <w:rStyle w:val="af0"/>
            <w:rFonts w:hAnsi="標楷體"/>
            <w:noProof/>
          </w:rPr>
          <w:t>50%</w:t>
        </w:r>
        <w:r w:rsidRPr="00750222">
          <w:rPr>
            <w:rStyle w:val="af0"/>
            <w:rFonts w:hAnsi="標楷體" w:hint="eastAsia"/>
            <w:noProof/>
          </w:rPr>
          <w:t>，且部分支出項目存有超支或執行率未達</w:t>
        </w:r>
        <w:r w:rsidRPr="00750222">
          <w:rPr>
            <w:rStyle w:val="af0"/>
            <w:rFonts w:hAnsi="標楷體"/>
            <w:noProof/>
          </w:rPr>
          <w:t>80%</w:t>
        </w:r>
        <w:r w:rsidRPr="00750222">
          <w:rPr>
            <w:rStyle w:val="af0"/>
            <w:rFonts w:hAnsi="標楷體" w:hint="eastAsia"/>
            <w:noProof/>
          </w:rPr>
          <w:t>之情形，允宜檢討改善並覈實編列預算</w:t>
        </w:r>
        <w:r>
          <w:rPr>
            <w:noProof/>
            <w:webHidden/>
          </w:rPr>
          <w:tab/>
        </w:r>
        <w:r w:rsidR="00142AC4">
          <w:rPr>
            <w:rFonts w:hint="eastAsia"/>
            <w:noProof/>
            <w:webHidden/>
          </w:rPr>
          <w:t>87-</w:t>
        </w:r>
        <w:r>
          <w:rPr>
            <w:noProof/>
            <w:webHidden/>
          </w:rPr>
          <w:fldChar w:fldCharType="begin"/>
        </w:r>
        <w:r>
          <w:rPr>
            <w:noProof/>
            <w:webHidden/>
          </w:rPr>
          <w:instrText xml:space="preserve"> PAGEREF _Toc194504494 \h </w:instrText>
        </w:r>
        <w:r>
          <w:rPr>
            <w:noProof/>
            <w:webHidden/>
          </w:rPr>
        </w:r>
        <w:r>
          <w:rPr>
            <w:noProof/>
            <w:webHidden/>
          </w:rPr>
          <w:fldChar w:fldCharType="separate"/>
        </w:r>
        <w:r w:rsidR="001A0583">
          <w:rPr>
            <w:noProof/>
            <w:webHidden/>
          </w:rPr>
          <w:t>1</w:t>
        </w:r>
        <w:r>
          <w:rPr>
            <w:noProof/>
            <w:webHidden/>
          </w:rPr>
          <w:fldChar w:fldCharType="end"/>
        </w:r>
      </w:hyperlink>
    </w:p>
    <w:p w:rsidR="00AC7E18" w:rsidRPr="002D5BAA" w:rsidRDefault="00AC7E18">
      <w:pPr>
        <w:pStyle w:val="12"/>
        <w:rPr>
          <w:rFonts w:ascii="Calibri" w:eastAsia="新細明體" w:hAnsi="Calibri"/>
          <w:noProof/>
          <w:snapToGrid/>
          <w:szCs w:val="22"/>
        </w:rPr>
      </w:pPr>
      <w:hyperlink w:anchor="_Toc194504495" w:history="1">
        <w:r w:rsidRPr="00750222">
          <w:rPr>
            <w:rStyle w:val="af0"/>
            <w:rFonts w:hAnsi="標楷體" w:hint="eastAsia"/>
            <w:noProof/>
          </w:rPr>
          <w:t>二、</w:t>
        </w:r>
        <w:r w:rsidRPr="00750222">
          <w:rPr>
            <w:rStyle w:val="af0"/>
            <w:rFonts w:hAnsi="標楷體" w:hint="eastAsia"/>
            <w:bCs/>
            <w:noProof/>
          </w:rPr>
          <w:t>主要業務近年獲利能力不足，持續虧損，高度仰賴業務外收入維持營運，允宜妥慎檢視相關成因，提升業務經營績效，以增裕整體收益</w:t>
        </w:r>
        <w:r>
          <w:rPr>
            <w:noProof/>
            <w:webHidden/>
          </w:rPr>
          <w:tab/>
        </w:r>
        <w:r w:rsidR="00142AC4">
          <w:rPr>
            <w:rFonts w:hint="eastAsia"/>
            <w:noProof/>
            <w:webHidden/>
          </w:rPr>
          <w:t>87-</w:t>
        </w:r>
        <w:r>
          <w:rPr>
            <w:noProof/>
            <w:webHidden/>
          </w:rPr>
          <w:fldChar w:fldCharType="begin"/>
        </w:r>
        <w:r>
          <w:rPr>
            <w:noProof/>
            <w:webHidden/>
          </w:rPr>
          <w:instrText xml:space="preserve"> PAGEREF _Toc194504495 \h </w:instrText>
        </w:r>
        <w:r>
          <w:rPr>
            <w:noProof/>
            <w:webHidden/>
          </w:rPr>
        </w:r>
        <w:r>
          <w:rPr>
            <w:noProof/>
            <w:webHidden/>
          </w:rPr>
          <w:fldChar w:fldCharType="separate"/>
        </w:r>
        <w:r w:rsidR="001A0583">
          <w:rPr>
            <w:noProof/>
            <w:webHidden/>
          </w:rPr>
          <w:t>4</w:t>
        </w:r>
        <w:r>
          <w:rPr>
            <w:noProof/>
            <w:webHidden/>
          </w:rPr>
          <w:fldChar w:fldCharType="end"/>
        </w:r>
      </w:hyperlink>
    </w:p>
    <w:p w:rsidR="00AC7E18" w:rsidRPr="002D5BAA" w:rsidRDefault="00AC7E18">
      <w:pPr>
        <w:pStyle w:val="12"/>
        <w:rPr>
          <w:rFonts w:ascii="Calibri" w:eastAsia="新細明體" w:hAnsi="Calibri"/>
          <w:noProof/>
          <w:snapToGrid/>
          <w:szCs w:val="22"/>
        </w:rPr>
      </w:pPr>
      <w:hyperlink w:anchor="_Toc194504496" w:history="1">
        <w:r w:rsidRPr="00750222">
          <w:rPr>
            <w:rStyle w:val="af0"/>
            <w:rFonts w:hAnsi="標楷體" w:hint="eastAsia"/>
            <w:noProof/>
          </w:rPr>
          <w:t>三、近年董事會成員性別比例未達交通部推動之性別平等目標，允宜檢討改善，以促進女性決策參與之性別平等意旨</w:t>
        </w:r>
        <w:r>
          <w:rPr>
            <w:noProof/>
            <w:webHidden/>
          </w:rPr>
          <w:tab/>
        </w:r>
        <w:r w:rsidR="00142AC4">
          <w:rPr>
            <w:rFonts w:hint="eastAsia"/>
            <w:noProof/>
            <w:webHidden/>
          </w:rPr>
          <w:t>87-</w:t>
        </w:r>
        <w:r>
          <w:rPr>
            <w:noProof/>
            <w:webHidden/>
          </w:rPr>
          <w:fldChar w:fldCharType="begin"/>
        </w:r>
        <w:r>
          <w:rPr>
            <w:noProof/>
            <w:webHidden/>
          </w:rPr>
          <w:instrText xml:space="preserve"> PAGEREF _Toc194504496 \h </w:instrText>
        </w:r>
        <w:r>
          <w:rPr>
            <w:noProof/>
            <w:webHidden/>
          </w:rPr>
        </w:r>
        <w:r>
          <w:rPr>
            <w:noProof/>
            <w:webHidden/>
          </w:rPr>
          <w:fldChar w:fldCharType="separate"/>
        </w:r>
        <w:r w:rsidR="001A0583">
          <w:rPr>
            <w:noProof/>
            <w:webHidden/>
          </w:rPr>
          <w:t>6</w:t>
        </w:r>
        <w:r>
          <w:rPr>
            <w:noProof/>
            <w:webHidden/>
          </w:rPr>
          <w:fldChar w:fldCharType="end"/>
        </w:r>
      </w:hyperlink>
    </w:p>
    <w:p w:rsidR="001F150B" w:rsidRPr="008F26C2" w:rsidRDefault="00DC5F22" w:rsidP="00DC5F22">
      <w:pPr>
        <w:pStyle w:val="ac"/>
        <w:ind w:rightChars="-18" w:right="-50"/>
        <w:jc w:val="right"/>
        <w:rPr>
          <w:rFonts w:hAnsi="標楷體"/>
          <w:snapToGrid/>
          <w:kern w:val="0"/>
        </w:rPr>
      </w:pPr>
      <w:r w:rsidRPr="008F26C2">
        <w:rPr>
          <w:rFonts w:hAnsi="標楷體"/>
          <w:b w:val="0"/>
          <w:snapToGrid/>
          <w:kern w:val="0"/>
          <w:sz w:val="24"/>
          <w:szCs w:val="24"/>
        </w:rPr>
        <w:fldChar w:fldCharType="end"/>
      </w:r>
    </w:p>
    <w:p w:rsidR="00722714" w:rsidRPr="008F26C2" w:rsidRDefault="00722714" w:rsidP="00990D31">
      <w:pPr>
        <w:pStyle w:val="ac"/>
        <w:ind w:rightChars="80" w:right="224"/>
        <w:rPr>
          <w:rFonts w:hAnsi="標楷體"/>
          <w:snapToGrid/>
          <w:kern w:val="0"/>
        </w:rPr>
        <w:sectPr w:rsidR="00722714" w:rsidRPr="008F26C2" w:rsidSect="00225AA3">
          <w:headerReference w:type="even" r:id="rId8"/>
          <w:headerReference w:type="default" r:id="rId9"/>
          <w:footerReference w:type="even" r:id="rId10"/>
          <w:footerReference w:type="default" r:id="rId11"/>
          <w:headerReference w:type="first" r:id="rId12"/>
          <w:footerReference w:type="first" r:id="rId13"/>
          <w:pgSz w:w="11906" w:h="16838"/>
          <w:pgMar w:top="1701" w:right="1701" w:bottom="1701" w:left="1701" w:header="851" w:footer="992" w:gutter="0"/>
          <w:pgNumType w:start="1"/>
          <w:cols w:space="425"/>
          <w:docGrid w:type="lines" w:linePitch="381"/>
        </w:sectPr>
      </w:pPr>
    </w:p>
    <w:p w:rsidR="005E7143" w:rsidRPr="008F26C2" w:rsidRDefault="005E7143" w:rsidP="00822AB4">
      <w:pPr>
        <w:pStyle w:val="ac"/>
        <w:rPr>
          <w:rFonts w:hAnsi="標楷體"/>
          <w:snapToGrid/>
        </w:rPr>
      </w:pPr>
      <w:r w:rsidRPr="008F26C2">
        <w:rPr>
          <w:rFonts w:hAnsi="標楷體" w:hint="eastAsia"/>
          <w:snapToGrid/>
        </w:rPr>
        <w:lastRenderedPageBreak/>
        <w:t>財團法人中華顧問工程司</w:t>
      </w:r>
      <w:r w:rsidR="007A235A" w:rsidRPr="008F26C2">
        <w:rPr>
          <w:rFonts w:hAnsi="標楷體" w:hint="eastAsia"/>
          <w:snapToGrid/>
        </w:rPr>
        <w:t>114</w:t>
      </w:r>
      <w:r w:rsidRPr="008F26C2">
        <w:rPr>
          <w:rFonts w:hAnsi="標楷體" w:hint="eastAsia"/>
          <w:snapToGrid/>
        </w:rPr>
        <w:t>年度預算評估報告</w:t>
      </w:r>
    </w:p>
    <w:p w:rsidR="00E67696" w:rsidRPr="008F26C2" w:rsidRDefault="00B513BF" w:rsidP="00EC45DC">
      <w:pPr>
        <w:ind w:leftChars="0" w:left="0" w:firstLine="560"/>
        <w:rPr>
          <w:rFonts w:hAnsi="標楷體"/>
        </w:rPr>
      </w:pPr>
      <w:bookmarkStart w:id="3" w:name="_Toc279394261"/>
      <w:r w:rsidRPr="008F26C2">
        <w:rPr>
          <w:rFonts w:hAnsi="標楷體" w:hint="eastAsia"/>
        </w:rPr>
        <w:t>為</w:t>
      </w:r>
      <w:r w:rsidR="008C4D94" w:rsidRPr="008F26C2">
        <w:rPr>
          <w:rFonts w:hAnsi="標楷體" w:hint="eastAsia"/>
        </w:rPr>
        <w:t>促進交通建設，改進工程技術等，交通部於58年12月核准由政府、公營事業及學術團體捐助成立財團法人中華顧問工程司</w:t>
      </w:r>
      <w:r w:rsidR="00390C47" w:rsidRPr="008F26C2">
        <w:rPr>
          <w:rFonts w:hAnsi="標楷體" w:hint="eastAsia"/>
        </w:rPr>
        <w:t>(以下簡稱中華顧問工程司)</w:t>
      </w:r>
      <w:r w:rsidR="008C4D94" w:rsidRPr="008F26C2">
        <w:rPr>
          <w:rFonts w:hAnsi="標楷體" w:hint="eastAsia"/>
        </w:rPr>
        <w:t>。</w:t>
      </w:r>
      <w:r w:rsidR="001475D1" w:rsidRPr="008F26C2">
        <w:rPr>
          <w:rFonts w:hAnsi="標楷體" w:hint="eastAsia"/>
        </w:rPr>
        <w:t>該顧問工程司</w:t>
      </w:r>
      <w:r w:rsidR="008C4D94" w:rsidRPr="008F26C2">
        <w:rPr>
          <w:rFonts w:hAnsi="標楷體" w:hint="eastAsia"/>
        </w:rPr>
        <w:t>成立之初係辦理</w:t>
      </w:r>
      <w:r w:rsidR="00FC738A" w:rsidRPr="008F26C2">
        <w:rPr>
          <w:rFonts w:hAnsi="標楷體" w:hint="eastAsia"/>
        </w:rPr>
        <w:t>交通等工程建設</w:t>
      </w:r>
      <w:r w:rsidR="008C4D94" w:rsidRPr="008F26C2">
        <w:rPr>
          <w:rFonts w:hAnsi="標楷體" w:hint="eastAsia"/>
        </w:rPr>
        <w:t>之技術顧問</w:t>
      </w:r>
      <w:r w:rsidR="00C63B46" w:rsidRPr="008F26C2">
        <w:rPr>
          <w:rFonts w:hAnsi="標楷體" w:hint="eastAsia"/>
        </w:rPr>
        <w:t>服務</w:t>
      </w:r>
      <w:r w:rsidR="002B6AF5" w:rsidRPr="008F26C2">
        <w:rPr>
          <w:rStyle w:val="af3"/>
          <w:rFonts w:hAnsi="標楷體"/>
        </w:rPr>
        <w:footnoteReference w:id="1"/>
      </w:r>
      <w:r w:rsidR="008C4D94" w:rsidRPr="008F26C2">
        <w:rPr>
          <w:rFonts w:hAnsi="標楷體" w:hint="eastAsia"/>
        </w:rPr>
        <w:t>，嗣</w:t>
      </w:r>
      <w:r w:rsidR="00733153" w:rsidRPr="008F26C2">
        <w:rPr>
          <w:rFonts w:hAnsi="標楷體" w:hint="eastAsia"/>
        </w:rPr>
        <w:t>因</w:t>
      </w:r>
      <w:r w:rsidR="00C63B46" w:rsidRPr="008F26C2">
        <w:rPr>
          <w:rFonts w:hAnsi="標楷體" w:hint="eastAsia"/>
        </w:rPr>
        <w:t>工程技術顧問公司管理條例規定</w:t>
      </w:r>
      <w:r w:rsidR="00733153" w:rsidRPr="008F26C2">
        <w:rPr>
          <w:rFonts w:hAnsi="標楷體" w:hint="eastAsia"/>
        </w:rPr>
        <w:t>，</w:t>
      </w:r>
      <w:r w:rsidR="00496CDA" w:rsidRPr="008F26C2">
        <w:rPr>
          <w:rFonts w:hAnsi="標楷體" w:hint="eastAsia"/>
        </w:rPr>
        <w:t>從事工程技術顧問之法人，僅限於公司型態，爰</w:t>
      </w:r>
      <w:r w:rsidR="001475D1" w:rsidRPr="008F26C2">
        <w:rPr>
          <w:rFonts w:hAnsi="標楷體" w:hint="eastAsia"/>
        </w:rPr>
        <w:t>該顧問工程司</w:t>
      </w:r>
      <w:r w:rsidR="00CF6B40" w:rsidRPr="008F26C2">
        <w:rPr>
          <w:rFonts w:hAnsi="標楷體" w:hint="eastAsia"/>
        </w:rPr>
        <w:t>因而</w:t>
      </w:r>
      <w:r w:rsidR="00496CDA" w:rsidRPr="008F26C2">
        <w:rPr>
          <w:rFonts w:hAnsi="標楷體" w:hint="eastAsia"/>
        </w:rPr>
        <w:t>無法繼續經營工程技術顧問業務</w:t>
      </w:r>
      <w:r w:rsidR="005A218E" w:rsidRPr="008F26C2">
        <w:rPr>
          <w:rStyle w:val="af3"/>
          <w:rFonts w:hAnsi="標楷體"/>
        </w:rPr>
        <w:footnoteReference w:id="2"/>
      </w:r>
      <w:r w:rsidR="00733153" w:rsidRPr="008F26C2">
        <w:rPr>
          <w:rFonts w:hAnsi="標楷體" w:hint="eastAsia"/>
        </w:rPr>
        <w:t>，</w:t>
      </w:r>
      <w:r w:rsidR="00E67696" w:rsidRPr="008F26C2">
        <w:rPr>
          <w:rFonts w:hAnsi="標楷體" w:hint="eastAsia"/>
        </w:rPr>
        <w:t>於96年</w:t>
      </w:r>
      <w:r w:rsidR="005F7A2C" w:rsidRPr="008F26C2">
        <w:rPr>
          <w:rFonts w:hAnsi="標楷體" w:hint="eastAsia"/>
        </w:rPr>
        <w:t>間</w:t>
      </w:r>
      <w:r w:rsidR="00E67696" w:rsidRPr="008F26C2">
        <w:rPr>
          <w:rFonts w:hAnsi="標楷體" w:hint="eastAsia"/>
        </w:rPr>
        <w:t>轉投資成立臺灣世曦工程顧問股份有限公司(</w:t>
      </w:r>
      <w:r w:rsidR="008B04CE" w:rsidRPr="008F26C2">
        <w:rPr>
          <w:rFonts w:hAnsi="標楷體" w:hint="eastAsia"/>
        </w:rPr>
        <w:t>以</w:t>
      </w:r>
      <w:r w:rsidR="00ED1025" w:rsidRPr="008F26C2">
        <w:rPr>
          <w:rFonts w:hAnsi="標楷體" w:hint="eastAsia"/>
        </w:rPr>
        <w:t>下</w:t>
      </w:r>
      <w:r w:rsidR="008B04CE" w:rsidRPr="008F26C2">
        <w:rPr>
          <w:rFonts w:hAnsi="標楷體" w:hint="eastAsia"/>
        </w:rPr>
        <w:t>簡</w:t>
      </w:r>
      <w:r w:rsidR="00E67696" w:rsidRPr="008F26C2">
        <w:rPr>
          <w:rFonts w:hAnsi="標楷體" w:hint="eastAsia"/>
        </w:rPr>
        <w:t>稱世曦公司)，由</w:t>
      </w:r>
      <w:r w:rsidR="005F7A2C" w:rsidRPr="008F26C2">
        <w:rPr>
          <w:rFonts w:hAnsi="標楷體" w:hint="eastAsia"/>
        </w:rPr>
        <w:t>其</w:t>
      </w:r>
      <w:r w:rsidR="00E67696" w:rsidRPr="008F26C2">
        <w:rPr>
          <w:rFonts w:hAnsi="標楷體" w:hint="eastAsia"/>
        </w:rPr>
        <w:t>概括繼受工程顧問業務</w:t>
      </w:r>
      <w:r w:rsidR="0045481A" w:rsidRPr="008F26C2">
        <w:rPr>
          <w:rFonts w:hAnsi="標楷體" w:hint="eastAsia"/>
        </w:rPr>
        <w:t>，中華顧問工程司</w:t>
      </w:r>
      <w:r w:rsidR="00651C86" w:rsidRPr="008F26C2">
        <w:rPr>
          <w:rFonts w:hAnsi="標楷體" w:hint="eastAsia"/>
        </w:rPr>
        <w:t>則轉型為</w:t>
      </w:r>
      <w:r w:rsidR="00F02DC3" w:rsidRPr="008F26C2">
        <w:rPr>
          <w:rFonts w:hAnsi="標楷體" w:hint="eastAsia"/>
        </w:rPr>
        <w:t>以工程技術研發、輔導</w:t>
      </w:r>
      <w:r w:rsidR="00381A2D" w:rsidRPr="008F26C2">
        <w:rPr>
          <w:rFonts w:hAnsi="標楷體" w:hint="eastAsia"/>
        </w:rPr>
        <w:t>、培訓及</w:t>
      </w:r>
      <w:r w:rsidR="00F02DC3" w:rsidRPr="008F26C2">
        <w:rPr>
          <w:rFonts w:hAnsi="標楷體" w:hint="eastAsia"/>
        </w:rPr>
        <w:t>出版為主</w:t>
      </w:r>
      <w:r w:rsidR="00E9656D" w:rsidRPr="008F26C2">
        <w:rPr>
          <w:rFonts w:hAnsi="標楷體" w:hint="eastAsia"/>
        </w:rPr>
        <w:t>要</w:t>
      </w:r>
      <w:r w:rsidR="00F02DC3" w:rsidRPr="008F26C2">
        <w:rPr>
          <w:rFonts w:hAnsi="標楷體" w:hint="eastAsia"/>
        </w:rPr>
        <w:t>業</w:t>
      </w:r>
      <w:r w:rsidR="00E9656D" w:rsidRPr="008F26C2">
        <w:rPr>
          <w:rFonts w:hAnsi="標楷體" w:hint="eastAsia"/>
        </w:rPr>
        <w:t>務</w:t>
      </w:r>
      <w:r w:rsidR="00F02DC3" w:rsidRPr="008F26C2">
        <w:rPr>
          <w:rFonts w:hAnsi="標楷體" w:hint="eastAsia"/>
        </w:rPr>
        <w:t>之機構。</w:t>
      </w:r>
    </w:p>
    <w:p w:rsidR="00FF10BB" w:rsidRPr="008F26C2" w:rsidRDefault="000C3E8B" w:rsidP="00EC45DC">
      <w:pPr>
        <w:ind w:leftChars="0" w:left="0" w:firstLine="560"/>
        <w:rPr>
          <w:rFonts w:hAnsi="標楷體"/>
        </w:rPr>
      </w:pPr>
      <w:r w:rsidRPr="008F26C2">
        <w:rPr>
          <w:rFonts w:hAnsi="標楷體" w:hint="eastAsia"/>
        </w:rPr>
        <w:t>中華顧問工程司</w:t>
      </w:r>
      <w:r w:rsidR="007A235A" w:rsidRPr="008F26C2">
        <w:rPr>
          <w:rFonts w:hAnsi="標楷體"/>
        </w:rPr>
        <w:t>114</w:t>
      </w:r>
      <w:r w:rsidRPr="008F26C2">
        <w:rPr>
          <w:rFonts w:hAnsi="標楷體" w:hint="eastAsia"/>
        </w:rPr>
        <w:t>年度預算案</w:t>
      </w:r>
      <w:r w:rsidR="00C83C57" w:rsidRPr="008F26C2">
        <w:rPr>
          <w:rFonts w:hAnsi="標楷體" w:hint="eastAsia"/>
        </w:rPr>
        <w:t>編列</w:t>
      </w:r>
      <w:r w:rsidR="009917D3" w:rsidRPr="008F26C2">
        <w:rPr>
          <w:rFonts w:hAnsi="標楷體" w:hint="eastAsia"/>
        </w:rPr>
        <w:t>「</w:t>
      </w:r>
      <w:r w:rsidRPr="008F26C2">
        <w:rPr>
          <w:rFonts w:hAnsi="標楷體" w:hint="eastAsia"/>
        </w:rPr>
        <w:t>收入</w:t>
      </w:r>
      <w:r w:rsidR="009917D3" w:rsidRPr="008F26C2">
        <w:rPr>
          <w:rFonts w:hAnsi="標楷體" w:hint="eastAsia"/>
        </w:rPr>
        <w:t>」</w:t>
      </w:r>
      <w:r w:rsidR="008C510A" w:rsidRPr="008F26C2">
        <w:rPr>
          <w:rFonts w:hAnsi="標楷體" w:hint="eastAsia"/>
        </w:rPr>
        <w:t>9</w:t>
      </w:r>
      <w:r w:rsidRPr="008F26C2">
        <w:rPr>
          <w:rFonts w:hAnsi="標楷體" w:hint="eastAsia"/>
        </w:rPr>
        <w:t>億</w:t>
      </w:r>
      <w:r w:rsidR="008C510A" w:rsidRPr="008F26C2">
        <w:rPr>
          <w:rFonts w:hAnsi="標楷體" w:hint="eastAsia"/>
        </w:rPr>
        <w:t>6</w:t>
      </w:r>
      <w:r w:rsidR="00B672E3" w:rsidRPr="008F26C2">
        <w:rPr>
          <w:rFonts w:hAnsi="標楷體" w:hint="eastAsia"/>
        </w:rPr>
        <w:t>,</w:t>
      </w:r>
      <w:r w:rsidR="00AC6500" w:rsidRPr="008F26C2">
        <w:rPr>
          <w:rFonts w:hAnsi="標楷體"/>
        </w:rPr>
        <w:t>037</w:t>
      </w:r>
      <w:r w:rsidRPr="008F26C2">
        <w:rPr>
          <w:rFonts w:hAnsi="標楷體" w:hint="eastAsia"/>
        </w:rPr>
        <w:t>萬</w:t>
      </w:r>
      <w:r w:rsidR="00AC6500" w:rsidRPr="008F26C2">
        <w:rPr>
          <w:rFonts w:hAnsi="標楷體" w:hint="eastAsia"/>
        </w:rPr>
        <w:t>9千</w:t>
      </w:r>
      <w:r w:rsidRPr="008F26C2">
        <w:rPr>
          <w:rFonts w:hAnsi="標楷體" w:hint="eastAsia"/>
        </w:rPr>
        <w:t>元，較</w:t>
      </w:r>
      <w:r w:rsidRPr="008F26C2">
        <w:rPr>
          <w:rFonts w:hAnsi="標楷體"/>
        </w:rPr>
        <w:t>11</w:t>
      </w:r>
      <w:r w:rsidR="00AC6500" w:rsidRPr="008F26C2">
        <w:rPr>
          <w:rFonts w:hAnsi="標楷體" w:hint="eastAsia"/>
        </w:rPr>
        <w:t>3</w:t>
      </w:r>
      <w:r w:rsidRPr="008F26C2">
        <w:rPr>
          <w:rFonts w:hAnsi="標楷體" w:hint="eastAsia"/>
        </w:rPr>
        <w:t>年度預算</w:t>
      </w:r>
      <w:r w:rsidR="004E4AAA" w:rsidRPr="008F26C2">
        <w:rPr>
          <w:rFonts w:hAnsi="標楷體" w:hint="eastAsia"/>
        </w:rPr>
        <w:t>數</w:t>
      </w:r>
      <w:r w:rsidRPr="008F26C2">
        <w:rPr>
          <w:rFonts w:hAnsi="標楷體" w:hint="eastAsia"/>
        </w:rPr>
        <w:t>增加</w:t>
      </w:r>
      <w:r w:rsidR="00AC6500" w:rsidRPr="008F26C2">
        <w:rPr>
          <w:rFonts w:hAnsi="標楷體" w:hint="eastAsia"/>
        </w:rPr>
        <w:t>3億4,277萬9千元</w:t>
      </w:r>
      <w:r w:rsidRPr="008F26C2">
        <w:rPr>
          <w:rFonts w:hAnsi="標楷體" w:hint="eastAsia"/>
        </w:rPr>
        <w:t>(增幅</w:t>
      </w:r>
      <w:r w:rsidR="00AC6500" w:rsidRPr="008F26C2">
        <w:rPr>
          <w:rFonts w:hAnsi="標楷體" w:hint="eastAsia"/>
        </w:rPr>
        <w:t>55</w:t>
      </w:r>
      <w:r w:rsidRPr="008F26C2">
        <w:rPr>
          <w:rFonts w:hAnsi="標楷體"/>
        </w:rPr>
        <w:t>.</w:t>
      </w:r>
      <w:r w:rsidR="00AC6500" w:rsidRPr="008F26C2">
        <w:rPr>
          <w:rFonts w:hAnsi="標楷體" w:hint="eastAsia"/>
        </w:rPr>
        <w:t>50</w:t>
      </w:r>
      <w:r w:rsidRPr="008F26C2">
        <w:rPr>
          <w:rFonts w:hAnsi="標楷體" w:hint="eastAsia"/>
        </w:rPr>
        <w:t>%)；</w:t>
      </w:r>
      <w:r w:rsidR="00C83C57" w:rsidRPr="008F26C2">
        <w:rPr>
          <w:rFonts w:hAnsi="標楷體" w:hint="eastAsia"/>
        </w:rPr>
        <w:t>編列</w:t>
      </w:r>
      <w:r w:rsidR="009917D3" w:rsidRPr="008F26C2">
        <w:rPr>
          <w:rFonts w:hAnsi="標楷體" w:hint="eastAsia"/>
        </w:rPr>
        <w:t>「</w:t>
      </w:r>
      <w:r w:rsidRPr="008F26C2">
        <w:rPr>
          <w:rFonts w:hAnsi="標楷體" w:hint="eastAsia"/>
        </w:rPr>
        <w:t>支出</w:t>
      </w:r>
      <w:r w:rsidR="009917D3" w:rsidRPr="008F26C2">
        <w:rPr>
          <w:rFonts w:hAnsi="標楷體" w:hint="eastAsia"/>
        </w:rPr>
        <w:t>」</w:t>
      </w:r>
      <w:r w:rsidRPr="008F26C2">
        <w:rPr>
          <w:rFonts w:hAnsi="標楷體"/>
        </w:rPr>
        <w:t>1</w:t>
      </w:r>
      <w:r w:rsidRPr="008F26C2">
        <w:rPr>
          <w:rFonts w:hAnsi="標楷體" w:hint="eastAsia"/>
        </w:rPr>
        <w:t>億</w:t>
      </w:r>
      <w:r w:rsidR="00AC6500" w:rsidRPr="008F26C2">
        <w:rPr>
          <w:rFonts w:hAnsi="標楷體" w:hint="eastAsia"/>
        </w:rPr>
        <w:t>8</w:t>
      </w:r>
      <w:r w:rsidRPr="008F26C2">
        <w:rPr>
          <w:rFonts w:hAnsi="標楷體"/>
        </w:rPr>
        <w:t>,</w:t>
      </w:r>
      <w:r w:rsidR="00AC6500" w:rsidRPr="008F26C2">
        <w:rPr>
          <w:rFonts w:hAnsi="標楷體" w:hint="eastAsia"/>
        </w:rPr>
        <w:t>843</w:t>
      </w:r>
      <w:r w:rsidRPr="008F26C2">
        <w:rPr>
          <w:rFonts w:hAnsi="標楷體" w:hint="eastAsia"/>
        </w:rPr>
        <w:t>萬</w:t>
      </w:r>
      <w:r w:rsidR="00AC6500" w:rsidRPr="008F26C2">
        <w:rPr>
          <w:rFonts w:hAnsi="標楷體" w:hint="eastAsia"/>
        </w:rPr>
        <w:t>3</w:t>
      </w:r>
      <w:r w:rsidR="00B672E3" w:rsidRPr="008F26C2">
        <w:rPr>
          <w:rFonts w:hAnsi="標楷體" w:hint="eastAsia"/>
        </w:rPr>
        <w:t>千</w:t>
      </w:r>
      <w:r w:rsidRPr="008F26C2">
        <w:rPr>
          <w:rFonts w:hAnsi="標楷體" w:hint="eastAsia"/>
        </w:rPr>
        <w:t>元，較</w:t>
      </w:r>
      <w:r w:rsidRPr="008F26C2">
        <w:rPr>
          <w:rFonts w:hAnsi="標楷體"/>
        </w:rPr>
        <w:t>11</w:t>
      </w:r>
      <w:r w:rsidR="00AC6500" w:rsidRPr="008F26C2">
        <w:rPr>
          <w:rFonts w:hAnsi="標楷體" w:hint="eastAsia"/>
        </w:rPr>
        <w:t>3</w:t>
      </w:r>
      <w:r w:rsidRPr="008F26C2">
        <w:rPr>
          <w:rFonts w:hAnsi="標楷體" w:hint="eastAsia"/>
        </w:rPr>
        <w:t>年度預算</w:t>
      </w:r>
      <w:r w:rsidR="00525774" w:rsidRPr="008F26C2">
        <w:rPr>
          <w:rFonts w:hAnsi="標楷體" w:hint="eastAsia"/>
        </w:rPr>
        <w:t>數</w:t>
      </w:r>
      <w:r w:rsidR="00B672E3" w:rsidRPr="008F26C2">
        <w:rPr>
          <w:rFonts w:hAnsi="標楷體" w:hint="eastAsia"/>
        </w:rPr>
        <w:t>增加</w:t>
      </w:r>
      <w:r w:rsidR="00AC6500" w:rsidRPr="008F26C2">
        <w:rPr>
          <w:rFonts w:hAnsi="標楷體" w:hint="eastAsia"/>
        </w:rPr>
        <w:t>1</w:t>
      </w:r>
      <w:r w:rsidR="00AC6500" w:rsidRPr="008F26C2">
        <w:rPr>
          <w:rFonts w:hAnsi="標楷體"/>
        </w:rPr>
        <w:t>,140</w:t>
      </w:r>
      <w:r w:rsidRPr="008F26C2">
        <w:rPr>
          <w:rFonts w:hAnsi="標楷體" w:hint="eastAsia"/>
        </w:rPr>
        <w:t>萬</w:t>
      </w:r>
      <w:r w:rsidR="00AC6500" w:rsidRPr="008F26C2">
        <w:rPr>
          <w:rFonts w:hAnsi="標楷體"/>
        </w:rPr>
        <w:t>6</w:t>
      </w:r>
      <w:r w:rsidR="00B672E3" w:rsidRPr="008F26C2">
        <w:rPr>
          <w:rFonts w:hAnsi="標楷體" w:hint="eastAsia"/>
        </w:rPr>
        <w:t>千元</w:t>
      </w:r>
      <w:r w:rsidRPr="008F26C2">
        <w:rPr>
          <w:rFonts w:hAnsi="標楷體" w:hint="eastAsia"/>
        </w:rPr>
        <w:t>(</w:t>
      </w:r>
      <w:r w:rsidR="00B672E3" w:rsidRPr="008F26C2">
        <w:rPr>
          <w:rFonts w:hAnsi="標楷體" w:hint="eastAsia"/>
        </w:rPr>
        <w:t>增幅</w:t>
      </w:r>
      <w:r w:rsidR="00AC6500" w:rsidRPr="008F26C2">
        <w:rPr>
          <w:rFonts w:hAnsi="標楷體"/>
        </w:rPr>
        <w:t>6</w:t>
      </w:r>
      <w:r w:rsidRPr="008F26C2">
        <w:rPr>
          <w:rFonts w:hAnsi="標楷體"/>
        </w:rPr>
        <w:t>.</w:t>
      </w:r>
      <w:r w:rsidR="00AC6500" w:rsidRPr="008F26C2">
        <w:rPr>
          <w:rFonts w:hAnsi="標楷體"/>
        </w:rPr>
        <w:t>44</w:t>
      </w:r>
      <w:r w:rsidRPr="008F26C2">
        <w:rPr>
          <w:rFonts w:hAnsi="標楷體" w:hint="eastAsia"/>
        </w:rPr>
        <w:t>%)；收支相抵後預計賸餘</w:t>
      </w:r>
      <w:r w:rsidR="00AC6500" w:rsidRPr="008F26C2">
        <w:rPr>
          <w:rFonts w:hAnsi="標楷體"/>
        </w:rPr>
        <w:t>7</w:t>
      </w:r>
      <w:r w:rsidR="00261F41" w:rsidRPr="008F26C2">
        <w:rPr>
          <w:rFonts w:hAnsi="標楷體" w:hint="eastAsia"/>
        </w:rPr>
        <w:t>億</w:t>
      </w:r>
      <w:r w:rsidR="00AC6500" w:rsidRPr="008F26C2">
        <w:rPr>
          <w:rFonts w:hAnsi="標楷體"/>
        </w:rPr>
        <w:t>7</w:t>
      </w:r>
      <w:r w:rsidRPr="008F26C2">
        <w:rPr>
          <w:rFonts w:hAnsi="標楷體" w:hint="eastAsia"/>
        </w:rPr>
        <w:t>,</w:t>
      </w:r>
      <w:r w:rsidR="00AC6500" w:rsidRPr="008F26C2">
        <w:rPr>
          <w:rFonts w:hAnsi="標楷體"/>
        </w:rPr>
        <w:t>194</w:t>
      </w:r>
      <w:r w:rsidRPr="008F26C2">
        <w:rPr>
          <w:rFonts w:hAnsi="標楷體" w:hint="eastAsia"/>
        </w:rPr>
        <w:t>萬</w:t>
      </w:r>
      <w:r w:rsidR="00AC6500" w:rsidRPr="008F26C2">
        <w:rPr>
          <w:rFonts w:hAnsi="標楷體"/>
        </w:rPr>
        <w:t>6</w:t>
      </w:r>
      <w:r w:rsidR="00261F41" w:rsidRPr="008F26C2">
        <w:rPr>
          <w:rFonts w:hAnsi="標楷體" w:hint="eastAsia"/>
        </w:rPr>
        <w:t>千</w:t>
      </w:r>
      <w:r w:rsidRPr="008F26C2">
        <w:rPr>
          <w:rFonts w:hAnsi="標楷體" w:hint="eastAsia"/>
        </w:rPr>
        <w:t>元，較</w:t>
      </w:r>
      <w:r w:rsidRPr="008F26C2">
        <w:rPr>
          <w:rFonts w:hAnsi="標楷體"/>
        </w:rPr>
        <w:t>11</w:t>
      </w:r>
      <w:r w:rsidR="00AC6500" w:rsidRPr="008F26C2">
        <w:rPr>
          <w:rFonts w:hAnsi="標楷體"/>
        </w:rPr>
        <w:t>3</w:t>
      </w:r>
      <w:r w:rsidRPr="008F26C2">
        <w:rPr>
          <w:rFonts w:hAnsi="標楷體" w:hint="eastAsia"/>
        </w:rPr>
        <w:t>年度預算</w:t>
      </w:r>
      <w:r w:rsidR="00525774" w:rsidRPr="008F26C2">
        <w:rPr>
          <w:rFonts w:hAnsi="標楷體" w:hint="eastAsia"/>
        </w:rPr>
        <w:t>數</w:t>
      </w:r>
      <w:r w:rsidR="00261F41" w:rsidRPr="008F26C2">
        <w:rPr>
          <w:rFonts w:hAnsi="標楷體" w:hint="eastAsia"/>
        </w:rPr>
        <w:t>增加</w:t>
      </w:r>
      <w:r w:rsidR="00AC6500" w:rsidRPr="008F26C2">
        <w:rPr>
          <w:rFonts w:hAnsi="標楷體"/>
        </w:rPr>
        <w:t>3</w:t>
      </w:r>
      <w:r w:rsidR="00AC6500" w:rsidRPr="008F26C2">
        <w:rPr>
          <w:rFonts w:hAnsi="標楷體" w:hint="eastAsia"/>
        </w:rPr>
        <w:t>億</w:t>
      </w:r>
      <w:r w:rsidR="00AC6500" w:rsidRPr="008F26C2">
        <w:rPr>
          <w:rFonts w:hAnsi="標楷體"/>
        </w:rPr>
        <w:t>3,137</w:t>
      </w:r>
      <w:r w:rsidR="00261F41" w:rsidRPr="008F26C2">
        <w:rPr>
          <w:rFonts w:hAnsi="標楷體" w:hint="eastAsia"/>
        </w:rPr>
        <w:t>萬3</w:t>
      </w:r>
      <w:r w:rsidRPr="008F26C2">
        <w:rPr>
          <w:rFonts w:hAnsi="標楷體" w:hint="eastAsia"/>
        </w:rPr>
        <w:t>千元(</w:t>
      </w:r>
      <w:r w:rsidR="00261F41" w:rsidRPr="008F26C2">
        <w:rPr>
          <w:rFonts w:hAnsi="標楷體" w:hint="eastAsia"/>
        </w:rPr>
        <w:t>增</w:t>
      </w:r>
      <w:r w:rsidRPr="008F26C2">
        <w:rPr>
          <w:rFonts w:hAnsi="標楷體" w:hint="eastAsia"/>
        </w:rPr>
        <w:t>幅</w:t>
      </w:r>
      <w:r w:rsidR="00AC6500" w:rsidRPr="008F26C2">
        <w:rPr>
          <w:rFonts w:hAnsi="標楷體"/>
        </w:rPr>
        <w:t>75</w:t>
      </w:r>
      <w:r w:rsidR="00261F41" w:rsidRPr="008F26C2">
        <w:rPr>
          <w:rFonts w:hAnsi="標楷體" w:hint="eastAsia"/>
        </w:rPr>
        <w:t>.</w:t>
      </w:r>
      <w:r w:rsidR="00AC6500" w:rsidRPr="008F26C2">
        <w:rPr>
          <w:rFonts w:hAnsi="標楷體"/>
        </w:rPr>
        <w:t>21</w:t>
      </w:r>
      <w:r w:rsidRPr="008F26C2">
        <w:rPr>
          <w:rFonts w:hAnsi="標楷體" w:hint="eastAsia"/>
        </w:rPr>
        <w:t>%)。</w:t>
      </w:r>
      <w:r w:rsidR="00424DDB" w:rsidRPr="008F26C2">
        <w:rPr>
          <w:rFonts w:hAnsi="標楷體" w:hint="eastAsia"/>
        </w:rPr>
        <w:t>謹就中華顧問工程司</w:t>
      </w:r>
      <w:r w:rsidR="007A235A" w:rsidRPr="008F26C2">
        <w:rPr>
          <w:rFonts w:hAnsi="標楷體" w:hint="eastAsia"/>
        </w:rPr>
        <w:t>114</w:t>
      </w:r>
      <w:r w:rsidR="00424DDB" w:rsidRPr="008F26C2">
        <w:rPr>
          <w:rFonts w:hAnsi="標楷體" w:hint="eastAsia"/>
        </w:rPr>
        <w:t>年度預算案相關問題評析如下</w:t>
      </w:r>
      <w:r w:rsidR="00B57508" w:rsidRPr="008F26C2">
        <w:rPr>
          <w:rFonts w:hAnsi="標楷體" w:hint="eastAsia"/>
        </w:rPr>
        <w:t>：</w:t>
      </w:r>
    </w:p>
    <w:p w:rsidR="00100581" w:rsidRPr="008F26C2" w:rsidRDefault="00100581" w:rsidP="00194EDD">
      <w:pPr>
        <w:pStyle w:val="14"/>
        <w:ind w:left="561" w:hanging="561"/>
        <w:rPr>
          <w:rFonts w:hAnsi="標楷體" w:cs="標楷體"/>
          <w:color w:val="000000"/>
        </w:rPr>
      </w:pPr>
      <w:bookmarkStart w:id="4" w:name="_Toc215026851"/>
      <w:bookmarkStart w:id="5" w:name="_Toc6301656"/>
      <w:bookmarkStart w:id="6" w:name="_Toc435780541"/>
      <w:bookmarkStart w:id="7" w:name="_Toc99527840"/>
      <w:bookmarkStart w:id="8" w:name="_Toc194504494"/>
      <w:r w:rsidRPr="008F26C2">
        <w:rPr>
          <w:rFonts w:hAnsi="標楷體" w:cs="標楷體" w:hint="eastAsia"/>
          <w:color w:val="000000"/>
        </w:rPr>
        <w:t>一、</w:t>
      </w:r>
      <w:r w:rsidR="005C7E13" w:rsidRPr="008F26C2">
        <w:rPr>
          <w:rFonts w:hAnsi="標楷體" w:hint="eastAsia"/>
        </w:rPr>
        <w:t>近年收入超收幅度逾50%，且部分支出項目存有超支或執行率未達80%</w:t>
      </w:r>
      <w:r w:rsidR="0093019E" w:rsidRPr="008F26C2">
        <w:rPr>
          <w:rFonts w:hAnsi="標楷體" w:hint="eastAsia"/>
        </w:rPr>
        <w:t>之</w:t>
      </w:r>
      <w:r w:rsidR="005C7E13" w:rsidRPr="008F26C2">
        <w:rPr>
          <w:rFonts w:hAnsi="標楷體" w:hint="eastAsia"/>
        </w:rPr>
        <w:t>情形，允宜檢討改善並覈實編列預算</w:t>
      </w:r>
      <w:bookmarkEnd w:id="7"/>
      <w:bookmarkEnd w:id="8"/>
    </w:p>
    <w:p w:rsidR="00100581" w:rsidRPr="008F26C2" w:rsidRDefault="0086051E" w:rsidP="00100581">
      <w:pPr>
        <w:ind w:left="560" w:firstLine="560"/>
        <w:rPr>
          <w:rFonts w:hAnsi="標楷體"/>
        </w:rPr>
      </w:pPr>
      <w:r w:rsidRPr="008F26C2">
        <w:rPr>
          <w:rFonts w:hAnsi="標楷體" w:hint="eastAsia"/>
        </w:rPr>
        <w:t>中華顧問工程司114年度預算案編列「收入」9億6,037萬9千元</w:t>
      </w:r>
      <w:r w:rsidR="00100581" w:rsidRPr="008F26C2">
        <w:rPr>
          <w:rFonts w:hAnsi="標楷體" w:hint="eastAsia"/>
        </w:rPr>
        <w:t>，較</w:t>
      </w:r>
      <w:r w:rsidR="00100581" w:rsidRPr="008F26C2">
        <w:rPr>
          <w:rFonts w:hAnsi="標楷體"/>
        </w:rPr>
        <w:t>11</w:t>
      </w:r>
      <w:r w:rsidRPr="008F26C2">
        <w:rPr>
          <w:rFonts w:hAnsi="標楷體" w:hint="eastAsia"/>
        </w:rPr>
        <w:t>3</w:t>
      </w:r>
      <w:r w:rsidR="00100581" w:rsidRPr="008F26C2">
        <w:rPr>
          <w:rFonts w:hAnsi="標楷體" w:hint="eastAsia"/>
        </w:rPr>
        <w:t>年度預算</w:t>
      </w:r>
      <w:r w:rsidR="0093019E" w:rsidRPr="008F26C2">
        <w:rPr>
          <w:rFonts w:hAnsi="標楷體" w:hint="eastAsia"/>
        </w:rPr>
        <w:t>數</w:t>
      </w:r>
      <w:r w:rsidR="00100581" w:rsidRPr="008F26C2">
        <w:rPr>
          <w:rFonts w:hAnsi="標楷體" w:hint="eastAsia"/>
        </w:rPr>
        <w:t>增加</w:t>
      </w:r>
      <w:r w:rsidRPr="008F26C2">
        <w:rPr>
          <w:rFonts w:hAnsi="標楷體" w:hint="eastAsia"/>
        </w:rPr>
        <w:t>55</w:t>
      </w:r>
      <w:r w:rsidRPr="008F26C2">
        <w:rPr>
          <w:rFonts w:hAnsi="標楷體"/>
        </w:rPr>
        <w:t>.</w:t>
      </w:r>
      <w:r w:rsidRPr="008F26C2">
        <w:rPr>
          <w:rFonts w:hAnsi="標楷體" w:hint="eastAsia"/>
        </w:rPr>
        <w:t>50%</w:t>
      </w:r>
      <w:r w:rsidR="00100581" w:rsidRPr="008F26C2">
        <w:rPr>
          <w:rFonts w:hAnsi="標楷體" w:hint="eastAsia"/>
        </w:rPr>
        <w:t>；編列</w:t>
      </w:r>
      <w:r w:rsidRPr="008F26C2">
        <w:rPr>
          <w:rFonts w:hAnsi="標楷體" w:hint="eastAsia"/>
        </w:rPr>
        <w:t>「</w:t>
      </w:r>
      <w:r w:rsidR="00100581" w:rsidRPr="008F26C2">
        <w:rPr>
          <w:rFonts w:hAnsi="標楷體" w:hint="eastAsia"/>
        </w:rPr>
        <w:t>支出</w:t>
      </w:r>
      <w:r w:rsidRPr="008F26C2">
        <w:rPr>
          <w:rFonts w:hAnsi="標楷體" w:hint="eastAsia"/>
        </w:rPr>
        <w:t>」1億8,843萬3千元</w:t>
      </w:r>
      <w:r w:rsidR="00100581" w:rsidRPr="008F26C2">
        <w:rPr>
          <w:rFonts w:hAnsi="標楷體" w:hint="eastAsia"/>
        </w:rPr>
        <w:t>，較</w:t>
      </w:r>
      <w:r w:rsidR="00100581" w:rsidRPr="008F26C2">
        <w:rPr>
          <w:rFonts w:hAnsi="標楷體"/>
        </w:rPr>
        <w:t>11</w:t>
      </w:r>
      <w:r w:rsidR="00A86EAF" w:rsidRPr="008F26C2">
        <w:rPr>
          <w:rFonts w:hAnsi="標楷體" w:hint="eastAsia"/>
        </w:rPr>
        <w:t>3</w:t>
      </w:r>
      <w:r w:rsidR="00100581" w:rsidRPr="008F26C2">
        <w:rPr>
          <w:rFonts w:hAnsi="標楷體" w:hint="eastAsia"/>
        </w:rPr>
        <w:t>年度預算增加</w:t>
      </w:r>
      <w:r w:rsidRPr="008F26C2">
        <w:rPr>
          <w:rFonts w:hAnsi="標楷體" w:hint="eastAsia"/>
        </w:rPr>
        <w:t>6</w:t>
      </w:r>
      <w:r w:rsidR="00100581" w:rsidRPr="008F26C2">
        <w:rPr>
          <w:rFonts w:hAnsi="標楷體"/>
        </w:rPr>
        <w:t>.</w:t>
      </w:r>
      <w:r w:rsidRPr="008F26C2">
        <w:rPr>
          <w:rFonts w:hAnsi="標楷體" w:hint="eastAsia"/>
        </w:rPr>
        <w:t>44</w:t>
      </w:r>
      <w:r w:rsidR="00100581" w:rsidRPr="008F26C2">
        <w:rPr>
          <w:rFonts w:hAnsi="標楷體"/>
        </w:rPr>
        <w:t>%</w:t>
      </w:r>
      <w:r w:rsidR="0093019E" w:rsidRPr="008F26C2">
        <w:rPr>
          <w:rFonts w:hAnsi="標楷體" w:hint="eastAsia"/>
        </w:rPr>
        <w:t>。</w:t>
      </w:r>
      <w:r w:rsidR="00100581" w:rsidRPr="008F26C2">
        <w:rPr>
          <w:rFonts w:hAnsi="標楷體" w:hint="eastAsia"/>
        </w:rPr>
        <w:t>經查：</w:t>
      </w:r>
    </w:p>
    <w:p w:rsidR="00100581" w:rsidRPr="008F26C2" w:rsidRDefault="00100581" w:rsidP="00CA1967">
      <w:pPr>
        <w:pStyle w:val="a4"/>
        <w:ind w:left="840" w:hanging="280"/>
        <w:rPr>
          <w:rFonts w:hAnsi="標楷體"/>
          <w:b/>
          <w:bCs/>
        </w:rPr>
      </w:pPr>
      <w:r w:rsidRPr="008F26C2">
        <w:rPr>
          <w:rFonts w:hAnsi="標楷體" w:hint="eastAsia"/>
          <w:b/>
          <w:bCs/>
        </w:rPr>
        <w:t>(一</w:t>
      </w:r>
      <w:r w:rsidRPr="008F26C2">
        <w:rPr>
          <w:rFonts w:hAnsi="標楷體"/>
          <w:b/>
          <w:bCs/>
        </w:rPr>
        <w:t>)</w:t>
      </w:r>
      <w:r w:rsidR="00CD6304">
        <w:rPr>
          <w:rFonts w:hAnsi="標楷體" w:hint="eastAsia"/>
          <w:b/>
          <w:bCs/>
        </w:rPr>
        <w:t>近年</w:t>
      </w:r>
      <w:r w:rsidR="00A86EAF" w:rsidRPr="008F26C2">
        <w:rPr>
          <w:rFonts w:hAnsi="標楷體" w:hint="eastAsia"/>
          <w:b/>
          <w:bCs/>
        </w:rPr>
        <w:t>收入決算數</w:t>
      </w:r>
      <w:r w:rsidR="00CD6304">
        <w:rPr>
          <w:rFonts w:hAnsi="標楷體" w:hint="eastAsia"/>
          <w:b/>
          <w:bCs/>
        </w:rPr>
        <w:t>均</w:t>
      </w:r>
      <w:r w:rsidR="00CD6304" w:rsidRPr="008F26C2">
        <w:rPr>
          <w:rFonts w:hAnsi="標楷體" w:hint="eastAsia"/>
          <w:b/>
          <w:bCs/>
        </w:rPr>
        <w:t>超過</w:t>
      </w:r>
      <w:r w:rsidR="00CD6304">
        <w:rPr>
          <w:rFonts w:hAnsi="標楷體" w:hint="eastAsia"/>
          <w:b/>
          <w:bCs/>
        </w:rPr>
        <w:t>預算數</w:t>
      </w:r>
      <w:r w:rsidR="00A86EAF" w:rsidRPr="008F26C2">
        <w:rPr>
          <w:rFonts w:hAnsi="標楷體" w:hint="eastAsia"/>
          <w:b/>
          <w:bCs/>
        </w:rPr>
        <w:t>50%，且部分年度更</w:t>
      </w:r>
      <w:r w:rsidR="00CD6304">
        <w:rPr>
          <w:rFonts w:hAnsi="標楷體" w:hint="eastAsia"/>
          <w:b/>
          <w:bCs/>
        </w:rPr>
        <w:t>逾</w:t>
      </w:r>
      <w:r w:rsidR="0093019E" w:rsidRPr="008F26C2">
        <w:rPr>
          <w:rFonts w:hAnsi="標楷體" w:hint="eastAsia"/>
          <w:b/>
          <w:bCs/>
        </w:rPr>
        <w:t>2</w:t>
      </w:r>
      <w:r w:rsidR="00CD6304">
        <w:rPr>
          <w:rFonts w:hAnsi="標楷體" w:hint="eastAsia"/>
          <w:b/>
          <w:bCs/>
        </w:rPr>
        <w:t>倍</w:t>
      </w:r>
      <w:r w:rsidR="00A86EAF" w:rsidRPr="008F26C2">
        <w:rPr>
          <w:rFonts w:hAnsi="標楷體" w:hint="eastAsia"/>
          <w:b/>
          <w:bCs/>
        </w:rPr>
        <w:t>，顯</w:t>
      </w:r>
      <w:r w:rsidR="00A86EAF" w:rsidRPr="008F26C2">
        <w:rPr>
          <w:rFonts w:hAnsi="標楷體" w:hint="eastAsia"/>
          <w:b/>
          <w:bCs/>
        </w:rPr>
        <w:lastRenderedPageBreak/>
        <w:t>其過於保守低列</w:t>
      </w:r>
      <w:r w:rsidR="005C7E13" w:rsidRPr="008F26C2">
        <w:rPr>
          <w:rFonts w:hAnsi="標楷體" w:hint="eastAsia"/>
          <w:b/>
          <w:bCs/>
        </w:rPr>
        <w:t>(估)收入</w:t>
      </w:r>
    </w:p>
    <w:p w:rsidR="00100581" w:rsidRPr="008F26C2" w:rsidRDefault="00100581" w:rsidP="00CA1967">
      <w:pPr>
        <w:pStyle w:val="21"/>
        <w:ind w:left="840" w:firstLine="560"/>
        <w:rPr>
          <w:rFonts w:hAnsi="標楷體"/>
          <w:color w:val="000000"/>
        </w:rPr>
      </w:pPr>
      <w:r w:rsidRPr="008F26C2">
        <w:rPr>
          <w:rFonts w:hAnsi="標楷體" w:hint="eastAsia"/>
        </w:rPr>
        <w:t>中華顧問工程司</w:t>
      </w:r>
      <w:r w:rsidR="0020035A" w:rsidRPr="008F26C2">
        <w:rPr>
          <w:rFonts w:hAnsi="標楷體" w:hint="eastAsia"/>
        </w:rPr>
        <w:t>1</w:t>
      </w:r>
      <w:r w:rsidR="0020035A" w:rsidRPr="008F26C2">
        <w:rPr>
          <w:rFonts w:hAnsi="標楷體"/>
        </w:rPr>
        <w:t>10</w:t>
      </w:r>
      <w:r w:rsidR="0020035A" w:rsidRPr="008F26C2">
        <w:rPr>
          <w:rFonts w:hAnsi="標楷體" w:hint="eastAsia"/>
        </w:rPr>
        <w:t>至11</w:t>
      </w:r>
      <w:r w:rsidR="009565F7" w:rsidRPr="008F26C2">
        <w:rPr>
          <w:rFonts w:hAnsi="標楷體" w:hint="eastAsia"/>
        </w:rPr>
        <w:t>3</w:t>
      </w:r>
      <w:r w:rsidR="0020035A" w:rsidRPr="008F26C2">
        <w:rPr>
          <w:rFonts w:hAnsi="標楷體" w:hint="eastAsia"/>
        </w:rPr>
        <w:t>年度</w:t>
      </w:r>
      <w:r w:rsidR="0093019E" w:rsidRPr="008F26C2">
        <w:rPr>
          <w:rFonts w:hAnsi="標楷體" w:hint="eastAsia"/>
        </w:rPr>
        <w:t>「</w:t>
      </w:r>
      <w:r w:rsidR="0020035A" w:rsidRPr="008F26C2">
        <w:rPr>
          <w:rFonts w:hAnsi="標楷體" w:hint="eastAsia"/>
        </w:rPr>
        <w:t>收入</w:t>
      </w:r>
      <w:r w:rsidR="0093019E" w:rsidRPr="008F26C2">
        <w:rPr>
          <w:rFonts w:hAnsi="標楷體" w:hint="eastAsia"/>
        </w:rPr>
        <w:t>」</w:t>
      </w:r>
      <w:r w:rsidR="0020035A" w:rsidRPr="008F26C2">
        <w:rPr>
          <w:rFonts w:hAnsi="標楷體" w:hint="eastAsia"/>
        </w:rPr>
        <w:t>決算數</w:t>
      </w:r>
      <w:r w:rsidR="0093019E" w:rsidRPr="008F26C2">
        <w:rPr>
          <w:rFonts w:hAnsi="標楷體" w:hint="eastAsia"/>
        </w:rPr>
        <w:t>(自結數)</w:t>
      </w:r>
      <w:r w:rsidR="0020035A" w:rsidRPr="008F26C2">
        <w:rPr>
          <w:rFonts w:hAnsi="標楷體" w:hint="eastAsia"/>
        </w:rPr>
        <w:t>由</w:t>
      </w:r>
      <w:r w:rsidR="009565F7" w:rsidRPr="008F26C2">
        <w:rPr>
          <w:rFonts w:hAnsi="標楷體"/>
        </w:rPr>
        <w:t>7</w:t>
      </w:r>
      <w:r w:rsidR="009565F7" w:rsidRPr="008F26C2">
        <w:rPr>
          <w:rFonts w:hAnsi="標楷體" w:hint="eastAsia"/>
        </w:rPr>
        <w:t>億</w:t>
      </w:r>
      <w:r w:rsidR="009565F7" w:rsidRPr="008F26C2">
        <w:rPr>
          <w:rFonts w:hAnsi="標楷體"/>
        </w:rPr>
        <w:t>1,661</w:t>
      </w:r>
      <w:r w:rsidR="009565F7" w:rsidRPr="008F26C2">
        <w:rPr>
          <w:rFonts w:hAnsi="標楷體" w:hint="eastAsia"/>
        </w:rPr>
        <w:t>萬</w:t>
      </w:r>
      <w:r w:rsidR="009565F7" w:rsidRPr="008F26C2">
        <w:rPr>
          <w:rFonts w:hAnsi="標楷體"/>
        </w:rPr>
        <w:t>5</w:t>
      </w:r>
      <w:r w:rsidR="009565F7" w:rsidRPr="008F26C2">
        <w:rPr>
          <w:rFonts w:hAnsi="標楷體" w:hint="eastAsia"/>
        </w:rPr>
        <w:t>千</w:t>
      </w:r>
      <w:r w:rsidR="0020035A" w:rsidRPr="008F26C2">
        <w:rPr>
          <w:rFonts w:hAnsi="標楷體" w:hint="eastAsia"/>
        </w:rPr>
        <w:t>元增至</w:t>
      </w:r>
      <w:r w:rsidR="009565F7" w:rsidRPr="008F26C2">
        <w:rPr>
          <w:rFonts w:hAnsi="標楷體"/>
        </w:rPr>
        <w:t>11</w:t>
      </w:r>
      <w:r w:rsidR="009565F7" w:rsidRPr="008F26C2">
        <w:rPr>
          <w:rFonts w:hAnsi="標楷體" w:hint="eastAsia"/>
        </w:rPr>
        <w:t>億</w:t>
      </w:r>
      <w:r w:rsidR="009565F7" w:rsidRPr="008F26C2">
        <w:rPr>
          <w:rFonts w:hAnsi="標楷體"/>
        </w:rPr>
        <w:t>9,376</w:t>
      </w:r>
      <w:r w:rsidR="009565F7" w:rsidRPr="008F26C2">
        <w:rPr>
          <w:rFonts w:hAnsi="標楷體" w:hint="eastAsia"/>
        </w:rPr>
        <w:t>萬</w:t>
      </w:r>
      <w:r w:rsidR="009565F7" w:rsidRPr="008F26C2">
        <w:rPr>
          <w:rFonts w:hAnsi="標楷體"/>
        </w:rPr>
        <w:t>9</w:t>
      </w:r>
      <w:r w:rsidR="0020035A" w:rsidRPr="008F26C2">
        <w:rPr>
          <w:rFonts w:hAnsi="標楷體" w:hint="eastAsia"/>
        </w:rPr>
        <w:t>千元，呈逐年增加趨勢，且均超過預算數</w:t>
      </w:r>
      <w:r w:rsidR="0093019E" w:rsidRPr="008F26C2">
        <w:rPr>
          <w:rFonts w:hAnsi="標楷體" w:hint="eastAsia"/>
        </w:rPr>
        <w:t>甚多</w:t>
      </w:r>
      <w:r w:rsidR="0020035A" w:rsidRPr="008F26C2">
        <w:rPr>
          <w:rFonts w:hAnsi="標楷體" w:hint="eastAsia"/>
        </w:rPr>
        <w:t>，</w:t>
      </w:r>
      <w:r w:rsidR="00304325" w:rsidRPr="008F26C2">
        <w:rPr>
          <w:rFonts w:hAnsi="標楷體" w:hint="eastAsia"/>
        </w:rPr>
        <w:t>超收</w:t>
      </w:r>
      <w:r w:rsidR="0020035A" w:rsidRPr="008F26C2">
        <w:rPr>
          <w:rFonts w:hAnsi="標楷體" w:hint="eastAsia"/>
        </w:rPr>
        <w:t>數介於</w:t>
      </w:r>
      <w:r w:rsidR="009565F7" w:rsidRPr="008F26C2">
        <w:rPr>
          <w:rFonts w:hAnsi="標楷體"/>
        </w:rPr>
        <w:t>3</w:t>
      </w:r>
      <w:r w:rsidR="009565F7" w:rsidRPr="008F26C2">
        <w:rPr>
          <w:rFonts w:hAnsi="標楷體" w:hint="eastAsia"/>
        </w:rPr>
        <w:t>億</w:t>
      </w:r>
      <w:r w:rsidR="009565F7" w:rsidRPr="008F26C2">
        <w:rPr>
          <w:rFonts w:hAnsi="標楷體"/>
        </w:rPr>
        <w:t>4,095</w:t>
      </w:r>
      <w:r w:rsidR="009565F7" w:rsidRPr="008F26C2">
        <w:rPr>
          <w:rFonts w:hAnsi="標楷體" w:hint="eastAsia"/>
        </w:rPr>
        <w:t>萬</w:t>
      </w:r>
      <w:r w:rsidR="009565F7" w:rsidRPr="008F26C2">
        <w:rPr>
          <w:rFonts w:hAnsi="標楷體"/>
        </w:rPr>
        <w:t>7</w:t>
      </w:r>
      <w:r w:rsidR="0020035A" w:rsidRPr="008F26C2">
        <w:rPr>
          <w:rFonts w:hAnsi="標楷體" w:hint="eastAsia"/>
        </w:rPr>
        <w:t>千元至</w:t>
      </w:r>
      <w:r w:rsidR="009565F7" w:rsidRPr="008F26C2">
        <w:rPr>
          <w:rFonts w:hAnsi="標楷體"/>
        </w:rPr>
        <w:t>5</w:t>
      </w:r>
      <w:r w:rsidR="009565F7" w:rsidRPr="008F26C2">
        <w:rPr>
          <w:rFonts w:hAnsi="標楷體" w:hint="eastAsia"/>
        </w:rPr>
        <w:t>億</w:t>
      </w:r>
      <w:r w:rsidR="009565F7" w:rsidRPr="008F26C2">
        <w:rPr>
          <w:rFonts w:hAnsi="標楷體"/>
        </w:rPr>
        <w:t>8,089</w:t>
      </w:r>
      <w:r w:rsidR="009565F7" w:rsidRPr="008F26C2">
        <w:rPr>
          <w:rFonts w:hAnsi="標楷體" w:hint="eastAsia"/>
        </w:rPr>
        <w:t>萬</w:t>
      </w:r>
      <w:r w:rsidR="009565F7" w:rsidRPr="008F26C2">
        <w:rPr>
          <w:rFonts w:hAnsi="標楷體"/>
        </w:rPr>
        <w:t>6</w:t>
      </w:r>
      <w:r w:rsidR="0020035A" w:rsidRPr="008F26C2">
        <w:rPr>
          <w:rFonts w:hAnsi="標楷體" w:hint="eastAsia"/>
        </w:rPr>
        <w:t>千元，</w:t>
      </w:r>
      <w:r w:rsidR="00304325" w:rsidRPr="008F26C2">
        <w:rPr>
          <w:rFonts w:hAnsi="標楷體" w:hint="eastAsia"/>
        </w:rPr>
        <w:t>超</w:t>
      </w:r>
      <w:r w:rsidR="0093019E" w:rsidRPr="008F26C2">
        <w:rPr>
          <w:rFonts w:hAnsi="標楷體" w:hint="eastAsia"/>
        </w:rPr>
        <w:t>收</w:t>
      </w:r>
      <w:r w:rsidR="0020035A" w:rsidRPr="008F26C2">
        <w:rPr>
          <w:rFonts w:hAnsi="標楷體" w:hint="eastAsia"/>
        </w:rPr>
        <w:t>幅</w:t>
      </w:r>
      <w:r w:rsidR="0093019E" w:rsidRPr="008F26C2">
        <w:rPr>
          <w:rFonts w:hAnsi="標楷體" w:hint="eastAsia"/>
        </w:rPr>
        <w:t>度</w:t>
      </w:r>
      <w:r w:rsidR="00F7525E" w:rsidRPr="008F26C2">
        <w:rPr>
          <w:rFonts w:hAnsi="標楷體" w:hint="eastAsia"/>
        </w:rPr>
        <w:t>均超過50%，且部分年度更達</w:t>
      </w:r>
      <w:r w:rsidR="0093019E" w:rsidRPr="008F26C2">
        <w:rPr>
          <w:rFonts w:hAnsi="標楷體" w:hint="eastAsia"/>
        </w:rPr>
        <w:t>2</w:t>
      </w:r>
      <w:r w:rsidR="00F7525E" w:rsidRPr="008F26C2">
        <w:rPr>
          <w:rFonts w:hAnsi="標楷體" w:hint="eastAsia"/>
        </w:rPr>
        <w:t>倍以上</w:t>
      </w:r>
      <w:r w:rsidR="0020035A" w:rsidRPr="008F26C2">
        <w:rPr>
          <w:rFonts w:hAnsi="標楷體" w:hint="eastAsia"/>
        </w:rPr>
        <w:t>(詳表1)</w:t>
      </w:r>
      <w:r w:rsidR="00847DB2" w:rsidRPr="008F26C2">
        <w:rPr>
          <w:rFonts w:hAnsi="標楷體" w:hint="eastAsia"/>
        </w:rPr>
        <w:t>，詢據</w:t>
      </w:r>
      <w:r w:rsidR="001475D1" w:rsidRPr="008F26C2">
        <w:rPr>
          <w:rFonts w:hAnsi="標楷體" w:hint="eastAsia"/>
        </w:rPr>
        <w:t>該顧問工程司</w:t>
      </w:r>
      <w:r w:rsidR="00847DB2" w:rsidRPr="008F26C2">
        <w:rPr>
          <w:rFonts w:hAnsi="標楷體" w:hint="eastAsia"/>
        </w:rPr>
        <w:t>說明，主要係因世曦公司承接政府公共建設及重大工程逐年增長，</w:t>
      </w:r>
      <w:r w:rsidR="00F7525E" w:rsidRPr="008F26C2">
        <w:rPr>
          <w:rFonts w:hAnsi="標楷體" w:hint="eastAsia"/>
        </w:rPr>
        <w:t>導致營收顯著提升，進而提升</w:t>
      </w:r>
      <w:r w:rsidR="001475D1" w:rsidRPr="008F26C2">
        <w:rPr>
          <w:rFonts w:hAnsi="標楷體" w:hint="eastAsia"/>
        </w:rPr>
        <w:t>該顧問工程司</w:t>
      </w:r>
      <w:r w:rsidR="00F7525E" w:rsidRPr="008F26C2">
        <w:rPr>
          <w:rFonts w:hAnsi="標楷體" w:hint="eastAsia"/>
        </w:rPr>
        <w:t>投資收益</w:t>
      </w:r>
      <w:r w:rsidR="00F801F6" w:rsidRPr="008F26C2">
        <w:rPr>
          <w:rFonts w:hAnsi="標楷體" w:hint="eastAsia"/>
        </w:rPr>
        <w:t>。</w:t>
      </w:r>
      <w:r w:rsidR="00F7525E" w:rsidRPr="008F26C2">
        <w:rPr>
          <w:rFonts w:hAnsi="標楷體" w:hint="eastAsia"/>
        </w:rPr>
        <w:t>而</w:t>
      </w:r>
      <w:r w:rsidR="00AB236D" w:rsidRPr="008F26C2">
        <w:rPr>
          <w:rFonts w:hAnsi="標楷體" w:hint="eastAsia"/>
        </w:rPr>
        <w:t>114年度預算案雖較113年度預算數增加3億4</w:t>
      </w:r>
      <w:r w:rsidR="00AB236D" w:rsidRPr="008F26C2">
        <w:rPr>
          <w:rFonts w:hAnsi="標楷體"/>
        </w:rPr>
        <w:t>,</w:t>
      </w:r>
      <w:r w:rsidR="00AB236D" w:rsidRPr="008F26C2">
        <w:rPr>
          <w:rFonts w:hAnsi="標楷體" w:hint="eastAsia"/>
        </w:rPr>
        <w:t>277萬9千元，</w:t>
      </w:r>
      <w:r w:rsidR="00847DB2" w:rsidRPr="008F26C2">
        <w:rPr>
          <w:rFonts w:hAnsi="標楷體" w:hint="eastAsia"/>
        </w:rPr>
        <w:t>仍低於113年度決算數(自結數)2億3</w:t>
      </w:r>
      <w:r w:rsidR="00847DB2" w:rsidRPr="008F26C2">
        <w:rPr>
          <w:rFonts w:hAnsi="標楷體"/>
        </w:rPr>
        <w:t>,</w:t>
      </w:r>
      <w:r w:rsidR="00847DB2" w:rsidRPr="008F26C2">
        <w:rPr>
          <w:rFonts w:hAnsi="標楷體" w:hint="eastAsia"/>
        </w:rPr>
        <w:t>339萬元</w:t>
      </w:r>
      <w:r w:rsidR="0020035A" w:rsidRPr="008F26C2">
        <w:rPr>
          <w:rFonts w:hAnsi="標楷體" w:hint="eastAsia"/>
        </w:rPr>
        <w:t>，</w:t>
      </w:r>
      <w:r w:rsidR="00A86EAF" w:rsidRPr="008F26C2">
        <w:rPr>
          <w:rFonts w:hAnsi="標楷體" w:hint="eastAsia"/>
        </w:rPr>
        <w:t>顯其過於保守低列(估)</w:t>
      </w:r>
      <w:r w:rsidR="005C7E13" w:rsidRPr="008F26C2">
        <w:rPr>
          <w:rFonts w:hAnsi="標楷體" w:hint="eastAsia"/>
        </w:rPr>
        <w:t>收入</w:t>
      </w:r>
      <w:r w:rsidR="00F7525E" w:rsidRPr="008F26C2">
        <w:rPr>
          <w:rFonts w:hAnsi="標楷體" w:hint="eastAsia"/>
        </w:rPr>
        <w:t>，允宜參酌以前年度執行情形，覈實編列預算。</w:t>
      </w:r>
    </w:p>
    <w:p w:rsidR="0086051E" w:rsidRPr="008F26C2" w:rsidRDefault="0086051E" w:rsidP="00CA1967">
      <w:pPr>
        <w:pStyle w:val="20"/>
        <w:spacing w:line="500" w:lineRule="exact"/>
        <w:rPr>
          <w:rFonts w:hAnsi="標楷體"/>
          <w:b/>
          <w:bCs/>
          <w:sz w:val="28"/>
        </w:rPr>
      </w:pPr>
      <w:r w:rsidRPr="008F26C2">
        <w:rPr>
          <w:rFonts w:hAnsi="標楷體" w:hint="eastAsia"/>
          <w:b/>
          <w:bCs/>
          <w:sz w:val="28"/>
        </w:rPr>
        <w:t>表1</w:t>
      </w:r>
      <w:r w:rsidRPr="008F26C2">
        <w:rPr>
          <w:rFonts w:hAnsi="標楷體" w:hint="eastAsia"/>
          <w:b/>
          <w:sz w:val="28"/>
        </w:rPr>
        <w:t xml:space="preserve">　</w:t>
      </w:r>
      <w:bookmarkStart w:id="9" w:name="_Hlk194312748"/>
      <w:r w:rsidRPr="008F26C2">
        <w:rPr>
          <w:rFonts w:hAnsi="標楷體" w:hint="eastAsia"/>
          <w:b/>
          <w:bCs/>
          <w:sz w:val="28"/>
        </w:rPr>
        <w:t>110至114年度</w:t>
      </w:r>
      <w:r w:rsidRPr="008F26C2">
        <w:rPr>
          <w:rFonts w:hAnsi="標楷體" w:hint="eastAsia"/>
          <w:b/>
          <w:bCs/>
          <w:color w:val="000000"/>
          <w:sz w:val="28"/>
        </w:rPr>
        <w:t>中華顧問工程司</w:t>
      </w:r>
      <w:r w:rsidRPr="008F26C2">
        <w:rPr>
          <w:rFonts w:hAnsi="標楷體" w:hint="eastAsia"/>
          <w:b/>
          <w:bCs/>
          <w:sz w:val="28"/>
        </w:rPr>
        <w:t>收入</w:t>
      </w:r>
      <w:r w:rsidR="00861870" w:rsidRPr="008F26C2">
        <w:rPr>
          <w:rFonts w:hAnsi="標楷體" w:hint="eastAsia"/>
          <w:b/>
          <w:bCs/>
          <w:sz w:val="28"/>
        </w:rPr>
        <w:t>預算編列及執行</w:t>
      </w:r>
      <w:r w:rsidRPr="008F26C2">
        <w:rPr>
          <w:rFonts w:hAnsi="標楷體" w:hint="eastAsia"/>
          <w:b/>
          <w:bCs/>
          <w:sz w:val="28"/>
        </w:rPr>
        <w:t>概況表</w:t>
      </w:r>
      <w:bookmarkEnd w:id="9"/>
    </w:p>
    <w:p w:rsidR="0086051E" w:rsidRPr="008F26C2" w:rsidRDefault="0086051E" w:rsidP="00CA1967">
      <w:pPr>
        <w:spacing w:line="400" w:lineRule="exact"/>
        <w:ind w:leftChars="0" w:left="480" w:hangingChars="200" w:hanging="480"/>
        <w:jc w:val="right"/>
        <w:rPr>
          <w:rFonts w:hAnsi="標楷體"/>
          <w:sz w:val="24"/>
          <w:szCs w:val="24"/>
        </w:rPr>
      </w:pPr>
      <w:r w:rsidRPr="008F26C2">
        <w:rPr>
          <w:rFonts w:hAnsi="標楷體" w:hint="eastAsia"/>
          <w:sz w:val="24"/>
          <w:szCs w:val="24"/>
        </w:rPr>
        <w:t>單位：新臺幣千元</w:t>
      </w:r>
    </w:p>
    <w:tbl>
      <w:tblPr>
        <w:tblW w:w="852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279"/>
        <w:gridCol w:w="1280"/>
        <w:gridCol w:w="1279"/>
        <w:gridCol w:w="1280"/>
        <w:gridCol w:w="1280"/>
      </w:tblGrid>
      <w:tr w:rsidR="0086051E" w:rsidRPr="008F26C2" w:rsidTr="00852FFC">
        <w:trPr>
          <w:trHeight w:val="42"/>
        </w:trPr>
        <w:tc>
          <w:tcPr>
            <w:tcW w:w="2127" w:type="dxa"/>
            <w:tcBorders>
              <w:top w:val="single" w:sz="12" w:space="0" w:color="auto"/>
              <w:bottom w:val="double" w:sz="4" w:space="0" w:color="auto"/>
              <w:right w:val="single" w:sz="4" w:space="0" w:color="auto"/>
              <w:tl2br w:val="single" w:sz="4" w:space="0" w:color="auto"/>
            </w:tcBorders>
            <w:shd w:val="clear" w:color="auto" w:fill="auto"/>
            <w:vAlign w:val="center"/>
          </w:tcPr>
          <w:p w:rsidR="0086051E" w:rsidRPr="008F26C2" w:rsidRDefault="0086051E" w:rsidP="002C76A0">
            <w:pPr>
              <w:widowControl/>
              <w:adjustRightInd w:val="0"/>
              <w:snapToGrid w:val="0"/>
              <w:spacing w:line="400" w:lineRule="exact"/>
              <w:ind w:leftChars="-25" w:left="-70" w:rightChars="-25" w:right="-70" w:firstLineChars="521" w:firstLine="1250"/>
              <w:rPr>
                <w:rFonts w:hAnsi="標楷體"/>
                <w:snapToGrid/>
                <w:color w:val="000000"/>
                <w:kern w:val="0"/>
                <w:sz w:val="24"/>
                <w:szCs w:val="24"/>
              </w:rPr>
            </w:pPr>
            <w:bookmarkStart w:id="10" w:name="_Hlk163056152"/>
            <w:r w:rsidRPr="008F26C2">
              <w:rPr>
                <w:rFonts w:hAnsi="標楷體" w:hint="eastAsia"/>
                <w:snapToGrid/>
                <w:color w:val="000000"/>
                <w:kern w:val="0"/>
                <w:sz w:val="24"/>
                <w:szCs w:val="24"/>
              </w:rPr>
              <w:t>年度</w:t>
            </w:r>
          </w:p>
          <w:p w:rsidR="00F1622B" w:rsidRPr="008F26C2" w:rsidRDefault="00F1622B" w:rsidP="00F1622B">
            <w:pPr>
              <w:widowControl/>
              <w:adjustRightInd w:val="0"/>
              <w:snapToGrid w:val="0"/>
              <w:spacing w:line="400" w:lineRule="exact"/>
              <w:ind w:leftChars="-25" w:left="-70" w:rightChars="-25" w:right="-70" w:firstLineChars="185" w:firstLine="444"/>
              <w:jc w:val="left"/>
              <w:rPr>
                <w:rFonts w:hAnsi="標楷體" w:hint="eastAsia"/>
                <w:snapToGrid/>
                <w:color w:val="000000"/>
                <w:kern w:val="0"/>
                <w:sz w:val="24"/>
                <w:szCs w:val="24"/>
              </w:rPr>
            </w:pPr>
            <w:r w:rsidRPr="008F26C2">
              <w:rPr>
                <w:rFonts w:hAnsi="標楷體" w:hint="eastAsia"/>
                <w:snapToGrid/>
                <w:color w:val="000000"/>
                <w:kern w:val="0"/>
                <w:sz w:val="24"/>
                <w:szCs w:val="24"/>
              </w:rPr>
              <w:t>項目</w:t>
            </w:r>
          </w:p>
        </w:tc>
        <w:tc>
          <w:tcPr>
            <w:tcW w:w="1279" w:type="dxa"/>
            <w:tcBorders>
              <w:top w:val="single" w:sz="12" w:space="0" w:color="auto"/>
              <w:left w:val="single" w:sz="4" w:space="0" w:color="auto"/>
              <w:bottom w:val="double" w:sz="4" w:space="0" w:color="auto"/>
              <w:right w:val="single" w:sz="4" w:space="0" w:color="auto"/>
            </w:tcBorders>
            <w:shd w:val="clear" w:color="auto" w:fill="auto"/>
            <w:vAlign w:val="center"/>
          </w:tcPr>
          <w:p w:rsidR="00F1622B" w:rsidRPr="008F26C2" w:rsidRDefault="0086051E" w:rsidP="00194FDA">
            <w:pPr>
              <w:widowControl/>
              <w:adjustRightInd w:val="0"/>
              <w:snapToGrid w:val="0"/>
              <w:spacing w:line="400" w:lineRule="exact"/>
              <w:ind w:leftChars="-25" w:left="-70" w:rightChars="-25" w:right="-70" w:firstLineChars="0" w:firstLine="0"/>
              <w:jc w:val="center"/>
              <w:rPr>
                <w:rFonts w:hAnsi="標楷體" w:hint="eastAsia"/>
                <w:snapToGrid/>
                <w:color w:val="000000"/>
                <w:kern w:val="0"/>
                <w:sz w:val="24"/>
                <w:szCs w:val="24"/>
              </w:rPr>
            </w:pPr>
            <w:r w:rsidRPr="008F26C2">
              <w:rPr>
                <w:rFonts w:hAnsi="標楷體" w:hint="eastAsia"/>
                <w:snapToGrid/>
                <w:color w:val="000000"/>
                <w:kern w:val="0"/>
                <w:sz w:val="24"/>
                <w:szCs w:val="24"/>
              </w:rPr>
              <w:t>110年度</w:t>
            </w:r>
          </w:p>
        </w:tc>
        <w:tc>
          <w:tcPr>
            <w:tcW w:w="1280" w:type="dxa"/>
            <w:tcBorders>
              <w:top w:val="single" w:sz="12" w:space="0" w:color="auto"/>
              <w:left w:val="single" w:sz="4" w:space="0" w:color="auto"/>
              <w:bottom w:val="double" w:sz="4" w:space="0" w:color="auto"/>
              <w:right w:val="single" w:sz="4" w:space="0" w:color="auto"/>
            </w:tcBorders>
            <w:shd w:val="clear" w:color="auto" w:fill="auto"/>
            <w:vAlign w:val="center"/>
          </w:tcPr>
          <w:p w:rsidR="00F1622B" w:rsidRPr="008F26C2" w:rsidRDefault="0086051E" w:rsidP="00194FDA">
            <w:pPr>
              <w:widowControl/>
              <w:adjustRightInd w:val="0"/>
              <w:snapToGrid w:val="0"/>
              <w:spacing w:line="400" w:lineRule="exact"/>
              <w:ind w:leftChars="-25" w:left="-70" w:rightChars="-25" w:right="-70" w:firstLineChars="0" w:firstLine="0"/>
              <w:jc w:val="center"/>
              <w:rPr>
                <w:rFonts w:hAnsi="標楷體" w:hint="eastAsia"/>
                <w:snapToGrid/>
                <w:color w:val="000000"/>
                <w:kern w:val="0"/>
                <w:sz w:val="24"/>
                <w:szCs w:val="24"/>
              </w:rPr>
            </w:pPr>
            <w:r w:rsidRPr="008F26C2">
              <w:rPr>
                <w:rFonts w:hAnsi="標楷體" w:hint="eastAsia"/>
                <w:snapToGrid/>
                <w:color w:val="000000"/>
                <w:kern w:val="0"/>
                <w:sz w:val="24"/>
                <w:szCs w:val="24"/>
              </w:rPr>
              <w:t>111年度</w:t>
            </w:r>
          </w:p>
        </w:tc>
        <w:tc>
          <w:tcPr>
            <w:tcW w:w="1279" w:type="dxa"/>
            <w:tcBorders>
              <w:top w:val="single" w:sz="12" w:space="0" w:color="auto"/>
              <w:left w:val="single" w:sz="4" w:space="0" w:color="auto"/>
              <w:bottom w:val="double" w:sz="4" w:space="0" w:color="auto"/>
              <w:right w:val="single" w:sz="4" w:space="0" w:color="auto"/>
            </w:tcBorders>
            <w:shd w:val="clear" w:color="auto" w:fill="auto"/>
            <w:vAlign w:val="center"/>
          </w:tcPr>
          <w:p w:rsidR="0086051E" w:rsidRPr="008F26C2" w:rsidRDefault="0086051E" w:rsidP="00194FDA">
            <w:pPr>
              <w:widowControl/>
              <w:adjustRightInd w:val="0"/>
              <w:snapToGrid w:val="0"/>
              <w:spacing w:line="400" w:lineRule="exact"/>
              <w:ind w:leftChars="-25" w:left="-70" w:rightChars="-25" w:right="-70" w:firstLineChars="0" w:firstLine="0"/>
              <w:jc w:val="center"/>
              <w:rPr>
                <w:rFonts w:hAnsi="標楷體"/>
                <w:snapToGrid/>
                <w:color w:val="000000"/>
                <w:kern w:val="0"/>
                <w:sz w:val="24"/>
                <w:szCs w:val="24"/>
              </w:rPr>
            </w:pPr>
            <w:r w:rsidRPr="008F26C2">
              <w:rPr>
                <w:rFonts w:hAnsi="標楷體" w:hint="eastAsia"/>
                <w:snapToGrid/>
                <w:color w:val="000000"/>
                <w:kern w:val="0"/>
                <w:sz w:val="24"/>
                <w:szCs w:val="24"/>
              </w:rPr>
              <w:t>112年度</w:t>
            </w:r>
          </w:p>
        </w:tc>
        <w:tc>
          <w:tcPr>
            <w:tcW w:w="1280" w:type="dxa"/>
            <w:tcBorders>
              <w:top w:val="single" w:sz="12" w:space="0" w:color="auto"/>
              <w:left w:val="single" w:sz="4" w:space="0" w:color="auto"/>
              <w:bottom w:val="double" w:sz="4" w:space="0" w:color="auto"/>
              <w:right w:val="single" w:sz="4" w:space="0" w:color="auto"/>
            </w:tcBorders>
            <w:shd w:val="clear" w:color="auto" w:fill="auto"/>
            <w:vAlign w:val="center"/>
          </w:tcPr>
          <w:p w:rsidR="00F1622B" w:rsidRPr="008F26C2" w:rsidRDefault="0086051E" w:rsidP="00194FDA">
            <w:pPr>
              <w:widowControl/>
              <w:adjustRightInd w:val="0"/>
              <w:snapToGrid w:val="0"/>
              <w:spacing w:line="400" w:lineRule="exact"/>
              <w:ind w:leftChars="-25" w:left="-70" w:rightChars="-25" w:right="-70" w:firstLineChars="0" w:firstLine="0"/>
              <w:jc w:val="center"/>
              <w:rPr>
                <w:rFonts w:hAnsi="標楷體" w:hint="eastAsia"/>
                <w:snapToGrid/>
                <w:color w:val="000000"/>
                <w:kern w:val="0"/>
                <w:sz w:val="24"/>
                <w:szCs w:val="24"/>
              </w:rPr>
            </w:pPr>
            <w:r w:rsidRPr="008F26C2">
              <w:rPr>
                <w:rFonts w:hAnsi="標楷體" w:hint="eastAsia"/>
                <w:snapToGrid/>
                <w:color w:val="000000"/>
                <w:kern w:val="0"/>
                <w:sz w:val="24"/>
                <w:szCs w:val="24"/>
              </w:rPr>
              <w:t>113年度</w:t>
            </w:r>
          </w:p>
        </w:tc>
        <w:tc>
          <w:tcPr>
            <w:tcW w:w="1280" w:type="dxa"/>
            <w:tcBorders>
              <w:top w:val="single" w:sz="12" w:space="0" w:color="auto"/>
              <w:left w:val="single" w:sz="4" w:space="0" w:color="auto"/>
              <w:bottom w:val="double" w:sz="4" w:space="0" w:color="auto"/>
            </w:tcBorders>
            <w:shd w:val="clear" w:color="auto" w:fill="auto"/>
            <w:vAlign w:val="center"/>
          </w:tcPr>
          <w:p w:rsidR="00F1622B" w:rsidRPr="008F26C2" w:rsidRDefault="0086051E" w:rsidP="00194FDA">
            <w:pPr>
              <w:widowControl/>
              <w:adjustRightInd w:val="0"/>
              <w:snapToGrid w:val="0"/>
              <w:spacing w:line="400" w:lineRule="exact"/>
              <w:ind w:leftChars="-25" w:left="-70" w:rightChars="-25" w:right="-70" w:firstLineChars="0" w:firstLine="0"/>
              <w:jc w:val="center"/>
              <w:rPr>
                <w:rFonts w:hAnsi="標楷體" w:hint="eastAsia"/>
                <w:snapToGrid/>
                <w:color w:val="000000"/>
                <w:kern w:val="0"/>
                <w:sz w:val="24"/>
                <w:szCs w:val="24"/>
              </w:rPr>
            </w:pPr>
            <w:r w:rsidRPr="008F26C2">
              <w:rPr>
                <w:rFonts w:hAnsi="標楷體" w:hint="eastAsia"/>
                <w:snapToGrid/>
                <w:color w:val="000000"/>
                <w:kern w:val="0"/>
                <w:sz w:val="24"/>
                <w:szCs w:val="24"/>
              </w:rPr>
              <w:t>114年度</w:t>
            </w:r>
          </w:p>
        </w:tc>
      </w:tr>
      <w:tr w:rsidR="004E401E" w:rsidRPr="008F26C2" w:rsidTr="00852FFC">
        <w:trPr>
          <w:trHeight w:val="196"/>
        </w:trPr>
        <w:tc>
          <w:tcPr>
            <w:tcW w:w="2127" w:type="dxa"/>
            <w:tcBorders>
              <w:top w:val="double" w:sz="4" w:space="0" w:color="auto"/>
              <w:bottom w:val="single" w:sz="4" w:space="0" w:color="auto"/>
              <w:right w:val="single" w:sz="4" w:space="0" w:color="auto"/>
            </w:tcBorders>
            <w:shd w:val="clear" w:color="auto" w:fill="auto"/>
            <w:vAlign w:val="center"/>
          </w:tcPr>
          <w:p w:rsidR="004E401E" w:rsidRPr="008F26C2" w:rsidRDefault="004E401E" w:rsidP="004F7295">
            <w:pPr>
              <w:widowControl/>
              <w:adjustRightInd w:val="0"/>
              <w:snapToGrid w:val="0"/>
              <w:spacing w:line="400" w:lineRule="exact"/>
              <w:ind w:leftChars="-25" w:left="-70" w:rightChars="-25" w:right="-70" w:firstLineChars="0" w:firstLine="0"/>
              <w:rPr>
                <w:rFonts w:hAnsi="標楷體"/>
                <w:snapToGrid/>
                <w:color w:val="000000"/>
                <w:kern w:val="0"/>
                <w:sz w:val="24"/>
                <w:szCs w:val="24"/>
              </w:rPr>
            </w:pPr>
            <w:r w:rsidRPr="008F26C2">
              <w:rPr>
                <w:rFonts w:hAnsi="標楷體" w:hint="eastAsia"/>
                <w:snapToGrid/>
                <w:color w:val="000000"/>
                <w:kern w:val="0"/>
                <w:sz w:val="24"/>
                <w:szCs w:val="24"/>
              </w:rPr>
              <w:t>預算數A</w:t>
            </w:r>
          </w:p>
        </w:tc>
        <w:tc>
          <w:tcPr>
            <w:tcW w:w="1279" w:type="dxa"/>
            <w:tcBorders>
              <w:top w:val="double" w:sz="4" w:space="0" w:color="auto"/>
              <w:left w:val="single" w:sz="4" w:space="0" w:color="auto"/>
              <w:bottom w:val="single" w:sz="4" w:space="0" w:color="auto"/>
              <w:right w:val="single" w:sz="4" w:space="0" w:color="auto"/>
            </w:tcBorders>
            <w:shd w:val="clear" w:color="auto" w:fill="auto"/>
            <w:vAlign w:val="center"/>
          </w:tcPr>
          <w:p w:rsidR="004E40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z w:val="24"/>
                <w:szCs w:val="24"/>
              </w:rPr>
              <w:t>197,090</w:t>
            </w:r>
          </w:p>
        </w:tc>
        <w:tc>
          <w:tcPr>
            <w:tcW w:w="1280" w:type="dxa"/>
            <w:tcBorders>
              <w:top w:val="double" w:sz="4" w:space="0" w:color="auto"/>
              <w:left w:val="single" w:sz="4" w:space="0" w:color="auto"/>
              <w:bottom w:val="single" w:sz="4" w:space="0" w:color="auto"/>
              <w:right w:val="single" w:sz="4" w:space="0" w:color="auto"/>
            </w:tcBorders>
            <w:shd w:val="clear" w:color="auto" w:fill="auto"/>
            <w:vAlign w:val="center"/>
          </w:tcPr>
          <w:p w:rsidR="004E40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z w:val="24"/>
                <w:szCs w:val="24"/>
              </w:rPr>
              <w:t>207,100</w:t>
            </w:r>
          </w:p>
        </w:tc>
        <w:tc>
          <w:tcPr>
            <w:tcW w:w="1279" w:type="dxa"/>
            <w:tcBorders>
              <w:top w:val="double" w:sz="4" w:space="0" w:color="auto"/>
              <w:left w:val="single" w:sz="4" w:space="0" w:color="auto"/>
              <w:bottom w:val="single" w:sz="4" w:space="0" w:color="auto"/>
              <w:right w:val="single" w:sz="4" w:space="0" w:color="auto"/>
            </w:tcBorders>
            <w:shd w:val="clear" w:color="auto" w:fill="auto"/>
            <w:vAlign w:val="center"/>
          </w:tcPr>
          <w:p w:rsidR="004E40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sz w:val="24"/>
                <w:szCs w:val="24"/>
              </w:rPr>
              <w:t>606,000</w:t>
            </w:r>
          </w:p>
        </w:tc>
        <w:tc>
          <w:tcPr>
            <w:tcW w:w="1280" w:type="dxa"/>
            <w:tcBorders>
              <w:top w:val="double" w:sz="4" w:space="0" w:color="auto"/>
              <w:left w:val="single" w:sz="4" w:space="0" w:color="auto"/>
              <w:bottom w:val="single" w:sz="4" w:space="0" w:color="auto"/>
              <w:right w:val="single" w:sz="4" w:space="0" w:color="auto"/>
            </w:tcBorders>
            <w:shd w:val="clear" w:color="auto" w:fill="auto"/>
            <w:vAlign w:val="center"/>
          </w:tcPr>
          <w:p w:rsidR="004E40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z w:val="24"/>
                <w:szCs w:val="24"/>
              </w:rPr>
              <w:t>617</w:t>
            </w:r>
            <w:r w:rsidRPr="008F26C2">
              <w:rPr>
                <w:rFonts w:hAnsi="標楷體"/>
                <w:sz w:val="24"/>
                <w:szCs w:val="24"/>
              </w:rPr>
              <w:t>,</w:t>
            </w:r>
            <w:r w:rsidRPr="008F26C2">
              <w:rPr>
                <w:rFonts w:hAnsi="標楷體" w:hint="eastAsia"/>
                <w:sz w:val="24"/>
                <w:szCs w:val="24"/>
              </w:rPr>
              <w:t>60</w:t>
            </w:r>
            <w:r w:rsidRPr="008F26C2">
              <w:rPr>
                <w:rFonts w:hAnsi="標楷體" w:hint="eastAsia"/>
                <w:snapToGrid/>
                <w:kern w:val="0"/>
                <w:sz w:val="24"/>
                <w:szCs w:val="24"/>
              </w:rPr>
              <w:t>0</w:t>
            </w:r>
          </w:p>
        </w:tc>
        <w:tc>
          <w:tcPr>
            <w:tcW w:w="1280" w:type="dxa"/>
            <w:tcBorders>
              <w:top w:val="double" w:sz="4" w:space="0" w:color="auto"/>
              <w:left w:val="single" w:sz="4" w:space="0" w:color="auto"/>
              <w:bottom w:val="single" w:sz="4" w:space="0" w:color="auto"/>
            </w:tcBorders>
            <w:shd w:val="clear" w:color="auto" w:fill="auto"/>
            <w:vAlign w:val="center"/>
          </w:tcPr>
          <w:p w:rsidR="004E40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z w:val="24"/>
                <w:szCs w:val="24"/>
              </w:rPr>
              <w:t>960</w:t>
            </w:r>
            <w:r w:rsidRPr="008F26C2">
              <w:rPr>
                <w:rFonts w:hAnsi="標楷體"/>
                <w:sz w:val="24"/>
                <w:szCs w:val="24"/>
              </w:rPr>
              <w:t>,</w:t>
            </w:r>
            <w:r w:rsidRPr="008F26C2">
              <w:rPr>
                <w:rFonts w:hAnsi="標楷體" w:hint="eastAsia"/>
                <w:sz w:val="24"/>
                <w:szCs w:val="24"/>
              </w:rPr>
              <w:t>379</w:t>
            </w:r>
          </w:p>
        </w:tc>
      </w:tr>
      <w:tr w:rsidR="0086051E" w:rsidRPr="008F26C2" w:rsidTr="00852FFC">
        <w:trPr>
          <w:trHeight w:val="215"/>
        </w:trPr>
        <w:tc>
          <w:tcPr>
            <w:tcW w:w="2127" w:type="dxa"/>
            <w:tcBorders>
              <w:top w:val="single" w:sz="4" w:space="0" w:color="auto"/>
              <w:bottom w:val="single" w:sz="4" w:space="0" w:color="auto"/>
              <w:right w:val="single" w:sz="4" w:space="0" w:color="auto"/>
            </w:tcBorders>
            <w:shd w:val="clear" w:color="auto" w:fill="auto"/>
            <w:vAlign w:val="center"/>
          </w:tcPr>
          <w:p w:rsidR="0086051E" w:rsidRPr="008F26C2" w:rsidRDefault="0086051E" w:rsidP="004F7295">
            <w:pPr>
              <w:widowControl/>
              <w:adjustRightInd w:val="0"/>
              <w:snapToGrid w:val="0"/>
              <w:spacing w:line="400" w:lineRule="exact"/>
              <w:ind w:leftChars="-25" w:left="-70" w:rightChars="-25" w:right="-70" w:firstLineChars="0" w:firstLine="0"/>
              <w:rPr>
                <w:rFonts w:hAnsi="標楷體"/>
                <w:snapToGrid/>
                <w:color w:val="000000"/>
                <w:kern w:val="0"/>
                <w:sz w:val="24"/>
                <w:szCs w:val="24"/>
              </w:rPr>
            </w:pPr>
            <w:r w:rsidRPr="008F26C2">
              <w:rPr>
                <w:rFonts w:hAnsi="標楷體" w:hint="eastAsia"/>
                <w:snapToGrid/>
                <w:color w:val="000000"/>
                <w:kern w:val="0"/>
                <w:sz w:val="24"/>
                <w:szCs w:val="24"/>
              </w:rPr>
              <w:t>決算數B</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8605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color w:val="000000"/>
                <w:sz w:val="24"/>
                <w:szCs w:val="24"/>
              </w:rPr>
              <w:t>716,615</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605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napToGrid/>
                <w:kern w:val="0"/>
                <w:sz w:val="24"/>
                <w:szCs w:val="24"/>
              </w:rPr>
              <w:t>787</w:t>
            </w:r>
            <w:r w:rsidRPr="008F26C2">
              <w:rPr>
                <w:rFonts w:hAnsi="標楷體"/>
                <w:snapToGrid/>
                <w:kern w:val="0"/>
                <w:sz w:val="24"/>
                <w:szCs w:val="24"/>
              </w:rPr>
              <w:t>,</w:t>
            </w:r>
            <w:r w:rsidRPr="008F26C2">
              <w:rPr>
                <w:rFonts w:hAnsi="標楷體" w:hint="eastAsia"/>
                <w:snapToGrid/>
                <w:kern w:val="0"/>
                <w:sz w:val="24"/>
                <w:szCs w:val="24"/>
              </w:rPr>
              <w:t>996</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8605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color w:val="000000"/>
                <w:sz w:val="24"/>
                <w:szCs w:val="24"/>
              </w:rPr>
              <w:t>946</w:t>
            </w:r>
            <w:r w:rsidRPr="008F26C2">
              <w:rPr>
                <w:rFonts w:hAnsi="標楷體"/>
                <w:color w:val="000000"/>
                <w:sz w:val="24"/>
                <w:szCs w:val="24"/>
              </w:rPr>
              <w:t>,</w:t>
            </w:r>
            <w:r w:rsidRPr="008F26C2">
              <w:rPr>
                <w:rFonts w:hAnsi="標楷體" w:hint="eastAsia"/>
                <w:color w:val="000000"/>
                <w:sz w:val="24"/>
                <w:szCs w:val="24"/>
              </w:rPr>
              <w:t>957</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6051E" w:rsidRPr="008F26C2" w:rsidRDefault="009E763F"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color w:val="000000"/>
                <w:sz w:val="24"/>
                <w:szCs w:val="24"/>
              </w:rPr>
              <w:t>1</w:t>
            </w:r>
            <w:r w:rsidR="004E401E" w:rsidRPr="008F26C2">
              <w:rPr>
                <w:rFonts w:hAnsi="標楷體"/>
                <w:color w:val="000000"/>
                <w:sz w:val="24"/>
                <w:szCs w:val="24"/>
              </w:rPr>
              <w:t>,</w:t>
            </w:r>
            <w:r w:rsidRPr="008F26C2">
              <w:rPr>
                <w:rFonts w:hAnsi="標楷體" w:hint="eastAsia"/>
                <w:color w:val="000000"/>
                <w:sz w:val="24"/>
                <w:szCs w:val="24"/>
              </w:rPr>
              <w:t>193</w:t>
            </w:r>
            <w:r w:rsidR="004E401E" w:rsidRPr="008F26C2">
              <w:rPr>
                <w:rFonts w:hAnsi="標楷體"/>
                <w:color w:val="000000"/>
                <w:sz w:val="24"/>
                <w:szCs w:val="24"/>
              </w:rPr>
              <w:t>,</w:t>
            </w:r>
            <w:r w:rsidRPr="008F26C2">
              <w:rPr>
                <w:rFonts w:hAnsi="標楷體" w:hint="eastAsia"/>
                <w:color w:val="000000"/>
                <w:sz w:val="24"/>
                <w:szCs w:val="24"/>
              </w:rPr>
              <w:t>769</w:t>
            </w:r>
          </w:p>
        </w:tc>
        <w:tc>
          <w:tcPr>
            <w:tcW w:w="1280" w:type="dxa"/>
            <w:tcBorders>
              <w:top w:val="single" w:sz="4" w:space="0" w:color="auto"/>
              <w:left w:val="single" w:sz="4" w:space="0" w:color="auto"/>
              <w:bottom w:val="single" w:sz="4" w:space="0" w:color="auto"/>
              <w:tl2br w:val="nil"/>
            </w:tcBorders>
            <w:shd w:val="clear" w:color="auto" w:fill="auto"/>
            <w:vAlign w:val="center"/>
          </w:tcPr>
          <w:p w:rsidR="0086051E" w:rsidRPr="008F26C2" w:rsidRDefault="009E763F"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napToGrid/>
                <w:kern w:val="0"/>
                <w:sz w:val="24"/>
                <w:szCs w:val="24"/>
              </w:rPr>
              <w:t>-</w:t>
            </w:r>
          </w:p>
        </w:tc>
      </w:tr>
      <w:tr w:rsidR="00391AA0" w:rsidRPr="008F26C2" w:rsidTr="00852FFC">
        <w:trPr>
          <w:trHeight w:val="94"/>
        </w:trPr>
        <w:tc>
          <w:tcPr>
            <w:tcW w:w="2127" w:type="dxa"/>
            <w:tcBorders>
              <w:top w:val="single" w:sz="4" w:space="0" w:color="auto"/>
              <w:bottom w:val="single" w:sz="4" w:space="0" w:color="auto"/>
              <w:right w:val="single" w:sz="4" w:space="0" w:color="auto"/>
            </w:tcBorders>
            <w:shd w:val="clear" w:color="auto" w:fill="auto"/>
            <w:vAlign w:val="center"/>
          </w:tcPr>
          <w:p w:rsidR="00391AA0" w:rsidRPr="008F26C2" w:rsidRDefault="00304325" w:rsidP="004F7295">
            <w:pPr>
              <w:widowControl/>
              <w:adjustRightInd w:val="0"/>
              <w:snapToGrid w:val="0"/>
              <w:spacing w:line="400" w:lineRule="exact"/>
              <w:ind w:leftChars="-25" w:left="-70" w:rightChars="-25" w:right="-70" w:firstLineChars="0" w:firstLine="0"/>
              <w:rPr>
                <w:rFonts w:hAnsi="標楷體" w:hint="eastAsia"/>
                <w:snapToGrid/>
                <w:color w:val="000000"/>
                <w:kern w:val="0"/>
                <w:sz w:val="24"/>
                <w:szCs w:val="24"/>
              </w:rPr>
            </w:pPr>
            <w:r w:rsidRPr="008F26C2">
              <w:rPr>
                <w:rFonts w:hAnsi="標楷體" w:hint="eastAsia"/>
                <w:snapToGrid/>
                <w:color w:val="000000"/>
                <w:kern w:val="0"/>
                <w:sz w:val="24"/>
                <w:szCs w:val="24"/>
              </w:rPr>
              <w:t>超收</w:t>
            </w:r>
            <w:r w:rsidR="0093019E" w:rsidRPr="008F26C2">
              <w:rPr>
                <w:rFonts w:hAnsi="標楷體" w:hint="eastAsia"/>
                <w:snapToGrid/>
                <w:color w:val="000000"/>
                <w:kern w:val="0"/>
                <w:sz w:val="24"/>
                <w:szCs w:val="24"/>
              </w:rPr>
              <w:t>金額</w:t>
            </w:r>
            <w:r w:rsidR="00391AA0" w:rsidRPr="008F26C2">
              <w:rPr>
                <w:rFonts w:hAnsi="標楷體" w:hint="eastAsia"/>
                <w:snapToGrid/>
                <w:color w:val="000000"/>
                <w:kern w:val="0"/>
                <w:sz w:val="24"/>
                <w:szCs w:val="24"/>
              </w:rPr>
              <w:t>C</w:t>
            </w:r>
            <w:r w:rsidR="00391AA0" w:rsidRPr="008F26C2">
              <w:rPr>
                <w:rFonts w:hAnsi="標楷體"/>
                <w:snapToGrid/>
                <w:color w:val="000000"/>
                <w:kern w:val="0"/>
                <w:sz w:val="24"/>
                <w:szCs w:val="24"/>
              </w:rPr>
              <w:t>=B-A</w:t>
            </w:r>
          </w:p>
        </w:tc>
        <w:tc>
          <w:tcPr>
            <w:tcW w:w="1279" w:type="dxa"/>
            <w:tcBorders>
              <w:top w:val="single" w:sz="4" w:space="0" w:color="auto"/>
              <w:left w:val="nil"/>
              <w:bottom w:val="single" w:sz="4" w:space="0" w:color="auto"/>
              <w:right w:val="single" w:sz="4" w:space="0" w:color="auto"/>
            </w:tcBorders>
            <w:shd w:val="clear" w:color="auto" w:fill="auto"/>
            <w:vAlign w:val="center"/>
          </w:tcPr>
          <w:p w:rsidR="00391AA0" w:rsidRPr="008F26C2" w:rsidRDefault="00391AA0" w:rsidP="004F7295">
            <w:pPr>
              <w:widowControl/>
              <w:adjustRightInd w:val="0"/>
              <w:snapToGrid w:val="0"/>
              <w:spacing w:line="400" w:lineRule="exact"/>
              <w:ind w:leftChars="-25" w:left="-70" w:rightChars="-25" w:right="-70" w:firstLineChars="0" w:firstLine="0"/>
              <w:jc w:val="right"/>
              <w:rPr>
                <w:rFonts w:hAnsi="標楷體" w:hint="eastAsia"/>
                <w:color w:val="000000"/>
                <w:sz w:val="24"/>
                <w:szCs w:val="24"/>
              </w:rPr>
            </w:pPr>
            <w:r w:rsidRPr="008F26C2">
              <w:rPr>
                <w:rFonts w:hAnsi="標楷體" w:hint="eastAsia"/>
                <w:color w:val="000000"/>
                <w:sz w:val="24"/>
                <w:szCs w:val="24"/>
              </w:rPr>
              <w:t>519,525</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391AA0" w:rsidRPr="008F26C2" w:rsidRDefault="00391AA0" w:rsidP="004F7295">
            <w:pPr>
              <w:widowControl/>
              <w:adjustRightInd w:val="0"/>
              <w:snapToGrid w:val="0"/>
              <w:spacing w:line="400" w:lineRule="exact"/>
              <w:ind w:leftChars="-25" w:left="-70" w:rightChars="-25" w:right="-70" w:firstLineChars="0" w:firstLine="0"/>
              <w:jc w:val="right"/>
              <w:rPr>
                <w:rFonts w:hAnsi="標楷體" w:hint="eastAsia"/>
                <w:color w:val="000000"/>
                <w:sz w:val="24"/>
                <w:szCs w:val="24"/>
              </w:rPr>
            </w:pPr>
            <w:r w:rsidRPr="008F26C2">
              <w:rPr>
                <w:rFonts w:hAnsi="標楷體" w:hint="eastAsia"/>
                <w:color w:val="000000"/>
                <w:sz w:val="24"/>
                <w:szCs w:val="24"/>
              </w:rPr>
              <w:t>580,896</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91AA0" w:rsidRPr="008F26C2" w:rsidRDefault="00391AA0" w:rsidP="004F7295">
            <w:pPr>
              <w:widowControl/>
              <w:adjustRightInd w:val="0"/>
              <w:snapToGrid w:val="0"/>
              <w:spacing w:line="400" w:lineRule="exact"/>
              <w:ind w:leftChars="-25" w:left="-70" w:rightChars="-25" w:right="-70" w:firstLineChars="0" w:firstLine="0"/>
              <w:jc w:val="right"/>
              <w:rPr>
                <w:rFonts w:hAnsi="標楷體" w:hint="eastAsia"/>
                <w:color w:val="000000"/>
                <w:sz w:val="24"/>
                <w:szCs w:val="24"/>
              </w:rPr>
            </w:pPr>
            <w:r w:rsidRPr="008F26C2">
              <w:rPr>
                <w:rFonts w:hAnsi="標楷體" w:hint="eastAsia"/>
                <w:color w:val="000000"/>
                <w:sz w:val="24"/>
                <w:szCs w:val="24"/>
              </w:rPr>
              <w:t>340,957</w:t>
            </w:r>
          </w:p>
        </w:tc>
        <w:tc>
          <w:tcPr>
            <w:tcW w:w="1280" w:type="dxa"/>
            <w:tcBorders>
              <w:top w:val="single" w:sz="4" w:space="0" w:color="auto"/>
              <w:left w:val="single" w:sz="4" w:space="0" w:color="auto"/>
              <w:bottom w:val="single" w:sz="4" w:space="0" w:color="auto"/>
              <w:right w:val="nil"/>
            </w:tcBorders>
            <w:shd w:val="clear" w:color="auto" w:fill="auto"/>
            <w:vAlign w:val="center"/>
          </w:tcPr>
          <w:p w:rsidR="00391AA0" w:rsidRPr="008F26C2" w:rsidRDefault="00391AA0" w:rsidP="004F7295">
            <w:pPr>
              <w:widowControl/>
              <w:adjustRightInd w:val="0"/>
              <w:snapToGrid w:val="0"/>
              <w:spacing w:line="400" w:lineRule="exact"/>
              <w:ind w:leftChars="-25" w:left="-70" w:rightChars="-25" w:right="-70" w:firstLineChars="0" w:firstLine="0"/>
              <w:jc w:val="right"/>
              <w:rPr>
                <w:rFonts w:hAnsi="標楷體" w:hint="eastAsia"/>
                <w:color w:val="000000"/>
                <w:sz w:val="24"/>
                <w:szCs w:val="24"/>
              </w:rPr>
            </w:pPr>
            <w:r w:rsidRPr="008F26C2">
              <w:rPr>
                <w:rFonts w:hAnsi="標楷體" w:hint="eastAsia"/>
                <w:color w:val="000000"/>
                <w:sz w:val="24"/>
                <w:szCs w:val="24"/>
              </w:rPr>
              <w:t>576,169</w:t>
            </w:r>
          </w:p>
        </w:tc>
        <w:tc>
          <w:tcPr>
            <w:tcW w:w="1280" w:type="dxa"/>
            <w:tcBorders>
              <w:top w:val="single" w:sz="4" w:space="0" w:color="auto"/>
              <w:left w:val="single" w:sz="4" w:space="0" w:color="auto"/>
              <w:bottom w:val="single" w:sz="4" w:space="0" w:color="auto"/>
              <w:tl2br w:val="nil"/>
            </w:tcBorders>
            <w:shd w:val="clear" w:color="auto" w:fill="auto"/>
            <w:vAlign w:val="center"/>
          </w:tcPr>
          <w:p w:rsidR="00391AA0" w:rsidRPr="008F26C2" w:rsidRDefault="00391AA0"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napToGrid/>
                <w:kern w:val="0"/>
                <w:sz w:val="24"/>
                <w:szCs w:val="24"/>
              </w:rPr>
              <w:t>-</w:t>
            </w:r>
          </w:p>
        </w:tc>
      </w:tr>
      <w:tr w:rsidR="00391AA0" w:rsidRPr="008F26C2" w:rsidTr="00852FFC">
        <w:trPr>
          <w:trHeight w:val="100"/>
        </w:trPr>
        <w:tc>
          <w:tcPr>
            <w:tcW w:w="2127" w:type="dxa"/>
            <w:tcBorders>
              <w:top w:val="single" w:sz="4" w:space="0" w:color="auto"/>
              <w:bottom w:val="single" w:sz="12" w:space="0" w:color="auto"/>
              <w:right w:val="single" w:sz="4" w:space="0" w:color="auto"/>
            </w:tcBorders>
            <w:shd w:val="clear" w:color="auto" w:fill="auto"/>
            <w:vAlign w:val="center"/>
          </w:tcPr>
          <w:p w:rsidR="00391AA0" w:rsidRPr="007321BF" w:rsidRDefault="00304325" w:rsidP="004F7295">
            <w:pPr>
              <w:widowControl/>
              <w:adjustRightInd w:val="0"/>
              <w:snapToGrid w:val="0"/>
              <w:spacing w:line="400" w:lineRule="exact"/>
              <w:ind w:leftChars="-25" w:left="-70" w:rightChars="-25" w:right="-70" w:firstLineChars="0" w:firstLine="0"/>
              <w:rPr>
                <w:rFonts w:hAnsi="標楷體" w:hint="eastAsia"/>
                <w:b/>
                <w:bCs/>
                <w:snapToGrid/>
                <w:color w:val="000000"/>
                <w:kern w:val="0"/>
                <w:sz w:val="24"/>
                <w:szCs w:val="24"/>
              </w:rPr>
            </w:pPr>
            <w:r w:rsidRPr="007321BF">
              <w:rPr>
                <w:rFonts w:hAnsi="標楷體" w:hint="eastAsia"/>
                <w:b/>
                <w:bCs/>
                <w:snapToGrid/>
                <w:color w:val="000000"/>
                <w:kern w:val="0"/>
                <w:sz w:val="24"/>
                <w:szCs w:val="24"/>
              </w:rPr>
              <w:t>超</w:t>
            </w:r>
            <w:r w:rsidR="0093019E" w:rsidRPr="007321BF">
              <w:rPr>
                <w:rFonts w:hAnsi="標楷體" w:hint="eastAsia"/>
                <w:b/>
                <w:bCs/>
                <w:snapToGrid/>
                <w:color w:val="000000"/>
                <w:kern w:val="0"/>
                <w:sz w:val="24"/>
                <w:szCs w:val="24"/>
              </w:rPr>
              <w:t>收</w:t>
            </w:r>
            <w:r w:rsidR="009565F7" w:rsidRPr="007321BF">
              <w:rPr>
                <w:rFonts w:hAnsi="標楷體" w:hint="eastAsia"/>
                <w:b/>
                <w:bCs/>
                <w:snapToGrid/>
                <w:color w:val="000000"/>
                <w:kern w:val="0"/>
                <w:sz w:val="24"/>
                <w:szCs w:val="24"/>
              </w:rPr>
              <w:t>幅</w:t>
            </w:r>
            <w:r w:rsidR="0093019E" w:rsidRPr="007321BF">
              <w:rPr>
                <w:rFonts w:hAnsi="標楷體" w:hint="eastAsia"/>
                <w:b/>
                <w:bCs/>
                <w:snapToGrid/>
                <w:color w:val="000000"/>
                <w:kern w:val="0"/>
                <w:sz w:val="24"/>
                <w:szCs w:val="24"/>
              </w:rPr>
              <w:t>度</w:t>
            </w:r>
            <w:r w:rsidR="00391AA0" w:rsidRPr="007321BF">
              <w:rPr>
                <w:rFonts w:hAnsi="標楷體"/>
                <w:b/>
                <w:bCs/>
                <w:snapToGrid/>
                <w:color w:val="000000"/>
                <w:kern w:val="0"/>
                <w:sz w:val="24"/>
                <w:szCs w:val="24"/>
              </w:rPr>
              <w:t>D=C/A</w:t>
            </w:r>
          </w:p>
        </w:tc>
        <w:tc>
          <w:tcPr>
            <w:tcW w:w="1279" w:type="dxa"/>
            <w:tcBorders>
              <w:top w:val="single" w:sz="4" w:space="0" w:color="auto"/>
              <w:left w:val="nil"/>
              <w:bottom w:val="single" w:sz="12" w:space="0" w:color="auto"/>
              <w:right w:val="single" w:sz="4" w:space="0" w:color="auto"/>
            </w:tcBorders>
            <w:shd w:val="clear" w:color="auto" w:fill="auto"/>
            <w:vAlign w:val="center"/>
          </w:tcPr>
          <w:p w:rsidR="00391AA0" w:rsidRPr="007321BF" w:rsidRDefault="00391AA0" w:rsidP="004F7295">
            <w:pPr>
              <w:widowControl/>
              <w:adjustRightInd w:val="0"/>
              <w:snapToGrid w:val="0"/>
              <w:spacing w:line="400" w:lineRule="exact"/>
              <w:ind w:leftChars="-25" w:left="-70" w:rightChars="-25" w:right="-70" w:firstLineChars="0" w:firstLine="0"/>
              <w:jc w:val="right"/>
              <w:rPr>
                <w:rFonts w:hAnsi="標楷體"/>
                <w:b/>
                <w:bCs/>
                <w:color w:val="000000"/>
                <w:sz w:val="24"/>
                <w:szCs w:val="24"/>
              </w:rPr>
            </w:pPr>
            <w:r w:rsidRPr="007321BF">
              <w:rPr>
                <w:rFonts w:hAnsi="標楷體" w:hint="eastAsia"/>
                <w:b/>
                <w:bCs/>
                <w:color w:val="000000"/>
                <w:sz w:val="24"/>
                <w:szCs w:val="24"/>
              </w:rPr>
              <w:t>263.60%</w:t>
            </w:r>
          </w:p>
        </w:tc>
        <w:tc>
          <w:tcPr>
            <w:tcW w:w="1280" w:type="dxa"/>
            <w:tcBorders>
              <w:top w:val="single" w:sz="4" w:space="0" w:color="auto"/>
              <w:left w:val="single" w:sz="4" w:space="0" w:color="auto"/>
              <w:bottom w:val="single" w:sz="12" w:space="0" w:color="auto"/>
              <w:right w:val="single" w:sz="4" w:space="0" w:color="auto"/>
            </w:tcBorders>
            <w:shd w:val="clear" w:color="auto" w:fill="auto"/>
            <w:vAlign w:val="center"/>
          </w:tcPr>
          <w:p w:rsidR="00391AA0" w:rsidRPr="007321BF" w:rsidRDefault="00391AA0" w:rsidP="004F7295">
            <w:pPr>
              <w:widowControl/>
              <w:adjustRightInd w:val="0"/>
              <w:snapToGrid w:val="0"/>
              <w:spacing w:line="400" w:lineRule="exact"/>
              <w:ind w:leftChars="-25" w:left="-70" w:rightChars="-25" w:right="-70" w:firstLineChars="0" w:firstLine="0"/>
              <w:jc w:val="right"/>
              <w:rPr>
                <w:rFonts w:hAnsi="標楷體"/>
                <w:b/>
                <w:bCs/>
                <w:color w:val="000000"/>
                <w:sz w:val="24"/>
                <w:szCs w:val="24"/>
              </w:rPr>
            </w:pPr>
            <w:r w:rsidRPr="007321BF">
              <w:rPr>
                <w:rFonts w:hAnsi="標楷體" w:hint="eastAsia"/>
                <w:b/>
                <w:bCs/>
                <w:color w:val="000000"/>
                <w:sz w:val="24"/>
                <w:szCs w:val="24"/>
              </w:rPr>
              <w:t>280.49%</w:t>
            </w:r>
          </w:p>
        </w:tc>
        <w:tc>
          <w:tcPr>
            <w:tcW w:w="1279" w:type="dxa"/>
            <w:tcBorders>
              <w:top w:val="single" w:sz="4" w:space="0" w:color="auto"/>
              <w:left w:val="single" w:sz="4" w:space="0" w:color="auto"/>
              <w:bottom w:val="single" w:sz="12" w:space="0" w:color="auto"/>
              <w:right w:val="single" w:sz="4" w:space="0" w:color="auto"/>
            </w:tcBorders>
            <w:shd w:val="clear" w:color="auto" w:fill="auto"/>
            <w:vAlign w:val="center"/>
          </w:tcPr>
          <w:p w:rsidR="00391AA0" w:rsidRPr="007321BF" w:rsidRDefault="00391AA0" w:rsidP="004F7295">
            <w:pPr>
              <w:widowControl/>
              <w:adjustRightInd w:val="0"/>
              <w:snapToGrid w:val="0"/>
              <w:spacing w:line="400" w:lineRule="exact"/>
              <w:ind w:leftChars="-25" w:left="-70" w:rightChars="-25" w:right="-70" w:firstLineChars="0" w:firstLine="0"/>
              <w:jc w:val="right"/>
              <w:rPr>
                <w:rFonts w:hAnsi="標楷體"/>
                <w:b/>
                <w:bCs/>
                <w:color w:val="000000"/>
                <w:sz w:val="24"/>
                <w:szCs w:val="24"/>
              </w:rPr>
            </w:pPr>
            <w:r w:rsidRPr="007321BF">
              <w:rPr>
                <w:rFonts w:hAnsi="標楷體" w:hint="eastAsia"/>
                <w:b/>
                <w:bCs/>
                <w:color w:val="000000"/>
                <w:sz w:val="24"/>
                <w:szCs w:val="24"/>
              </w:rPr>
              <w:t>56.26%</w:t>
            </w:r>
          </w:p>
        </w:tc>
        <w:tc>
          <w:tcPr>
            <w:tcW w:w="1280" w:type="dxa"/>
            <w:tcBorders>
              <w:top w:val="single" w:sz="4" w:space="0" w:color="auto"/>
              <w:left w:val="single" w:sz="4" w:space="0" w:color="auto"/>
              <w:bottom w:val="single" w:sz="12" w:space="0" w:color="auto"/>
              <w:right w:val="nil"/>
            </w:tcBorders>
            <w:shd w:val="clear" w:color="auto" w:fill="auto"/>
            <w:vAlign w:val="center"/>
          </w:tcPr>
          <w:p w:rsidR="00391AA0" w:rsidRPr="007321BF" w:rsidRDefault="00391AA0" w:rsidP="004F7295">
            <w:pPr>
              <w:widowControl/>
              <w:adjustRightInd w:val="0"/>
              <w:snapToGrid w:val="0"/>
              <w:spacing w:line="400" w:lineRule="exact"/>
              <w:ind w:leftChars="-25" w:left="-70" w:rightChars="-25" w:right="-70" w:firstLineChars="0" w:firstLine="0"/>
              <w:jc w:val="right"/>
              <w:rPr>
                <w:rFonts w:hAnsi="標楷體"/>
                <w:b/>
                <w:bCs/>
                <w:color w:val="000000"/>
                <w:sz w:val="24"/>
                <w:szCs w:val="24"/>
              </w:rPr>
            </w:pPr>
            <w:r w:rsidRPr="007321BF">
              <w:rPr>
                <w:rFonts w:hAnsi="標楷體" w:hint="eastAsia"/>
                <w:b/>
                <w:bCs/>
                <w:color w:val="000000"/>
                <w:sz w:val="24"/>
                <w:szCs w:val="24"/>
              </w:rPr>
              <w:t>93.29%</w:t>
            </w:r>
          </w:p>
        </w:tc>
        <w:tc>
          <w:tcPr>
            <w:tcW w:w="1280" w:type="dxa"/>
            <w:tcBorders>
              <w:top w:val="single" w:sz="4" w:space="0" w:color="auto"/>
              <w:left w:val="single" w:sz="4" w:space="0" w:color="auto"/>
              <w:bottom w:val="single" w:sz="12" w:space="0" w:color="auto"/>
              <w:tl2br w:val="nil"/>
            </w:tcBorders>
            <w:shd w:val="clear" w:color="auto" w:fill="auto"/>
            <w:vAlign w:val="center"/>
          </w:tcPr>
          <w:p w:rsidR="00391AA0" w:rsidRPr="007321BF" w:rsidRDefault="00391AA0" w:rsidP="004F7295">
            <w:pPr>
              <w:widowControl/>
              <w:adjustRightInd w:val="0"/>
              <w:snapToGrid w:val="0"/>
              <w:spacing w:line="400" w:lineRule="exact"/>
              <w:ind w:leftChars="-25" w:left="-70" w:rightChars="-25" w:right="-70" w:firstLineChars="0" w:firstLine="0"/>
              <w:jc w:val="right"/>
              <w:rPr>
                <w:rFonts w:hAnsi="標楷體"/>
                <w:b/>
                <w:bCs/>
                <w:snapToGrid/>
                <w:kern w:val="0"/>
                <w:sz w:val="24"/>
                <w:szCs w:val="24"/>
              </w:rPr>
            </w:pPr>
            <w:r w:rsidRPr="007321BF">
              <w:rPr>
                <w:rFonts w:hAnsi="標楷體" w:hint="eastAsia"/>
                <w:b/>
                <w:bCs/>
                <w:snapToGrid/>
                <w:kern w:val="0"/>
                <w:sz w:val="24"/>
                <w:szCs w:val="24"/>
              </w:rPr>
              <w:t>-</w:t>
            </w:r>
          </w:p>
        </w:tc>
      </w:tr>
    </w:tbl>
    <w:bookmarkEnd w:id="10"/>
    <w:p w:rsidR="005003C8" w:rsidRPr="008F26C2" w:rsidRDefault="005003C8" w:rsidP="00E4355B">
      <w:pPr>
        <w:spacing w:line="280" w:lineRule="exact"/>
        <w:ind w:leftChars="0" w:left="1159" w:hangingChars="483" w:hanging="1159"/>
        <w:rPr>
          <w:rFonts w:hAnsi="標楷體" w:hint="eastAsia"/>
          <w:sz w:val="24"/>
        </w:rPr>
      </w:pPr>
      <w:r w:rsidRPr="008F26C2">
        <w:rPr>
          <w:rFonts w:hAnsi="標楷體" w:hint="eastAsia"/>
          <w:sz w:val="24"/>
          <w:lang w:eastAsia="zh-HK"/>
        </w:rPr>
        <w:t>說</w:t>
      </w:r>
      <w:r w:rsidRPr="008F26C2">
        <w:rPr>
          <w:rFonts w:hAnsi="標楷體" w:hint="eastAsia"/>
          <w:sz w:val="24"/>
        </w:rPr>
        <w:t xml:space="preserve">　</w:t>
      </w:r>
      <w:r w:rsidRPr="008F26C2">
        <w:rPr>
          <w:rFonts w:hAnsi="標楷體" w:hint="eastAsia"/>
          <w:sz w:val="24"/>
          <w:lang w:eastAsia="zh-HK"/>
        </w:rPr>
        <w:t xml:space="preserve">　明：</w:t>
      </w:r>
      <w:r w:rsidR="00194FDA" w:rsidRPr="008F26C2">
        <w:rPr>
          <w:rFonts w:hAnsi="標楷體" w:hint="eastAsia"/>
          <w:sz w:val="24"/>
        </w:rPr>
        <w:t>110至113年度決算數，除</w:t>
      </w:r>
      <w:r w:rsidRPr="008F26C2">
        <w:rPr>
          <w:rFonts w:hAnsi="標楷體"/>
          <w:sz w:val="24"/>
        </w:rPr>
        <w:t>11</w:t>
      </w:r>
      <w:r w:rsidRPr="008F26C2">
        <w:rPr>
          <w:rFonts w:hAnsi="標楷體" w:hint="eastAsia"/>
          <w:sz w:val="24"/>
        </w:rPr>
        <w:t>3年度決算尚未經董事會決議同過，為</w:t>
      </w:r>
      <w:r w:rsidR="001475D1" w:rsidRPr="008F26C2">
        <w:rPr>
          <w:rFonts w:hAnsi="標楷體" w:hint="eastAsia"/>
          <w:sz w:val="24"/>
        </w:rPr>
        <w:t>該顧問工程司</w:t>
      </w:r>
      <w:r w:rsidRPr="008F26C2">
        <w:rPr>
          <w:rFonts w:hAnsi="標楷體" w:hint="eastAsia"/>
          <w:sz w:val="24"/>
        </w:rPr>
        <w:t>自結數</w:t>
      </w:r>
      <w:r w:rsidR="00E4355B" w:rsidRPr="008F26C2">
        <w:rPr>
          <w:rFonts w:hAnsi="標楷體" w:hint="eastAsia"/>
          <w:sz w:val="24"/>
        </w:rPr>
        <w:t>外，其餘年度均為決算數</w:t>
      </w:r>
      <w:r w:rsidRPr="008F26C2">
        <w:rPr>
          <w:rFonts w:hAnsi="標楷體" w:hint="eastAsia"/>
          <w:sz w:val="24"/>
        </w:rPr>
        <w:t>。</w:t>
      </w:r>
    </w:p>
    <w:p w:rsidR="002C76A0" w:rsidRPr="008F26C2" w:rsidRDefault="002C76A0" w:rsidP="00A65663">
      <w:pPr>
        <w:spacing w:line="280" w:lineRule="exact"/>
        <w:ind w:leftChars="0" w:left="1200" w:hangingChars="500" w:hanging="1200"/>
        <w:rPr>
          <w:rFonts w:hAnsi="標楷體"/>
          <w:sz w:val="24"/>
          <w:lang w:eastAsia="zh-HK"/>
        </w:rPr>
      </w:pPr>
      <w:r w:rsidRPr="008F26C2">
        <w:rPr>
          <w:rFonts w:hAnsi="標楷體" w:hint="eastAsia"/>
          <w:sz w:val="24"/>
        </w:rPr>
        <w:t>資料來源：整理自</w:t>
      </w:r>
      <w:r w:rsidR="00A65663" w:rsidRPr="008F26C2">
        <w:rPr>
          <w:rFonts w:hAnsi="標楷體" w:hint="eastAsia"/>
          <w:sz w:val="24"/>
        </w:rPr>
        <w:t>中華顧問工程司</w:t>
      </w:r>
      <w:r w:rsidRPr="008F26C2">
        <w:rPr>
          <w:rFonts w:hAnsi="標楷體" w:hint="eastAsia"/>
          <w:sz w:val="24"/>
        </w:rPr>
        <w:t>110至112年度決算、</w:t>
      </w:r>
      <w:r w:rsidR="00E4355B" w:rsidRPr="008F26C2">
        <w:rPr>
          <w:rFonts w:hAnsi="標楷體" w:hint="eastAsia"/>
          <w:sz w:val="24"/>
        </w:rPr>
        <w:t>110至</w:t>
      </w:r>
      <w:r w:rsidRPr="008F26C2">
        <w:rPr>
          <w:rFonts w:hAnsi="標楷體" w:hint="eastAsia"/>
          <w:sz w:val="24"/>
        </w:rPr>
        <w:t>114年度預算案及</w:t>
      </w:r>
      <w:r w:rsidR="00A65663" w:rsidRPr="008F26C2">
        <w:rPr>
          <w:rFonts w:hAnsi="標楷體" w:hint="eastAsia"/>
          <w:sz w:val="24"/>
        </w:rPr>
        <w:t>該</w:t>
      </w:r>
      <w:r w:rsidR="00F75350" w:rsidRPr="008F26C2">
        <w:rPr>
          <w:rFonts w:hAnsi="標楷體" w:hint="eastAsia"/>
          <w:sz w:val="24"/>
        </w:rPr>
        <w:t>顧問工程</w:t>
      </w:r>
      <w:r w:rsidR="00A65663" w:rsidRPr="008F26C2">
        <w:rPr>
          <w:rFonts w:hAnsi="標楷體" w:hint="eastAsia"/>
          <w:sz w:val="24"/>
        </w:rPr>
        <w:t>司</w:t>
      </w:r>
      <w:r w:rsidRPr="008F26C2">
        <w:rPr>
          <w:rFonts w:hAnsi="標楷體" w:hint="eastAsia"/>
          <w:sz w:val="24"/>
        </w:rPr>
        <w:t>提供之資料；本中心製表</w:t>
      </w:r>
      <w:r w:rsidRPr="008F26C2">
        <w:rPr>
          <w:rFonts w:hAnsi="標楷體" w:hint="eastAsia"/>
          <w:sz w:val="24"/>
          <w:lang w:eastAsia="zh-HK"/>
        </w:rPr>
        <w:t>。</w:t>
      </w:r>
    </w:p>
    <w:p w:rsidR="00100581" w:rsidRPr="008F26C2" w:rsidRDefault="00100581" w:rsidP="00CA1967">
      <w:pPr>
        <w:pStyle w:val="a4"/>
        <w:ind w:left="840" w:hanging="280"/>
        <w:rPr>
          <w:rFonts w:hAnsi="標楷體"/>
          <w:b/>
          <w:bCs/>
        </w:rPr>
      </w:pPr>
      <w:r w:rsidRPr="008F26C2">
        <w:rPr>
          <w:rFonts w:hAnsi="標楷體" w:hint="eastAsia"/>
          <w:b/>
          <w:bCs/>
        </w:rPr>
        <w:t>(二</w:t>
      </w:r>
      <w:r w:rsidRPr="008F26C2">
        <w:rPr>
          <w:rFonts w:hAnsi="標楷體"/>
          <w:b/>
          <w:bCs/>
        </w:rPr>
        <w:t>)</w:t>
      </w:r>
      <w:r w:rsidRPr="008F26C2">
        <w:rPr>
          <w:rFonts w:hAnsi="標楷體" w:hint="eastAsia"/>
          <w:b/>
          <w:bCs/>
        </w:rPr>
        <w:t>部分支出項目存有超支或</w:t>
      </w:r>
      <w:r w:rsidR="005C7E13" w:rsidRPr="008F26C2">
        <w:rPr>
          <w:rFonts w:hAnsi="標楷體" w:hint="eastAsia"/>
          <w:b/>
          <w:bCs/>
        </w:rPr>
        <w:t>執行率未達8</w:t>
      </w:r>
      <w:r w:rsidR="005C7E13" w:rsidRPr="008F26C2">
        <w:rPr>
          <w:rFonts w:hAnsi="標楷體"/>
          <w:b/>
          <w:bCs/>
        </w:rPr>
        <w:t>0%</w:t>
      </w:r>
      <w:r w:rsidR="00A86EAF" w:rsidRPr="008F26C2">
        <w:rPr>
          <w:rFonts w:hAnsi="標楷體" w:hint="eastAsia"/>
          <w:b/>
          <w:bCs/>
        </w:rPr>
        <w:t>之</w:t>
      </w:r>
      <w:r w:rsidRPr="008F26C2">
        <w:rPr>
          <w:rFonts w:hAnsi="標楷體" w:hint="eastAsia"/>
          <w:b/>
          <w:bCs/>
        </w:rPr>
        <w:t>情形</w:t>
      </w:r>
      <w:r w:rsidR="005C7E13" w:rsidRPr="008F26C2">
        <w:rPr>
          <w:rFonts w:hAnsi="標楷體" w:hint="eastAsia"/>
          <w:b/>
          <w:bCs/>
        </w:rPr>
        <w:t>，允宜衡酌實際業務執行需求，覈實編列預算，</w:t>
      </w:r>
      <w:r w:rsidR="0093019E" w:rsidRPr="008F26C2">
        <w:rPr>
          <w:rFonts w:hAnsi="標楷體" w:hint="eastAsia"/>
          <w:b/>
          <w:bCs/>
        </w:rPr>
        <w:t>以</w:t>
      </w:r>
      <w:r w:rsidR="005C7E13" w:rsidRPr="008F26C2">
        <w:rPr>
          <w:rFonts w:hAnsi="標楷體" w:hint="eastAsia"/>
          <w:b/>
          <w:bCs/>
        </w:rPr>
        <w:t>確保預算合理性與執行效能</w:t>
      </w:r>
    </w:p>
    <w:p w:rsidR="00100581" w:rsidRPr="008F26C2" w:rsidRDefault="0093019E" w:rsidP="00CA1967">
      <w:pPr>
        <w:pStyle w:val="21"/>
        <w:ind w:left="840" w:firstLine="560"/>
        <w:rPr>
          <w:rFonts w:hAnsi="標楷體"/>
        </w:rPr>
      </w:pPr>
      <w:r w:rsidRPr="008F26C2">
        <w:rPr>
          <w:rFonts w:hAnsi="標楷體" w:hint="eastAsia"/>
        </w:rPr>
        <w:t>中華顧問工程司</w:t>
      </w:r>
      <w:r w:rsidR="00B41E9C" w:rsidRPr="008F26C2">
        <w:rPr>
          <w:rFonts w:hAnsi="標楷體" w:hint="eastAsia"/>
        </w:rPr>
        <w:t>114年度預算案</w:t>
      </w:r>
      <w:r w:rsidRPr="008F26C2">
        <w:rPr>
          <w:rFonts w:hAnsi="標楷體" w:hint="eastAsia"/>
        </w:rPr>
        <w:t>「</w:t>
      </w:r>
      <w:r w:rsidR="00B41E9C" w:rsidRPr="008F26C2">
        <w:rPr>
          <w:rFonts w:hAnsi="標楷體" w:hint="eastAsia"/>
        </w:rPr>
        <w:t>支出</w:t>
      </w:r>
      <w:r w:rsidRPr="008F26C2">
        <w:rPr>
          <w:rFonts w:hAnsi="標楷體" w:hint="eastAsia"/>
        </w:rPr>
        <w:t>」</w:t>
      </w:r>
      <w:r w:rsidR="00B41E9C" w:rsidRPr="008F26C2">
        <w:rPr>
          <w:rFonts w:hAnsi="標楷體" w:hint="eastAsia"/>
        </w:rPr>
        <w:t>編列1億8,843萬3千元，較113年度增加6.44%，包括「服務成本」6,378萬3千元、「研究發展費用」5,888萬元、「管理費用」5,027萬元及「其他支出」1,550萬元。觀諸</w:t>
      </w:r>
      <w:r w:rsidR="001475D1" w:rsidRPr="008F26C2">
        <w:rPr>
          <w:rFonts w:hAnsi="標楷體" w:hint="eastAsia"/>
        </w:rPr>
        <w:t>該顧問工程司</w:t>
      </w:r>
      <w:r w:rsidR="00100581" w:rsidRPr="008F26C2">
        <w:rPr>
          <w:rFonts w:hAnsi="標楷體"/>
        </w:rPr>
        <w:t>1</w:t>
      </w:r>
      <w:r w:rsidR="00861870" w:rsidRPr="008F26C2">
        <w:rPr>
          <w:rFonts w:hAnsi="標楷體" w:hint="eastAsia"/>
        </w:rPr>
        <w:t>10</w:t>
      </w:r>
      <w:r w:rsidR="00100581" w:rsidRPr="008F26C2">
        <w:rPr>
          <w:rFonts w:hAnsi="標楷體" w:hint="eastAsia"/>
        </w:rPr>
        <w:t>至</w:t>
      </w:r>
      <w:r w:rsidR="00100581" w:rsidRPr="008F26C2">
        <w:rPr>
          <w:rFonts w:hAnsi="標楷體"/>
        </w:rPr>
        <w:t>11</w:t>
      </w:r>
      <w:r w:rsidR="00861870" w:rsidRPr="008F26C2">
        <w:rPr>
          <w:rFonts w:hAnsi="標楷體" w:hint="eastAsia"/>
        </w:rPr>
        <w:t>3</w:t>
      </w:r>
      <w:r w:rsidR="00100581" w:rsidRPr="008F26C2">
        <w:rPr>
          <w:rFonts w:hAnsi="標楷體"/>
        </w:rPr>
        <w:t>年度支出執行情形</w:t>
      </w:r>
      <w:r w:rsidR="00100581" w:rsidRPr="008F26C2">
        <w:rPr>
          <w:rFonts w:hAnsi="標楷體" w:hint="eastAsia"/>
        </w:rPr>
        <w:t>，部分支出項目存有超支或執行率</w:t>
      </w:r>
      <w:r w:rsidR="00B41E9C" w:rsidRPr="008F26C2">
        <w:rPr>
          <w:rFonts w:hAnsi="標楷體" w:hint="eastAsia"/>
        </w:rPr>
        <w:t>未如預期之</w:t>
      </w:r>
      <w:r w:rsidR="00100581" w:rsidRPr="008F26C2">
        <w:rPr>
          <w:rFonts w:hAnsi="標楷體" w:hint="eastAsia"/>
        </w:rPr>
        <w:t>情形</w:t>
      </w:r>
      <w:r w:rsidR="00B41E9C" w:rsidRPr="008F26C2">
        <w:rPr>
          <w:rFonts w:hAnsi="標楷體" w:hint="eastAsia"/>
        </w:rPr>
        <w:t>(詳表</w:t>
      </w:r>
      <w:r w:rsidR="00B41E9C" w:rsidRPr="008F26C2">
        <w:rPr>
          <w:rFonts w:hAnsi="標楷體"/>
        </w:rPr>
        <w:t>2</w:t>
      </w:r>
      <w:r w:rsidR="00B41E9C" w:rsidRPr="008F26C2">
        <w:rPr>
          <w:rFonts w:hAnsi="標楷體" w:hint="eastAsia"/>
        </w:rPr>
        <w:t>)</w:t>
      </w:r>
      <w:r w:rsidR="00100581" w:rsidRPr="008F26C2">
        <w:rPr>
          <w:rFonts w:hAnsi="標楷體" w:hint="eastAsia"/>
        </w:rPr>
        <w:t>，如</w:t>
      </w:r>
      <w:r w:rsidR="00B41E9C" w:rsidRPr="008F26C2">
        <w:rPr>
          <w:rFonts w:hAnsi="標楷體" w:hint="eastAsia"/>
        </w:rPr>
        <w:t>「</w:t>
      </w:r>
      <w:r w:rsidR="00100581" w:rsidRPr="008F26C2">
        <w:rPr>
          <w:rFonts w:hAnsi="標楷體" w:hint="eastAsia"/>
        </w:rPr>
        <w:t>服務成本</w:t>
      </w:r>
      <w:r w:rsidR="00B41E9C" w:rsidRPr="008F26C2">
        <w:rPr>
          <w:rFonts w:hAnsi="標楷體" w:hint="eastAsia"/>
        </w:rPr>
        <w:t>」</w:t>
      </w:r>
      <w:r w:rsidR="00F801F6" w:rsidRPr="008F26C2">
        <w:rPr>
          <w:rFonts w:hAnsi="標楷體" w:hint="eastAsia"/>
        </w:rPr>
        <w:t>110至111</w:t>
      </w:r>
      <w:r w:rsidR="00100581" w:rsidRPr="008F26C2">
        <w:rPr>
          <w:rFonts w:hAnsi="標楷體" w:hint="eastAsia"/>
        </w:rPr>
        <w:t>年度</w:t>
      </w:r>
      <w:r w:rsidR="00B41E9C" w:rsidRPr="008F26C2">
        <w:rPr>
          <w:rFonts w:hAnsi="標楷體" w:hint="eastAsia"/>
        </w:rPr>
        <w:t>出現超支情形</w:t>
      </w:r>
      <w:r w:rsidR="00100581" w:rsidRPr="008F26C2">
        <w:rPr>
          <w:rFonts w:hAnsi="標楷體" w:hint="eastAsia"/>
        </w:rPr>
        <w:t>，</w:t>
      </w:r>
      <w:r w:rsidR="00F801F6" w:rsidRPr="008F26C2">
        <w:rPr>
          <w:rFonts w:hAnsi="標楷體" w:hint="eastAsia"/>
        </w:rPr>
        <w:t>又如</w:t>
      </w:r>
      <w:r w:rsidR="00B41E9C" w:rsidRPr="008F26C2">
        <w:rPr>
          <w:rFonts w:hAnsi="標楷體" w:hint="eastAsia"/>
        </w:rPr>
        <w:t>「</w:t>
      </w:r>
      <w:r w:rsidR="00F801F6" w:rsidRPr="008F26C2">
        <w:rPr>
          <w:rFonts w:hAnsi="標楷體" w:hint="eastAsia"/>
        </w:rPr>
        <w:t>其他支出</w:t>
      </w:r>
      <w:r w:rsidR="00B41E9C" w:rsidRPr="008F26C2">
        <w:rPr>
          <w:rFonts w:hAnsi="標楷體" w:hint="eastAsia"/>
        </w:rPr>
        <w:t>」</w:t>
      </w:r>
      <w:r w:rsidR="00100581" w:rsidRPr="008F26C2">
        <w:rPr>
          <w:rFonts w:hAnsi="標楷體" w:hint="eastAsia"/>
        </w:rPr>
        <w:t>自</w:t>
      </w:r>
      <w:r w:rsidR="00F801F6" w:rsidRPr="008F26C2">
        <w:rPr>
          <w:rFonts w:hAnsi="標楷體" w:hint="eastAsia"/>
        </w:rPr>
        <w:t>110</w:t>
      </w:r>
      <w:r w:rsidR="00B41E9C" w:rsidRPr="008F26C2">
        <w:rPr>
          <w:rFonts w:hAnsi="標楷體" w:hint="eastAsia"/>
        </w:rPr>
        <w:t>年度迄</w:t>
      </w:r>
      <w:r w:rsidR="00100581" w:rsidRPr="008F26C2">
        <w:rPr>
          <w:rFonts w:hAnsi="標楷體"/>
        </w:rPr>
        <w:t>11</w:t>
      </w:r>
      <w:r w:rsidR="00F801F6" w:rsidRPr="008F26C2">
        <w:rPr>
          <w:rFonts w:hAnsi="標楷體" w:hint="eastAsia"/>
        </w:rPr>
        <w:t>3</w:t>
      </w:r>
      <w:r w:rsidR="00100581" w:rsidRPr="008F26C2">
        <w:rPr>
          <w:rFonts w:hAnsi="標楷體" w:hint="eastAsia"/>
        </w:rPr>
        <w:t>年度</w:t>
      </w:r>
      <w:r w:rsidR="00B41E9C" w:rsidRPr="008F26C2">
        <w:rPr>
          <w:rFonts w:hAnsi="標楷體" w:hint="eastAsia"/>
        </w:rPr>
        <w:t>，其</w:t>
      </w:r>
      <w:r w:rsidR="00100581" w:rsidRPr="008F26C2">
        <w:rPr>
          <w:rFonts w:hAnsi="標楷體" w:hint="eastAsia"/>
        </w:rPr>
        <w:t>執行率</w:t>
      </w:r>
      <w:r w:rsidR="00F801F6" w:rsidRPr="008F26C2">
        <w:rPr>
          <w:rFonts w:hAnsi="標楷體" w:hint="eastAsia"/>
        </w:rPr>
        <w:t>均</w:t>
      </w:r>
      <w:r w:rsidR="00100581" w:rsidRPr="008F26C2">
        <w:rPr>
          <w:rFonts w:hAnsi="標楷體" w:hint="eastAsia"/>
        </w:rPr>
        <w:t>未</w:t>
      </w:r>
      <w:r w:rsidR="00F801F6" w:rsidRPr="008F26C2">
        <w:rPr>
          <w:rFonts w:hAnsi="標楷體" w:hint="eastAsia"/>
        </w:rPr>
        <w:t>達</w:t>
      </w:r>
      <w:r w:rsidR="005C7E13" w:rsidRPr="008F26C2">
        <w:rPr>
          <w:rFonts w:hAnsi="標楷體" w:hint="eastAsia"/>
        </w:rPr>
        <w:t>80%</w:t>
      </w:r>
      <w:r w:rsidR="00100581" w:rsidRPr="008F26C2">
        <w:rPr>
          <w:rFonts w:hAnsi="標楷體" w:hint="eastAsia"/>
        </w:rPr>
        <w:t>，</w:t>
      </w:r>
      <w:r w:rsidR="00A87550" w:rsidRPr="008F26C2">
        <w:rPr>
          <w:rFonts w:hAnsi="標楷體" w:hint="eastAsia"/>
        </w:rPr>
        <w:t>顯示</w:t>
      </w:r>
      <w:r w:rsidR="00B41E9C" w:rsidRPr="008F26C2">
        <w:rPr>
          <w:rFonts w:hAnsi="標楷體" w:hint="eastAsia"/>
        </w:rPr>
        <w:t>預算</w:t>
      </w:r>
      <w:r w:rsidR="00A87550" w:rsidRPr="008F26C2">
        <w:rPr>
          <w:rFonts w:hAnsi="標楷體" w:hint="eastAsia"/>
        </w:rPr>
        <w:t>規劃與實際需求間存在落差</w:t>
      </w:r>
      <w:r w:rsidR="00A86EAF" w:rsidRPr="008F26C2">
        <w:rPr>
          <w:rFonts w:hAnsi="標楷體" w:hint="eastAsia"/>
        </w:rPr>
        <w:t>，</w:t>
      </w:r>
      <w:r w:rsidR="00A87550" w:rsidRPr="008F26C2">
        <w:rPr>
          <w:rFonts w:hAnsi="標楷體" w:hint="eastAsia"/>
        </w:rPr>
        <w:t>為提升</w:t>
      </w:r>
      <w:r w:rsidR="00A86EAF" w:rsidRPr="008F26C2">
        <w:rPr>
          <w:rFonts w:hAnsi="標楷體" w:hint="eastAsia"/>
        </w:rPr>
        <w:t>預算</w:t>
      </w:r>
      <w:r w:rsidR="00A87550" w:rsidRPr="008F26C2">
        <w:rPr>
          <w:rFonts w:hAnsi="標楷體" w:hint="eastAsia"/>
        </w:rPr>
        <w:t>執行</w:t>
      </w:r>
      <w:r w:rsidR="00A86EAF" w:rsidRPr="008F26C2">
        <w:rPr>
          <w:rFonts w:hAnsi="標楷體" w:hint="eastAsia"/>
        </w:rPr>
        <w:t>成</w:t>
      </w:r>
      <w:r w:rsidR="00A87550" w:rsidRPr="008F26C2">
        <w:rPr>
          <w:rFonts w:hAnsi="標楷體" w:hint="eastAsia"/>
        </w:rPr>
        <w:t>效，允宜參酌以前年度預算執行情形，全面檢視各項目實際需求，並據以覈實編列相關預算，以確保資源配置合理性及經費運用效益</w:t>
      </w:r>
      <w:r w:rsidR="00100581" w:rsidRPr="008F26C2">
        <w:rPr>
          <w:rFonts w:hAnsi="標楷體" w:hint="eastAsia"/>
        </w:rPr>
        <w:t>。</w:t>
      </w:r>
    </w:p>
    <w:p w:rsidR="0086051E" w:rsidRPr="008F26C2" w:rsidRDefault="0086051E" w:rsidP="00CA1967">
      <w:pPr>
        <w:pStyle w:val="20"/>
        <w:spacing w:line="500" w:lineRule="exact"/>
        <w:rPr>
          <w:rFonts w:hAnsi="標楷體"/>
          <w:b/>
          <w:bCs/>
          <w:sz w:val="28"/>
        </w:rPr>
      </w:pPr>
      <w:r w:rsidRPr="008F26C2">
        <w:rPr>
          <w:rFonts w:hAnsi="標楷體"/>
          <w:b/>
          <w:bCs/>
          <w:sz w:val="28"/>
        </w:rPr>
        <w:t>表2</w:t>
      </w:r>
      <w:r w:rsidR="00CF105E" w:rsidRPr="008F26C2">
        <w:rPr>
          <w:rFonts w:hAnsi="標楷體" w:hint="eastAsia"/>
          <w:b/>
          <w:bCs/>
          <w:sz w:val="28"/>
        </w:rPr>
        <w:t xml:space="preserve">　</w:t>
      </w:r>
      <w:r w:rsidR="00861870" w:rsidRPr="008F26C2">
        <w:rPr>
          <w:rFonts w:hAnsi="標楷體" w:hint="eastAsia"/>
          <w:b/>
          <w:bCs/>
          <w:sz w:val="28"/>
        </w:rPr>
        <w:t>110至114年度中華顧問工程司支出預算編列及執行概況表</w:t>
      </w:r>
    </w:p>
    <w:p w:rsidR="0086051E" w:rsidRPr="008F26C2" w:rsidRDefault="0086051E" w:rsidP="00CA1967">
      <w:pPr>
        <w:spacing w:line="400" w:lineRule="exact"/>
        <w:ind w:leftChars="0" w:left="0" w:firstLineChars="0" w:firstLine="0"/>
        <w:jc w:val="right"/>
        <w:rPr>
          <w:rFonts w:hAnsi="標楷體"/>
          <w:sz w:val="24"/>
        </w:rPr>
      </w:pPr>
      <w:r w:rsidRPr="008F26C2">
        <w:rPr>
          <w:rFonts w:hAnsi="標楷體" w:hint="eastAsia"/>
          <w:sz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62"/>
        <w:gridCol w:w="1276"/>
        <w:gridCol w:w="1191"/>
        <w:gridCol w:w="1192"/>
        <w:gridCol w:w="1192"/>
        <w:gridCol w:w="1192"/>
        <w:gridCol w:w="1220"/>
      </w:tblGrid>
      <w:tr w:rsidR="00F33C0E" w:rsidRPr="008F26C2" w:rsidTr="00852FFC">
        <w:trPr>
          <w:tblHeader/>
        </w:trPr>
        <w:tc>
          <w:tcPr>
            <w:tcW w:w="1262" w:type="dxa"/>
            <w:tcBorders>
              <w:top w:val="single" w:sz="12" w:space="0" w:color="auto"/>
              <w:bottom w:val="double" w:sz="4" w:space="0" w:color="auto"/>
            </w:tcBorders>
            <w:shd w:val="clear" w:color="auto" w:fill="auto"/>
            <w:vAlign w:val="center"/>
          </w:tcPr>
          <w:p w:rsidR="00F33C0E" w:rsidRPr="008F26C2" w:rsidRDefault="00F33C0E" w:rsidP="003A1688">
            <w:pPr>
              <w:spacing w:line="400" w:lineRule="exact"/>
              <w:ind w:leftChars="0" w:left="0" w:firstLineChars="0" w:firstLine="0"/>
              <w:jc w:val="center"/>
              <w:rPr>
                <w:rFonts w:hAnsi="標楷體"/>
                <w:bCs/>
                <w:sz w:val="24"/>
                <w:szCs w:val="24"/>
              </w:rPr>
            </w:pPr>
            <w:bookmarkStart w:id="11" w:name="_Hlk194068008"/>
            <w:r w:rsidRPr="008F26C2">
              <w:rPr>
                <w:rFonts w:hAnsi="標楷體" w:hint="eastAsia"/>
                <w:bCs/>
                <w:sz w:val="24"/>
                <w:szCs w:val="24"/>
              </w:rPr>
              <w:t>項目</w:t>
            </w:r>
          </w:p>
        </w:tc>
        <w:tc>
          <w:tcPr>
            <w:tcW w:w="1276" w:type="dxa"/>
            <w:tcBorders>
              <w:top w:val="single" w:sz="12" w:space="0" w:color="auto"/>
              <w:bottom w:val="double" w:sz="4" w:space="0" w:color="auto"/>
            </w:tcBorders>
            <w:shd w:val="clear" w:color="auto" w:fill="auto"/>
            <w:vAlign w:val="center"/>
          </w:tcPr>
          <w:p w:rsidR="00F33C0E" w:rsidRPr="008F26C2" w:rsidRDefault="005D084A"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預算別</w:t>
            </w:r>
          </w:p>
        </w:tc>
        <w:tc>
          <w:tcPr>
            <w:tcW w:w="1191" w:type="dxa"/>
            <w:tcBorders>
              <w:top w:val="single" w:sz="12" w:space="0" w:color="auto"/>
              <w:bottom w:val="double" w:sz="4" w:space="0" w:color="auto"/>
            </w:tcBorders>
            <w:vAlign w:val="center"/>
          </w:tcPr>
          <w:p w:rsidR="00F33C0E" w:rsidRPr="008F26C2" w:rsidRDefault="00F33C0E"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1</w:t>
            </w:r>
            <w:r w:rsidRPr="008F26C2">
              <w:rPr>
                <w:rFonts w:hAnsi="標楷體"/>
                <w:bCs/>
                <w:sz w:val="24"/>
                <w:szCs w:val="24"/>
              </w:rPr>
              <w:t>10</w:t>
            </w:r>
            <w:r w:rsidRPr="008F26C2">
              <w:rPr>
                <w:rFonts w:hAnsi="標楷體" w:hint="eastAsia"/>
                <w:bCs/>
                <w:sz w:val="24"/>
                <w:szCs w:val="24"/>
              </w:rPr>
              <w:t>年度</w:t>
            </w:r>
          </w:p>
        </w:tc>
        <w:tc>
          <w:tcPr>
            <w:tcW w:w="1192" w:type="dxa"/>
            <w:tcBorders>
              <w:top w:val="single" w:sz="12" w:space="0" w:color="auto"/>
              <w:bottom w:val="double" w:sz="4" w:space="0" w:color="auto"/>
            </w:tcBorders>
            <w:shd w:val="clear" w:color="auto" w:fill="auto"/>
            <w:vAlign w:val="center"/>
          </w:tcPr>
          <w:p w:rsidR="00F33C0E" w:rsidRPr="008F26C2" w:rsidRDefault="00F33C0E" w:rsidP="003A1688">
            <w:pPr>
              <w:spacing w:line="400" w:lineRule="exact"/>
              <w:ind w:leftChars="0" w:left="0" w:firstLineChars="0" w:firstLine="0"/>
              <w:jc w:val="center"/>
              <w:rPr>
                <w:rFonts w:hAnsi="標楷體"/>
                <w:bCs/>
                <w:sz w:val="24"/>
                <w:szCs w:val="24"/>
              </w:rPr>
            </w:pPr>
            <w:r w:rsidRPr="008F26C2">
              <w:rPr>
                <w:rFonts w:hAnsi="標楷體"/>
                <w:bCs/>
                <w:sz w:val="24"/>
                <w:szCs w:val="24"/>
              </w:rPr>
              <w:t>111</w:t>
            </w:r>
            <w:r w:rsidRPr="008F26C2">
              <w:rPr>
                <w:rFonts w:hAnsi="標楷體" w:hint="eastAsia"/>
                <w:bCs/>
                <w:sz w:val="24"/>
                <w:szCs w:val="24"/>
              </w:rPr>
              <w:t>年度</w:t>
            </w:r>
          </w:p>
        </w:tc>
        <w:tc>
          <w:tcPr>
            <w:tcW w:w="1192" w:type="dxa"/>
            <w:tcBorders>
              <w:top w:val="single" w:sz="12" w:space="0" w:color="auto"/>
              <w:bottom w:val="double" w:sz="4" w:space="0" w:color="auto"/>
            </w:tcBorders>
            <w:shd w:val="clear" w:color="auto" w:fill="auto"/>
            <w:vAlign w:val="center"/>
          </w:tcPr>
          <w:p w:rsidR="00F33C0E" w:rsidRPr="008F26C2" w:rsidRDefault="00F33C0E"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1</w:t>
            </w:r>
            <w:r w:rsidRPr="008F26C2">
              <w:rPr>
                <w:rFonts w:hAnsi="標楷體"/>
                <w:bCs/>
                <w:sz w:val="24"/>
                <w:szCs w:val="24"/>
              </w:rPr>
              <w:t>12</w:t>
            </w:r>
            <w:r w:rsidRPr="008F26C2">
              <w:rPr>
                <w:rFonts w:hAnsi="標楷體" w:hint="eastAsia"/>
                <w:bCs/>
                <w:sz w:val="24"/>
                <w:szCs w:val="24"/>
              </w:rPr>
              <w:t>年度</w:t>
            </w:r>
          </w:p>
        </w:tc>
        <w:tc>
          <w:tcPr>
            <w:tcW w:w="1192" w:type="dxa"/>
            <w:tcBorders>
              <w:top w:val="single" w:sz="12" w:space="0" w:color="auto"/>
              <w:bottom w:val="double" w:sz="4" w:space="0" w:color="auto"/>
            </w:tcBorders>
            <w:shd w:val="clear" w:color="auto" w:fill="auto"/>
            <w:vAlign w:val="center"/>
          </w:tcPr>
          <w:p w:rsidR="00F33C0E" w:rsidRPr="008F26C2" w:rsidRDefault="00F33C0E"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113年度</w:t>
            </w:r>
          </w:p>
        </w:tc>
        <w:tc>
          <w:tcPr>
            <w:tcW w:w="1220" w:type="dxa"/>
            <w:tcBorders>
              <w:top w:val="single" w:sz="12" w:space="0" w:color="auto"/>
              <w:bottom w:val="double" w:sz="4" w:space="0" w:color="auto"/>
            </w:tcBorders>
            <w:shd w:val="clear" w:color="auto" w:fill="auto"/>
            <w:vAlign w:val="center"/>
          </w:tcPr>
          <w:p w:rsidR="00F33C0E" w:rsidRPr="008F26C2" w:rsidRDefault="00F33C0E"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114年度</w:t>
            </w:r>
          </w:p>
        </w:tc>
      </w:tr>
      <w:tr w:rsidR="00D75224" w:rsidRPr="008F26C2" w:rsidTr="00852FFC">
        <w:trPr>
          <w:trHeight w:val="391"/>
          <w:tblHeader/>
        </w:trPr>
        <w:tc>
          <w:tcPr>
            <w:tcW w:w="1262" w:type="dxa"/>
            <w:vMerge w:val="restart"/>
            <w:tcBorders>
              <w:top w:val="doub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服務成本</w:t>
            </w:r>
          </w:p>
        </w:tc>
        <w:tc>
          <w:tcPr>
            <w:tcW w:w="1276" w:type="dxa"/>
            <w:tcBorders>
              <w:top w:val="doub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預算數</w:t>
            </w:r>
          </w:p>
        </w:tc>
        <w:tc>
          <w:tcPr>
            <w:tcW w:w="1191" w:type="dxa"/>
            <w:tcBorders>
              <w:top w:val="doub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34,012</w:t>
            </w:r>
          </w:p>
        </w:tc>
        <w:tc>
          <w:tcPr>
            <w:tcW w:w="1192" w:type="dxa"/>
            <w:tcBorders>
              <w:top w:val="doub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48,000</w:t>
            </w:r>
          </w:p>
        </w:tc>
        <w:tc>
          <w:tcPr>
            <w:tcW w:w="1192" w:type="dxa"/>
            <w:tcBorders>
              <w:top w:val="doub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52</w:t>
            </w:r>
            <w:r w:rsidR="0043562B" w:rsidRPr="008F26C2">
              <w:rPr>
                <w:rFonts w:hAnsi="標楷體"/>
                <w:bCs/>
                <w:color w:val="000000"/>
                <w:sz w:val="24"/>
                <w:szCs w:val="24"/>
              </w:rPr>
              <w:t>,</w:t>
            </w:r>
            <w:r w:rsidRPr="008F26C2">
              <w:rPr>
                <w:rFonts w:hAnsi="標楷體" w:hint="eastAsia"/>
                <w:bCs/>
                <w:color w:val="000000"/>
                <w:sz w:val="24"/>
                <w:szCs w:val="24"/>
              </w:rPr>
              <w:t>100</w:t>
            </w:r>
          </w:p>
        </w:tc>
        <w:tc>
          <w:tcPr>
            <w:tcW w:w="1192" w:type="dxa"/>
            <w:tcBorders>
              <w:top w:val="doub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50,260</w:t>
            </w:r>
          </w:p>
        </w:tc>
        <w:tc>
          <w:tcPr>
            <w:tcW w:w="1220" w:type="dxa"/>
            <w:tcBorders>
              <w:top w:val="doub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63,783</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決算數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43,054</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49</w:t>
            </w:r>
            <w:r w:rsidR="009A23C9" w:rsidRPr="008F26C2">
              <w:rPr>
                <w:rFonts w:hAnsi="標楷體"/>
                <w:bCs/>
                <w:color w:val="000000"/>
                <w:sz w:val="24"/>
                <w:szCs w:val="24"/>
              </w:rPr>
              <w:t>,</w:t>
            </w:r>
            <w:r w:rsidRPr="008F26C2">
              <w:rPr>
                <w:rFonts w:hAnsi="標楷體" w:hint="eastAsia"/>
                <w:bCs/>
                <w:color w:val="000000"/>
                <w:sz w:val="24"/>
                <w:szCs w:val="24"/>
              </w:rPr>
              <w:t>149</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51,751</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38,998</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
                <w:sz w:val="24"/>
                <w:szCs w:val="24"/>
              </w:rPr>
            </w:pPr>
            <w:r w:rsidRPr="008F26C2">
              <w:rPr>
                <w:rFonts w:hAnsi="標楷體" w:hint="eastAsia"/>
                <w:b/>
                <w:sz w:val="24"/>
                <w:szCs w:val="24"/>
              </w:rPr>
              <w:t>執行率</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126.58%</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102.39%</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99.33%</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77.59%</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w:t>
            </w:r>
          </w:p>
        </w:tc>
      </w:tr>
      <w:bookmarkEnd w:id="11"/>
      <w:tr w:rsidR="00D75224" w:rsidRPr="008F26C2" w:rsidTr="00852FFC">
        <w:trPr>
          <w:trHeight w:val="391"/>
          <w:tblHeader/>
        </w:trPr>
        <w:tc>
          <w:tcPr>
            <w:tcW w:w="1262" w:type="dxa"/>
            <w:vMerge w:val="restart"/>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研究發展費用</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hint="eastAsia"/>
                <w:bCs/>
                <w:sz w:val="24"/>
                <w:szCs w:val="24"/>
              </w:rPr>
            </w:pPr>
            <w:r w:rsidRPr="008F26C2">
              <w:rPr>
                <w:rFonts w:hAnsi="標楷體" w:hint="eastAsia"/>
                <w:bCs/>
                <w:sz w:val="24"/>
                <w:szCs w:val="24"/>
              </w:rPr>
              <w:t>預算數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54,400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57,500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58,600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62,117</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58,880</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hint="eastAsia"/>
                <w:bCs/>
                <w:sz w:val="24"/>
                <w:szCs w:val="24"/>
              </w:rPr>
            </w:pPr>
            <w:r w:rsidRPr="008F26C2">
              <w:rPr>
                <w:rFonts w:hAnsi="標楷體" w:hint="eastAsia"/>
                <w:bCs/>
                <w:sz w:val="24"/>
                <w:szCs w:val="24"/>
              </w:rPr>
              <w:t>決算數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40,747</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49</w:t>
            </w:r>
            <w:r w:rsidR="009A23C9" w:rsidRPr="008F26C2">
              <w:rPr>
                <w:rFonts w:hAnsi="標楷體"/>
                <w:bCs/>
                <w:color w:val="000000"/>
                <w:sz w:val="24"/>
                <w:szCs w:val="24"/>
              </w:rPr>
              <w:t>,</w:t>
            </w:r>
            <w:r w:rsidRPr="008F26C2">
              <w:rPr>
                <w:rFonts w:hAnsi="標楷體" w:hint="eastAsia"/>
                <w:bCs/>
                <w:color w:val="000000"/>
                <w:sz w:val="24"/>
                <w:szCs w:val="24"/>
              </w:rPr>
              <w:t>930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51,207</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57,930</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hint="eastAsia"/>
                <w:b/>
                <w:sz w:val="24"/>
                <w:szCs w:val="24"/>
              </w:rPr>
            </w:pPr>
            <w:r w:rsidRPr="008F26C2">
              <w:rPr>
                <w:rFonts w:hAnsi="標楷體" w:hint="eastAsia"/>
                <w:b/>
                <w:sz w:val="24"/>
                <w:szCs w:val="24"/>
              </w:rPr>
              <w:t>執行率</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
                <w:sz w:val="24"/>
                <w:szCs w:val="24"/>
              </w:rPr>
            </w:pPr>
            <w:r w:rsidRPr="008F26C2">
              <w:rPr>
                <w:rFonts w:hAnsi="標楷體" w:hint="eastAsia"/>
                <w:b/>
                <w:color w:val="000000"/>
                <w:sz w:val="24"/>
                <w:szCs w:val="24"/>
              </w:rPr>
              <w:t>74.90%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
                <w:sz w:val="24"/>
                <w:szCs w:val="24"/>
              </w:rPr>
            </w:pPr>
            <w:r w:rsidRPr="008F26C2">
              <w:rPr>
                <w:rFonts w:hAnsi="標楷體" w:hint="eastAsia"/>
                <w:b/>
                <w:color w:val="000000"/>
                <w:sz w:val="24"/>
                <w:szCs w:val="24"/>
              </w:rPr>
              <w:t>86.83%</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
                <w:sz w:val="24"/>
                <w:szCs w:val="24"/>
              </w:rPr>
            </w:pPr>
            <w:r w:rsidRPr="008F26C2">
              <w:rPr>
                <w:rFonts w:hAnsi="標楷體" w:hint="eastAsia"/>
                <w:b/>
                <w:color w:val="000000"/>
                <w:sz w:val="24"/>
                <w:szCs w:val="24"/>
              </w:rPr>
              <w:t>87.38%</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
                <w:sz w:val="24"/>
                <w:szCs w:val="24"/>
              </w:rPr>
            </w:pPr>
            <w:r w:rsidRPr="008F26C2">
              <w:rPr>
                <w:rFonts w:hAnsi="標楷體" w:hint="eastAsia"/>
                <w:b/>
                <w:color w:val="000000"/>
                <w:sz w:val="24"/>
                <w:szCs w:val="24"/>
              </w:rPr>
              <w:t>93.26%</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
                <w:sz w:val="24"/>
                <w:szCs w:val="24"/>
              </w:rPr>
            </w:pPr>
            <w:r w:rsidRPr="008F26C2">
              <w:rPr>
                <w:rFonts w:hAnsi="標楷體" w:hint="eastAsia"/>
                <w:b/>
                <w:color w:val="000000"/>
                <w:sz w:val="24"/>
                <w:szCs w:val="24"/>
              </w:rPr>
              <w:t>-</w:t>
            </w:r>
          </w:p>
        </w:tc>
      </w:tr>
      <w:tr w:rsidR="00D75224" w:rsidRPr="008F26C2" w:rsidTr="00852FFC">
        <w:trPr>
          <w:trHeight w:val="391"/>
          <w:tblHeader/>
        </w:trPr>
        <w:tc>
          <w:tcPr>
            <w:tcW w:w="1262" w:type="dxa"/>
            <w:vMerge w:val="restart"/>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bCs/>
                <w:sz w:val="24"/>
                <w:szCs w:val="24"/>
              </w:rPr>
              <w:t>管理</w:t>
            </w:r>
            <w:r w:rsidRPr="008F26C2">
              <w:rPr>
                <w:rFonts w:hAnsi="標楷體" w:hint="eastAsia"/>
                <w:bCs/>
                <w:sz w:val="24"/>
                <w:szCs w:val="24"/>
              </w:rPr>
              <w:t>費用</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預算數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46,500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46</w:t>
            </w:r>
            <w:r w:rsidR="009A23C9" w:rsidRPr="008F26C2">
              <w:rPr>
                <w:rFonts w:hAnsi="標楷體"/>
                <w:bCs/>
                <w:color w:val="000000"/>
                <w:sz w:val="24"/>
                <w:szCs w:val="24"/>
              </w:rPr>
              <w:t>,</w:t>
            </w:r>
            <w:r w:rsidRPr="008F26C2">
              <w:rPr>
                <w:rFonts w:hAnsi="標楷體" w:hint="eastAsia"/>
                <w:bCs/>
                <w:color w:val="000000"/>
                <w:sz w:val="24"/>
                <w:szCs w:val="24"/>
              </w:rPr>
              <w:t>000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45,600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49,150</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50,270</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決算數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40,464</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36,106</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42,385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44,808</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
                <w:sz w:val="24"/>
                <w:szCs w:val="24"/>
              </w:rPr>
            </w:pPr>
            <w:r w:rsidRPr="008F26C2">
              <w:rPr>
                <w:rFonts w:hAnsi="標楷體" w:hint="eastAsia"/>
                <w:b/>
                <w:sz w:val="24"/>
                <w:szCs w:val="24"/>
              </w:rPr>
              <w:t>執行率</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87.02%</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78.49%</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92.95%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91.17%</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w:t>
            </w:r>
          </w:p>
        </w:tc>
      </w:tr>
      <w:tr w:rsidR="00D75224" w:rsidRPr="008F26C2" w:rsidTr="00852FFC">
        <w:trPr>
          <w:trHeight w:val="391"/>
          <w:tblHeader/>
        </w:trPr>
        <w:tc>
          <w:tcPr>
            <w:tcW w:w="1262" w:type="dxa"/>
            <w:vMerge w:val="restart"/>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其他支出</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預算數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35,000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31</w:t>
            </w:r>
            <w:r w:rsidR="009A23C9" w:rsidRPr="008F26C2">
              <w:rPr>
                <w:rFonts w:hAnsi="標楷體"/>
                <w:bCs/>
                <w:color w:val="000000"/>
                <w:sz w:val="24"/>
                <w:szCs w:val="24"/>
              </w:rPr>
              <w:t>,</w:t>
            </w:r>
            <w:r w:rsidRPr="008F26C2">
              <w:rPr>
                <w:rFonts w:hAnsi="標楷體" w:hint="eastAsia"/>
                <w:bCs/>
                <w:color w:val="000000"/>
                <w:sz w:val="24"/>
                <w:szCs w:val="24"/>
              </w:rPr>
              <w:t>940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17,140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15,500</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15,500</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left"/>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決算數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24,570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24,832</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13,433</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12,279</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E79EE" w:rsidP="003A1688">
            <w:pPr>
              <w:spacing w:line="400" w:lineRule="exact"/>
              <w:ind w:leftChars="0" w:left="0" w:firstLineChars="0" w:firstLine="0"/>
              <w:jc w:val="right"/>
              <w:rPr>
                <w:rFonts w:hAnsi="標楷體"/>
                <w:bCs/>
                <w:sz w:val="24"/>
                <w:szCs w:val="24"/>
              </w:rPr>
            </w:pPr>
            <w:r w:rsidRPr="008F26C2">
              <w:rPr>
                <w:rFonts w:hAnsi="標楷體" w:hint="eastAsia"/>
                <w:bCs/>
                <w:sz w:val="24"/>
                <w:szCs w:val="24"/>
              </w:rPr>
              <w:t>-</w:t>
            </w:r>
          </w:p>
        </w:tc>
      </w:tr>
      <w:tr w:rsidR="00D75224" w:rsidRPr="008F26C2" w:rsidTr="00852FFC">
        <w:trPr>
          <w:trHeight w:val="391"/>
          <w:tblHeader/>
        </w:trPr>
        <w:tc>
          <w:tcPr>
            <w:tcW w:w="1262" w:type="dxa"/>
            <w:vMerge/>
            <w:tcBorders>
              <w:top w:val="single" w:sz="4" w:space="0" w:color="auto"/>
              <w:bottom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left"/>
              <w:rPr>
                <w:rFonts w:hAnsi="標楷體"/>
                <w:bCs/>
                <w:sz w:val="24"/>
                <w:szCs w:val="24"/>
              </w:rPr>
            </w:pPr>
          </w:p>
        </w:tc>
        <w:tc>
          <w:tcPr>
            <w:tcW w:w="1276" w:type="dxa"/>
            <w:tcBorders>
              <w:top w:val="single" w:sz="4" w:space="0" w:color="auto"/>
              <w:bottom w:val="single" w:sz="12"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
                <w:sz w:val="24"/>
                <w:szCs w:val="24"/>
              </w:rPr>
            </w:pPr>
            <w:r w:rsidRPr="008F26C2">
              <w:rPr>
                <w:rFonts w:hAnsi="標楷體" w:hint="eastAsia"/>
                <w:b/>
                <w:sz w:val="24"/>
                <w:szCs w:val="24"/>
              </w:rPr>
              <w:t>執行率</w:t>
            </w:r>
          </w:p>
        </w:tc>
        <w:tc>
          <w:tcPr>
            <w:tcW w:w="1191" w:type="dxa"/>
            <w:tcBorders>
              <w:top w:val="single" w:sz="4" w:space="0" w:color="auto"/>
              <w:left w:val="single" w:sz="4" w:space="0" w:color="auto"/>
              <w:bottom w:val="single" w:sz="12"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70.20%</w:t>
            </w:r>
          </w:p>
        </w:tc>
        <w:tc>
          <w:tcPr>
            <w:tcW w:w="1192" w:type="dxa"/>
            <w:tcBorders>
              <w:top w:val="single" w:sz="4" w:space="0" w:color="auto"/>
              <w:left w:val="single" w:sz="4" w:space="0" w:color="auto"/>
              <w:bottom w:val="single" w:sz="12"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77.75%</w:t>
            </w:r>
          </w:p>
        </w:tc>
        <w:tc>
          <w:tcPr>
            <w:tcW w:w="1192" w:type="dxa"/>
            <w:tcBorders>
              <w:top w:val="single" w:sz="4" w:space="0" w:color="auto"/>
              <w:left w:val="single" w:sz="4" w:space="0" w:color="auto"/>
              <w:bottom w:val="single" w:sz="12"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78.37%</w:t>
            </w:r>
          </w:p>
        </w:tc>
        <w:tc>
          <w:tcPr>
            <w:tcW w:w="1192" w:type="dxa"/>
            <w:tcBorders>
              <w:top w:val="single" w:sz="4" w:space="0" w:color="auto"/>
              <w:left w:val="single" w:sz="4" w:space="0" w:color="auto"/>
              <w:bottom w:val="single" w:sz="12"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79.22%</w:t>
            </w:r>
          </w:p>
        </w:tc>
        <w:tc>
          <w:tcPr>
            <w:tcW w:w="1220" w:type="dxa"/>
            <w:tcBorders>
              <w:top w:val="single" w:sz="4" w:space="0" w:color="auto"/>
              <w:left w:val="single" w:sz="4" w:space="0" w:color="auto"/>
              <w:bottom w:val="single" w:sz="12" w:space="0" w:color="auto"/>
              <w:right w:val="single" w:sz="12" w:space="0" w:color="auto"/>
            </w:tcBorders>
            <w:shd w:val="clear" w:color="auto" w:fill="auto"/>
            <w:vAlign w:val="center"/>
          </w:tcPr>
          <w:p w:rsidR="00D75224" w:rsidRPr="008F26C2" w:rsidRDefault="00DE79EE" w:rsidP="003A1688">
            <w:pPr>
              <w:spacing w:line="400" w:lineRule="exact"/>
              <w:ind w:leftChars="0" w:left="0" w:firstLineChars="0" w:firstLine="0"/>
              <w:jc w:val="right"/>
              <w:rPr>
                <w:rFonts w:hAnsi="標楷體"/>
                <w:b/>
                <w:sz w:val="24"/>
                <w:szCs w:val="24"/>
              </w:rPr>
            </w:pPr>
            <w:r w:rsidRPr="008F26C2">
              <w:rPr>
                <w:rFonts w:hAnsi="標楷體" w:hint="eastAsia"/>
                <w:b/>
                <w:sz w:val="24"/>
                <w:szCs w:val="24"/>
              </w:rPr>
              <w:t>-</w:t>
            </w:r>
          </w:p>
        </w:tc>
      </w:tr>
    </w:tbl>
    <w:p w:rsidR="004B0987" w:rsidRPr="008F26C2" w:rsidRDefault="004B0987" w:rsidP="00E4355B">
      <w:pPr>
        <w:spacing w:line="280" w:lineRule="exact"/>
        <w:ind w:leftChars="0" w:left="1399" w:hangingChars="583" w:hanging="1399"/>
        <w:rPr>
          <w:rFonts w:hAnsi="標楷體"/>
          <w:sz w:val="24"/>
        </w:rPr>
      </w:pPr>
      <w:r w:rsidRPr="008F26C2">
        <w:rPr>
          <w:rFonts w:hAnsi="標楷體" w:hint="eastAsia"/>
          <w:sz w:val="24"/>
          <w:lang w:eastAsia="zh-HK"/>
        </w:rPr>
        <w:t>說</w:t>
      </w:r>
      <w:r w:rsidRPr="008F26C2">
        <w:rPr>
          <w:rFonts w:hAnsi="標楷體" w:hint="eastAsia"/>
          <w:sz w:val="24"/>
        </w:rPr>
        <w:t xml:space="preserve">　</w:t>
      </w:r>
      <w:r w:rsidRPr="008F26C2">
        <w:rPr>
          <w:rFonts w:hAnsi="標楷體" w:hint="eastAsia"/>
          <w:sz w:val="24"/>
          <w:lang w:eastAsia="zh-HK"/>
        </w:rPr>
        <w:t xml:space="preserve">　明：</w:t>
      </w:r>
      <w:r w:rsidR="003D2155" w:rsidRPr="008F26C2">
        <w:rPr>
          <w:rFonts w:hAnsi="標楷體" w:hint="eastAsia"/>
          <w:sz w:val="24"/>
        </w:rPr>
        <w:t>1</w:t>
      </w:r>
      <w:r w:rsidR="003D2155" w:rsidRPr="008F26C2">
        <w:rPr>
          <w:rFonts w:hAnsi="標楷體"/>
          <w:sz w:val="24"/>
        </w:rPr>
        <w:t>.</w:t>
      </w:r>
      <w:r w:rsidR="00E4355B" w:rsidRPr="008F26C2">
        <w:rPr>
          <w:rFonts w:hAnsi="標楷體" w:hint="eastAsia"/>
          <w:sz w:val="24"/>
        </w:rPr>
        <w:t>110至113年度決算數，除113年度決算尚未經董事會決議同過，為</w:t>
      </w:r>
      <w:r w:rsidR="001475D1" w:rsidRPr="008F26C2">
        <w:rPr>
          <w:rFonts w:hAnsi="標楷體" w:hint="eastAsia"/>
          <w:sz w:val="24"/>
        </w:rPr>
        <w:t>該</w:t>
      </w:r>
      <w:bookmarkStart w:id="12" w:name="_Hlk194479380"/>
      <w:r w:rsidR="001475D1" w:rsidRPr="008F26C2">
        <w:rPr>
          <w:rFonts w:hAnsi="標楷體" w:hint="eastAsia"/>
          <w:sz w:val="24"/>
        </w:rPr>
        <w:t>顧問工程</w:t>
      </w:r>
      <w:bookmarkEnd w:id="12"/>
      <w:r w:rsidR="001475D1" w:rsidRPr="008F26C2">
        <w:rPr>
          <w:rFonts w:hAnsi="標楷體" w:hint="eastAsia"/>
          <w:sz w:val="24"/>
        </w:rPr>
        <w:t>司</w:t>
      </w:r>
      <w:r w:rsidR="00E4355B" w:rsidRPr="008F26C2">
        <w:rPr>
          <w:rFonts w:hAnsi="標楷體" w:hint="eastAsia"/>
          <w:sz w:val="24"/>
        </w:rPr>
        <w:t>自結數外，其餘年度均為決算數。</w:t>
      </w:r>
    </w:p>
    <w:p w:rsidR="003D2155" w:rsidRPr="008F26C2" w:rsidRDefault="003D2155" w:rsidP="005003C8">
      <w:pPr>
        <w:spacing w:line="280" w:lineRule="exact"/>
        <w:ind w:leftChars="425" w:left="1430" w:hangingChars="100" w:hanging="240"/>
        <w:rPr>
          <w:rFonts w:hAnsi="標楷體"/>
          <w:sz w:val="24"/>
        </w:rPr>
      </w:pPr>
      <w:r w:rsidRPr="008F26C2">
        <w:rPr>
          <w:rFonts w:hAnsi="標楷體" w:hint="eastAsia"/>
          <w:sz w:val="24"/>
        </w:rPr>
        <w:t>2</w:t>
      </w:r>
      <w:r w:rsidRPr="008F26C2">
        <w:rPr>
          <w:rFonts w:hAnsi="標楷體"/>
          <w:sz w:val="24"/>
        </w:rPr>
        <w:t>.</w:t>
      </w:r>
      <w:r w:rsidR="00E4355B" w:rsidRPr="008F26C2">
        <w:rPr>
          <w:rFonts w:hAnsi="標楷體" w:hint="eastAsia"/>
          <w:sz w:val="24"/>
        </w:rPr>
        <w:t>執行率=決算數/預算數。</w:t>
      </w:r>
    </w:p>
    <w:p w:rsidR="00E4355B" w:rsidRPr="008F26C2" w:rsidRDefault="00E4355B" w:rsidP="00E4355B">
      <w:pPr>
        <w:spacing w:line="280" w:lineRule="exact"/>
        <w:ind w:leftChars="0" w:left="1200" w:hangingChars="500" w:hanging="1200"/>
        <w:rPr>
          <w:rFonts w:hAnsi="標楷體"/>
          <w:sz w:val="24"/>
          <w:lang w:eastAsia="zh-HK"/>
        </w:rPr>
      </w:pPr>
      <w:r w:rsidRPr="008F26C2">
        <w:rPr>
          <w:rFonts w:hAnsi="標楷體" w:hint="eastAsia"/>
          <w:sz w:val="24"/>
        </w:rPr>
        <w:t>資料來源：整理自中華顧問工程司110至112年度決算、110至114年度預算案及該</w:t>
      </w:r>
      <w:r w:rsidR="00F75350" w:rsidRPr="008F26C2">
        <w:rPr>
          <w:rFonts w:hAnsi="標楷體" w:hint="eastAsia"/>
          <w:sz w:val="24"/>
        </w:rPr>
        <w:t>顧問工程</w:t>
      </w:r>
      <w:r w:rsidRPr="008F26C2">
        <w:rPr>
          <w:rFonts w:hAnsi="標楷體" w:hint="eastAsia"/>
          <w:sz w:val="24"/>
        </w:rPr>
        <w:t>司提供之資料；本中心製表</w:t>
      </w:r>
      <w:r w:rsidRPr="008F26C2">
        <w:rPr>
          <w:rFonts w:hAnsi="標楷體" w:hint="eastAsia"/>
          <w:sz w:val="24"/>
          <w:lang w:eastAsia="zh-HK"/>
        </w:rPr>
        <w:t>。</w:t>
      </w:r>
    </w:p>
    <w:p w:rsidR="00100581" w:rsidRPr="008F26C2" w:rsidRDefault="00100581" w:rsidP="00100581">
      <w:pPr>
        <w:ind w:left="560" w:firstLine="560"/>
        <w:rPr>
          <w:rFonts w:hAnsi="標楷體"/>
          <w:b/>
        </w:rPr>
      </w:pPr>
      <w:r w:rsidRPr="008F26C2">
        <w:rPr>
          <w:rFonts w:hAnsi="標楷體" w:hint="eastAsia"/>
        </w:rPr>
        <w:t>綜上，中華顧問工程司近年預</w:t>
      </w:r>
      <w:r w:rsidR="007272C0" w:rsidRPr="008F26C2">
        <w:rPr>
          <w:rFonts w:hAnsi="標楷體" w:hint="eastAsia"/>
        </w:rPr>
        <w:t>算執行情形</w:t>
      </w:r>
      <w:r w:rsidRPr="008F26C2">
        <w:rPr>
          <w:rFonts w:hAnsi="標楷體" w:hint="eastAsia"/>
        </w:rPr>
        <w:t>，</w:t>
      </w:r>
      <w:r w:rsidR="00CD6304" w:rsidRPr="00CD6304">
        <w:rPr>
          <w:rFonts w:hAnsi="標楷體" w:hint="eastAsia"/>
        </w:rPr>
        <w:t>收入決算數均超過預算數50%</w:t>
      </w:r>
      <w:r w:rsidR="00B41E9C" w:rsidRPr="008F26C2">
        <w:rPr>
          <w:rFonts w:hAnsi="標楷體" w:hint="eastAsia"/>
        </w:rPr>
        <w:t>，甚有部分年度</w:t>
      </w:r>
      <w:r w:rsidR="00CD6304">
        <w:rPr>
          <w:rFonts w:hAnsi="標楷體" w:hint="eastAsia"/>
        </w:rPr>
        <w:t>超逾</w:t>
      </w:r>
      <w:r w:rsidR="005C7E13" w:rsidRPr="008F26C2">
        <w:rPr>
          <w:rFonts w:hAnsi="標楷體" w:hint="eastAsia"/>
        </w:rPr>
        <w:t>2</w:t>
      </w:r>
      <w:r w:rsidR="00B41E9C" w:rsidRPr="008F26C2">
        <w:rPr>
          <w:rFonts w:hAnsi="標楷體" w:hint="eastAsia"/>
        </w:rPr>
        <w:t>倍</w:t>
      </w:r>
      <w:r w:rsidR="007272C0" w:rsidRPr="008F26C2">
        <w:rPr>
          <w:rFonts w:hAnsi="標楷體" w:hint="eastAsia"/>
        </w:rPr>
        <w:t>；</w:t>
      </w:r>
      <w:r w:rsidR="005C7E13" w:rsidRPr="008F26C2">
        <w:rPr>
          <w:rFonts w:hAnsi="標楷體" w:hint="eastAsia"/>
        </w:rPr>
        <w:t>部分支出項目</w:t>
      </w:r>
      <w:r w:rsidRPr="008F26C2">
        <w:rPr>
          <w:rFonts w:hAnsi="標楷體" w:hint="eastAsia"/>
        </w:rPr>
        <w:t>存有超支或執行率</w:t>
      </w:r>
      <w:r w:rsidR="007272C0" w:rsidRPr="008F26C2">
        <w:rPr>
          <w:rFonts w:hAnsi="標楷體" w:hint="eastAsia"/>
        </w:rPr>
        <w:t>未達</w:t>
      </w:r>
      <w:r w:rsidR="005C7E13" w:rsidRPr="008F26C2">
        <w:rPr>
          <w:rFonts w:hAnsi="標楷體" w:hint="eastAsia"/>
        </w:rPr>
        <w:t>80%</w:t>
      </w:r>
      <w:r w:rsidR="007272C0" w:rsidRPr="008F26C2">
        <w:rPr>
          <w:rFonts w:hAnsi="標楷體" w:hint="eastAsia"/>
        </w:rPr>
        <w:t>之</w:t>
      </w:r>
      <w:r w:rsidRPr="008F26C2">
        <w:rPr>
          <w:rFonts w:hAnsi="標楷體" w:hint="eastAsia"/>
        </w:rPr>
        <w:t>情形，顯示其預算編列與</w:t>
      </w:r>
      <w:r w:rsidR="005C7E13" w:rsidRPr="008F26C2">
        <w:rPr>
          <w:rFonts w:hAnsi="標楷體" w:hint="eastAsia"/>
        </w:rPr>
        <w:t>實際</w:t>
      </w:r>
      <w:r w:rsidRPr="008F26C2">
        <w:rPr>
          <w:rFonts w:hAnsi="標楷體" w:hint="eastAsia"/>
        </w:rPr>
        <w:t>執行情形容有改進空間，允宜衡酌實際業務執行需求，覈實編列預算</w:t>
      </w:r>
      <w:r w:rsidR="005C7E13" w:rsidRPr="008F26C2">
        <w:rPr>
          <w:rFonts w:hAnsi="標楷體" w:hint="eastAsia"/>
        </w:rPr>
        <w:t>，</w:t>
      </w:r>
      <w:r w:rsidR="0093019E" w:rsidRPr="008F26C2">
        <w:rPr>
          <w:rFonts w:hAnsi="標楷體" w:hint="eastAsia"/>
        </w:rPr>
        <w:t>以</w:t>
      </w:r>
      <w:r w:rsidR="005C7E13" w:rsidRPr="008F26C2">
        <w:rPr>
          <w:rFonts w:hAnsi="標楷體" w:hint="eastAsia"/>
        </w:rPr>
        <w:t>確保預算合理性與執行效能</w:t>
      </w:r>
      <w:r w:rsidRPr="008F26C2">
        <w:rPr>
          <w:rFonts w:hAnsi="標楷體" w:hint="eastAsia"/>
        </w:rPr>
        <w:t>。</w:t>
      </w:r>
    </w:p>
    <w:p w:rsidR="00697AE6" w:rsidRPr="008F26C2" w:rsidRDefault="00697AE6" w:rsidP="00EC45DC">
      <w:pPr>
        <w:pStyle w:val="14"/>
        <w:ind w:left="561" w:hanging="561"/>
        <w:rPr>
          <w:rFonts w:hAnsi="標楷體"/>
        </w:rPr>
      </w:pPr>
    </w:p>
    <w:p w:rsidR="006C08A1" w:rsidRPr="008F26C2" w:rsidRDefault="006C08A1" w:rsidP="00AF1225">
      <w:pPr>
        <w:pStyle w:val="14"/>
        <w:ind w:left="560" w:hanging="560"/>
        <w:rPr>
          <w:rFonts w:hAnsi="標楷體"/>
          <w:bCs/>
        </w:rPr>
      </w:pPr>
      <w:bookmarkStart w:id="13" w:name="_Toc69129290"/>
      <w:bookmarkStart w:id="14" w:name="_Toc192769592"/>
      <w:bookmarkStart w:id="15" w:name="_Toc194504495"/>
      <w:r w:rsidRPr="008F26C2">
        <w:rPr>
          <w:rFonts w:hAnsi="標楷體" w:hint="eastAsia"/>
          <w:b w:val="0"/>
        </w:rPr>
        <w:t>二、</w:t>
      </w:r>
      <w:r w:rsidR="00983CE2" w:rsidRPr="008F26C2">
        <w:rPr>
          <w:rFonts w:hAnsi="標楷體" w:hint="eastAsia"/>
          <w:bCs/>
        </w:rPr>
        <w:t>主要業務</w:t>
      </w:r>
      <w:r w:rsidR="00CD6304" w:rsidRPr="008F26C2">
        <w:rPr>
          <w:rFonts w:hAnsi="標楷體" w:hint="eastAsia"/>
          <w:bCs/>
        </w:rPr>
        <w:t>近年</w:t>
      </w:r>
      <w:r w:rsidR="00E15D44" w:rsidRPr="008F26C2">
        <w:rPr>
          <w:rFonts w:hAnsi="標楷體" w:hint="eastAsia"/>
          <w:bCs/>
        </w:rPr>
        <w:t>獲利能力不足，</w:t>
      </w:r>
      <w:r w:rsidR="00983CE2" w:rsidRPr="008F26C2">
        <w:rPr>
          <w:rFonts w:hAnsi="標楷體" w:hint="eastAsia"/>
          <w:bCs/>
        </w:rPr>
        <w:t>持續虧損</w:t>
      </w:r>
      <w:r w:rsidR="00325C5E" w:rsidRPr="008F26C2">
        <w:rPr>
          <w:rFonts w:hAnsi="標楷體" w:hint="eastAsia"/>
          <w:bCs/>
        </w:rPr>
        <w:t>，</w:t>
      </w:r>
      <w:r w:rsidR="00E15D44" w:rsidRPr="008F26C2">
        <w:rPr>
          <w:rFonts w:hAnsi="標楷體" w:hint="eastAsia"/>
          <w:bCs/>
        </w:rPr>
        <w:t>高度仰賴業務外收入維持營運</w:t>
      </w:r>
      <w:r w:rsidR="00721D4F" w:rsidRPr="008F26C2">
        <w:rPr>
          <w:rFonts w:hAnsi="標楷體" w:hint="eastAsia"/>
          <w:bCs/>
        </w:rPr>
        <w:t>，</w:t>
      </w:r>
      <w:r w:rsidR="00C560B1" w:rsidRPr="008F26C2">
        <w:rPr>
          <w:rFonts w:hAnsi="標楷體" w:hint="eastAsia"/>
          <w:bCs/>
        </w:rPr>
        <w:t>允</w:t>
      </w:r>
      <w:r w:rsidR="00E15D44" w:rsidRPr="008F26C2">
        <w:rPr>
          <w:rFonts w:hAnsi="標楷體" w:hint="eastAsia"/>
          <w:bCs/>
        </w:rPr>
        <w:t>宜</w:t>
      </w:r>
      <w:r w:rsidR="00C560B1" w:rsidRPr="008F26C2">
        <w:rPr>
          <w:rFonts w:hAnsi="標楷體" w:hint="eastAsia"/>
          <w:bCs/>
        </w:rPr>
        <w:t>妥慎檢視相關成因，提升</w:t>
      </w:r>
      <w:r w:rsidR="00721D4F" w:rsidRPr="008F26C2">
        <w:rPr>
          <w:rFonts w:hAnsi="標楷體" w:hint="eastAsia"/>
          <w:bCs/>
        </w:rPr>
        <w:t>業務經營績效</w:t>
      </w:r>
      <w:bookmarkEnd w:id="13"/>
      <w:bookmarkEnd w:id="14"/>
      <w:r w:rsidR="00C560B1" w:rsidRPr="008F26C2">
        <w:rPr>
          <w:rFonts w:hAnsi="標楷體" w:hint="eastAsia"/>
          <w:bCs/>
        </w:rPr>
        <w:t>，以增裕整體收益</w:t>
      </w:r>
      <w:bookmarkEnd w:id="15"/>
    </w:p>
    <w:p w:rsidR="0062681D" w:rsidRPr="008F26C2" w:rsidRDefault="0062681D" w:rsidP="0062681D">
      <w:pPr>
        <w:ind w:left="560" w:firstLine="560"/>
        <w:rPr>
          <w:rFonts w:hAnsi="標楷體" w:cs="標楷體"/>
          <w:color w:val="000000"/>
        </w:rPr>
      </w:pPr>
      <w:r w:rsidRPr="008F26C2">
        <w:rPr>
          <w:rFonts w:hAnsi="標楷體" w:cs="標楷體" w:hint="eastAsia"/>
          <w:color w:val="000000"/>
        </w:rPr>
        <w:t>中華顧問工程司1</w:t>
      </w:r>
      <w:r w:rsidRPr="008F26C2">
        <w:rPr>
          <w:rFonts w:hAnsi="標楷體" w:cs="標楷體"/>
          <w:color w:val="000000"/>
        </w:rPr>
        <w:t>14</w:t>
      </w:r>
      <w:r w:rsidRPr="008F26C2">
        <w:rPr>
          <w:rFonts w:hAnsi="標楷體" w:cs="標楷體" w:hint="eastAsia"/>
          <w:color w:val="000000"/>
        </w:rPr>
        <w:t>年度</w:t>
      </w:r>
      <w:r w:rsidR="00CA42A5" w:rsidRPr="008F26C2">
        <w:rPr>
          <w:rFonts w:hAnsi="標楷體" w:cs="標楷體" w:hint="eastAsia"/>
          <w:color w:val="000000"/>
        </w:rPr>
        <w:t>主要業務</w:t>
      </w:r>
      <w:r w:rsidR="00CA42A5" w:rsidRPr="008F26C2">
        <w:rPr>
          <w:rStyle w:val="af3"/>
          <w:rFonts w:hAnsi="標楷體"/>
          <w:lang w:eastAsia="zh-HK"/>
        </w:rPr>
        <w:footnoteReference w:id="3"/>
      </w:r>
      <w:r w:rsidRPr="008F26C2">
        <w:rPr>
          <w:rFonts w:hAnsi="標楷體" w:cs="標楷體" w:hint="eastAsia"/>
          <w:color w:val="000000"/>
        </w:rPr>
        <w:t>預算案</w:t>
      </w:r>
      <w:r w:rsidR="00BF1526" w:rsidRPr="008F26C2">
        <w:rPr>
          <w:rFonts w:hAnsi="標楷體" w:cs="標楷體" w:hint="eastAsia"/>
          <w:color w:val="000000"/>
        </w:rPr>
        <w:t>編列</w:t>
      </w:r>
      <w:r w:rsidR="00CA42A5" w:rsidRPr="008F26C2">
        <w:rPr>
          <w:rFonts w:hAnsi="標楷體" w:cs="標楷體" w:hint="eastAsia"/>
          <w:color w:val="000000"/>
        </w:rPr>
        <w:t>情形，收入面</w:t>
      </w:r>
      <w:r w:rsidRPr="008F26C2">
        <w:rPr>
          <w:rFonts w:hAnsi="標楷體" w:cs="標楷體" w:hint="eastAsia"/>
          <w:color w:val="000000"/>
        </w:rPr>
        <w:t>編列</w:t>
      </w:r>
      <w:r w:rsidR="00CE66F2" w:rsidRPr="008F26C2">
        <w:rPr>
          <w:rFonts w:hAnsi="標楷體" w:cs="標楷體" w:hint="eastAsia"/>
          <w:color w:val="000000"/>
        </w:rPr>
        <w:t>於</w:t>
      </w:r>
      <w:r w:rsidRPr="008F26C2">
        <w:rPr>
          <w:rFonts w:hAnsi="標楷體" w:cs="標楷體" w:hint="eastAsia"/>
          <w:color w:val="000000"/>
        </w:rPr>
        <w:t>「服務收入」5,000萬元</w:t>
      </w:r>
      <w:r w:rsidR="00BF1526" w:rsidRPr="008F26C2">
        <w:rPr>
          <w:rFonts w:hAnsi="標楷體" w:cs="標楷體" w:hint="eastAsia"/>
          <w:color w:val="000000"/>
        </w:rPr>
        <w:t>；</w:t>
      </w:r>
      <w:r w:rsidR="00CA42A5" w:rsidRPr="008F26C2">
        <w:rPr>
          <w:rFonts w:hAnsi="標楷體" w:cs="標楷體" w:hint="eastAsia"/>
          <w:color w:val="000000"/>
        </w:rPr>
        <w:t>支出面編列</w:t>
      </w:r>
      <w:r w:rsidR="00CE66F2" w:rsidRPr="008F26C2">
        <w:rPr>
          <w:rFonts w:hAnsi="標楷體" w:cs="標楷體" w:hint="eastAsia"/>
          <w:color w:val="000000"/>
        </w:rPr>
        <w:t>於</w:t>
      </w:r>
      <w:r w:rsidRPr="008F26C2">
        <w:rPr>
          <w:rFonts w:hAnsi="標楷體" w:cs="標楷體" w:hint="eastAsia"/>
          <w:color w:val="000000"/>
        </w:rPr>
        <w:t>「服務成本」</w:t>
      </w:r>
      <w:r w:rsidR="00CA42A5" w:rsidRPr="008F26C2">
        <w:rPr>
          <w:rFonts w:hAnsi="標楷體" w:cs="標楷體" w:hint="eastAsia"/>
          <w:color w:val="000000"/>
        </w:rPr>
        <w:t>6,378萬3千元及「研究發展費用」</w:t>
      </w:r>
      <w:r w:rsidR="00CE66F2" w:rsidRPr="008F26C2">
        <w:rPr>
          <w:rFonts w:hAnsi="標楷體" w:cs="標楷體" w:hint="eastAsia"/>
          <w:color w:val="000000"/>
        </w:rPr>
        <w:t>5,888萬元</w:t>
      </w:r>
      <w:r w:rsidRPr="008F26C2">
        <w:rPr>
          <w:rFonts w:hAnsi="標楷體" w:cs="標楷體" w:hint="eastAsia"/>
          <w:color w:val="000000"/>
        </w:rPr>
        <w:t>，</w:t>
      </w:r>
      <w:r w:rsidR="00BF1526" w:rsidRPr="008F26C2">
        <w:rPr>
          <w:rFonts w:hAnsi="標楷體" w:cs="標楷體" w:hint="eastAsia"/>
          <w:color w:val="000000"/>
        </w:rPr>
        <w:t>合共</w:t>
      </w:r>
      <w:r w:rsidR="00BF1526" w:rsidRPr="008F26C2">
        <w:rPr>
          <w:rFonts w:hAnsi="標楷體" w:cs="標楷體"/>
          <w:color w:val="000000"/>
        </w:rPr>
        <w:t>1</w:t>
      </w:r>
      <w:r w:rsidR="00BF1526" w:rsidRPr="008F26C2">
        <w:rPr>
          <w:rFonts w:hAnsi="標楷體" w:cs="標楷體" w:hint="eastAsia"/>
          <w:color w:val="000000"/>
        </w:rPr>
        <w:t>億</w:t>
      </w:r>
      <w:r w:rsidR="00BF1526" w:rsidRPr="008F26C2">
        <w:rPr>
          <w:rFonts w:hAnsi="標楷體" w:cs="標楷體"/>
          <w:color w:val="000000"/>
        </w:rPr>
        <w:t>2,266</w:t>
      </w:r>
      <w:r w:rsidR="00BF1526" w:rsidRPr="008F26C2">
        <w:rPr>
          <w:rFonts w:hAnsi="標楷體" w:cs="標楷體" w:hint="eastAsia"/>
          <w:color w:val="000000"/>
        </w:rPr>
        <w:t>萬</w:t>
      </w:r>
      <w:r w:rsidR="00BF1526" w:rsidRPr="008F26C2">
        <w:rPr>
          <w:rFonts w:hAnsi="標楷體" w:cs="標楷體"/>
          <w:color w:val="000000"/>
        </w:rPr>
        <w:t>3</w:t>
      </w:r>
      <w:r w:rsidR="00BF1526" w:rsidRPr="008F26C2">
        <w:rPr>
          <w:rFonts w:hAnsi="標楷體" w:cs="標楷體" w:hint="eastAsia"/>
          <w:color w:val="000000"/>
        </w:rPr>
        <w:t>千元；</w:t>
      </w:r>
      <w:r w:rsidR="00CE66F2" w:rsidRPr="008F26C2">
        <w:rPr>
          <w:rFonts w:hAnsi="標楷體" w:cs="標楷體" w:hint="eastAsia"/>
          <w:color w:val="000000"/>
        </w:rPr>
        <w:t>主要業務</w:t>
      </w:r>
      <w:r w:rsidRPr="008F26C2">
        <w:rPr>
          <w:rFonts w:hAnsi="標楷體" w:cs="標楷體" w:hint="eastAsia"/>
          <w:color w:val="000000"/>
        </w:rPr>
        <w:t>收支扣抵後，預計</w:t>
      </w:r>
      <w:r w:rsidR="00CE66F2" w:rsidRPr="008F26C2">
        <w:rPr>
          <w:rFonts w:hAnsi="標楷體" w:cs="標楷體" w:hint="eastAsia"/>
          <w:color w:val="000000"/>
        </w:rPr>
        <w:t>短絀</w:t>
      </w:r>
      <w:r w:rsidR="00CE66F2" w:rsidRPr="008F26C2">
        <w:rPr>
          <w:rFonts w:hAnsi="標楷體" w:cs="標楷體"/>
          <w:color w:val="000000"/>
        </w:rPr>
        <w:t>7,266</w:t>
      </w:r>
      <w:r w:rsidR="00CE66F2" w:rsidRPr="008F26C2">
        <w:rPr>
          <w:rFonts w:hAnsi="標楷體" w:cs="標楷體" w:hint="eastAsia"/>
          <w:color w:val="000000"/>
        </w:rPr>
        <w:t>萬</w:t>
      </w:r>
      <w:r w:rsidR="00CE66F2" w:rsidRPr="008F26C2">
        <w:rPr>
          <w:rFonts w:hAnsi="標楷體" w:cs="標楷體"/>
          <w:color w:val="000000"/>
        </w:rPr>
        <w:t>3</w:t>
      </w:r>
      <w:r w:rsidRPr="008F26C2">
        <w:rPr>
          <w:rFonts w:hAnsi="標楷體" w:cs="標楷體" w:hint="eastAsia"/>
          <w:color w:val="000000"/>
        </w:rPr>
        <w:t>千元。經查：</w:t>
      </w:r>
    </w:p>
    <w:p w:rsidR="00F1565E" w:rsidRPr="008F26C2" w:rsidRDefault="00F1565E" w:rsidP="00F1565E">
      <w:pPr>
        <w:pStyle w:val="a4"/>
        <w:ind w:left="840" w:hanging="280"/>
        <w:rPr>
          <w:rFonts w:hAnsi="標楷體"/>
          <w:b/>
          <w:bCs/>
        </w:rPr>
      </w:pPr>
      <w:r w:rsidRPr="008F26C2">
        <w:rPr>
          <w:rFonts w:hAnsi="標楷體" w:hint="eastAsia"/>
          <w:b/>
          <w:bCs/>
        </w:rPr>
        <w:t>(一</w:t>
      </w:r>
      <w:r w:rsidRPr="008F26C2">
        <w:rPr>
          <w:rFonts w:hAnsi="標楷體" w:hint="eastAsia"/>
          <w:b/>
          <w:bCs/>
          <w:lang w:eastAsia="zh-HK"/>
        </w:rPr>
        <w:t>)</w:t>
      </w:r>
      <w:r w:rsidR="00325C5E" w:rsidRPr="008F26C2">
        <w:rPr>
          <w:rFonts w:hAnsi="標楷體" w:hint="eastAsia"/>
          <w:b/>
          <w:bCs/>
          <w:lang w:eastAsia="zh-HK"/>
        </w:rPr>
        <w:t>主要業務收入占比</w:t>
      </w:r>
      <w:r w:rsidR="00C60971" w:rsidRPr="008F26C2">
        <w:rPr>
          <w:rFonts w:hAnsi="標楷體" w:hint="eastAsia"/>
          <w:b/>
          <w:bCs/>
          <w:lang w:eastAsia="zh-HK"/>
        </w:rPr>
        <w:t>偏低</w:t>
      </w:r>
      <w:r w:rsidR="00325C5E" w:rsidRPr="008F26C2">
        <w:rPr>
          <w:rFonts w:hAnsi="標楷體" w:hint="eastAsia"/>
          <w:b/>
          <w:bCs/>
          <w:lang w:eastAsia="zh-HK"/>
        </w:rPr>
        <w:t>，</w:t>
      </w:r>
      <w:r w:rsidR="00C60971" w:rsidRPr="008F26C2">
        <w:rPr>
          <w:rFonts w:hAnsi="標楷體" w:hint="eastAsia"/>
          <w:b/>
          <w:bCs/>
          <w:lang w:eastAsia="zh-HK"/>
        </w:rPr>
        <w:t>高度</w:t>
      </w:r>
      <w:r w:rsidR="00325C5E" w:rsidRPr="008F26C2">
        <w:rPr>
          <w:rFonts w:hAnsi="標楷體" w:hint="eastAsia"/>
          <w:b/>
          <w:bCs/>
          <w:lang w:eastAsia="zh-HK"/>
        </w:rPr>
        <w:t>仰賴</w:t>
      </w:r>
      <w:r w:rsidR="00C60971" w:rsidRPr="008F26C2">
        <w:rPr>
          <w:rFonts w:hAnsi="標楷體" w:hint="eastAsia"/>
          <w:b/>
          <w:bCs/>
          <w:lang w:eastAsia="zh-HK"/>
        </w:rPr>
        <w:t>業務外收入</w:t>
      </w:r>
      <w:r w:rsidR="00325C5E" w:rsidRPr="008F26C2">
        <w:rPr>
          <w:rFonts w:hAnsi="標楷體" w:hint="eastAsia"/>
          <w:b/>
          <w:bCs/>
          <w:lang w:eastAsia="zh-HK"/>
        </w:rPr>
        <w:t>維持營運，業務經營績效容有再提升空間</w:t>
      </w:r>
    </w:p>
    <w:p w:rsidR="00586717" w:rsidRPr="008F26C2" w:rsidRDefault="00721D4F" w:rsidP="00AE791A">
      <w:pPr>
        <w:pStyle w:val="21"/>
        <w:ind w:left="840" w:firstLine="560"/>
        <w:rPr>
          <w:rFonts w:hAnsi="標楷體"/>
        </w:rPr>
      </w:pPr>
      <w:r w:rsidRPr="008F26C2">
        <w:rPr>
          <w:rFonts w:hAnsi="標楷體" w:hint="eastAsia"/>
        </w:rPr>
        <w:t>綜觀中華顧問工程司110至113年度「收入」項下各項目實際執行情形，主要業務「服務收入」決算數</w:t>
      </w:r>
      <w:r w:rsidR="00E15D44" w:rsidRPr="008F26C2">
        <w:rPr>
          <w:rFonts w:hAnsi="標楷體" w:hint="eastAsia"/>
        </w:rPr>
        <w:t>(自結數)</w:t>
      </w:r>
      <w:r w:rsidRPr="008F26C2">
        <w:rPr>
          <w:rFonts w:hAnsi="標楷體" w:hint="eastAsia"/>
        </w:rPr>
        <w:t>介於</w:t>
      </w:r>
      <w:r w:rsidRPr="008F26C2">
        <w:rPr>
          <w:rFonts w:hAnsi="標楷體"/>
        </w:rPr>
        <w:t>2,930</w:t>
      </w:r>
      <w:r w:rsidRPr="008F26C2">
        <w:rPr>
          <w:rFonts w:hAnsi="標楷體" w:hint="eastAsia"/>
        </w:rPr>
        <w:t>萬</w:t>
      </w:r>
      <w:r w:rsidRPr="008F26C2">
        <w:rPr>
          <w:rFonts w:hAnsi="標楷體"/>
        </w:rPr>
        <w:t>4</w:t>
      </w:r>
      <w:r w:rsidRPr="008F26C2">
        <w:rPr>
          <w:rFonts w:hAnsi="標楷體" w:hint="eastAsia"/>
        </w:rPr>
        <w:t>千元至</w:t>
      </w:r>
      <w:r w:rsidR="000D24B9" w:rsidRPr="008F26C2">
        <w:rPr>
          <w:rFonts w:hAnsi="標楷體"/>
        </w:rPr>
        <w:t>4,399</w:t>
      </w:r>
      <w:r w:rsidR="000D24B9" w:rsidRPr="008F26C2">
        <w:rPr>
          <w:rFonts w:hAnsi="標楷體" w:hint="eastAsia"/>
        </w:rPr>
        <w:t>萬</w:t>
      </w:r>
      <w:r w:rsidR="000D24B9" w:rsidRPr="008F26C2">
        <w:rPr>
          <w:rFonts w:hAnsi="標楷體"/>
        </w:rPr>
        <w:t>2</w:t>
      </w:r>
      <w:r w:rsidR="000D24B9" w:rsidRPr="008F26C2">
        <w:rPr>
          <w:rFonts w:hAnsi="標楷體" w:hint="eastAsia"/>
        </w:rPr>
        <w:t>千</w:t>
      </w:r>
      <w:r w:rsidRPr="008F26C2">
        <w:rPr>
          <w:rFonts w:hAnsi="標楷體" w:hint="eastAsia"/>
        </w:rPr>
        <w:t>元，占各該年度收入總額之比率</w:t>
      </w:r>
      <w:r w:rsidR="00C60971" w:rsidRPr="008F26C2">
        <w:rPr>
          <w:rFonts w:hAnsi="標楷體" w:hint="eastAsia"/>
        </w:rPr>
        <w:t>始終低於6%，介於2.86%至5.58%，且概呈減少之趨勢</w:t>
      </w:r>
      <w:r w:rsidR="000D24B9" w:rsidRPr="008F26C2">
        <w:rPr>
          <w:rFonts w:hAnsi="標楷體" w:hint="eastAsia"/>
        </w:rPr>
        <w:t>(詳表1)，此財務結構顯示其核心業務</w:t>
      </w:r>
      <w:r w:rsidR="00CD6304">
        <w:rPr>
          <w:rFonts w:hAnsi="標楷體" w:hint="eastAsia"/>
        </w:rPr>
        <w:t>收入</w:t>
      </w:r>
      <w:r w:rsidR="000D24B9" w:rsidRPr="008F26C2">
        <w:rPr>
          <w:rFonts w:hAnsi="標楷體" w:hint="eastAsia"/>
        </w:rPr>
        <w:t>不足，</w:t>
      </w:r>
      <w:r w:rsidR="000B311B" w:rsidRPr="008F26C2">
        <w:rPr>
          <w:rFonts w:hAnsi="標楷體" w:hint="eastAsia"/>
        </w:rPr>
        <w:t>高度仰賴資產與投資收益</w:t>
      </w:r>
      <w:r w:rsidR="00E15D44" w:rsidRPr="008F26C2">
        <w:rPr>
          <w:rFonts w:hAnsi="標楷體" w:hint="eastAsia"/>
        </w:rPr>
        <w:t>等業務外收入</w:t>
      </w:r>
      <w:r w:rsidR="000B311B" w:rsidRPr="008F26C2">
        <w:rPr>
          <w:rFonts w:hAnsi="標楷體" w:hint="eastAsia"/>
        </w:rPr>
        <w:t>維持營運。</w:t>
      </w:r>
      <w:r w:rsidR="00922F0C" w:rsidRPr="008F26C2">
        <w:rPr>
          <w:rFonts w:hAnsi="標楷體" w:hint="eastAsia"/>
        </w:rPr>
        <w:t>114年度預算案編列「服務收入」5,000萬元，占該年度收入總額之比率亦僅5.21%，雖較</w:t>
      </w:r>
      <w:r w:rsidR="000B311B" w:rsidRPr="008F26C2">
        <w:rPr>
          <w:rFonts w:hAnsi="標楷體" w:hint="eastAsia"/>
        </w:rPr>
        <w:t>前2</w:t>
      </w:r>
      <w:r w:rsidR="00922F0C" w:rsidRPr="008F26C2">
        <w:rPr>
          <w:rFonts w:hAnsi="標楷體" w:hint="eastAsia"/>
        </w:rPr>
        <w:t>年度略為提</w:t>
      </w:r>
      <w:r w:rsidR="000B311B" w:rsidRPr="008F26C2">
        <w:rPr>
          <w:rFonts w:hAnsi="標楷體" w:hint="eastAsia"/>
        </w:rPr>
        <w:t>升</w:t>
      </w:r>
      <w:r w:rsidR="00922F0C" w:rsidRPr="008F26C2">
        <w:rPr>
          <w:rFonts w:hAnsi="標楷體" w:hint="eastAsia"/>
        </w:rPr>
        <w:t>，</w:t>
      </w:r>
      <w:r w:rsidR="00E15D44" w:rsidRPr="008F26C2">
        <w:rPr>
          <w:rFonts w:hAnsi="標楷體" w:hint="eastAsia"/>
        </w:rPr>
        <w:t>但</w:t>
      </w:r>
      <w:r w:rsidR="00922F0C" w:rsidRPr="008F26C2">
        <w:rPr>
          <w:rFonts w:hAnsi="標楷體" w:hint="eastAsia"/>
        </w:rPr>
        <w:t>就</w:t>
      </w:r>
      <w:r w:rsidR="000D24B9" w:rsidRPr="008F26C2">
        <w:rPr>
          <w:rFonts w:hAnsi="標楷體" w:hint="eastAsia"/>
        </w:rPr>
        <w:t>整體業務經營績</w:t>
      </w:r>
      <w:r w:rsidR="00922F0C" w:rsidRPr="008F26C2">
        <w:rPr>
          <w:rFonts w:hAnsi="標楷體" w:hint="eastAsia"/>
        </w:rPr>
        <w:t>效而言仍偏低，</w:t>
      </w:r>
      <w:r w:rsidR="000D24B9" w:rsidRPr="008F26C2">
        <w:rPr>
          <w:rFonts w:hAnsi="標楷體" w:hint="eastAsia"/>
        </w:rPr>
        <w:t>容有改善</w:t>
      </w:r>
      <w:r w:rsidR="00E15D44" w:rsidRPr="008F26C2">
        <w:rPr>
          <w:rFonts w:hAnsi="標楷體" w:hint="eastAsia"/>
        </w:rPr>
        <w:t>再提升</w:t>
      </w:r>
      <w:r w:rsidR="000D24B9" w:rsidRPr="008F26C2">
        <w:rPr>
          <w:rFonts w:hAnsi="標楷體" w:hint="eastAsia"/>
        </w:rPr>
        <w:t>空間。</w:t>
      </w:r>
    </w:p>
    <w:p w:rsidR="009070D7" w:rsidRPr="008F26C2" w:rsidRDefault="009070D7" w:rsidP="00CA1967">
      <w:pPr>
        <w:ind w:leftChars="0" w:left="561" w:hangingChars="200" w:hanging="561"/>
        <w:rPr>
          <w:rFonts w:hAnsi="標楷體"/>
          <w:snapToGrid/>
          <w:sz w:val="24"/>
          <w:szCs w:val="22"/>
        </w:rPr>
      </w:pPr>
      <w:r w:rsidRPr="008F26C2">
        <w:rPr>
          <w:rFonts w:hAnsi="標楷體" w:hint="eastAsia"/>
          <w:b/>
        </w:rPr>
        <w:t>表1　110至114年度中華顧問工程司收</w:t>
      </w:r>
      <w:r w:rsidR="000B402D" w:rsidRPr="008F26C2">
        <w:rPr>
          <w:rFonts w:hAnsi="標楷體" w:hint="eastAsia"/>
          <w:b/>
        </w:rPr>
        <w:t>入</w:t>
      </w:r>
      <w:r w:rsidRPr="008F26C2">
        <w:rPr>
          <w:rFonts w:hAnsi="標楷體" w:hint="eastAsia"/>
          <w:b/>
        </w:rPr>
        <w:t>概況表</w:t>
      </w:r>
      <w:r w:rsidRPr="008F26C2">
        <w:rPr>
          <w:rFonts w:hAnsi="標楷體" w:hint="eastAsia"/>
          <w:bCs/>
          <w:sz w:val="24"/>
          <w:szCs w:val="24"/>
        </w:rPr>
        <w:t xml:space="preserve">　　</w:t>
      </w:r>
      <w:r w:rsidRPr="008F26C2">
        <w:rPr>
          <w:rFonts w:hAnsi="標楷體" w:hint="eastAsia"/>
          <w:sz w:val="24"/>
          <w:szCs w:val="24"/>
        </w:rPr>
        <w:t>單位：新臺幣千元</w:t>
      </w:r>
    </w:p>
    <w:tbl>
      <w:tblPr>
        <w:tblW w:w="8511"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0"/>
        <w:gridCol w:w="1142"/>
        <w:gridCol w:w="1142"/>
        <w:gridCol w:w="1142"/>
        <w:gridCol w:w="1142"/>
        <w:gridCol w:w="1143"/>
      </w:tblGrid>
      <w:tr w:rsidR="009070D7" w:rsidRPr="008F26C2" w:rsidTr="00852FFC">
        <w:trPr>
          <w:trHeight w:val="603"/>
          <w:tblHeader/>
        </w:trPr>
        <w:tc>
          <w:tcPr>
            <w:tcW w:w="2800" w:type="dxa"/>
            <w:tcBorders>
              <w:top w:val="single" w:sz="12" w:space="0" w:color="auto"/>
              <w:left w:val="single" w:sz="12" w:space="0" w:color="auto"/>
              <w:bottom w:val="double" w:sz="4" w:space="0" w:color="auto"/>
              <w:right w:val="single" w:sz="4" w:space="0" w:color="auto"/>
              <w:tl2br w:val="single" w:sz="4" w:space="0" w:color="auto"/>
            </w:tcBorders>
            <w:hideMark/>
          </w:tcPr>
          <w:p w:rsidR="009070D7" w:rsidRPr="008F26C2" w:rsidRDefault="009070D7" w:rsidP="003C4EED">
            <w:pPr>
              <w:snapToGrid w:val="0"/>
              <w:spacing w:line="400" w:lineRule="exact"/>
              <w:ind w:leftChars="-25" w:left="-70" w:rightChars="-5" w:right="-14" w:firstLineChars="0" w:firstLine="1742"/>
              <w:jc w:val="left"/>
              <w:rPr>
                <w:rFonts w:hAnsi="標楷體"/>
                <w:spacing w:val="-20"/>
                <w:sz w:val="24"/>
                <w:szCs w:val="24"/>
              </w:rPr>
            </w:pPr>
            <w:r w:rsidRPr="008F26C2">
              <w:rPr>
                <w:rFonts w:hAnsi="標楷體" w:hint="eastAsia"/>
                <w:spacing w:val="-20"/>
                <w:sz w:val="24"/>
                <w:szCs w:val="24"/>
              </w:rPr>
              <w:t>年度</w:t>
            </w:r>
          </w:p>
          <w:p w:rsidR="009070D7" w:rsidRPr="008F26C2" w:rsidRDefault="009070D7" w:rsidP="003C4EED">
            <w:pPr>
              <w:snapToGrid w:val="0"/>
              <w:spacing w:line="400" w:lineRule="exact"/>
              <w:ind w:leftChars="-25" w:left="-70" w:rightChars="-5" w:right="-14" w:firstLineChars="0" w:firstLine="0"/>
              <w:jc w:val="left"/>
              <w:rPr>
                <w:rFonts w:hAnsi="標楷體" w:hint="eastAsia"/>
                <w:b/>
                <w:spacing w:val="-20"/>
                <w:sz w:val="24"/>
                <w:szCs w:val="24"/>
              </w:rPr>
            </w:pPr>
            <w:r w:rsidRPr="008F26C2">
              <w:rPr>
                <w:rFonts w:hAnsi="標楷體" w:hint="eastAsia"/>
                <w:spacing w:val="-20"/>
                <w:sz w:val="24"/>
                <w:szCs w:val="24"/>
              </w:rPr>
              <w:t>科目</w:t>
            </w:r>
          </w:p>
        </w:tc>
        <w:tc>
          <w:tcPr>
            <w:tcW w:w="1142" w:type="dxa"/>
            <w:tcBorders>
              <w:top w:val="single" w:sz="12" w:space="0" w:color="auto"/>
              <w:left w:val="single" w:sz="4" w:space="0" w:color="auto"/>
              <w:bottom w:val="doub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rPr>
              <w:t>110年度</w:t>
            </w:r>
          </w:p>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決算</w:t>
            </w:r>
            <w:r w:rsidRPr="008F26C2">
              <w:rPr>
                <w:rFonts w:hAnsi="標楷體" w:hint="eastAsia"/>
                <w:spacing w:val="-20"/>
                <w:sz w:val="24"/>
                <w:szCs w:val="24"/>
              </w:rPr>
              <w:t>數</w:t>
            </w:r>
          </w:p>
        </w:tc>
        <w:tc>
          <w:tcPr>
            <w:tcW w:w="1142" w:type="dxa"/>
            <w:tcBorders>
              <w:top w:val="single" w:sz="12" w:space="0" w:color="auto"/>
              <w:left w:val="single" w:sz="4" w:space="0" w:color="auto"/>
              <w:bottom w:val="doub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lang w:eastAsia="zh-HK"/>
              </w:rPr>
            </w:pPr>
            <w:r w:rsidRPr="008F26C2">
              <w:rPr>
                <w:rFonts w:hAnsi="標楷體" w:hint="eastAsia"/>
                <w:spacing w:val="-20"/>
                <w:sz w:val="24"/>
                <w:szCs w:val="24"/>
              </w:rPr>
              <w:t>111</w:t>
            </w:r>
            <w:r w:rsidRPr="008F26C2">
              <w:rPr>
                <w:rFonts w:hAnsi="標楷體" w:hint="eastAsia"/>
                <w:spacing w:val="-20"/>
                <w:sz w:val="24"/>
                <w:szCs w:val="24"/>
                <w:lang w:eastAsia="zh-HK"/>
              </w:rPr>
              <w:t>年度</w:t>
            </w:r>
          </w:p>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決算數</w:t>
            </w:r>
          </w:p>
        </w:tc>
        <w:tc>
          <w:tcPr>
            <w:tcW w:w="1142" w:type="dxa"/>
            <w:tcBorders>
              <w:top w:val="single" w:sz="12" w:space="0" w:color="auto"/>
              <w:left w:val="single" w:sz="4" w:space="0" w:color="auto"/>
              <w:bottom w:val="doub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rPr>
              <w:t>112年度</w:t>
            </w:r>
          </w:p>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決算數</w:t>
            </w:r>
          </w:p>
        </w:tc>
        <w:tc>
          <w:tcPr>
            <w:tcW w:w="1142" w:type="dxa"/>
            <w:tcBorders>
              <w:top w:val="single" w:sz="12" w:space="0" w:color="auto"/>
              <w:left w:val="single" w:sz="4" w:space="0" w:color="auto"/>
              <w:bottom w:val="doub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lang w:eastAsia="zh-HK"/>
              </w:rPr>
            </w:pPr>
            <w:r w:rsidRPr="008F26C2">
              <w:rPr>
                <w:rFonts w:hAnsi="標楷體" w:hint="eastAsia"/>
                <w:spacing w:val="-20"/>
                <w:sz w:val="24"/>
                <w:szCs w:val="24"/>
              </w:rPr>
              <w:t>113</w:t>
            </w:r>
            <w:r w:rsidRPr="008F26C2">
              <w:rPr>
                <w:rFonts w:hAnsi="標楷體" w:hint="eastAsia"/>
                <w:spacing w:val="-20"/>
                <w:sz w:val="24"/>
                <w:szCs w:val="24"/>
                <w:lang w:eastAsia="zh-HK"/>
              </w:rPr>
              <w:t>年度</w:t>
            </w:r>
          </w:p>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自結數</w:t>
            </w:r>
          </w:p>
        </w:tc>
        <w:tc>
          <w:tcPr>
            <w:tcW w:w="1143" w:type="dxa"/>
            <w:tcBorders>
              <w:top w:val="single" w:sz="12" w:space="0" w:color="auto"/>
              <w:left w:val="single" w:sz="4" w:space="0" w:color="auto"/>
              <w:bottom w:val="double" w:sz="4" w:space="0" w:color="auto"/>
              <w:right w:val="single" w:sz="12" w:space="0" w:color="auto"/>
            </w:tcBorders>
            <w:vAlign w:val="center"/>
            <w:hideMark/>
          </w:tcPr>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lang w:eastAsia="zh-HK"/>
              </w:rPr>
            </w:pPr>
            <w:r w:rsidRPr="008F26C2">
              <w:rPr>
                <w:rFonts w:hAnsi="標楷體" w:hint="eastAsia"/>
                <w:spacing w:val="-20"/>
                <w:sz w:val="24"/>
                <w:szCs w:val="24"/>
              </w:rPr>
              <w:t>114</w:t>
            </w:r>
            <w:r w:rsidRPr="008F26C2">
              <w:rPr>
                <w:rFonts w:hAnsi="標楷體" w:hint="eastAsia"/>
                <w:spacing w:val="-20"/>
                <w:sz w:val="24"/>
                <w:szCs w:val="24"/>
                <w:lang w:eastAsia="zh-HK"/>
              </w:rPr>
              <w:t>年度</w:t>
            </w:r>
          </w:p>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預算案數</w:t>
            </w:r>
          </w:p>
        </w:tc>
      </w:tr>
      <w:tr w:rsidR="009070D7" w:rsidRPr="008F26C2" w:rsidTr="00852FFC">
        <w:trPr>
          <w:trHeight w:val="319"/>
        </w:trPr>
        <w:tc>
          <w:tcPr>
            <w:tcW w:w="2800" w:type="dxa"/>
            <w:tcBorders>
              <w:top w:val="double" w:sz="4" w:space="0" w:color="auto"/>
              <w:left w:val="single" w:sz="12"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left"/>
              <w:rPr>
                <w:rFonts w:hAnsi="標楷體" w:hint="eastAsia"/>
                <w:b/>
                <w:bCs/>
                <w:spacing w:val="-20"/>
                <w:sz w:val="24"/>
                <w:szCs w:val="24"/>
              </w:rPr>
            </w:pPr>
            <w:r w:rsidRPr="008F26C2">
              <w:rPr>
                <w:rFonts w:hAnsi="標楷體" w:hint="eastAsia"/>
                <w:b/>
                <w:bCs/>
                <w:spacing w:val="-20"/>
                <w:sz w:val="24"/>
                <w:szCs w:val="24"/>
              </w:rPr>
              <w:t>收入</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716,615</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787,996</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946,957</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b/>
                <w:bCs/>
                <w:spacing w:val="-20"/>
                <w:sz w:val="24"/>
                <w:szCs w:val="24"/>
              </w:rPr>
              <w:t>1,193,769</w:t>
            </w:r>
          </w:p>
        </w:tc>
        <w:tc>
          <w:tcPr>
            <w:tcW w:w="1143" w:type="dxa"/>
            <w:tcBorders>
              <w:top w:val="single" w:sz="4" w:space="0" w:color="auto"/>
              <w:left w:val="single" w:sz="4" w:space="0" w:color="auto"/>
              <w:bottom w:val="single" w:sz="4" w:space="0" w:color="auto"/>
              <w:right w:val="single" w:sz="12"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960,379</w:t>
            </w:r>
          </w:p>
        </w:tc>
      </w:tr>
      <w:tr w:rsidR="009070D7" w:rsidRPr="008F26C2" w:rsidTr="00535C59">
        <w:trPr>
          <w:trHeight w:val="332"/>
        </w:trPr>
        <w:tc>
          <w:tcPr>
            <w:tcW w:w="2800" w:type="dxa"/>
            <w:tcBorders>
              <w:top w:val="single" w:sz="4" w:space="0" w:color="auto"/>
              <w:left w:val="single" w:sz="12"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100"/>
              <w:jc w:val="left"/>
              <w:rPr>
                <w:rFonts w:hAnsi="標楷體" w:hint="eastAsia"/>
                <w:spacing w:val="-20"/>
                <w:sz w:val="24"/>
                <w:szCs w:val="24"/>
              </w:rPr>
            </w:pPr>
            <w:r w:rsidRPr="008F26C2">
              <w:rPr>
                <w:rFonts w:hAnsi="標楷體" w:hint="eastAsia"/>
                <w:spacing w:val="-20"/>
                <w:sz w:val="24"/>
                <w:szCs w:val="24"/>
              </w:rPr>
              <w:t>服務收入</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29,304</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43,992</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36,644</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34,103</w:t>
            </w:r>
          </w:p>
        </w:tc>
        <w:tc>
          <w:tcPr>
            <w:tcW w:w="1143" w:type="dxa"/>
            <w:tcBorders>
              <w:top w:val="single" w:sz="4" w:space="0" w:color="auto"/>
              <w:left w:val="single" w:sz="4" w:space="0" w:color="auto"/>
              <w:bottom w:val="single" w:sz="4" w:space="0" w:color="auto"/>
              <w:right w:val="single" w:sz="12"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50,000</w:t>
            </w:r>
          </w:p>
        </w:tc>
      </w:tr>
      <w:tr w:rsidR="009070D7" w:rsidRPr="008F26C2" w:rsidTr="00852FFC">
        <w:trPr>
          <w:trHeight w:val="210"/>
        </w:trPr>
        <w:tc>
          <w:tcPr>
            <w:tcW w:w="2800" w:type="dxa"/>
            <w:tcBorders>
              <w:top w:val="single" w:sz="4" w:space="0" w:color="auto"/>
              <w:left w:val="single" w:sz="12"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100"/>
              <w:jc w:val="left"/>
              <w:rPr>
                <w:rFonts w:hAnsi="標楷體" w:hint="eastAsia"/>
                <w:spacing w:val="-20"/>
                <w:sz w:val="24"/>
                <w:szCs w:val="24"/>
              </w:rPr>
            </w:pPr>
            <w:r w:rsidRPr="008F26C2">
              <w:rPr>
                <w:rFonts w:hAnsi="標楷體" w:hint="eastAsia"/>
                <w:spacing w:val="-20"/>
                <w:sz w:val="24"/>
                <w:szCs w:val="24"/>
              </w:rPr>
              <w:t>租金收入</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56,499</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60,574</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60,554</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61,346</w:t>
            </w:r>
          </w:p>
        </w:tc>
        <w:tc>
          <w:tcPr>
            <w:tcW w:w="1143" w:type="dxa"/>
            <w:tcBorders>
              <w:top w:val="single" w:sz="4" w:space="0" w:color="auto"/>
              <w:left w:val="single" w:sz="4" w:space="0" w:color="auto"/>
              <w:bottom w:val="single" w:sz="4" w:space="0" w:color="auto"/>
              <w:right w:val="single" w:sz="12"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60,000</w:t>
            </w:r>
          </w:p>
        </w:tc>
      </w:tr>
      <w:tr w:rsidR="009229CA" w:rsidRPr="008F26C2" w:rsidTr="00535C59">
        <w:trPr>
          <w:trHeight w:val="210"/>
        </w:trPr>
        <w:tc>
          <w:tcPr>
            <w:tcW w:w="2800" w:type="dxa"/>
            <w:tcBorders>
              <w:top w:val="single" w:sz="4" w:space="0" w:color="auto"/>
              <w:left w:val="single" w:sz="12" w:space="0" w:color="auto"/>
              <w:bottom w:val="single" w:sz="4" w:space="0" w:color="auto"/>
              <w:right w:val="single" w:sz="4" w:space="0" w:color="auto"/>
            </w:tcBorders>
            <w:vAlign w:val="center"/>
            <w:hideMark/>
          </w:tcPr>
          <w:p w:rsidR="009229CA" w:rsidRPr="008F26C2" w:rsidRDefault="009229CA" w:rsidP="009229CA">
            <w:pPr>
              <w:snapToGrid w:val="0"/>
              <w:spacing w:line="400" w:lineRule="exact"/>
              <w:ind w:leftChars="-25" w:left="-70" w:rightChars="-5" w:right="-14" w:firstLineChars="100"/>
              <w:jc w:val="left"/>
              <w:rPr>
                <w:rFonts w:hAnsi="標楷體" w:hint="eastAsia"/>
                <w:spacing w:val="-20"/>
                <w:sz w:val="24"/>
                <w:szCs w:val="24"/>
              </w:rPr>
            </w:pPr>
            <w:r w:rsidRPr="008F26C2">
              <w:rPr>
                <w:rFonts w:hAnsi="標楷體" w:hint="eastAsia"/>
                <w:spacing w:val="-20"/>
                <w:sz w:val="24"/>
                <w:szCs w:val="24"/>
              </w:rPr>
              <w:t>其他收入</w:t>
            </w:r>
          </w:p>
        </w:tc>
        <w:tc>
          <w:tcPr>
            <w:tcW w:w="1142" w:type="dxa"/>
            <w:tcBorders>
              <w:top w:val="single" w:sz="4" w:space="0" w:color="auto"/>
              <w:left w:val="single" w:sz="4" w:space="0" w:color="auto"/>
              <w:bottom w:val="single" w:sz="4" w:space="0" w:color="auto"/>
              <w:right w:val="single" w:sz="4" w:space="0" w:color="auto"/>
            </w:tcBorders>
            <w:hideMark/>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630,812</w:t>
            </w:r>
          </w:p>
        </w:tc>
        <w:tc>
          <w:tcPr>
            <w:tcW w:w="1142" w:type="dxa"/>
            <w:tcBorders>
              <w:top w:val="single" w:sz="4" w:space="0" w:color="auto"/>
              <w:left w:val="single" w:sz="4" w:space="0" w:color="auto"/>
              <w:bottom w:val="single" w:sz="4" w:space="0" w:color="auto"/>
              <w:right w:val="single" w:sz="4" w:space="0" w:color="auto"/>
            </w:tcBorders>
            <w:hideMark/>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683,430</w:t>
            </w:r>
          </w:p>
        </w:tc>
        <w:tc>
          <w:tcPr>
            <w:tcW w:w="1142" w:type="dxa"/>
            <w:tcBorders>
              <w:top w:val="single" w:sz="4" w:space="0" w:color="auto"/>
              <w:left w:val="single" w:sz="4" w:space="0" w:color="auto"/>
              <w:bottom w:val="single" w:sz="4" w:space="0" w:color="auto"/>
              <w:right w:val="single" w:sz="4" w:space="0" w:color="auto"/>
            </w:tcBorders>
            <w:hideMark/>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849,759</w:t>
            </w:r>
          </w:p>
        </w:tc>
        <w:tc>
          <w:tcPr>
            <w:tcW w:w="1142" w:type="dxa"/>
            <w:tcBorders>
              <w:top w:val="single" w:sz="4" w:space="0" w:color="auto"/>
              <w:left w:val="single" w:sz="4" w:space="0" w:color="auto"/>
              <w:bottom w:val="single" w:sz="4" w:space="0" w:color="auto"/>
              <w:right w:val="single" w:sz="4" w:space="0" w:color="auto"/>
            </w:tcBorders>
            <w:hideMark/>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1,098,320</w:t>
            </w:r>
          </w:p>
        </w:tc>
        <w:tc>
          <w:tcPr>
            <w:tcW w:w="1143" w:type="dxa"/>
            <w:tcBorders>
              <w:top w:val="single" w:sz="4" w:space="0" w:color="auto"/>
              <w:left w:val="single" w:sz="4" w:space="0" w:color="auto"/>
              <w:bottom w:val="single" w:sz="4" w:space="0" w:color="auto"/>
              <w:right w:val="single" w:sz="12" w:space="0" w:color="auto"/>
            </w:tcBorders>
            <w:hideMark/>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850,379</w:t>
            </w:r>
          </w:p>
        </w:tc>
      </w:tr>
      <w:tr w:rsidR="009229CA" w:rsidRPr="008F26C2" w:rsidTr="00535C59">
        <w:trPr>
          <w:trHeight w:val="210"/>
        </w:trPr>
        <w:tc>
          <w:tcPr>
            <w:tcW w:w="2800" w:type="dxa"/>
            <w:tcBorders>
              <w:top w:val="single" w:sz="4" w:space="0" w:color="auto"/>
              <w:left w:val="single" w:sz="12" w:space="0" w:color="auto"/>
              <w:bottom w:val="single" w:sz="4" w:space="0" w:color="auto"/>
              <w:right w:val="single" w:sz="4" w:space="0" w:color="auto"/>
            </w:tcBorders>
            <w:vAlign w:val="center"/>
          </w:tcPr>
          <w:p w:rsidR="009229CA" w:rsidRPr="008F26C2" w:rsidRDefault="009229CA" w:rsidP="009229CA">
            <w:pPr>
              <w:snapToGrid w:val="0"/>
              <w:spacing w:line="400" w:lineRule="exact"/>
              <w:ind w:leftChars="-25" w:left="-70" w:rightChars="-5" w:right="-14" w:firstLineChars="212" w:firstLine="424"/>
              <w:jc w:val="left"/>
              <w:rPr>
                <w:rFonts w:hAnsi="標楷體" w:hint="eastAsia"/>
                <w:spacing w:val="-20"/>
                <w:sz w:val="24"/>
                <w:szCs w:val="24"/>
              </w:rPr>
            </w:pPr>
            <w:r w:rsidRPr="008F26C2">
              <w:rPr>
                <w:rFonts w:hAnsi="標楷體" w:hint="eastAsia"/>
                <w:spacing w:val="-20"/>
                <w:sz w:val="24"/>
                <w:szCs w:val="24"/>
              </w:rPr>
              <w:t>財物及其他收入</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2</w:t>
            </w:r>
            <w:r w:rsidRPr="008F26C2">
              <w:rPr>
                <w:rFonts w:hAnsi="標楷體"/>
                <w:spacing w:val="-20"/>
                <w:sz w:val="24"/>
                <w:szCs w:val="24"/>
              </w:rPr>
              <w:t>5,242</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w:t>
            </w:r>
            <w:r w:rsidRPr="008F26C2">
              <w:rPr>
                <w:rFonts w:hAnsi="標楷體"/>
                <w:spacing w:val="-20"/>
                <w:sz w:val="24"/>
                <w:szCs w:val="24"/>
              </w:rPr>
              <w:t>5,875</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w:t>
            </w:r>
            <w:r w:rsidRPr="008F26C2">
              <w:rPr>
                <w:rFonts w:hAnsi="標楷體"/>
                <w:spacing w:val="-20"/>
                <w:sz w:val="24"/>
                <w:szCs w:val="24"/>
              </w:rPr>
              <w:t>5,465</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49,984</w:t>
            </w:r>
          </w:p>
        </w:tc>
        <w:tc>
          <w:tcPr>
            <w:tcW w:w="1143" w:type="dxa"/>
            <w:tcBorders>
              <w:top w:val="single" w:sz="4" w:space="0" w:color="auto"/>
              <w:left w:val="single" w:sz="4" w:space="0" w:color="auto"/>
              <w:bottom w:val="single" w:sz="4" w:space="0" w:color="auto"/>
              <w:right w:val="single" w:sz="12"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3</w:t>
            </w:r>
            <w:r w:rsidRPr="008F26C2">
              <w:rPr>
                <w:rFonts w:hAnsi="標楷體"/>
                <w:spacing w:val="-20"/>
                <w:sz w:val="24"/>
                <w:szCs w:val="24"/>
              </w:rPr>
              <w:t>8,220</w:t>
            </w:r>
          </w:p>
        </w:tc>
      </w:tr>
      <w:tr w:rsidR="009229CA" w:rsidRPr="008F26C2" w:rsidTr="00535C59">
        <w:trPr>
          <w:trHeight w:val="210"/>
        </w:trPr>
        <w:tc>
          <w:tcPr>
            <w:tcW w:w="2800" w:type="dxa"/>
            <w:tcBorders>
              <w:top w:val="single" w:sz="4" w:space="0" w:color="auto"/>
              <w:left w:val="single" w:sz="12" w:space="0" w:color="auto"/>
              <w:bottom w:val="single" w:sz="4" w:space="0" w:color="auto"/>
              <w:right w:val="single" w:sz="4" w:space="0" w:color="auto"/>
            </w:tcBorders>
            <w:vAlign w:val="center"/>
          </w:tcPr>
          <w:p w:rsidR="009229CA" w:rsidRPr="008F26C2" w:rsidRDefault="009229CA" w:rsidP="009229CA">
            <w:pPr>
              <w:snapToGrid w:val="0"/>
              <w:spacing w:line="400" w:lineRule="exact"/>
              <w:ind w:leftChars="-25" w:left="-70" w:rightChars="-5" w:right="-14" w:firstLineChars="212" w:firstLine="424"/>
              <w:jc w:val="left"/>
              <w:rPr>
                <w:rFonts w:hAnsi="標楷體" w:hint="eastAsia"/>
                <w:spacing w:val="-20"/>
                <w:sz w:val="24"/>
                <w:szCs w:val="24"/>
              </w:rPr>
            </w:pPr>
            <w:r w:rsidRPr="008F26C2">
              <w:rPr>
                <w:rFonts w:hAnsi="標楷體" w:hint="eastAsia"/>
                <w:spacing w:val="-20"/>
                <w:sz w:val="24"/>
                <w:szCs w:val="24"/>
              </w:rPr>
              <w:t>採權益法認列之投資收益</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w:t>
            </w:r>
            <w:r w:rsidRPr="008F26C2">
              <w:rPr>
                <w:rFonts w:hAnsi="標楷體"/>
                <w:spacing w:val="-20"/>
                <w:sz w:val="24"/>
                <w:szCs w:val="24"/>
              </w:rPr>
              <w:t>05,570</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w:t>
            </w:r>
            <w:r w:rsidRPr="008F26C2">
              <w:rPr>
                <w:rFonts w:hAnsi="標楷體"/>
                <w:spacing w:val="-20"/>
                <w:sz w:val="24"/>
                <w:szCs w:val="24"/>
              </w:rPr>
              <w:t>27,555</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7</w:t>
            </w:r>
            <w:r w:rsidRPr="008F26C2">
              <w:rPr>
                <w:rFonts w:hAnsi="標楷體"/>
                <w:spacing w:val="-20"/>
                <w:sz w:val="24"/>
                <w:szCs w:val="24"/>
              </w:rPr>
              <w:t>94,294</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1,048,336</w:t>
            </w:r>
          </w:p>
        </w:tc>
        <w:tc>
          <w:tcPr>
            <w:tcW w:w="1143" w:type="dxa"/>
            <w:tcBorders>
              <w:top w:val="single" w:sz="4" w:space="0" w:color="auto"/>
              <w:left w:val="single" w:sz="4" w:space="0" w:color="auto"/>
              <w:bottom w:val="single" w:sz="4" w:space="0" w:color="auto"/>
              <w:right w:val="single" w:sz="12"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8</w:t>
            </w:r>
            <w:r w:rsidRPr="008F26C2">
              <w:rPr>
                <w:rFonts w:hAnsi="標楷體"/>
                <w:spacing w:val="-20"/>
                <w:sz w:val="24"/>
                <w:szCs w:val="24"/>
              </w:rPr>
              <w:t>12,159</w:t>
            </w:r>
          </w:p>
        </w:tc>
      </w:tr>
      <w:tr w:rsidR="009070D7" w:rsidRPr="008F26C2" w:rsidTr="007321BF">
        <w:trPr>
          <w:trHeight w:val="210"/>
        </w:trPr>
        <w:tc>
          <w:tcPr>
            <w:tcW w:w="2800" w:type="dxa"/>
            <w:tcBorders>
              <w:top w:val="single" w:sz="4" w:space="0" w:color="auto"/>
              <w:left w:val="single" w:sz="12" w:space="0" w:color="auto"/>
              <w:bottom w:val="single" w:sz="4" w:space="0" w:color="auto"/>
              <w:right w:val="single" w:sz="4" w:space="0" w:color="auto"/>
            </w:tcBorders>
            <w:shd w:val="pct5" w:color="auto" w:fill="auto"/>
          </w:tcPr>
          <w:p w:rsidR="009070D7" w:rsidRPr="00CB5621" w:rsidRDefault="009070D7" w:rsidP="003C4EED">
            <w:pPr>
              <w:snapToGrid w:val="0"/>
              <w:spacing w:line="400" w:lineRule="exact"/>
              <w:ind w:leftChars="-25" w:left="-70" w:rightChars="-5" w:right="-14" w:firstLineChars="0" w:firstLine="0"/>
              <w:jc w:val="left"/>
              <w:rPr>
                <w:rFonts w:hAnsi="標楷體" w:hint="eastAsia"/>
                <w:b/>
                <w:bCs/>
                <w:spacing w:val="-20"/>
                <w:sz w:val="24"/>
                <w:szCs w:val="24"/>
              </w:rPr>
            </w:pPr>
            <w:r w:rsidRPr="00CB5621">
              <w:rPr>
                <w:rFonts w:hAnsi="標楷體" w:hint="eastAsia"/>
                <w:b/>
                <w:bCs/>
                <w:spacing w:val="-20"/>
                <w:sz w:val="24"/>
                <w:szCs w:val="24"/>
              </w:rPr>
              <w:t>服務收入占總收入比率</w:t>
            </w:r>
          </w:p>
        </w:tc>
        <w:tc>
          <w:tcPr>
            <w:tcW w:w="1142" w:type="dxa"/>
            <w:tcBorders>
              <w:top w:val="single" w:sz="4" w:space="0" w:color="auto"/>
              <w:left w:val="nil"/>
              <w:bottom w:val="single" w:sz="4" w:space="0" w:color="auto"/>
              <w:right w:val="single" w:sz="4" w:space="0" w:color="auto"/>
            </w:tcBorders>
            <w:shd w:val="clear" w:color="000000" w:fill="F2F2F2"/>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b/>
                <w:bCs/>
                <w:spacing w:val="-20"/>
                <w:sz w:val="24"/>
                <w:szCs w:val="24"/>
              </w:rPr>
            </w:pPr>
            <w:r w:rsidRPr="00CB5621">
              <w:rPr>
                <w:rFonts w:hAnsi="標楷體" w:hint="eastAsia"/>
                <w:b/>
                <w:bCs/>
                <w:color w:val="000000"/>
                <w:spacing w:val="-20"/>
                <w:sz w:val="24"/>
                <w:szCs w:val="24"/>
              </w:rPr>
              <w:t>4.09%</w:t>
            </w:r>
          </w:p>
        </w:tc>
        <w:tc>
          <w:tcPr>
            <w:tcW w:w="1142" w:type="dxa"/>
            <w:tcBorders>
              <w:top w:val="single" w:sz="4" w:space="0" w:color="auto"/>
              <w:left w:val="single" w:sz="4" w:space="0" w:color="auto"/>
              <w:bottom w:val="single" w:sz="4" w:space="0" w:color="auto"/>
              <w:right w:val="single" w:sz="4" w:space="0" w:color="auto"/>
            </w:tcBorders>
            <w:shd w:val="clear" w:color="000000" w:fill="F2F2F2"/>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b/>
                <w:bCs/>
                <w:spacing w:val="-20"/>
                <w:sz w:val="24"/>
                <w:szCs w:val="24"/>
              </w:rPr>
            </w:pPr>
            <w:r w:rsidRPr="00CB5621">
              <w:rPr>
                <w:rFonts w:hAnsi="標楷體" w:hint="eastAsia"/>
                <w:b/>
                <w:bCs/>
                <w:color w:val="000000"/>
                <w:spacing w:val="-20"/>
                <w:sz w:val="24"/>
                <w:szCs w:val="24"/>
              </w:rPr>
              <w:t>5.58%</w:t>
            </w:r>
          </w:p>
        </w:tc>
        <w:tc>
          <w:tcPr>
            <w:tcW w:w="1142" w:type="dxa"/>
            <w:tcBorders>
              <w:top w:val="single" w:sz="4" w:space="0" w:color="auto"/>
              <w:left w:val="single" w:sz="4" w:space="0" w:color="auto"/>
              <w:bottom w:val="single" w:sz="4" w:space="0" w:color="auto"/>
              <w:right w:val="single" w:sz="4" w:space="0" w:color="auto"/>
            </w:tcBorders>
            <w:shd w:val="clear" w:color="000000" w:fill="F2F2F2"/>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b/>
                <w:bCs/>
                <w:spacing w:val="-20"/>
                <w:sz w:val="24"/>
                <w:szCs w:val="24"/>
              </w:rPr>
            </w:pPr>
            <w:r w:rsidRPr="00CB5621">
              <w:rPr>
                <w:rFonts w:hAnsi="標楷體" w:hint="eastAsia"/>
                <w:b/>
                <w:bCs/>
                <w:color w:val="000000"/>
                <w:spacing w:val="-20"/>
                <w:sz w:val="24"/>
                <w:szCs w:val="24"/>
              </w:rPr>
              <w:t>3.87%</w:t>
            </w:r>
          </w:p>
        </w:tc>
        <w:tc>
          <w:tcPr>
            <w:tcW w:w="1142" w:type="dxa"/>
            <w:tcBorders>
              <w:top w:val="single" w:sz="4" w:space="0" w:color="auto"/>
              <w:left w:val="single" w:sz="4" w:space="0" w:color="auto"/>
              <w:bottom w:val="single" w:sz="4" w:space="0" w:color="auto"/>
              <w:right w:val="single" w:sz="4" w:space="0" w:color="auto"/>
            </w:tcBorders>
            <w:shd w:val="clear" w:color="000000" w:fill="F2F2F2"/>
            <w:vAlign w:val="center"/>
          </w:tcPr>
          <w:p w:rsidR="009070D7" w:rsidRPr="00CB5621" w:rsidRDefault="00D15A38" w:rsidP="003C4EED">
            <w:pPr>
              <w:snapToGrid w:val="0"/>
              <w:spacing w:line="400" w:lineRule="exact"/>
              <w:ind w:leftChars="-25" w:left="-70" w:rightChars="-5" w:right="-14" w:firstLineChars="0" w:firstLine="0"/>
              <w:jc w:val="right"/>
              <w:rPr>
                <w:rFonts w:hAnsi="標楷體" w:hint="eastAsia"/>
                <w:b/>
                <w:bCs/>
                <w:spacing w:val="-20"/>
                <w:sz w:val="24"/>
                <w:szCs w:val="24"/>
              </w:rPr>
            </w:pPr>
            <w:r w:rsidRPr="00CB5621">
              <w:rPr>
                <w:rFonts w:hAnsi="標楷體" w:hint="eastAsia"/>
                <w:b/>
                <w:bCs/>
                <w:spacing w:val="-20"/>
                <w:sz w:val="24"/>
                <w:szCs w:val="24"/>
              </w:rPr>
              <w:t>2</w:t>
            </w:r>
            <w:r w:rsidRPr="00CB5621">
              <w:rPr>
                <w:rFonts w:hAnsi="標楷體"/>
                <w:b/>
                <w:bCs/>
                <w:spacing w:val="-20"/>
                <w:sz w:val="24"/>
                <w:szCs w:val="24"/>
              </w:rPr>
              <w:t>.86%</w:t>
            </w:r>
          </w:p>
        </w:tc>
        <w:tc>
          <w:tcPr>
            <w:tcW w:w="1143" w:type="dxa"/>
            <w:tcBorders>
              <w:top w:val="single" w:sz="4" w:space="0" w:color="auto"/>
              <w:left w:val="single" w:sz="4" w:space="0" w:color="auto"/>
              <w:bottom w:val="single" w:sz="4" w:space="0" w:color="auto"/>
              <w:right w:val="single" w:sz="12" w:space="0" w:color="auto"/>
            </w:tcBorders>
            <w:shd w:val="clear" w:color="000000" w:fill="F2F2F2"/>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b/>
                <w:bCs/>
                <w:spacing w:val="-20"/>
                <w:sz w:val="24"/>
                <w:szCs w:val="24"/>
              </w:rPr>
            </w:pPr>
            <w:r w:rsidRPr="00CB5621">
              <w:rPr>
                <w:rFonts w:hAnsi="標楷體" w:hint="eastAsia"/>
                <w:b/>
                <w:bCs/>
                <w:color w:val="000000"/>
                <w:spacing w:val="-20"/>
                <w:sz w:val="24"/>
                <w:szCs w:val="24"/>
              </w:rPr>
              <w:t>5.21%</w:t>
            </w:r>
          </w:p>
        </w:tc>
      </w:tr>
      <w:tr w:rsidR="009070D7" w:rsidRPr="008F26C2" w:rsidTr="006E01D0">
        <w:trPr>
          <w:trHeight w:val="210"/>
        </w:trPr>
        <w:tc>
          <w:tcPr>
            <w:tcW w:w="2800" w:type="dxa"/>
            <w:tcBorders>
              <w:top w:val="single" w:sz="4" w:space="0" w:color="auto"/>
              <w:left w:val="single" w:sz="12" w:space="0" w:color="auto"/>
              <w:bottom w:val="single" w:sz="4" w:space="0" w:color="auto"/>
              <w:right w:val="single" w:sz="4" w:space="0" w:color="auto"/>
            </w:tcBorders>
            <w:shd w:val="clear" w:color="auto" w:fill="FFFFFF"/>
          </w:tcPr>
          <w:p w:rsidR="009070D7" w:rsidRPr="007321BF" w:rsidRDefault="009070D7" w:rsidP="003C4EED">
            <w:pPr>
              <w:snapToGrid w:val="0"/>
              <w:spacing w:line="400" w:lineRule="exact"/>
              <w:ind w:leftChars="-25" w:left="-70" w:rightChars="-5" w:right="-14" w:firstLineChars="0" w:firstLine="0"/>
              <w:jc w:val="left"/>
              <w:rPr>
                <w:rFonts w:hAnsi="標楷體" w:hint="eastAsia"/>
                <w:b/>
                <w:bCs/>
                <w:spacing w:val="-20"/>
                <w:sz w:val="24"/>
                <w:szCs w:val="24"/>
              </w:rPr>
            </w:pPr>
            <w:r w:rsidRPr="007321BF">
              <w:rPr>
                <w:rFonts w:hAnsi="標楷體" w:hint="eastAsia"/>
                <w:b/>
                <w:bCs/>
                <w:spacing w:val="-20"/>
                <w:sz w:val="24"/>
                <w:szCs w:val="24"/>
              </w:rPr>
              <w:t>租金收入占總收入比率</w:t>
            </w:r>
          </w:p>
        </w:tc>
        <w:tc>
          <w:tcPr>
            <w:tcW w:w="1142" w:type="dxa"/>
            <w:tcBorders>
              <w:top w:val="single" w:sz="4" w:space="0" w:color="auto"/>
              <w:left w:val="nil"/>
              <w:bottom w:val="single" w:sz="4" w:space="0" w:color="auto"/>
              <w:right w:val="single" w:sz="4"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7.88%</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7.69%</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6.39%</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070D7" w:rsidRPr="00CB5621" w:rsidRDefault="00D15A38"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spacing w:val="-20"/>
                <w:sz w:val="24"/>
                <w:szCs w:val="24"/>
              </w:rPr>
              <w:t>5</w:t>
            </w:r>
            <w:r w:rsidRPr="00CB5621">
              <w:rPr>
                <w:rFonts w:hAnsi="標楷體"/>
                <w:spacing w:val="-20"/>
                <w:sz w:val="24"/>
                <w:szCs w:val="24"/>
              </w:rPr>
              <w:t>.14%</w:t>
            </w:r>
          </w:p>
        </w:tc>
        <w:tc>
          <w:tcPr>
            <w:tcW w:w="1143" w:type="dxa"/>
            <w:tcBorders>
              <w:top w:val="single" w:sz="4" w:space="0" w:color="auto"/>
              <w:left w:val="single" w:sz="4" w:space="0" w:color="auto"/>
              <w:bottom w:val="single" w:sz="4" w:space="0" w:color="auto"/>
              <w:right w:val="single" w:sz="12"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6.25%</w:t>
            </w:r>
          </w:p>
        </w:tc>
      </w:tr>
      <w:tr w:rsidR="009070D7" w:rsidRPr="008F26C2" w:rsidTr="006E01D0">
        <w:trPr>
          <w:trHeight w:val="210"/>
        </w:trPr>
        <w:tc>
          <w:tcPr>
            <w:tcW w:w="2800" w:type="dxa"/>
            <w:tcBorders>
              <w:top w:val="single" w:sz="4" w:space="0" w:color="auto"/>
              <w:left w:val="single" w:sz="12" w:space="0" w:color="auto"/>
              <w:bottom w:val="single" w:sz="12" w:space="0" w:color="auto"/>
              <w:right w:val="single" w:sz="4" w:space="0" w:color="auto"/>
            </w:tcBorders>
            <w:shd w:val="clear" w:color="auto" w:fill="FFFFFF"/>
          </w:tcPr>
          <w:p w:rsidR="009070D7" w:rsidRPr="007321BF" w:rsidRDefault="009070D7" w:rsidP="003C4EED">
            <w:pPr>
              <w:snapToGrid w:val="0"/>
              <w:spacing w:line="400" w:lineRule="exact"/>
              <w:ind w:leftChars="-25" w:left="-70" w:rightChars="-5" w:right="-14" w:firstLineChars="0" w:firstLine="0"/>
              <w:jc w:val="left"/>
              <w:rPr>
                <w:rFonts w:hAnsi="標楷體" w:hint="eastAsia"/>
                <w:b/>
                <w:bCs/>
                <w:spacing w:val="-20"/>
                <w:sz w:val="24"/>
                <w:szCs w:val="24"/>
              </w:rPr>
            </w:pPr>
            <w:r w:rsidRPr="007321BF">
              <w:rPr>
                <w:rFonts w:hAnsi="標楷體" w:hint="eastAsia"/>
                <w:b/>
                <w:bCs/>
                <w:spacing w:val="-20"/>
                <w:sz w:val="24"/>
                <w:szCs w:val="24"/>
              </w:rPr>
              <w:t>其他收入占總收入比率</w:t>
            </w:r>
          </w:p>
        </w:tc>
        <w:tc>
          <w:tcPr>
            <w:tcW w:w="1142" w:type="dxa"/>
            <w:tcBorders>
              <w:top w:val="single" w:sz="4" w:space="0" w:color="auto"/>
              <w:left w:val="nil"/>
              <w:bottom w:val="single" w:sz="12" w:space="0" w:color="auto"/>
              <w:right w:val="single" w:sz="4"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88.03%</w:t>
            </w:r>
          </w:p>
        </w:tc>
        <w:tc>
          <w:tcPr>
            <w:tcW w:w="1142" w:type="dxa"/>
            <w:tcBorders>
              <w:top w:val="single" w:sz="4" w:space="0" w:color="auto"/>
              <w:left w:val="single" w:sz="4" w:space="0" w:color="auto"/>
              <w:bottom w:val="single" w:sz="12" w:space="0" w:color="auto"/>
              <w:right w:val="single" w:sz="4"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86.73%</w:t>
            </w:r>
          </w:p>
        </w:tc>
        <w:tc>
          <w:tcPr>
            <w:tcW w:w="1142" w:type="dxa"/>
            <w:tcBorders>
              <w:top w:val="single" w:sz="4" w:space="0" w:color="auto"/>
              <w:left w:val="single" w:sz="4" w:space="0" w:color="auto"/>
              <w:bottom w:val="single" w:sz="12" w:space="0" w:color="auto"/>
              <w:right w:val="single" w:sz="4"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89.74%</w:t>
            </w:r>
          </w:p>
        </w:tc>
        <w:tc>
          <w:tcPr>
            <w:tcW w:w="1142" w:type="dxa"/>
            <w:tcBorders>
              <w:top w:val="single" w:sz="4" w:space="0" w:color="auto"/>
              <w:left w:val="single" w:sz="4" w:space="0" w:color="auto"/>
              <w:bottom w:val="single" w:sz="12" w:space="0" w:color="auto"/>
              <w:right w:val="single" w:sz="4" w:space="0" w:color="auto"/>
            </w:tcBorders>
            <w:shd w:val="clear" w:color="auto" w:fill="FFFFFF"/>
            <w:vAlign w:val="center"/>
          </w:tcPr>
          <w:p w:rsidR="009070D7" w:rsidRPr="00CB5621" w:rsidRDefault="009229CA"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spacing w:val="-20"/>
                <w:sz w:val="24"/>
                <w:szCs w:val="24"/>
              </w:rPr>
              <w:t>92</w:t>
            </w:r>
            <w:r w:rsidRPr="00CB5621">
              <w:rPr>
                <w:rFonts w:hAnsi="標楷體" w:hint="eastAsia"/>
                <w:spacing w:val="-20"/>
                <w:sz w:val="24"/>
                <w:szCs w:val="24"/>
              </w:rPr>
              <w:t>.00</w:t>
            </w:r>
            <w:r w:rsidRPr="00CB5621">
              <w:rPr>
                <w:rFonts w:hAnsi="標楷體"/>
                <w:spacing w:val="-20"/>
                <w:sz w:val="24"/>
                <w:szCs w:val="24"/>
              </w:rPr>
              <w:t>%</w:t>
            </w:r>
          </w:p>
        </w:tc>
        <w:tc>
          <w:tcPr>
            <w:tcW w:w="1143" w:type="dxa"/>
            <w:tcBorders>
              <w:top w:val="single" w:sz="4" w:space="0" w:color="auto"/>
              <w:left w:val="single" w:sz="4" w:space="0" w:color="auto"/>
              <w:bottom w:val="single" w:sz="12" w:space="0" w:color="auto"/>
              <w:right w:val="single" w:sz="12"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88.54%</w:t>
            </w:r>
          </w:p>
        </w:tc>
      </w:tr>
    </w:tbl>
    <w:p w:rsidR="003D2C2B" w:rsidRPr="008F26C2" w:rsidRDefault="003D2C2B" w:rsidP="003D2C2B">
      <w:pPr>
        <w:spacing w:line="280" w:lineRule="exact"/>
        <w:ind w:leftChars="0" w:left="1200" w:hangingChars="500" w:hanging="1200"/>
        <w:rPr>
          <w:rFonts w:hAnsi="標楷體" w:hint="eastAsia"/>
          <w:sz w:val="24"/>
        </w:rPr>
      </w:pPr>
      <w:bookmarkStart w:id="17" w:name="_Toc192256572"/>
      <w:bookmarkStart w:id="18" w:name="_Toc133414825"/>
      <w:r w:rsidRPr="008F26C2">
        <w:rPr>
          <w:rFonts w:hAnsi="標楷體" w:hint="eastAsia"/>
          <w:sz w:val="24"/>
        </w:rPr>
        <w:t>說　　明：113年度決算尚未經董事會決議同過，故表內數字為</w:t>
      </w:r>
      <w:r w:rsidR="001475D1" w:rsidRPr="008F26C2">
        <w:rPr>
          <w:rFonts w:hAnsi="標楷體" w:hint="eastAsia"/>
          <w:sz w:val="24"/>
        </w:rPr>
        <w:t>該顧問工程司</w:t>
      </w:r>
      <w:r w:rsidRPr="008F26C2">
        <w:rPr>
          <w:rFonts w:hAnsi="標楷體" w:hint="eastAsia"/>
          <w:sz w:val="24"/>
        </w:rPr>
        <w:t>自結數。</w:t>
      </w:r>
    </w:p>
    <w:p w:rsidR="003D2C2B" w:rsidRPr="008F26C2" w:rsidRDefault="003D2C2B" w:rsidP="003D2C2B">
      <w:pPr>
        <w:spacing w:line="280" w:lineRule="exact"/>
        <w:ind w:leftChars="0" w:left="1200" w:hangingChars="500" w:hanging="1200"/>
        <w:rPr>
          <w:rFonts w:hAnsi="標楷體"/>
          <w:sz w:val="24"/>
          <w:lang w:eastAsia="zh-HK"/>
        </w:rPr>
      </w:pPr>
      <w:r w:rsidRPr="008F26C2">
        <w:rPr>
          <w:rFonts w:hAnsi="標楷體" w:hint="eastAsia"/>
          <w:sz w:val="24"/>
        </w:rPr>
        <w:t>資料來源：整理自中華顧問工程司110至112年度決算、114年度預算案及</w:t>
      </w:r>
      <w:r w:rsidR="001475D1" w:rsidRPr="008F26C2">
        <w:rPr>
          <w:rFonts w:hAnsi="標楷體" w:hint="eastAsia"/>
          <w:sz w:val="24"/>
        </w:rPr>
        <w:t>該顧問工程司</w:t>
      </w:r>
      <w:r w:rsidRPr="008F26C2">
        <w:rPr>
          <w:rFonts w:hAnsi="標楷體" w:hint="eastAsia"/>
          <w:sz w:val="24"/>
        </w:rPr>
        <w:t>提供資料；本中心製表</w:t>
      </w:r>
      <w:r w:rsidRPr="008F26C2">
        <w:rPr>
          <w:rFonts w:hAnsi="標楷體" w:hint="eastAsia"/>
          <w:sz w:val="24"/>
          <w:lang w:eastAsia="zh-HK"/>
        </w:rPr>
        <w:t>。</w:t>
      </w:r>
    </w:p>
    <w:p w:rsidR="0062681D" w:rsidRPr="008F26C2" w:rsidRDefault="0062681D" w:rsidP="0062681D">
      <w:pPr>
        <w:pStyle w:val="a4"/>
        <w:ind w:left="840" w:hanging="280"/>
        <w:rPr>
          <w:rFonts w:hAnsi="標楷體"/>
          <w:b/>
          <w:bCs/>
          <w:lang w:eastAsia="zh-HK"/>
        </w:rPr>
      </w:pPr>
      <w:r w:rsidRPr="008F26C2">
        <w:rPr>
          <w:rFonts w:hAnsi="標楷體" w:hint="eastAsia"/>
          <w:b/>
          <w:bCs/>
        </w:rPr>
        <w:t>(</w:t>
      </w:r>
      <w:r w:rsidRPr="008F26C2">
        <w:rPr>
          <w:rFonts w:hAnsi="標楷體" w:hint="eastAsia"/>
          <w:b/>
          <w:bCs/>
          <w:lang w:eastAsia="zh-HK"/>
        </w:rPr>
        <w:t>二)</w:t>
      </w:r>
      <w:r w:rsidR="00983CE2" w:rsidRPr="008F26C2">
        <w:rPr>
          <w:rFonts w:hAnsi="標楷體" w:hint="eastAsia"/>
          <w:b/>
          <w:bCs/>
          <w:lang w:eastAsia="zh-HK"/>
        </w:rPr>
        <w:t>主要</w:t>
      </w:r>
      <w:r w:rsidRPr="008F26C2">
        <w:rPr>
          <w:rFonts w:hAnsi="標楷體" w:hint="eastAsia"/>
          <w:b/>
          <w:bCs/>
          <w:lang w:eastAsia="zh-HK"/>
        </w:rPr>
        <w:t>業務</w:t>
      </w:r>
      <w:r w:rsidR="00BC76C0" w:rsidRPr="008F26C2">
        <w:rPr>
          <w:rFonts w:hAnsi="標楷體" w:hint="eastAsia"/>
          <w:b/>
          <w:bCs/>
          <w:lang w:eastAsia="zh-HK"/>
        </w:rPr>
        <w:t>近年</w:t>
      </w:r>
      <w:r w:rsidRPr="008F26C2">
        <w:rPr>
          <w:rFonts w:hAnsi="標楷體" w:hint="eastAsia"/>
          <w:b/>
          <w:bCs/>
          <w:lang w:eastAsia="zh-HK"/>
        </w:rPr>
        <w:t>持續虧損，允</w:t>
      </w:r>
      <w:r w:rsidR="00BC76C0" w:rsidRPr="008F26C2">
        <w:rPr>
          <w:rFonts w:hAnsi="標楷體" w:hint="eastAsia"/>
          <w:b/>
          <w:bCs/>
          <w:lang w:eastAsia="zh-HK"/>
        </w:rPr>
        <w:t>宜</w:t>
      </w:r>
      <w:r w:rsidRPr="008F26C2">
        <w:rPr>
          <w:rFonts w:hAnsi="標楷體" w:hint="eastAsia"/>
          <w:b/>
          <w:bCs/>
          <w:lang w:eastAsia="zh-HK"/>
        </w:rPr>
        <w:t>妥慎檢視相關成因，檢討各項計畫之成本效益，以增裕整體收益</w:t>
      </w:r>
    </w:p>
    <w:p w:rsidR="0062681D" w:rsidRPr="008F26C2" w:rsidRDefault="0062681D" w:rsidP="0062681D">
      <w:pPr>
        <w:pStyle w:val="21"/>
        <w:ind w:left="840" w:firstLine="560"/>
        <w:rPr>
          <w:rFonts w:hAnsi="標楷體"/>
        </w:rPr>
      </w:pPr>
      <w:bookmarkStart w:id="19" w:name="_Hlk192607416"/>
      <w:r w:rsidRPr="008F26C2">
        <w:rPr>
          <w:rFonts w:hAnsi="標楷體" w:hint="eastAsia"/>
        </w:rPr>
        <w:t>檢視</w:t>
      </w:r>
      <w:r w:rsidR="00BC76C0" w:rsidRPr="008F26C2">
        <w:rPr>
          <w:rFonts w:hAnsi="標楷體" w:hint="eastAsia"/>
        </w:rPr>
        <w:t>中華顧問工程司</w:t>
      </w:r>
      <w:r w:rsidRPr="008F26C2">
        <w:rPr>
          <w:rFonts w:hAnsi="標楷體" w:hint="eastAsia"/>
        </w:rPr>
        <w:t>110年至113年度</w:t>
      </w:r>
      <w:r w:rsidR="00175981" w:rsidRPr="008F26C2">
        <w:rPr>
          <w:rFonts w:hAnsi="標楷體" w:hint="eastAsia"/>
        </w:rPr>
        <w:t>主要業務</w:t>
      </w:r>
      <w:r w:rsidR="00CA42A5" w:rsidRPr="008F26C2">
        <w:rPr>
          <w:rFonts w:hAnsi="標楷體" w:hint="eastAsia"/>
        </w:rPr>
        <w:t>執行情形</w:t>
      </w:r>
      <w:r w:rsidRPr="008F26C2">
        <w:rPr>
          <w:rFonts w:hAnsi="標楷體" w:hint="eastAsia"/>
        </w:rPr>
        <w:t>，</w:t>
      </w:r>
      <w:r w:rsidR="00A82C3C" w:rsidRPr="008F26C2">
        <w:rPr>
          <w:rFonts w:hAnsi="標楷體" w:hint="eastAsia"/>
        </w:rPr>
        <w:t>收入數介於2,930萬4千元至4,399萬2千元，支出數介於</w:t>
      </w:r>
      <w:r w:rsidR="00A82C3C" w:rsidRPr="008F26C2">
        <w:rPr>
          <w:rFonts w:hAnsi="標楷體"/>
        </w:rPr>
        <w:t>8,380</w:t>
      </w:r>
      <w:r w:rsidR="00A82C3C" w:rsidRPr="008F26C2">
        <w:rPr>
          <w:rFonts w:hAnsi="標楷體" w:hint="eastAsia"/>
        </w:rPr>
        <w:t>萬</w:t>
      </w:r>
      <w:r w:rsidR="00A82C3C" w:rsidRPr="008F26C2">
        <w:rPr>
          <w:rFonts w:hAnsi="標楷體"/>
        </w:rPr>
        <w:t>1</w:t>
      </w:r>
      <w:r w:rsidR="00A82C3C" w:rsidRPr="008F26C2">
        <w:rPr>
          <w:rFonts w:hAnsi="標楷體" w:hint="eastAsia"/>
        </w:rPr>
        <w:t>千元至</w:t>
      </w:r>
      <w:r w:rsidR="00A82C3C" w:rsidRPr="008F26C2">
        <w:rPr>
          <w:rFonts w:hAnsi="標楷體"/>
        </w:rPr>
        <w:t>1</w:t>
      </w:r>
      <w:r w:rsidR="00A82C3C" w:rsidRPr="008F26C2">
        <w:rPr>
          <w:rFonts w:hAnsi="標楷體" w:hint="eastAsia"/>
        </w:rPr>
        <w:t>億</w:t>
      </w:r>
      <w:r w:rsidR="00A82C3C" w:rsidRPr="008F26C2">
        <w:rPr>
          <w:rFonts w:hAnsi="標楷體"/>
        </w:rPr>
        <w:t>0,295</w:t>
      </w:r>
      <w:r w:rsidR="00A82C3C" w:rsidRPr="008F26C2">
        <w:rPr>
          <w:rFonts w:hAnsi="標楷體" w:hint="eastAsia"/>
        </w:rPr>
        <w:t>萬</w:t>
      </w:r>
      <w:r w:rsidR="00A82C3C" w:rsidRPr="008F26C2">
        <w:rPr>
          <w:rFonts w:hAnsi="標楷體"/>
        </w:rPr>
        <w:t>8</w:t>
      </w:r>
      <w:r w:rsidR="00A82C3C" w:rsidRPr="008F26C2">
        <w:rPr>
          <w:rFonts w:hAnsi="標楷體" w:hint="eastAsia"/>
        </w:rPr>
        <w:t>千元，皆呈現虧損，短絀金額介於5,449萬7千元至6,631萬4千元</w:t>
      </w:r>
      <w:r w:rsidR="002B7CC1" w:rsidRPr="008F26C2">
        <w:rPr>
          <w:rFonts w:hAnsi="標楷體" w:hint="eastAsia"/>
        </w:rPr>
        <w:t>(詳表2)</w:t>
      </w:r>
      <w:r w:rsidR="00A82C3C" w:rsidRPr="008F26C2">
        <w:rPr>
          <w:rFonts w:hAnsi="標楷體" w:hint="eastAsia"/>
        </w:rPr>
        <w:t>，係因「服務成本」未能獲得對應收入</w:t>
      </w:r>
      <w:r w:rsidR="00BC76C0" w:rsidRPr="008F26C2">
        <w:rPr>
          <w:rFonts w:hAnsi="標楷體" w:hint="eastAsia"/>
        </w:rPr>
        <w:t>，</w:t>
      </w:r>
      <w:r w:rsidR="00A82C3C" w:rsidRPr="008F26C2">
        <w:rPr>
          <w:rFonts w:hAnsi="標楷體" w:hint="eastAsia"/>
        </w:rPr>
        <w:t>及「研究發展費用」雖具長期價值，但短期內未能帶動收益提升</w:t>
      </w:r>
      <w:r w:rsidR="00677D66" w:rsidRPr="008F26C2">
        <w:rPr>
          <w:rFonts w:hAnsi="標楷體" w:hint="eastAsia"/>
        </w:rPr>
        <w:t>所致</w:t>
      </w:r>
      <w:r w:rsidR="00A82C3C" w:rsidRPr="008F26C2">
        <w:rPr>
          <w:rFonts w:hAnsi="標楷體" w:hint="eastAsia"/>
        </w:rPr>
        <w:t>，</w:t>
      </w:r>
      <w:r w:rsidRPr="008F26C2">
        <w:rPr>
          <w:rFonts w:hAnsi="標楷體" w:hint="eastAsia"/>
        </w:rPr>
        <w:t>114年度預算案</w:t>
      </w:r>
      <w:r w:rsidR="00397633" w:rsidRPr="008F26C2">
        <w:rPr>
          <w:rFonts w:hAnsi="標楷體" w:hint="eastAsia"/>
        </w:rPr>
        <w:t>主要業務收支</w:t>
      </w:r>
      <w:r w:rsidRPr="008F26C2">
        <w:rPr>
          <w:rFonts w:hAnsi="標楷體" w:hint="eastAsia"/>
        </w:rPr>
        <w:t>短絀預計擴增至</w:t>
      </w:r>
      <w:r w:rsidR="00397633" w:rsidRPr="008F26C2">
        <w:rPr>
          <w:rFonts w:hAnsi="標楷體"/>
        </w:rPr>
        <w:t>7,266</w:t>
      </w:r>
      <w:r w:rsidR="00397633" w:rsidRPr="008F26C2">
        <w:rPr>
          <w:rFonts w:hAnsi="標楷體" w:hint="eastAsia"/>
        </w:rPr>
        <w:t>萬</w:t>
      </w:r>
      <w:r w:rsidR="00397633" w:rsidRPr="008F26C2">
        <w:rPr>
          <w:rFonts w:hAnsi="標楷體"/>
        </w:rPr>
        <w:t>3</w:t>
      </w:r>
      <w:r w:rsidRPr="008F26C2">
        <w:rPr>
          <w:rFonts w:hAnsi="標楷體" w:hint="eastAsia"/>
        </w:rPr>
        <w:t>千元，</w:t>
      </w:r>
      <w:r w:rsidR="002B7CC1" w:rsidRPr="008F26C2">
        <w:rPr>
          <w:rFonts w:hAnsi="標楷體" w:hint="eastAsia"/>
        </w:rPr>
        <w:t>創近</w:t>
      </w:r>
      <w:r w:rsidR="00CD6304">
        <w:rPr>
          <w:rFonts w:hAnsi="標楷體" w:hint="eastAsia"/>
        </w:rPr>
        <w:t>5</w:t>
      </w:r>
      <w:r w:rsidR="002B7CC1" w:rsidRPr="008F26C2">
        <w:rPr>
          <w:rFonts w:hAnsi="標楷體" w:hint="eastAsia"/>
        </w:rPr>
        <w:t>年新高</w:t>
      </w:r>
      <w:r w:rsidR="00397633" w:rsidRPr="008F26C2">
        <w:rPr>
          <w:rFonts w:hAnsi="標楷體" w:hint="eastAsia"/>
        </w:rPr>
        <w:t>(詳表2)</w:t>
      </w:r>
      <w:r w:rsidRPr="008F26C2">
        <w:rPr>
          <w:rFonts w:hAnsi="標楷體" w:hint="eastAsia"/>
        </w:rPr>
        <w:t>，允</w:t>
      </w:r>
      <w:r w:rsidR="00BC76C0" w:rsidRPr="008F26C2">
        <w:rPr>
          <w:rFonts w:hAnsi="標楷體" w:hint="eastAsia"/>
        </w:rPr>
        <w:t>宜</w:t>
      </w:r>
      <w:r w:rsidRPr="008F26C2">
        <w:rPr>
          <w:rFonts w:hAnsi="標楷體" w:hint="eastAsia"/>
        </w:rPr>
        <w:t>妥慎檢視相關成因，檢討各項計畫之成本效益，採行有效之開源節流措施，以增裕整體收益。</w:t>
      </w:r>
    </w:p>
    <w:p w:rsidR="003D2C2B" w:rsidRPr="008F26C2" w:rsidRDefault="0003106C" w:rsidP="00CA1967">
      <w:pPr>
        <w:ind w:leftChars="0" w:left="561" w:hangingChars="200" w:hanging="561"/>
        <w:rPr>
          <w:rFonts w:hAnsi="標楷體"/>
          <w:bCs/>
          <w:sz w:val="24"/>
          <w:szCs w:val="24"/>
        </w:rPr>
      </w:pPr>
      <w:r w:rsidRPr="008F26C2">
        <w:rPr>
          <w:rFonts w:hAnsi="標楷體" w:hint="eastAsia"/>
          <w:b/>
        </w:rPr>
        <w:t>表</w:t>
      </w:r>
      <w:r w:rsidR="003D2C2B" w:rsidRPr="008F26C2">
        <w:rPr>
          <w:rFonts w:hAnsi="標楷體" w:hint="eastAsia"/>
          <w:b/>
        </w:rPr>
        <w:t>2</w:t>
      </w:r>
      <w:r w:rsidRPr="008F26C2">
        <w:rPr>
          <w:rFonts w:hAnsi="標楷體" w:hint="eastAsia"/>
          <w:b/>
        </w:rPr>
        <w:t xml:space="preserve">　110至114年度中華顧問工程司</w:t>
      </w:r>
      <w:r w:rsidR="003D2C2B" w:rsidRPr="008F26C2">
        <w:rPr>
          <w:rFonts w:hAnsi="標楷體" w:hint="eastAsia"/>
          <w:b/>
        </w:rPr>
        <w:t>主要業務</w:t>
      </w:r>
      <w:r w:rsidRPr="008F26C2">
        <w:rPr>
          <w:rFonts w:hAnsi="標楷體" w:hint="eastAsia"/>
          <w:b/>
        </w:rPr>
        <w:t>收支概況表</w:t>
      </w:r>
    </w:p>
    <w:p w:rsidR="0003106C" w:rsidRPr="008F26C2" w:rsidRDefault="0003106C" w:rsidP="00CA1967">
      <w:pPr>
        <w:pStyle w:val="142"/>
        <w:spacing w:line="400" w:lineRule="exact"/>
        <w:jc w:val="right"/>
        <w:rPr>
          <w:rFonts w:hAnsi="標楷體"/>
          <w:snapToGrid/>
          <w:szCs w:val="22"/>
        </w:rPr>
      </w:pPr>
      <w:r w:rsidRPr="008F26C2">
        <w:rPr>
          <w:rFonts w:hAnsi="標楷體" w:hint="eastAsia"/>
        </w:rPr>
        <w:t>單位：新臺幣千元</w:t>
      </w:r>
    </w:p>
    <w:tbl>
      <w:tblPr>
        <w:tblW w:w="8511"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0"/>
        <w:gridCol w:w="1023"/>
        <w:gridCol w:w="1168"/>
        <w:gridCol w:w="1128"/>
        <w:gridCol w:w="1237"/>
        <w:gridCol w:w="1155"/>
      </w:tblGrid>
      <w:tr w:rsidR="0003106C" w:rsidRPr="008F26C2" w:rsidTr="00852FFC">
        <w:trPr>
          <w:trHeight w:val="603"/>
          <w:tblHeader/>
        </w:trPr>
        <w:tc>
          <w:tcPr>
            <w:tcW w:w="2800" w:type="dxa"/>
            <w:tcBorders>
              <w:top w:val="single" w:sz="12" w:space="0" w:color="auto"/>
              <w:left w:val="single" w:sz="12" w:space="0" w:color="auto"/>
              <w:bottom w:val="double" w:sz="4" w:space="0" w:color="auto"/>
              <w:right w:val="single" w:sz="4" w:space="0" w:color="auto"/>
              <w:tl2br w:val="single" w:sz="4" w:space="0" w:color="auto"/>
            </w:tcBorders>
            <w:hideMark/>
          </w:tcPr>
          <w:p w:rsidR="0003106C" w:rsidRPr="008F26C2" w:rsidRDefault="0003106C" w:rsidP="005918E0">
            <w:pPr>
              <w:snapToGrid w:val="0"/>
              <w:spacing w:line="400" w:lineRule="exact"/>
              <w:ind w:leftChars="-25" w:left="-70" w:rightChars="-5" w:right="-14" w:firstLineChars="0" w:firstLine="1742"/>
              <w:jc w:val="left"/>
              <w:rPr>
                <w:rFonts w:hAnsi="標楷體"/>
                <w:spacing w:val="-20"/>
                <w:sz w:val="24"/>
                <w:szCs w:val="24"/>
              </w:rPr>
            </w:pPr>
            <w:r w:rsidRPr="008F26C2">
              <w:rPr>
                <w:rFonts w:hAnsi="標楷體" w:hint="eastAsia"/>
                <w:spacing w:val="-20"/>
                <w:sz w:val="24"/>
                <w:szCs w:val="24"/>
              </w:rPr>
              <w:t>年度</w:t>
            </w:r>
          </w:p>
          <w:p w:rsidR="0003106C" w:rsidRPr="008F26C2" w:rsidRDefault="0003106C" w:rsidP="005918E0">
            <w:pPr>
              <w:snapToGrid w:val="0"/>
              <w:spacing w:line="400" w:lineRule="exact"/>
              <w:ind w:leftChars="-25" w:left="-70" w:rightChars="-5" w:right="-14" w:firstLineChars="0" w:firstLine="0"/>
              <w:jc w:val="left"/>
              <w:rPr>
                <w:rFonts w:hAnsi="標楷體" w:hint="eastAsia"/>
                <w:b/>
                <w:spacing w:val="-20"/>
                <w:sz w:val="24"/>
                <w:szCs w:val="24"/>
              </w:rPr>
            </w:pPr>
            <w:r w:rsidRPr="008F26C2">
              <w:rPr>
                <w:rFonts w:hAnsi="標楷體" w:hint="eastAsia"/>
                <w:spacing w:val="-20"/>
                <w:sz w:val="24"/>
                <w:szCs w:val="24"/>
              </w:rPr>
              <w:t>科目</w:t>
            </w:r>
          </w:p>
        </w:tc>
        <w:tc>
          <w:tcPr>
            <w:tcW w:w="1023" w:type="dxa"/>
            <w:tcBorders>
              <w:top w:val="single" w:sz="12" w:space="0" w:color="auto"/>
              <w:left w:val="single" w:sz="4" w:space="0" w:color="auto"/>
              <w:bottom w:val="doub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rPr>
              <w:t>110年度</w:t>
            </w:r>
          </w:p>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決算</w:t>
            </w:r>
            <w:r w:rsidRPr="008F26C2">
              <w:rPr>
                <w:rFonts w:hAnsi="標楷體" w:hint="eastAsia"/>
                <w:spacing w:val="-20"/>
                <w:sz w:val="24"/>
                <w:szCs w:val="24"/>
              </w:rPr>
              <w:t>數</w:t>
            </w:r>
          </w:p>
        </w:tc>
        <w:tc>
          <w:tcPr>
            <w:tcW w:w="1168" w:type="dxa"/>
            <w:tcBorders>
              <w:top w:val="single" w:sz="12" w:space="0" w:color="auto"/>
              <w:left w:val="single" w:sz="4" w:space="0" w:color="auto"/>
              <w:bottom w:val="doub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lang w:eastAsia="zh-HK"/>
              </w:rPr>
            </w:pPr>
            <w:r w:rsidRPr="008F26C2">
              <w:rPr>
                <w:rFonts w:hAnsi="標楷體" w:hint="eastAsia"/>
                <w:spacing w:val="-20"/>
                <w:sz w:val="24"/>
                <w:szCs w:val="24"/>
              </w:rPr>
              <w:t>111</w:t>
            </w:r>
            <w:r w:rsidRPr="008F26C2">
              <w:rPr>
                <w:rFonts w:hAnsi="標楷體" w:hint="eastAsia"/>
                <w:spacing w:val="-20"/>
                <w:sz w:val="24"/>
                <w:szCs w:val="24"/>
                <w:lang w:eastAsia="zh-HK"/>
              </w:rPr>
              <w:t>年度</w:t>
            </w:r>
          </w:p>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決算數</w:t>
            </w:r>
          </w:p>
        </w:tc>
        <w:tc>
          <w:tcPr>
            <w:tcW w:w="1128" w:type="dxa"/>
            <w:tcBorders>
              <w:top w:val="single" w:sz="12" w:space="0" w:color="auto"/>
              <w:left w:val="single" w:sz="4" w:space="0" w:color="auto"/>
              <w:bottom w:val="doub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rPr>
              <w:t>112年度</w:t>
            </w:r>
          </w:p>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決算數</w:t>
            </w:r>
          </w:p>
        </w:tc>
        <w:tc>
          <w:tcPr>
            <w:tcW w:w="1237" w:type="dxa"/>
            <w:tcBorders>
              <w:top w:val="single" w:sz="12" w:space="0" w:color="auto"/>
              <w:left w:val="single" w:sz="4" w:space="0" w:color="auto"/>
              <w:bottom w:val="doub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lang w:eastAsia="zh-HK"/>
              </w:rPr>
            </w:pPr>
            <w:r w:rsidRPr="008F26C2">
              <w:rPr>
                <w:rFonts w:hAnsi="標楷體" w:hint="eastAsia"/>
                <w:spacing w:val="-20"/>
                <w:sz w:val="24"/>
                <w:szCs w:val="24"/>
              </w:rPr>
              <w:t>113</w:t>
            </w:r>
            <w:r w:rsidRPr="008F26C2">
              <w:rPr>
                <w:rFonts w:hAnsi="標楷體" w:hint="eastAsia"/>
                <w:spacing w:val="-20"/>
                <w:sz w:val="24"/>
                <w:szCs w:val="24"/>
                <w:lang w:eastAsia="zh-HK"/>
              </w:rPr>
              <w:t>年度</w:t>
            </w:r>
          </w:p>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自結數</w:t>
            </w:r>
          </w:p>
        </w:tc>
        <w:tc>
          <w:tcPr>
            <w:tcW w:w="1155" w:type="dxa"/>
            <w:tcBorders>
              <w:top w:val="single" w:sz="12" w:space="0" w:color="auto"/>
              <w:left w:val="single" w:sz="4" w:space="0" w:color="auto"/>
              <w:bottom w:val="double" w:sz="4"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lang w:eastAsia="zh-HK"/>
              </w:rPr>
            </w:pPr>
            <w:r w:rsidRPr="008F26C2">
              <w:rPr>
                <w:rFonts w:hAnsi="標楷體" w:hint="eastAsia"/>
                <w:spacing w:val="-20"/>
                <w:sz w:val="24"/>
                <w:szCs w:val="24"/>
              </w:rPr>
              <w:t>114</w:t>
            </w:r>
            <w:r w:rsidRPr="008F26C2">
              <w:rPr>
                <w:rFonts w:hAnsi="標楷體" w:hint="eastAsia"/>
                <w:spacing w:val="-20"/>
                <w:sz w:val="24"/>
                <w:szCs w:val="24"/>
                <w:lang w:eastAsia="zh-HK"/>
              </w:rPr>
              <w:t>年度</w:t>
            </w:r>
          </w:p>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預算案數</w:t>
            </w:r>
          </w:p>
        </w:tc>
      </w:tr>
      <w:tr w:rsidR="0003106C" w:rsidRPr="008F26C2" w:rsidTr="00852FFC">
        <w:trPr>
          <w:trHeight w:val="319"/>
        </w:trPr>
        <w:tc>
          <w:tcPr>
            <w:tcW w:w="2800" w:type="dxa"/>
            <w:tcBorders>
              <w:top w:val="double" w:sz="4" w:space="0" w:color="auto"/>
              <w:left w:val="single" w:sz="12"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left"/>
              <w:rPr>
                <w:rFonts w:hAnsi="標楷體" w:hint="eastAsia"/>
                <w:b/>
                <w:bCs/>
                <w:spacing w:val="-20"/>
                <w:sz w:val="24"/>
                <w:szCs w:val="24"/>
              </w:rPr>
            </w:pPr>
            <w:r w:rsidRPr="008F26C2">
              <w:rPr>
                <w:rFonts w:hAnsi="標楷體" w:hint="eastAsia"/>
                <w:b/>
                <w:bCs/>
                <w:spacing w:val="-20"/>
                <w:sz w:val="24"/>
                <w:szCs w:val="24"/>
              </w:rPr>
              <w:t>收入</w:t>
            </w:r>
          </w:p>
        </w:tc>
        <w:tc>
          <w:tcPr>
            <w:tcW w:w="1023" w:type="dxa"/>
            <w:tcBorders>
              <w:top w:val="doub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716,615</w:t>
            </w:r>
          </w:p>
        </w:tc>
        <w:tc>
          <w:tcPr>
            <w:tcW w:w="1168" w:type="dxa"/>
            <w:tcBorders>
              <w:top w:val="doub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787,996</w:t>
            </w:r>
          </w:p>
        </w:tc>
        <w:tc>
          <w:tcPr>
            <w:tcW w:w="1128" w:type="dxa"/>
            <w:tcBorders>
              <w:top w:val="doub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946,957</w:t>
            </w:r>
          </w:p>
        </w:tc>
        <w:tc>
          <w:tcPr>
            <w:tcW w:w="1237" w:type="dxa"/>
            <w:tcBorders>
              <w:top w:val="doub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b/>
                <w:bCs/>
                <w:spacing w:val="-20"/>
                <w:sz w:val="24"/>
                <w:szCs w:val="24"/>
              </w:rPr>
              <w:t>1,193,769</w:t>
            </w:r>
          </w:p>
        </w:tc>
        <w:tc>
          <w:tcPr>
            <w:tcW w:w="1155" w:type="dxa"/>
            <w:tcBorders>
              <w:top w:val="double" w:sz="4" w:space="0" w:color="auto"/>
              <w:left w:val="single" w:sz="4" w:space="0" w:color="auto"/>
              <w:bottom w:val="single" w:sz="4"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960,379</w:t>
            </w:r>
          </w:p>
        </w:tc>
      </w:tr>
      <w:tr w:rsidR="00543722" w:rsidRPr="008F26C2" w:rsidTr="00852FFC">
        <w:trPr>
          <w:trHeight w:val="319"/>
        </w:trPr>
        <w:tc>
          <w:tcPr>
            <w:tcW w:w="2800" w:type="dxa"/>
            <w:tcBorders>
              <w:top w:val="single" w:sz="4" w:space="0" w:color="auto"/>
              <w:left w:val="single" w:sz="12" w:space="0" w:color="auto"/>
              <w:bottom w:val="single" w:sz="4" w:space="0" w:color="auto"/>
              <w:right w:val="single" w:sz="4" w:space="0" w:color="auto"/>
            </w:tcBorders>
            <w:vAlign w:val="center"/>
          </w:tcPr>
          <w:p w:rsidR="00543722" w:rsidRPr="008F26C2" w:rsidRDefault="00543722" w:rsidP="005918E0">
            <w:pPr>
              <w:snapToGrid w:val="0"/>
              <w:spacing w:line="400" w:lineRule="exact"/>
              <w:ind w:leftChars="-25" w:left="-70" w:rightChars="-5" w:right="-14" w:firstLineChars="100" w:firstLine="220"/>
              <w:jc w:val="left"/>
              <w:rPr>
                <w:rFonts w:hAnsi="標楷體" w:hint="eastAsia"/>
                <w:b/>
                <w:bCs/>
                <w:spacing w:val="-20"/>
                <w:sz w:val="24"/>
                <w:szCs w:val="24"/>
              </w:rPr>
            </w:pPr>
            <w:r w:rsidRPr="008F26C2">
              <w:rPr>
                <w:rFonts w:hAnsi="標楷體" w:hint="eastAsia"/>
                <w:spacing w:val="-10"/>
                <w:sz w:val="24"/>
                <w:szCs w:val="24"/>
              </w:rPr>
              <w:t>主要業務</w:t>
            </w:r>
            <w:r w:rsidR="00BC76C0" w:rsidRPr="008F26C2">
              <w:rPr>
                <w:rFonts w:hAnsi="標楷體" w:hint="eastAsia"/>
                <w:spacing w:val="-10"/>
                <w:sz w:val="24"/>
                <w:szCs w:val="24"/>
              </w:rPr>
              <w:t>收入</w:t>
            </w:r>
          </w:p>
        </w:tc>
        <w:tc>
          <w:tcPr>
            <w:tcW w:w="1023" w:type="dxa"/>
            <w:tcBorders>
              <w:top w:val="single" w:sz="4" w:space="0" w:color="auto"/>
              <w:left w:val="single" w:sz="4" w:space="0" w:color="auto"/>
              <w:bottom w:val="single" w:sz="4" w:space="0" w:color="auto"/>
              <w:right w:val="single" w:sz="4" w:space="0" w:color="auto"/>
            </w:tcBorders>
            <w:vAlign w:val="center"/>
          </w:tcPr>
          <w:p w:rsidR="00543722" w:rsidRPr="008F26C2" w:rsidRDefault="00543722" w:rsidP="005918E0">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spacing w:val="-20"/>
                <w:sz w:val="24"/>
                <w:szCs w:val="24"/>
              </w:rPr>
              <w:t>29,304</w:t>
            </w:r>
          </w:p>
        </w:tc>
        <w:tc>
          <w:tcPr>
            <w:tcW w:w="1168" w:type="dxa"/>
            <w:tcBorders>
              <w:top w:val="single" w:sz="4" w:space="0" w:color="auto"/>
              <w:left w:val="single" w:sz="4" w:space="0" w:color="auto"/>
              <w:bottom w:val="single" w:sz="4" w:space="0" w:color="auto"/>
              <w:right w:val="single" w:sz="4" w:space="0" w:color="auto"/>
            </w:tcBorders>
            <w:vAlign w:val="center"/>
          </w:tcPr>
          <w:p w:rsidR="00543722" w:rsidRPr="008F26C2" w:rsidRDefault="00543722" w:rsidP="005918E0">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spacing w:val="-20"/>
                <w:sz w:val="24"/>
                <w:szCs w:val="24"/>
              </w:rPr>
              <w:t>43,992</w:t>
            </w:r>
          </w:p>
        </w:tc>
        <w:tc>
          <w:tcPr>
            <w:tcW w:w="1128" w:type="dxa"/>
            <w:tcBorders>
              <w:top w:val="single" w:sz="4" w:space="0" w:color="auto"/>
              <w:left w:val="single" w:sz="4" w:space="0" w:color="auto"/>
              <w:bottom w:val="single" w:sz="4" w:space="0" w:color="auto"/>
              <w:right w:val="single" w:sz="4" w:space="0" w:color="auto"/>
            </w:tcBorders>
            <w:vAlign w:val="center"/>
          </w:tcPr>
          <w:p w:rsidR="00543722" w:rsidRPr="008F26C2" w:rsidRDefault="00543722" w:rsidP="005918E0">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spacing w:val="-20"/>
                <w:sz w:val="24"/>
                <w:szCs w:val="24"/>
              </w:rPr>
              <w:t>36,644</w:t>
            </w:r>
          </w:p>
        </w:tc>
        <w:tc>
          <w:tcPr>
            <w:tcW w:w="1237" w:type="dxa"/>
            <w:tcBorders>
              <w:top w:val="single" w:sz="4" w:space="0" w:color="auto"/>
              <w:left w:val="single" w:sz="4" w:space="0" w:color="auto"/>
              <w:bottom w:val="single" w:sz="4" w:space="0" w:color="auto"/>
              <w:right w:val="single" w:sz="4" w:space="0" w:color="auto"/>
            </w:tcBorders>
            <w:vAlign w:val="center"/>
          </w:tcPr>
          <w:p w:rsidR="00543722" w:rsidRPr="008F26C2" w:rsidRDefault="00543722" w:rsidP="005918E0">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spacing w:val="-20"/>
                <w:sz w:val="24"/>
                <w:szCs w:val="24"/>
              </w:rPr>
              <w:t>34,103</w:t>
            </w:r>
          </w:p>
        </w:tc>
        <w:tc>
          <w:tcPr>
            <w:tcW w:w="1155" w:type="dxa"/>
            <w:tcBorders>
              <w:top w:val="single" w:sz="4" w:space="0" w:color="auto"/>
              <w:left w:val="single" w:sz="4" w:space="0" w:color="auto"/>
              <w:bottom w:val="single" w:sz="4" w:space="0" w:color="auto"/>
              <w:right w:val="single" w:sz="12" w:space="0" w:color="auto"/>
            </w:tcBorders>
            <w:vAlign w:val="center"/>
          </w:tcPr>
          <w:p w:rsidR="00543722" w:rsidRPr="008F26C2" w:rsidRDefault="00543722" w:rsidP="005918E0">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spacing w:val="-20"/>
                <w:sz w:val="24"/>
                <w:szCs w:val="24"/>
              </w:rPr>
              <w:t>50,000</w:t>
            </w:r>
          </w:p>
        </w:tc>
      </w:tr>
      <w:tr w:rsidR="0003106C" w:rsidRPr="008F26C2" w:rsidTr="00852FFC">
        <w:trPr>
          <w:trHeight w:val="332"/>
        </w:trPr>
        <w:tc>
          <w:tcPr>
            <w:tcW w:w="2800" w:type="dxa"/>
            <w:tcBorders>
              <w:top w:val="single" w:sz="4" w:space="0" w:color="auto"/>
              <w:left w:val="single" w:sz="12"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440"/>
              <w:jc w:val="left"/>
              <w:rPr>
                <w:rFonts w:hAnsi="標楷體" w:hint="eastAsia"/>
                <w:spacing w:val="-20"/>
                <w:sz w:val="24"/>
                <w:szCs w:val="24"/>
              </w:rPr>
            </w:pPr>
            <w:r w:rsidRPr="008F26C2">
              <w:rPr>
                <w:rFonts w:hAnsi="標楷體" w:hint="eastAsia"/>
                <w:spacing w:val="-10"/>
                <w:sz w:val="24"/>
                <w:szCs w:val="24"/>
              </w:rPr>
              <w:t>服務</w:t>
            </w:r>
            <w:r w:rsidRPr="008F26C2">
              <w:rPr>
                <w:rFonts w:hAnsi="標楷體" w:hint="eastAsia"/>
                <w:spacing w:val="-20"/>
                <w:sz w:val="24"/>
                <w:szCs w:val="24"/>
              </w:rPr>
              <w:t>收入</w:t>
            </w:r>
          </w:p>
        </w:tc>
        <w:tc>
          <w:tcPr>
            <w:tcW w:w="1023"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29,304</w:t>
            </w:r>
          </w:p>
        </w:tc>
        <w:tc>
          <w:tcPr>
            <w:tcW w:w="116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43,992</w:t>
            </w:r>
          </w:p>
        </w:tc>
        <w:tc>
          <w:tcPr>
            <w:tcW w:w="112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36,644</w:t>
            </w:r>
          </w:p>
        </w:tc>
        <w:tc>
          <w:tcPr>
            <w:tcW w:w="1237"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34,103</w:t>
            </w:r>
          </w:p>
        </w:tc>
        <w:tc>
          <w:tcPr>
            <w:tcW w:w="1155" w:type="dxa"/>
            <w:tcBorders>
              <w:top w:val="single" w:sz="4" w:space="0" w:color="auto"/>
              <w:left w:val="single" w:sz="4" w:space="0" w:color="auto"/>
              <w:bottom w:val="single" w:sz="4"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50,000</w:t>
            </w:r>
          </w:p>
        </w:tc>
      </w:tr>
      <w:tr w:rsidR="0003106C" w:rsidRPr="008F26C2" w:rsidTr="00852FFC">
        <w:trPr>
          <w:trHeight w:val="184"/>
        </w:trPr>
        <w:tc>
          <w:tcPr>
            <w:tcW w:w="2800" w:type="dxa"/>
            <w:tcBorders>
              <w:top w:val="single" w:sz="4" w:space="0" w:color="auto"/>
              <w:left w:val="single" w:sz="12"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left"/>
              <w:rPr>
                <w:rFonts w:hAnsi="標楷體" w:hint="eastAsia"/>
                <w:b/>
                <w:bCs/>
                <w:spacing w:val="-10"/>
                <w:sz w:val="24"/>
                <w:szCs w:val="24"/>
              </w:rPr>
            </w:pPr>
            <w:r w:rsidRPr="008F26C2">
              <w:rPr>
                <w:rFonts w:hAnsi="標楷體" w:hint="eastAsia"/>
                <w:b/>
                <w:bCs/>
                <w:spacing w:val="-10"/>
                <w:sz w:val="24"/>
                <w:szCs w:val="24"/>
              </w:rPr>
              <w:t>支出</w:t>
            </w:r>
          </w:p>
        </w:tc>
        <w:tc>
          <w:tcPr>
            <w:tcW w:w="1023"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10"/>
                <w:sz w:val="24"/>
                <w:szCs w:val="24"/>
              </w:rPr>
            </w:pPr>
            <w:r w:rsidRPr="008F26C2">
              <w:rPr>
                <w:rFonts w:hAnsi="標楷體" w:hint="eastAsia"/>
                <w:b/>
                <w:bCs/>
                <w:spacing w:val="-10"/>
                <w:sz w:val="24"/>
                <w:szCs w:val="24"/>
              </w:rPr>
              <w:t>148,835</w:t>
            </w:r>
          </w:p>
        </w:tc>
        <w:tc>
          <w:tcPr>
            <w:tcW w:w="116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10"/>
                <w:sz w:val="24"/>
                <w:szCs w:val="24"/>
              </w:rPr>
            </w:pPr>
            <w:r w:rsidRPr="008F26C2">
              <w:rPr>
                <w:rFonts w:hAnsi="標楷體" w:hint="eastAsia"/>
                <w:b/>
                <w:bCs/>
                <w:spacing w:val="-10"/>
                <w:sz w:val="24"/>
                <w:szCs w:val="24"/>
              </w:rPr>
              <w:t>160,017</w:t>
            </w:r>
          </w:p>
        </w:tc>
        <w:tc>
          <w:tcPr>
            <w:tcW w:w="112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10"/>
                <w:sz w:val="24"/>
                <w:szCs w:val="24"/>
              </w:rPr>
            </w:pPr>
            <w:r w:rsidRPr="008F26C2">
              <w:rPr>
                <w:rFonts w:hAnsi="標楷體" w:hint="eastAsia"/>
                <w:b/>
                <w:bCs/>
                <w:spacing w:val="-10"/>
                <w:sz w:val="24"/>
                <w:szCs w:val="24"/>
              </w:rPr>
              <w:t>158,776</w:t>
            </w:r>
          </w:p>
        </w:tc>
        <w:tc>
          <w:tcPr>
            <w:tcW w:w="1237"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b/>
                <w:bCs/>
                <w:spacing w:val="-10"/>
                <w:sz w:val="24"/>
                <w:szCs w:val="24"/>
              </w:rPr>
            </w:pPr>
            <w:r w:rsidRPr="008F26C2">
              <w:rPr>
                <w:rFonts w:hAnsi="標楷體" w:hint="eastAsia"/>
                <w:b/>
                <w:bCs/>
                <w:spacing w:val="-10"/>
                <w:sz w:val="24"/>
                <w:szCs w:val="24"/>
              </w:rPr>
              <w:t>154,015</w:t>
            </w:r>
          </w:p>
        </w:tc>
        <w:tc>
          <w:tcPr>
            <w:tcW w:w="1155" w:type="dxa"/>
            <w:tcBorders>
              <w:top w:val="single" w:sz="4" w:space="0" w:color="auto"/>
              <w:left w:val="single" w:sz="4" w:space="0" w:color="auto"/>
              <w:bottom w:val="single" w:sz="4"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10"/>
                <w:sz w:val="24"/>
                <w:szCs w:val="24"/>
              </w:rPr>
            </w:pPr>
            <w:r w:rsidRPr="008F26C2">
              <w:rPr>
                <w:rFonts w:hAnsi="標楷體" w:hint="eastAsia"/>
                <w:b/>
                <w:bCs/>
                <w:spacing w:val="-10"/>
                <w:sz w:val="24"/>
                <w:szCs w:val="24"/>
              </w:rPr>
              <w:t>188,433</w:t>
            </w:r>
          </w:p>
        </w:tc>
      </w:tr>
      <w:tr w:rsidR="00D20482" w:rsidRPr="008F26C2" w:rsidTr="00852FFC">
        <w:trPr>
          <w:trHeight w:val="184"/>
        </w:trPr>
        <w:tc>
          <w:tcPr>
            <w:tcW w:w="2800" w:type="dxa"/>
            <w:tcBorders>
              <w:top w:val="single" w:sz="4" w:space="0" w:color="auto"/>
              <w:left w:val="single" w:sz="12" w:space="0" w:color="auto"/>
              <w:bottom w:val="single" w:sz="4" w:space="0" w:color="auto"/>
              <w:right w:val="single" w:sz="4" w:space="0" w:color="auto"/>
            </w:tcBorders>
            <w:vAlign w:val="center"/>
          </w:tcPr>
          <w:p w:rsidR="00D20482" w:rsidRPr="008F26C2" w:rsidRDefault="00D20482" w:rsidP="005918E0">
            <w:pPr>
              <w:snapToGrid w:val="0"/>
              <w:spacing w:line="400" w:lineRule="exact"/>
              <w:ind w:leftChars="-25" w:left="-70" w:rightChars="-5" w:right="-14" w:firstLineChars="100" w:firstLine="220"/>
              <w:jc w:val="left"/>
              <w:rPr>
                <w:rFonts w:hAnsi="標楷體" w:hint="eastAsia"/>
                <w:spacing w:val="-10"/>
                <w:sz w:val="24"/>
                <w:szCs w:val="24"/>
              </w:rPr>
            </w:pPr>
            <w:r w:rsidRPr="008F26C2">
              <w:rPr>
                <w:rFonts w:hAnsi="標楷體" w:hint="eastAsia"/>
                <w:spacing w:val="-10"/>
                <w:sz w:val="24"/>
                <w:szCs w:val="24"/>
              </w:rPr>
              <w:t>主要業務支出</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83,801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99,079</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102,958</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96,928</w:t>
            </w:r>
          </w:p>
        </w:tc>
        <w:tc>
          <w:tcPr>
            <w:tcW w:w="1155" w:type="dxa"/>
            <w:tcBorders>
              <w:top w:val="single" w:sz="4" w:space="0" w:color="auto"/>
              <w:left w:val="single" w:sz="4" w:space="0" w:color="auto"/>
              <w:bottom w:val="single" w:sz="4" w:space="0" w:color="auto"/>
              <w:right w:val="single" w:sz="12" w:space="0" w:color="auto"/>
            </w:tcBorders>
            <w:shd w:val="clear" w:color="auto" w:fill="auto"/>
            <w:vAlign w:val="center"/>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122,663</w:t>
            </w:r>
          </w:p>
        </w:tc>
      </w:tr>
      <w:tr w:rsidR="0003106C" w:rsidRPr="008F26C2" w:rsidTr="00852FFC">
        <w:trPr>
          <w:trHeight w:val="235"/>
        </w:trPr>
        <w:tc>
          <w:tcPr>
            <w:tcW w:w="2800" w:type="dxa"/>
            <w:tcBorders>
              <w:top w:val="single" w:sz="4" w:space="0" w:color="auto"/>
              <w:left w:val="single" w:sz="12"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440"/>
              <w:jc w:val="left"/>
              <w:rPr>
                <w:rFonts w:hAnsi="標楷體" w:hint="eastAsia"/>
                <w:spacing w:val="-10"/>
                <w:sz w:val="24"/>
                <w:szCs w:val="24"/>
              </w:rPr>
            </w:pPr>
            <w:r w:rsidRPr="008F26C2">
              <w:rPr>
                <w:rFonts w:hAnsi="標楷體" w:hint="eastAsia"/>
                <w:spacing w:val="-10"/>
                <w:sz w:val="24"/>
                <w:szCs w:val="24"/>
              </w:rPr>
              <w:t>服務成本</w:t>
            </w:r>
          </w:p>
        </w:tc>
        <w:tc>
          <w:tcPr>
            <w:tcW w:w="1023"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43,054</w:t>
            </w:r>
          </w:p>
        </w:tc>
        <w:tc>
          <w:tcPr>
            <w:tcW w:w="116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49,149</w:t>
            </w:r>
          </w:p>
        </w:tc>
        <w:tc>
          <w:tcPr>
            <w:tcW w:w="112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51,751</w:t>
            </w:r>
          </w:p>
        </w:tc>
        <w:tc>
          <w:tcPr>
            <w:tcW w:w="1237"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38,998</w:t>
            </w:r>
          </w:p>
        </w:tc>
        <w:tc>
          <w:tcPr>
            <w:tcW w:w="1155" w:type="dxa"/>
            <w:tcBorders>
              <w:top w:val="single" w:sz="4" w:space="0" w:color="auto"/>
              <w:left w:val="single" w:sz="4" w:space="0" w:color="auto"/>
              <w:bottom w:val="single" w:sz="4"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63,783</w:t>
            </w:r>
          </w:p>
        </w:tc>
      </w:tr>
      <w:tr w:rsidR="0003106C" w:rsidRPr="008F26C2" w:rsidTr="0094305B">
        <w:trPr>
          <w:trHeight w:val="384"/>
        </w:trPr>
        <w:tc>
          <w:tcPr>
            <w:tcW w:w="2800" w:type="dxa"/>
            <w:tcBorders>
              <w:top w:val="single" w:sz="4" w:space="0" w:color="auto"/>
              <w:left w:val="single" w:sz="12" w:space="0" w:color="auto"/>
              <w:bottom w:val="single" w:sz="4" w:space="0" w:color="auto"/>
              <w:right w:val="single" w:sz="4" w:space="0" w:color="auto"/>
            </w:tcBorders>
            <w:hideMark/>
          </w:tcPr>
          <w:p w:rsidR="0003106C" w:rsidRPr="008F26C2" w:rsidRDefault="0003106C" w:rsidP="005918E0">
            <w:pPr>
              <w:snapToGrid w:val="0"/>
              <w:spacing w:line="400" w:lineRule="exact"/>
              <w:ind w:leftChars="-25" w:left="-70" w:rightChars="-5" w:right="-14" w:firstLine="440"/>
              <w:jc w:val="left"/>
              <w:rPr>
                <w:rFonts w:hAnsi="標楷體" w:hint="eastAsia"/>
                <w:spacing w:val="-10"/>
                <w:sz w:val="24"/>
                <w:szCs w:val="24"/>
              </w:rPr>
            </w:pPr>
            <w:r w:rsidRPr="008F26C2">
              <w:rPr>
                <w:rFonts w:hAnsi="標楷體" w:hint="eastAsia"/>
                <w:spacing w:val="-10"/>
                <w:sz w:val="24"/>
                <w:szCs w:val="24"/>
              </w:rPr>
              <w:t>研究發展費用</w:t>
            </w:r>
          </w:p>
        </w:tc>
        <w:tc>
          <w:tcPr>
            <w:tcW w:w="1023"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40,747</w:t>
            </w:r>
          </w:p>
        </w:tc>
        <w:tc>
          <w:tcPr>
            <w:tcW w:w="116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49,930</w:t>
            </w:r>
          </w:p>
        </w:tc>
        <w:tc>
          <w:tcPr>
            <w:tcW w:w="112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51,207</w:t>
            </w:r>
          </w:p>
        </w:tc>
        <w:tc>
          <w:tcPr>
            <w:tcW w:w="1237"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57,930</w:t>
            </w:r>
          </w:p>
        </w:tc>
        <w:tc>
          <w:tcPr>
            <w:tcW w:w="1155" w:type="dxa"/>
            <w:tcBorders>
              <w:top w:val="single" w:sz="4" w:space="0" w:color="auto"/>
              <w:left w:val="single" w:sz="4" w:space="0" w:color="auto"/>
              <w:bottom w:val="single" w:sz="4"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58,880</w:t>
            </w:r>
          </w:p>
        </w:tc>
      </w:tr>
      <w:tr w:rsidR="00D20482" w:rsidRPr="008F26C2" w:rsidTr="0094305B">
        <w:trPr>
          <w:trHeight w:val="262"/>
        </w:trPr>
        <w:tc>
          <w:tcPr>
            <w:tcW w:w="2800" w:type="dxa"/>
            <w:tcBorders>
              <w:top w:val="single" w:sz="4" w:space="0" w:color="auto"/>
              <w:left w:val="single" w:sz="12" w:space="0" w:color="auto"/>
              <w:bottom w:val="single" w:sz="4" w:space="0" w:color="auto"/>
              <w:right w:val="single" w:sz="4" w:space="0" w:color="auto"/>
            </w:tcBorders>
            <w:shd w:val="pct5" w:color="auto" w:fill="auto"/>
            <w:vAlign w:val="center"/>
            <w:hideMark/>
          </w:tcPr>
          <w:p w:rsidR="00D20482" w:rsidRPr="008F26C2" w:rsidRDefault="00D20482" w:rsidP="005918E0">
            <w:pPr>
              <w:snapToGrid w:val="0"/>
              <w:spacing w:line="400" w:lineRule="exact"/>
              <w:ind w:leftChars="-25" w:left="-70" w:rightChars="-5" w:right="-14" w:firstLineChars="0" w:firstLine="0"/>
              <w:jc w:val="left"/>
              <w:rPr>
                <w:rFonts w:hAnsi="標楷體" w:hint="eastAsia"/>
                <w:spacing w:val="-10"/>
                <w:sz w:val="24"/>
                <w:szCs w:val="24"/>
              </w:rPr>
            </w:pPr>
            <w:r w:rsidRPr="008F26C2">
              <w:rPr>
                <w:rFonts w:hAnsi="標楷體" w:hint="eastAsia"/>
                <w:b/>
                <w:spacing w:val="-10"/>
                <w:sz w:val="24"/>
                <w:szCs w:val="24"/>
              </w:rPr>
              <w:t>主要業務收支</w:t>
            </w:r>
            <w:r w:rsidR="00175981" w:rsidRPr="008F26C2">
              <w:rPr>
                <w:rFonts w:hAnsi="標楷體" w:hint="eastAsia"/>
                <w:b/>
                <w:spacing w:val="-10"/>
                <w:sz w:val="24"/>
                <w:szCs w:val="24"/>
                <w:lang w:eastAsia="zh-HK"/>
              </w:rPr>
              <w:t>短</w:t>
            </w:r>
            <w:r w:rsidRPr="008F26C2">
              <w:rPr>
                <w:rFonts w:hAnsi="標楷體" w:hint="eastAsia"/>
                <w:b/>
                <w:spacing w:val="-10"/>
                <w:sz w:val="24"/>
                <w:szCs w:val="24"/>
                <w:lang w:eastAsia="zh-HK"/>
              </w:rPr>
              <w:t>絀</w:t>
            </w:r>
          </w:p>
        </w:tc>
        <w:tc>
          <w:tcPr>
            <w:tcW w:w="10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-54,497</w:t>
            </w:r>
          </w:p>
        </w:tc>
        <w:tc>
          <w:tcPr>
            <w:tcW w:w="116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-55,087</w:t>
            </w:r>
          </w:p>
        </w:tc>
        <w:tc>
          <w:tcPr>
            <w:tcW w:w="112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w:t>
            </w:r>
            <w:bookmarkStart w:id="20" w:name="_Hlk194325837"/>
            <w:r w:rsidRPr="008F26C2">
              <w:rPr>
                <w:rFonts w:hAnsi="標楷體" w:hint="eastAsia"/>
                <w:spacing w:val="-20"/>
                <w:sz w:val="24"/>
                <w:szCs w:val="24"/>
              </w:rPr>
              <w:t>66,314</w:t>
            </w:r>
            <w:bookmarkEnd w:id="20"/>
          </w:p>
        </w:tc>
        <w:tc>
          <w:tcPr>
            <w:tcW w:w="123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-62,825</w:t>
            </w:r>
          </w:p>
        </w:tc>
        <w:tc>
          <w:tcPr>
            <w:tcW w:w="1155" w:type="dxa"/>
            <w:tcBorders>
              <w:top w:val="single" w:sz="4" w:space="0" w:color="auto"/>
              <w:left w:val="single" w:sz="4" w:space="0" w:color="auto"/>
              <w:bottom w:val="single" w:sz="4" w:space="0" w:color="auto"/>
              <w:right w:val="single" w:sz="12" w:space="0" w:color="auto"/>
            </w:tcBorders>
            <w:shd w:val="clear" w:color="000000" w:fill="F2F2F2"/>
            <w:vAlign w:val="center"/>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-72,663</w:t>
            </w:r>
          </w:p>
        </w:tc>
      </w:tr>
      <w:tr w:rsidR="00D20482" w:rsidRPr="008F26C2" w:rsidTr="00852FFC">
        <w:trPr>
          <w:trHeight w:val="139"/>
        </w:trPr>
        <w:tc>
          <w:tcPr>
            <w:tcW w:w="2800" w:type="dxa"/>
            <w:tcBorders>
              <w:top w:val="single" w:sz="4" w:space="0" w:color="auto"/>
              <w:left w:val="single" w:sz="12" w:space="0" w:color="auto"/>
              <w:bottom w:val="single" w:sz="4" w:space="0" w:color="auto"/>
              <w:right w:val="single" w:sz="4" w:space="0" w:color="auto"/>
            </w:tcBorders>
            <w:vAlign w:val="center"/>
            <w:hideMark/>
          </w:tcPr>
          <w:p w:rsidR="00D20482" w:rsidRPr="008F26C2" w:rsidRDefault="00D20482" w:rsidP="005918E0">
            <w:pPr>
              <w:snapToGrid w:val="0"/>
              <w:spacing w:line="400" w:lineRule="exact"/>
              <w:ind w:leftChars="-25" w:left="-70" w:rightChars="-5" w:right="-14" w:firstLineChars="0" w:firstLine="0"/>
              <w:jc w:val="left"/>
              <w:rPr>
                <w:rFonts w:hAnsi="標楷體" w:hint="eastAsia"/>
                <w:spacing w:val="-10"/>
                <w:sz w:val="24"/>
                <w:szCs w:val="24"/>
              </w:rPr>
            </w:pPr>
            <w:r w:rsidRPr="008F26C2">
              <w:rPr>
                <w:rFonts w:hAnsi="標楷體" w:hint="eastAsia"/>
                <w:b/>
                <w:spacing w:val="-10"/>
                <w:sz w:val="24"/>
                <w:szCs w:val="24"/>
              </w:rPr>
              <w:t>主要業務外收支</w:t>
            </w:r>
            <w:r w:rsidR="00175981" w:rsidRPr="008F26C2">
              <w:rPr>
                <w:rFonts w:hAnsi="標楷體" w:hint="eastAsia"/>
                <w:b/>
                <w:spacing w:val="-10"/>
                <w:sz w:val="24"/>
                <w:szCs w:val="24"/>
              </w:rPr>
              <w:t>賸</w:t>
            </w:r>
            <w:r w:rsidRPr="008F26C2">
              <w:rPr>
                <w:rFonts w:hAnsi="標楷體" w:hint="eastAsia"/>
                <w:b/>
                <w:spacing w:val="-10"/>
                <w:sz w:val="24"/>
                <w:szCs w:val="24"/>
                <w:lang w:eastAsia="zh-HK"/>
              </w:rPr>
              <w:t>餘</w:t>
            </w:r>
          </w:p>
        </w:tc>
        <w:tc>
          <w:tcPr>
            <w:tcW w:w="1023" w:type="dxa"/>
            <w:tcBorders>
              <w:top w:val="single" w:sz="4" w:space="0" w:color="auto"/>
              <w:left w:val="single" w:sz="4" w:space="0" w:color="auto"/>
              <w:bottom w:val="single" w:sz="4" w:space="0" w:color="auto"/>
              <w:right w:val="single" w:sz="4" w:space="0" w:color="auto"/>
            </w:tcBorders>
            <w:shd w:val="clear" w:color="auto" w:fill="auto"/>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spacing w:val="-20"/>
                <w:sz w:val="24"/>
                <w:szCs w:val="24"/>
              </w:rPr>
              <w:t>622,277</w:t>
            </w:r>
          </w:p>
        </w:tc>
        <w:tc>
          <w:tcPr>
            <w:tcW w:w="1168" w:type="dxa"/>
            <w:tcBorders>
              <w:top w:val="single" w:sz="4" w:space="0" w:color="auto"/>
              <w:left w:val="single" w:sz="4" w:space="0" w:color="auto"/>
              <w:bottom w:val="single" w:sz="4" w:space="0" w:color="auto"/>
              <w:right w:val="single" w:sz="4" w:space="0" w:color="auto"/>
            </w:tcBorders>
            <w:shd w:val="clear" w:color="auto" w:fill="auto"/>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spacing w:val="-20"/>
                <w:sz w:val="24"/>
                <w:szCs w:val="24"/>
              </w:rPr>
              <w:t>683,066</w:t>
            </w:r>
          </w:p>
        </w:tc>
        <w:tc>
          <w:tcPr>
            <w:tcW w:w="1128" w:type="dxa"/>
            <w:tcBorders>
              <w:top w:val="single" w:sz="4" w:space="0" w:color="auto"/>
              <w:left w:val="single" w:sz="4" w:space="0" w:color="auto"/>
              <w:bottom w:val="single" w:sz="4" w:space="0" w:color="auto"/>
              <w:right w:val="single" w:sz="4" w:space="0" w:color="auto"/>
            </w:tcBorders>
            <w:shd w:val="clear" w:color="auto" w:fill="auto"/>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spacing w:val="-20"/>
                <w:sz w:val="24"/>
                <w:szCs w:val="24"/>
              </w:rPr>
              <w:t>854,495</w:t>
            </w:r>
          </w:p>
        </w:tc>
        <w:tc>
          <w:tcPr>
            <w:tcW w:w="1237" w:type="dxa"/>
            <w:tcBorders>
              <w:top w:val="single" w:sz="4" w:space="0" w:color="auto"/>
              <w:left w:val="single" w:sz="4" w:space="0" w:color="auto"/>
              <w:bottom w:val="single" w:sz="4" w:space="0" w:color="auto"/>
              <w:right w:val="single" w:sz="4" w:space="0" w:color="auto"/>
            </w:tcBorders>
            <w:shd w:val="clear" w:color="auto" w:fill="auto"/>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spacing w:val="-20"/>
                <w:sz w:val="24"/>
                <w:szCs w:val="24"/>
              </w:rPr>
              <w:t>1,102,579</w:t>
            </w:r>
          </w:p>
        </w:tc>
        <w:tc>
          <w:tcPr>
            <w:tcW w:w="1155" w:type="dxa"/>
            <w:tcBorders>
              <w:top w:val="single" w:sz="4" w:space="0" w:color="auto"/>
              <w:left w:val="single" w:sz="4" w:space="0" w:color="auto"/>
              <w:bottom w:val="single" w:sz="4" w:space="0" w:color="auto"/>
              <w:right w:val="single" w:sz="12" w:space="0" w:color="auto"/>
            </w:tcBorders>
            <w:shd w:val="clear" w:color="auto" w:fill="auto"/>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spacing w:val="-20"/>
                <w:sz w:val="24"/>
                <w:szCs w:val="24"/>
              </w:rPr>
              <w:t>844,609</w:t>
            </w:r>
          </w:p>
        </w:tc>
      </w:tr>
      <w:tr w:rsidR="0003106C" w:rsidRPr="008F26C2" w:rsidTr="00852FFC">
        <w:trPr>
          <w:trHeight w:val="302"/>
        </w:trPr>
        <w:tc>
          <w:tcPr>
            <w:tcW w:w="2800" w:type="dxa"/>
            <w:tcBorders>
              <w:top w:val="single" w:sz="4" w:space="0" w:color="auto"/>
              <w:left w:val="single" w:sz="12" w:space="0" w:color="auto"/>
              <w:bottom w:val="single" w:sz="12"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left"/>
              <w:rPr>
                <w:rFonts w:hAnsi="標楷體" w:hint="eastAsia"/>
                <w:b/>
                <w:spacing w:val="-10"/>
                <w:sz w:val="24"/>
                <w:szCs w:val="24"/>
              </w:rPr>
            </w:pPr>
            <w:r w:rsidRPr="008F26C2">
              <w:rPr>
                <w:rFonts w:hAnsi="標楷體" w:hint="eastAsia"/>
                <w:b/>
                <w:spacing w:val="-10"/>
                <w:sz w:val="24"/>
                <w:szCs w:val="24"/>
              </w:rPr>
              <w:t>本期賸餘</w:t>
            </w:r>
          </w:p>
        </w:tc>
        <w:tc>
          <w:tcPr>
            <w:tcW w:w="1023" w:type="dxa"/>
            <w:tcBorders>
              <w:top w:val="single" w:sz="4" w:space="0" w:color="auto"/>
              <w:left w:val="single" w:sz="4" w:space="0" w:color="auto"/>
              <w:bottom w:val="single" w:sz="12"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567,780</w:t>
            </w:r>
          </w:p>
        </w:tc>
        <w:tc>
          <w:tcPr>
            <w:tcW w:w="1168" w:type="dxa"/>
            <w:tcBorders>
              <w:top w:val="single" w:sz="4" w:space="0" w:color="auto"/>
              <w:left w:val="single" w:sz="4" w:space="0" w:color="auto"/>
              <w:bottom w:val="single" w:sz="12"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627,979</w:t>
            </w:r>
          </w:p>
        </w:tc>
        <w:tc>
          <w:tcPr>
            <w:tcW w:w="1128" w:type="dxa"/>
            <w:tcBorders>
              <w:top w:val="single" w:sz="4" w:space="0" w:color="auto"/>
              <w:left w:val="single" w:sz="4" w:space="0" w:color="auto"/>
              <w:bottom w:val="single" w:sz="12"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788,181</w:t>
            </w:r>
          </w:p>
        </w:tc>
        <w:tc>
          <w:tcPr>
            <w:tcW w:w="1237" w:type="dxa"/>
            <w:tcBorders>
              <w:top w:val="single" w:sz="4" w:space="0" w:color="auto"/>
              <w:left w:val="single" w:sz="4" w:space="0" w:color="auto"/>
              <w:bottom w:val="single" w:sz="12"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1,039,754</w:t>
            </w:r>
          </w:p>
        </w:tc>
        <w:tc>
          <w:tcPr>
            <w:tcW w:w="1155" w:type="dxa"/>
            <w:tcBorders>
              <w:top w:val="single" w:sz="4" w:space="0" w:color="auto"/>
              <w:left w:val="single" w:sz="4" w:space="0" w:color="auto"/>
              <w:bottom w:val="single" w:sz="12"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771,946</w:t>
            </w:r>
          </w:p>
        </w:tc>
      </w:tr>
    </w:tbl>
    <w:p w:rsidR="0003106C" w:rsidRPr="008F26C2" w:rsidRDefault="0003106C" w:rsidP="003D2C2B">
      <w:pPr>
        <w:spacing w:line="280" w:lineRule="exact"/>
        <w:ind w:leftChars="0" w:left="1380" w:hangingChars="575" w:hanging="1380"/>
        <w:rPr>
          <w:rFonts w:hAnsi="標楷體"/>
          <w:sz w:val="24"/>
        </w:rPr>
      </w:pPr>
      <w:r w:rsidRPr="008F26C2">
        <w:rPr>
          <w:rFonts w:hAnsi="標楷體" w:hint="eastAsia"/>
          <w:sz w:val="24"/>
        </w:rPr>
        <w:t>說　　明：1.</w:t>
      </w:r>
      <w:r w:rsidR="003D2C2B" w:rsidRPr="008F26C2">
        <w:rPr>
          <w:rFonts w:hAnsi="標楷體" w:hint="eastAsia"/>
          <w:sz w:val="24"/>
        </w:rPr>
        <w:t>3項核心業務</w:t>
      </w:r>
      <w:r w:rsidR="00543722" w:rsidRPr="008F26C2">
        <w:rPr>
          <w:rFonts w:hAnsi="標楷體" w:hint="eastAsia"/>
          <w:sz w:val="24"/>
        </w:rPr>
        <w:t>收支</w:t>
      </w:r>
      <w:r w:rsidR="003D2C2B" w:rsidRPr="008F26C2">
        <w:rPr>
          <w:rFonts w:hAnsi="標楷體" w:hint="eastAsia"/>
          <w:sz w:val="24"/>
        </w:rPr>
        <w:t>預算編列科目為：</w:t>
      </w:r>
      <w:r w:rsidR="00543722" w:rsidRPr="008F26C2">
        <w:rPr>
          <w:rFonts w:hAnsi="標楷體" w:hint="eastAsia"/>
          <w:sz w:val="24"/>
        </w:rPr>
        <w:t>收入編列於「服務收入」；「支出」項下</w:t>
      </w:r>
      <w:r w:rsidR="003D2C2B" w:rsidRPr="008F26C2">
        <w:rPr>
          <w:rFonts w:hAnsi="標楷體" w:hint="eastAsia"/>
          <w:sz w:val="24"/>
        </w:rPr>
        <w:t>技術服務所需費用編列於「服務成本」、技術開發及技術交流2項業務所需經費編列於「研究發展費用」</w:t>
      </w:r>
      <w:r w:rsidRPr="008F26C2">
        <w:rPr>
          <w:rFonts w:hAnsi="標楷體" w:hint="eastAsia"/>
          <w:sz w:val="24"/>
        </w:rPr>
        <w:t>。</w:t>
      </w:r>
    </w:p>
    <w:p w:rsidR="0003106C" w:rsidRPr="008F26C2" w:rsidRDefault="0003106C" w:rsidP="0003106C">
      <w:pPr>
        <w:spacing w:line="280" w:lineRule="exact"/>
        <w:ind w:leftChars="425" w:left="1430" w:hangingChars="100" w:hanging="240"/>
        <w:rPr>
          <w:rFonts w:hAnsi="標楷體" w:hint="eastAsia"/>
          <w:sz w:val="24"/>
        </w:rPr>
      </w:pPr>
      <w:r w:rsidRPr="008F26C2">
        <w:rPr>
          <w:rFonts w:hAnsi="標楷體" w:hint="eastAsia"/>
          <w:sz w:val="24"/>
        </w:rPr>
        <w:t>2</w:t>
      </w:r>
      <w:r w:rsidRPr="008F26C2">
        <w:rPr>
          <w:rFonts w:hAnsi="標楷體"/>
          <w:sz w:val="24"/>
        </w:rPr>
        <w:t>.</w:t>
      </w:r>
      <w:r w:rsidRPr="008F26C2">
        <w:rPr>
          <w:rFonts w:hAnsi="標楷體" w:hint="eastAsia"/>
          <w:sz w:val="24"/>
        </w:rPr>
        <w:t>113年度決算尚未經董事會決議同過，故表內數字為</w:t>
      </w:r>
      <w:r w:rsidR="001475D1" w:rsidRPr="008F26C2">
        <w:rPr>
          <w:rFonts w:hAnsi="標楷體" w:hint="eastAsia"/>
          <w:sz w:val="24"/>
        </w:rPr>
        <w:t>該顧問工程司</w:t>
      </w:r>
      <w:r w:rsidRPr="008F26C2">
        <w:rPr>
          <w:rFonts w:hAnsi="標楷體" w:hint="eastAsia"/>
          <w:sz w:val="24"/>
        </w:rPr>
        <w:t>自結數。</w:t>
      </w:r>
    </w:p>
    <w:p w:rsidR="0003106C" w:rsidRPr="008F26C2" w:rsidRDefault="0003106C" w:rsidP="0003106C">
      <w:pPr>
        <w:spacing w:line="280" w:lineRule="exact"/>
        <w:ind w:leftChars="0" w:left="1200" w:hangingChars="500" w:hanging="1200"/>
        <w:rPr>
          <w:rFonts w:hAnsi="標楷體"/>
          <w:sz w:val="24"/>
          <w:lang w:eastAsia="zh-HK"/>
        </w:rPr>
      </w:pPr>
      <w:bookmarkStart w:id="21" w:name="_Hlk194067805"/>
      <w:r w:rsidRPr="008F26C2">
        <w:rPr>
          <w:rFonts w:hAnsi="標楷體" w:hint="eastAsia"/>
          <w:sz w:val="24"/>
        </w:rPr>
        <w:t>資料來源：整理自中華顧問工程司110至112年度決算、114年度預算案及</w:t>
      </w:r>
      <w:r w:rsidR="001475D1" w:rsidRPr="008F26C2">
        <w:rPr>
          <w:rFonts w:hAnsi="標楷體" w:hint="eastAsia"/>
          <w:sz w:val="24"/>
        </w:rPr>
        <w:t>該顧問工程司</w:t>
      </w:r>
      <w:r w:rsidRPr="008F26C2">
        <w:rPr>
          <w:rFonts w:hAnsi="標楷體" w:hint="eastAsia"/>
          <w:sz w:val="24"/>
        </w:rPr>
        <w:t>提供資料；本中心製表</w:t>
      </w:r>
      <w:r w:rsidRPr="008F26C2">
        <w:rPr>
          <w:rFonts w:hAnsi="標楷體" w:hint="eastAsia"/>
          <w:sz w:val="24"/>
          <w:lang w:eastAsia="zh-HK"/>
        </w:rPr>
        <w:t>。</w:t>
      </w:r>
    </w:p>
    <w:bookmarkEnd w:id="19"/>
    <w:bookmarkEnd w:id="21"/>
    <w:p w:rsidR="0062681D" w:rsidRPr="008F26C2" w:rsidRDefault="0062681D" w:rsidP="0062681D">
      <w:pPr>
        <w:ind w:left="560" w:firstLine="560"/>
        <w:rPr>
          <w:rFonts w:hAnsi="標楷體"/>
        </w:rPr>
      </w:pPr>
      <w:r w:rsidRPr="008F26C2">
        <w:rPr>
          <w:rFonts w:hAnsi="標楷體" w:hint="eastAsia"/>
        </w:rPr>
        <w:t>綜上，</w:t>
      </w:r>
      <w:r w:rsidR="00FC53E0" w:rsidRPr="008F26C2">
        <w:rPr>
          <w:rFonts w:hAnsi="標楷體" w:hint="eastAsia"/>
        </w:rPr>
        <w:t>中華顧問工程司</w:t>
      </w:r>
      <w:r w:rsidR="00BC76C0" w:rsidRPr="008F26C2">
        <w:rPr>
          <w:rFonts w:hAnsi="標楷體" w:hint="eastAsia"/>
        </w:rPr>
        <w:t>主要業務</w:t>
      </w:r>
      <w:r w:rsidR="00CD6304" w:rsidRPr="008F26C2">
        <w:rPr>
          <w:rFonts w:hAnsi="標楷體" w:hint="eastAsia"/>
        </w:rPr>
        <w:t>近年</w:t>
      </w:r>
      <w:r w:rsidR="00BC76C0" w:rsidRPr="008F26C2">
        <w:rPr>
          <w:rFonts w:hAnsi="標楷體" w:hint="eastAsia"/>
        </w:rPr>
        <w:t>獲利能力不足，持續虧損</w:t>
      </w:r>
      <w:r w:rsidR="002B7CC1" w:rsidRPr="008F26C2">
        <w:rPr>
          <w:rFonts w:hAnsi="標楷體" w:hint="eastAsia"/>
        </w:rPr>
        <w:t>，</w:t>
      </w:r>
      <w:bookmarkStart w:id="22" w:name="_Hlk194326805"/>
      <w:r w:rsidR="002B7CC1" w:rsidRPr="008F26C2">
        <w:rPr>
          <w:rFonts w:hAnsi="標楷體" w:hint="eastAsia"/>
        </w:rPr>
        <w:t>均需仰賴資產與投資收益等業務外收入挹注</w:t>
      </w:r>
      <w:bookmarkEnd w:id="22"/>
      <w:r w:rsidR="002B7CC1" w:rsidRPr="008F26C2">
        <w:rPr>
          <w:rFonts w:hAnsi="標楷體" w:hint="eastAsia"/>
        </w:rPr>
        <w:t>，始達年度賸餘，</w:t>
      </w:r>
      <w:r w:rsidRPr="008F26C2">
        <w:rPr>
          <w:rFonts w:hAnsi="標楷體" w:hint="eastAsia"/>
        </w:rPr>
        <w:t>114年度預算案編列</w:t>
      </w:r>
      <w:r w:rsidR="00DE7693" w:rsidRPr="008F26C2">
        <w:rPr>
          <w:rFonts w:hAnsi="標楷體" w:hint="eastAsia"/>
        </w:rPr>
        <w:t>主要業務收支扣抵後，預計短絀7,266萬3千元</w:t>
      </w:r>
      <w:r w:rsidRPr="008F26C2">
        <w:rPr>
          <w:rFonts w:hAnsi="標楷體" w:hint="eastAsia"/>
        </w:rPr>
        <w:t>，為近</w:t>
      </w:r>
      <w:r w:rsidR="00CD6304">
        <w:rPr>
          <w:rFonts w:hAnsi="標楷體" w:hint="eastAsia"/>
        </w:rPr>
        <w:t>5</w:t>
      </w:r>
      <w:r w:rsidRPr="008F26C2">
        <w:rPr>
          <w:rFonts w:hAnsi="標楷體" w:hint="eastAsia"/>
        </w:rPr>
        <w:t>年來最</w:t>
      </w:r>
      <w:r w:rsidR="00DE7693" w:rsidRPr="008F26C2">
        <w:rPr>
          <w:rFonts w:hAnsi="標楷體" w:hint="eastAsia"/>
        </w:rPr>
        <w:t>高</w:t>
      </w:r>
      <w:r w:rsidRPr="008F26C2">
        <w:rPr>
          <w:rFonts w:hAnsi="標楷體" w:hint="eastAsia"/>
        </w:rPr>
        <w:t>，允</w:t>
      </w:r>
      <w:r w:rsidR="00BC76C0" w:rsidRPr="008F26C2">
        <w:rPr>
          <w:rFonts w:hAnsi="標楷體" w:hint="eastAsia"/>
        </w:rPr>
        <w:t>宜</w:t>
      </w:r>
      <w:r w:rsidRPr="008F26C2">
        <w:rPr>
          <w:rFonts w:hAnsi="標楷體" w:hint="eastAsia"/>
        </w:rPr>
        <w:t>妥慎檢視相關成因，並謀改善對策，以</w:t>
      </w:r>
      <w:r w:rsidRPr="008F26C2">
        <w:rPr>
          <w:rFonts w:hAnsi="標楷體" w:hint="eastAsia"/>
          <w:lang w:eastAsia="zh-HK"/>
        </w:rPr>
        <w:t>增裕整體</w:t>
      </w:r>
      <w:r w:rsidRPr="008F26C2">
        <w:rPr>
          <w:rFonts w:hAnsi="標楷體" w:hint="eastAsia"/>
        </w:rPr>
        <w:t>收益。</w:t>
      </w:r>
    </w:p>
    <w:p w:rsidR="00CE57BE" w:rsidRPr="008F26C2" w:rsidRDefault="00CE57BE" w:rsidP="00AA755E">
      <w:pPr>
        <w:pStyle w:val="14"/>
        <w:ind w:leftChars="-1" w:left="558" w:hanging="561"/>
        <w:rPr>
          <w:rFonts w:hAnsi="標楷體" w:hint="eastAsia"/>
        </w:rPr>
      </w:pPr>
      <w:bookmarkStart w:id="23" w:name="_Toc66799473"/>
      <w:bookmarkEnd w:id="0"/>
      <w:bookmarkEnd w:id="1"/>
      <w:bookmarkEnd w:id="3"/>
      <w:bookmarkEnd w:id="4"/>
      <w:bookmarkEnd w:id="5"/>
      <w:bookmarkEnd w:id="6"/>
      <w:bookmarkEnd w:id="17"/>
      <w:bookmarkEnd w:id="18"/>
    </w:p>
    <w:p w:rsidR="00B61284" w:rsidRPr="008F26C2" w:rsidRDefault="00B61284" w:rsidP="00AE3D1E">
      <w:pPr>
        <w:pStyle w:val="14"/>
        <w:ind w:left="561" w:hanging="561"/>
        <w:rPr>
          <w:rFonts w:hAnsi="標楷體"/>
        </w:rPr>
      </w:pPr>
      <w:bookmarkStart w:id="24" w:name="_Toc98861525"/>
      <w:bookmarkStart w:id="25" w:name="_Toc163822786"/>
      <w:bookmarkStart w:id="26" w:name="_Toc194504496"/>
      <w:r w:rsidRPr="008F26C2">
        <w:rPr>
          <w:rFonts w:hAnsi="標楷體" w:hint="eastAsia"/>
        </w:rPr>
        <w:t>三、</w:t>
      </w:r>
      <w:r w:rsidR="00AE3D1E" w:rsidRPr="008F26C2">
        <w:rPr>
          <w:rFonts w:hAnsi="標楷體" w:hint="eastAsia"/>
        </w:rPr>
        <w:t>近年</w:t>
      </w:r>
      <w:r w:rsidR="00B61BDD" w:rsidRPr="008F26C2">
        <w:rPr>
          <w:rFonts w:hAnsi="標楷體" w:hint="eastAsia"/>
        </w:rPr>
        <w:t>董事會成員性別比例未達交通部推動之性別平等目標</w:t>
      </w:r>
      <w:r w:rsidRPr="008F26C2">
        <w:rPr>
          <w:rFonts w:hAnsi="標楷體" w:hint="eastAsia"/>
        </w:rPr>
        <w:t>，允宜檢討改善，以促進女性決策參與之性別平等</w:t>
      </w:r>
      <w:bookmarkEnd w:id="24"/>
      <w:r w:rsidRPr="008F26C2">
        <w:rPr>
          <w:rFonts w:hAnsi="標楷體" w:hint="eastAsia"/>
        </w:rPr>
        <w:t>意旨</w:t>
      </w:r>
      <w:bookmarkEnd w:id="25"/>
      <w:bookmarkEnd w:id="26"/>
    </w:p>
    <w:p w:rsidR="00B61284" w:rsidRPr="008F26C2" w:rsidRDefault="00D23E8F" w:rsidP="00B61284">
      <w:pPr>
        <w:spacing w:line="480" w:lineRule="exact"/>
        <w:ind w:left="560" w:firstLine="560"/>
        <w:rPr>
          <w:rFonts w:hAnsi="標楷體"/>
          <w:color w:val="FF0000"/>
        </w:rPr>
      </w:pPr>
      <w:bookmarkStart w:id="27" w:name="_Hlk194394479"/>
      <w:r w:rsidRPr="008F26C2">
        <w:rPr>
          <w:rFonts w:hAnsi="標楷體" w:hint="eastAsia"/>
        </w:rPr>
        <w:t>中華顧問工程司114年度預算案於「支出-其他支出」項下編列董監事費用163萬2千元，係14位董事與2位監察人之兼職費用，另董事長薪酬編列於「支出-人事費用」338萬9千元</w:t>
      </w:r>
      <w:bookmarkEnd w:id="27"/>
      <w:r w:rsidR="00C13E1F" w:rsidRPr="008F26C2">
        <w:rPr>
          <w:rStyle w:val="af3"/>
          <w:rFonts w:hAnsi="標楷體"/>
        </w:rPr>
        <w:footnoteReference w:id="4"/>
      </w:r>
      <w:r w:rsidR="00B61284" w:rsidRPr="008F26C2">
        <w:rPr>
          <w:rFonts w:hAnsi="標楷體" w:hint="eastAsia"/>
          <w:snapToGrid/>
        </w:rPr>
        <w:t>。經查：</w:t>
      </w:r>
    </w:p>
    <w:p w:rsidR="00B61284" w:rsidRPr="008F26C2" w:rsidRDefault="00B61284" w:rsidP="005918E0">
      <w:pPr>
        <w:pStyle w:val="a4"/>
        <w:ind w:left="840" w:hanging="280"/>
        <w:rPr>
          <w:rFonts w:hAnsi="標楷體"/>
          <w:b/>
          <w:bCs/>
          <w:snapToGrid/>
        </w:rPr>
      </w:pPr>
      <w:r w:rsidRPr="008F26C2">
        <w:rPr>
          <w:rFonts w:hAnsi="標楷體"/>
          <w:b/>
          <w:bCs/>
          <w:snapToGrid/>
        </w:rPr>
        <w:t>(一)</w:t>
      </w:r>
      <w:r w:rsidR="00B61BDD" w:rsidRPr="008F26C2">
        <w:rPr>
          <w:rFonts w:hAnsi="標楷體" w:hint="eastAsia"/>
          <w:b/>
          <w:bCs/>
          <w:snapToGrid/>
        </w:rPr>
        <w:t>交通部將性別比例納入財團法人業務監督及績效考評指標</w:t>
      </w:r>
    </w:p>
    <w:p w:rsidR="00B61284" w:rsidRPr="008F26C2" w:rsidRDefault="00B61284" w:rsidP="005918E0">
      <w:pPr>
        <w:pStyle w:val="21"/>
        <w:ind w:left="840" w:firstLine="560"/>
        <w:rPr>
          <w:rFonts w:hAnsi="標楷體"/>
          <w:snapToGrid/>
        </w:rPr>
      </w:pPr>
      <w:r w:rsidRPr="008F26C2">
        <w:rPr>
          <w:rFonts w:hAnsi="標楷體" w:hint="eastAsia"/>
          <w:snapToGrid/>
        </w:rPr>
        <w:t>行政院於</w:t>
      </w:r>
      <w:r w:rsidRPr="008F26C2">
        <w:rPr>
          <w:rFonts w:hAnsi="標楷體"/>
          <w:snapToGrid/>
        </w:rPr>
        <w:t>100</w:t>
      </w:r>
      <w:r w:rsidRPr="008F26C2">
        <w:rPr>
          <w:rFonts w:hAnsi="標楷體" w:hint="eastAsia"/>
          <w:snapToGrid/>
        </w:rPr>
        <w:t>年函頒「性別平等政策綱領」，內容涵蓋</w:t>
      </w:r>
      <w:r w:rsidRPr="008F26C2">
        <w:rPr>
          <w:rFonts w:hAnsi="標楷體"/>
          <w:snapToGrid/>
        </w:rPr>
        <w:t>7</w:t>
      </w:r>
      <w:r w:rsidRPr="008F26C2">
        <w:rPr>
          <w:rFonts w:hAnsi="標楷體" w:hint="eastAsia"/>
          <w:snapToGrid/>
        </w:rPr>
        <w:t>大領域之政策願景與內涵，以及</w:t>
      </w:r>
      <w:r w:rsidRPr="008F26C2">
        <w:rPr>
          <w:rFonts w:hAnsi="標楷體"/>
          <w:snapToGrid/>
        </w:rPr>
        <w:t>255</w:t>
      </w:r>
      <w:r w:rsidRPr="008F26C2">
        <w:rPr>
          <w:rFonts w:hAnsi="標楷體" w:hint="eastAsia"/>
          <w:snapToGrid/>
        </w:rPr>
        <w:t>項具體行動措施，作為我國性別平等政策最高指導方針，並於</w:t>
      </w:r>
      <w:r w:rsidRPr="008F26C2">
        <w:rPr>
          <w:rFonts w:hAnsi="標楷體"/>
          <w:snapToGrid/>
        </w:rPr>
        <w:t>106</w:t>
      </w:r>
      <w:r w:rsidRPr="008F26C2">
        <w:rPr>
          <w:rFonts w:hAnsi="標楷體" w:hint="eastAsia"/>
          <w:snapToGrid/>
        </w:rPr>
        <w:t>年</w:t>
      </w:r>
      <w:r w:rsidRPr="008F26C2">
        <w:rPr>
          <w:rFonts w:hAnsi="標楷體"/>
          <w:snapToGrid/>
        </w:rPr>
        <w:t>1</w:t>
      </w:r>
      <w:r w:rsidRPr="008F26C2">
        <w:rPr>
          <w:rFonts w:hAnsi="標楷體" w:hint="eastAsia"/>
          <w:snapToGrid/>
        </w:rPr>
        <w:t>月</w:t>
      </w:r>
      <w:r w:rsidRPr="008F26C2">
        <w:rPr>
          <w:rFonts w:hAnsi="標楷體"/>
          <w:snapToGrid/>
        </w:rPr>
        <w:t>3</w:t>
      </w:r>
      <w:r w:rsidRPr="008F26C2">
        <w:rPr>
          <w:rFonts w:hAnsi="標楷體" w:hint="eastAsia"/>
          <w:snapToGrid/>
        </w:rPr>
        <w:t>日及</w:t>
      </w:r>
      <w:r w:rsidRPr="008F26C2">
        <w:rPr>
          <w:rFonts w:hAnsi="標楷體"/>
          <w:snapToGrid/>
        </w:rPr>
        <w:t>110</w:t>
      </w:r>
      <w:r w:rsidRPr="008F26C2">
        <w:rPr>
          <w:rFonts w:hAnsi="標楷體" w:hint="eastAsia"/>
          <w:snapToGrid/>
        </w:rPr>
        <w:t>年</w:t>
      </w:r>
      <w:r w:rsidRPr="008F26C2">
        <w:rPr>
          <w:rFonts w:hAnsi="標楷體"/>
          <w:snapToGrid/>
        </w:rPr>
        <w:t>5</w:t>
      </w:r>
      <w:r w:rsidRPr="008F26C2">
        <w:rPr>
          <w:rFonts w:hAnsi="標楷體" w:hint="eastAsia"/>
          <w:snapToGrid/>
        </w:rPr>
        <w:t>月</w:t>
      </w:r>
      <w:r w:rsidRPr="008F26C2">
        <w:rPr>
          <w:rFonts w:hAnsi="標楷體"/>
          <w:snapToGrid/>
        </w:rPr>
        <w:t>19</w:t>
      </w:r>
      <w:r w:rsidRPr="008F26C2">
        <w:rPr>
          <w:rFonts w:hAnsi="標楷體" w:hint="eastAsia"/>
          <w:snapToGrid/>
        </w:rPr>
        <w:t>日二次修正函頒，</w:t>
      </w:r>
      <w:r w:rsidRPr="008F26C2">
        <w:rPr>
          <w:rFonts w:hAnsi="標楷體"/>
          <w:snapToGrid/>
        </w:rPr>
        <w:t>110</w:t>
      </w:r>
      <w:r w:rsidRPr="008F26C2">
        <w:rPr>
          <w:rFonts w:hAnsi="標楷體" w:hint="eastAsia"/>
          <w:snapToGrid/>
        </w:rPr>
        <w:t>年修正重點，於五、推動策略(一)「權力、決策與影響力」中，載明推動性別平衡原則，縮小決策權力職位之性別差距，達成權力平等。</w:t>
      </w:r>
      <w:r w:rsidR="007972DB" w:rsidRPr="008F26C2">
        <w:rPr>
          <w:rFonts w:hAnsi="標楷體" w:hint="eastAsia"/>
          <w:snapToGrid/>
        </w:rPr>
        <w:t>交通部依循該綱領</w:t>
      </w:r>
      <w:r w:rsidRPr="008F26C2">
        <w:rPr>
          <w:rFonts w:hAnsi="標楷體" w:hint="eastAsia"/>
          <w:snapToGrid/>
        </w:rPr>
        <w:t>，就「促進公私部門決策參與之性別平等」之性別議題除擬訂具體做法外，並將「政府捐助財團法人及國營事業董監事任一性別比例達三分之一」納入</w:t>
      </w:r>
      <w:r w:rsidR="00CD6304">
        <w:rPr>
          <w:rFonts w:hAnsi="標楷體" w:hint="eastAsia"/>
          <w:snapToGrid/>
        </w:rPr>
        <w:t>「</w:t>
      </w:r>
      <w:r w:rsidR="005E2A96" w:rsidRPr="008F26C2">
        <w:rPr>
          <w:rFonts w:hAnsi="標楷體" w:hint="eastAsia"/>
          <w:snapToGrid/>
        </w:rPr>
        <w:t>交通部與所屬事業機構派任公民營事業機構及財團法人機關代表遴選管理及考核要點</w:t>
      </w:r>
      <w:r w:rsidR="00C262D0">
        <w:rPr>
          <w:rFonts w:hAnsi="標楷體" w:hint="eastAsia"/>
          <w:snapToGrid/>
        </w:rPr>
        <w:t>」</w:t>
      </w:r>
      <w:r w:rsidR="005E2A96" w:rsidRPr="008F26C2">
        <w:rPr>
          <w:rStyle w:val="af3"/>
          <w:rFonts w:hAnsi="標楷體"/>
          <w:snapToGrid/>
        </w:rPr>
        <w:footnoteReference w:id="5"/>
      </w:r>
      <w:r w:rsidRPr="008F26C2">
        <w:rPr>
          <w:rFonts w:hAnsi="標楷體" w:hint="eastAsia"/>
          <w:snapToGrid/>
        </w:rPr>
        <w:t>。</w:t>
      </w:r>
    </w:p>
    <w:p w:rsidR="00B61284" w:rsidRPr="008F26C2" w:rsidRDefault="00B61284" w:rsidP="005918E0">
      <w:pPr>
        <w:pStyle w:val="a4"/>
        <w:ind w:left="840" w:hanging="280"/>
        <w:rPr>
          <w:rFonts w:hAnsi="標楷體"/>
          <w:b/>
          <w:bCs/>
        </w:rPr>
      </w:pPr>
      <w:r w:rsidRPr="008F26C2">
        <w:rPr>
          <w:rFonts w:hAnsi="標楷體"/>
          <w:b/>
          <w:bCs/>
        </w:rPr>
        <w:t>(</w:t>
      </w:r>
      <w:r w:rsidRPr="008F26C2">
        <w:rPr>
          <w:rFonts w:hAnsi="標楷體" w:hint="eastAsia"/>
          <w:b/>
          <w:bCs/>
        </w:rPr>
        <w:t>二)</w:t>
      </w:r>
      <w:r w:rsidR="005C58A9" w:rsidRPr="008F26C2">
        <w:rPr>
          <w:rFonts w:hAnsi="標楷體" w:hint="eastAsia"/>
          <w:b/>
          <w:bCs/>
        </w:rPr>
        <w:t>近年</w:t>
      </w:r>
      <w:r w:rsidRPr="008F26C2">
        <w:rPr>
          <w:rFonts w:hAnsi="標楷體" w:hint="eastAsia"/>
          <w:b/>
          <w:bCs/>
          <w:lang w:eastAsia="zh-HK"/>
        </w:rPr>
        <w:t>女性</w:t>
      </w:r>
      <w:r w:rsidRPr="008F26C2">
        <w:rPr>
          <w:rFonts w:hAnsi="標楷體" w:hint="eastAsia"/>
          <w:b/>
          <w:bCs/>
        </w:rPr>
        <w:t>董事占比均未達三分之一，</w:t>
      </w:r>
      <w:r w:rsidR="005C58A9" w:rsidRPr="008F26C2">
        <w:rPr>
          <w:rFonts w:hAnsi="標楷體" w:hint="eastAsia"/>
          <w:b/>
          <w:bCs/>
        </w:rPr>
        <w:t>性別比例仍待</w:t>
      </w:r>
      <w:r w:rsidR="002818D4" w:rsidRPr="008F26C2">
        <w:rPr>
          <w:rFonts w:hAnsi="標楷體" w:hint="eastAsia"/>
          <w:b/>
          <w:bCs/>
        </w:rPr>
        <w:t>提升</w:t>
      </w:r>
      <w:r w:rsidR="005C58A9" w:rsidRPr="008F26C2">
        <w:rPr>
          <w:rFonts w:hAnsi="標楷體" w:hint="eastAsia"/>
          <w:b/>
          <w:bCs/>
        </w:rPr>
        <w:t>，允宜檢討改善，以促進女性決策參與之性別平等意旨</w:t>
      </w:r>
    </w:p>
    <w:p w:rsidR="00B61284" w:rsidRPr="008F26C2" w:rsidRDefault="00B61284" w:rsidP="005918E0">
      <w:pPr>
        <w:pStyle w:val="21"/>
        <w:ind w:left="840" w:firstLine="560"/>
        <w:rPr>
          <w:rFonts w:hAnsi="標楷體"/>
        </w:rPr>
      </w:pPr>
      <w:r w:rsidRPr="008F26C2">
        <w:rPr>
          <w:rFonts w:hAnsi="標楷體" w:hint="eastAsia"/>
        </w:rPr>
        <w:t>依</w:t>
      </w:r>
      <w:r w:rsidR="002818D4" w:rsidRPr="008F26C2">
        <w:rPr>
          <w:rFonts w:hAnsi="標楷體" w:hint="eastAsia"/>
        </w:rPr>
        <w:t>前述相關規範，</w:t>
      </w:r>
      <w:r w:rsidR="002818D4" w:rsidRPr="008F26C2">
        <w:rPr>
          <w:rFonts w:hAnsi="標楷體" w:hint="eastAsia"/>
          <w:lang w:eastAsia="zh-HK"/>
        </w:rPr>
        <w:t>中華顧問工程司之董監事組成應符合「任一性別比例達三分之一」之原則</w:t>
      </w:r>
      <w:r w:rsidRPr="008F26C2">
        <w:rPr>
          <w:rFonts w:hAnsi="標楷體" w:hint="eastAsia"/>
        </w:rPr>
        <w:t>，</w:t>
      </w:r>
      <w:r w:rsidR="002818D4" w:rsidRPr="008F26C2">
        <w:rPr>
          <w:rFonts w:hAnsi="標楷體" w:hint="eastAsia"/>
        </w:rPr>
        <w:t>檢視</w:t>
      </w:r>
      <w:r w:rsidR="001475D1" w:rsidRPr="008F26C2">
        <w:rPr>
          <w:rFonts w:hAnsi="標楷體" w:hint="eastAsia"/>
        </w:rPr>
        <w:t>該顧問工程司</w:t>
      </w:r>
      <w:r w:rsidR="002818D4" w:rsidRPr="008F26C2">
        <w:rPr>
          <w:rFonts w:hAnsi="標楷體" w:hint="eastAsia"/>
        </w:rPr>
        <w:t>110至113年度統計數據，女性董事占比介於6.67%至26.66%，均未達三分之一門檻，112年度曾提升至26.66%，但113年度卻降至6.67%，114年度預計占比亦僅6.67%（詳表1），未能達成交通部所設定之性別平衡目標</w:t>
      </w:r>
      <w:r w:rsidRPr="008F26C2">
        <w:rPr>
          <w:rFonts w:hAnsi="標楷體" w:hint="eastAsia"/>
        </w:rPr>
        <w:t>。據</w:t>
      </w:r>
      <w:r w:rsidR="001475D1" w:rsidRPr="008F26C2">
        <w:rPr>
          <w:rFonts w:hAnsi="標楷體" w:hint="eastAsia"/>
        </w:rPr>
        <w:t>該顧問工程司</w:t>
      </w:r>
      <w:r w:rsidRPr="008F26C2">
        <w:rPr>
          <w:rFonts w:hAnsi="標楷體" w:hint="eastAsia"/>
        </w:rPr>
        <w:t>說明，</w:t>
      </w:r>
      <w:r w:rsidR="007B1D8C" w:rsidRPr="008F26C2">
        <w:rPr>
          <w:rFonts w:hAnsi="標楷體" w:hint="eastAsia"/>
        </w:rPr>
        <w:t>董事成員多由主管機關遴聘或捐助人指派，非中華顧問工程司指派，無法將董監事性別比例最低標準修正於章程內</w:t>
      </w:r>
      <w:r w:rsidR="00DE0485" w:rsidRPr="008F26C2">
        <w:rPr>
          <w:rFonts w:hAnsi="標楷體" w:hint="eastAsia"/>
        </w:rPr>
        <w:t>。</w:t>
      </w:r>
      <w:r w:rsidR="002818D4" w:rsidRPr="008F26C2">
        <w:rPr>
          <w:rFonts w:hAnsi="標楷體" w:hint="eastAsia"/>
        </w:rPr>
        <w:t>然而，</w:t>
      </w:r>
      <w:r w:rsidR="00DE0485" w:rsidRPr="008F26C2">
        <w:rPr>
          <w:rFonts w:hAnsi="標楷體" w:hint="eastAsia"/>
        </w:rPr>
        <w:t>為符</w:t>
      </w:r>
      <w:r w:rsidR="001475D1" w:rsidRPr="008F26C2">
        <w:rPr>
          <w:rFonts w:hAnsi="標楷體" w:hint="eastAsia"/>
        </w:rPr>
        <w:t>合</w:t>
      </w:r>
      <w:r w:rsidR="00DE0485" w:rsidRPr="008F26C2">
        <w:rPr>
          <w:rFonts w:hAnsi="標楷體" w:hint="eastAsia"/>
        </w:rPr>
        <w:t>交通部所推動性別平等之政策目標，</w:t>
      </w:r>
      <w:r w:rsidRPr="008F26C2">
        <w:rPr>
          <w:rFonts w:hAnsi="標楷體" w:hint="eastAsia"/>
          <w:lang w:eastAsia="zh-HK"/>
        </w:rPr>
        <w:t>允宜於</w:t>
      </w:r>
      <w:r w:rsidRPr="008F26C2">
        <w:rPr>
          <w:rFonts w:hAnsi="標楷體" w:hint="eastAsia"/>
        </w:rPr>
        <w:t>董事出缺時，積極協調相關遴薦單位優先推薦女性人選，落實性別比例原則</w:t>
      </w:r>
      <w:r w:rsidR="001475D1" w:rsidRPr="008F26C2">
        <w:rPr>
          <w:rFonts w:hAnsi="標楷體" w:hint="eastAsia"/>
        </w:rPr>
        <w:t>，以促進女性決策參與之性別平等意旨</w:t>
      </w:r>
      <w:r w:rsidRPr="008F26C2">
        <w:rPr>
          <w:rFonts w:hAnsi="標楷體" w:hint="eastAsia"/>
        </w:rPr>
        <w:t>。</w:t>
      </w:r>
    </w:p>
    <w:p w:rsidR="00B61284" w:rsidRPr="008F26C2" w:rsidRDefault="00B61284" w:rsidP="00B61284">
      <w:pPr>
        <w:adjustRightInd w:val="0"/>
        <w:ind w:leftChars="0" w:left="0" w:firstLineChars="0" w:firstLine="0"/>
        <w:rPr>
          <w:rFonts w:hAnsi="標楷體" w:hint="eastAsia"/>
          <w:bCs/>
          <w:sz w:val="24"/>
          <w:szCs w:val="24"/>
        </w:rPr>
      </w:pPr>
      <w:r w:rsidRPr="008F26C2">
        <w:rPr>
          <w:rFonts w:hAnsi="標楷體" w:hint="eastAsia"/>
          <w:b/>
          <w:color w:val="000000"/>
        </w:rPr>
        <w:t>表1</w:t>
      </w:r>
      <w:r w:rsidRPr="008F26C2">
        <w:rPr>
          <w:rFonts w:hAnsi="標楷體" w:hint="eastAsia"/>
          <w:b/>
        </w:rPr>
        <w:t xml:space="preserve">　</w:t>
      </w:r>
      <w:r w:rsidRPr="008F26C2">
        <w:rPr>
          <w:rFonts w:hAnsi="標楷體" w:hint="eastAsia"/>
          <w:b/>
          <w:color w:val="000000"/>
        </w:rPr>
        <w:t>110至114年度</w:t>
      </w:r>
      <w:r w:rsidRPr="008F26C2">
        <w:rPr>
          <w:rFonts w:hAnsi="標楷體" w:hint="eastAsia"/>
          <w:b/>
          <w:color w:val="000000"/>
          <w:lang w:eastAsia="zh-HK"/>
        </w:rPr>
        <w:t>中華顧問工程司</w:t>
      </w:r>
      <w:r w:rsidRPr="008F26C2">
        <w:rPr>
          <w:rFonts w:hAnsi="標楷體" w:hint="eastAsia"/>
          <w:b/>
          <w:color w:val="000000"/>
        </w:rPr>
        <w:t>董事、監察人性別分布情形</w:t>
      </w:r>
    </w:p>
    <w:p w:rsidR="00B61284" w:rsidRPr="008F26C2" w:rsidRDefault="00B61284" w:rsidP="005918E0">
      <w:pPr>
        <w:adjustRightInd w:val="0"/>
        <w:spacing w:line="400" w:lineRule="exact"/>
        <w:ind w:leftChars="0" w:left="0" w:firstLineChars="0" w:firstLine="0"/>
        <w:jc w:val="right"/>
        <w:rPr>
          <w:rFonts w:hAnsi="標楷體"/>
          <w:snapToGrid/>
          <w:color w:val="000000"/>
          <w:sz w:val="24"/>
        </w:rPr>
      </w:pPr>
      <w:r w:rsidRPr="008F26C2">
        <w:rPr>
          <w:rFonts w:hAnsi="標楷體"/>
          <w:snapToGrid/>
          <w:color w:val="000000"/>
          <w:sz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419"/>
        <w:gridCol w:w="1418"/>
        <w:gridCol w:w="1419"/>
        <w:gridCol w:w="1418"/>
        <w:gridCol w:w="1419"/>
      </w:tblGrid>
      <w:tr w:rsidR="00B61284" w:rsidRPr="008F26C2" w:rsidTr="005918E0">
        <w:trPr>
          <w:trHeight w:val="351"/>
          <w:tblHeader/>
        </w:trPr>
        <w:tc>
          <w:tcPr>
            <w:tcW w:w="1418" w:type="dxa"/>
            <w:tcBorders>
              <w:top w:val="single" w:sz="12" w:space="0" w:color="auto"/>
              <w:left w:val="single" w:sz="12" w:space="0" w:color="auto"/>
              <w:bottom w:val="double" w:sz="4" w:space="0" w:color="auto"/>
              <w:right w:val="single" w:sz="6" w:space="0" w:color="auto"/>
            </w:tcBorders>
            <w:vAlign w:val="center"/>
            <w:hideMark/>
          </w:tcPr>
          <w:p w:rsidR="00B61284" w:rsidRPr="008F26C2" w:rsidRDefault="00B61284" w:rsidP="005918E0">
            <w:pPr>
              <w:adjustRightInd w:val="0"/>
              <w:snapToGrid w:val="0"/>
              <w:spacing w:line="400" w:lineRule="exact"/>
              <w:ind w:leftChars="0" w:left="0" w:firstLineChars="0" w:firstLine="0"/>
              <w:jc w:val="center"/>
              <w:rPr>
                <w:rFonts w:hAnsi="標楷體"/>
                <w:snapToGrid/>
                <w:sz w:val="24"/>
              </w:rPr>
            </w:pPr>
            <w:bookmarkStart w:id="28" w:name="_Hlk194394353"/>
            <w:r w:rsidRPr="008F26C2">
              <w:rPr>
                <w:rFonts w:hAnsi="標楷體" w:hint="eastAsia"/>
                <w:snapToGrid/>
                <w:color w:val="000000"/>
                <w:sz w:val="24"/>
              </w:rPr>
              <w:t>年度</w:t>
            </w:r>
          </w:p>
        </w:tc>
        <w:tc>
          <w:tcPr>
            <w:tcW w:w="1419" w:type="dxa"/>
            <w:tcBorders>
              <w:top w:val="single" w:sz="12" w:space="0" w:color="auto"/>
              <w:left w:val="single" w:sz="6" w:space="0" w:color="auto"/>
              <w:bottom w:val="double" w:sz="4" w:space="0" w:color="auto"/>
              <w:right w:val="single" w:sz="6" w:space="0" w:color="auto"/>
            </w:tcBorders>
            <w:vAlign w:val="center"/>
            <w:hideMark/>
          </w:tcPr>
          <w:p w:rsidR="00B61284" w:rsidRPr="008F26C2" w:rsidRDefault="00B61284"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類別</w:t>
            </w:r>
          </w:p>
        </w:tc>
        <w:tc>
          <w:tcPr>
            <w:tcW w:w="1418" w:type="dxa"/>
            <w:tcBorders>
              <w:top w:val="single" w:sz="12" w:space="0" w:color="auto"/>
              <w:left w:val="single" w:sz="6" w:space="0" w:color="auto"/>
              <w:bottom w:val="double" w:sz="4" w:space="0" w:color="auto"/>
              <w:right w:val="single" w:sz="6" w:space="0" w:color="auto"/>
            </w:tcBorders>
            <w:vAlign w:val="center"/>
            <w:hideMark/>
          </w:tcPr>
          <w:p w:rsidR="00B61284" w:rsidRPr="008F26C2" w:rsidRDefault="00B61284"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男性</w:t>
            </w:r>
          </w:p>
        </w:tc>
        <w:tc>
          <w:tcPr>
            <w:tcW w:w="1419" w:type="dxa"/>
            <w:tcBorders>
              <w:top w:val="single" w:sz="12" w:space="0" w:color="auto"/>
              <w:left w:val="single" w:sz="6" w:space="0" w:color="auto"/>
              <w:bottom w:val="double" w:sz="4" w:space="0" w:color="auto"/>
              <w:right w:val="single" w:sz="6" w:space="0" w:color="auto"/>
            </w:tcBorders>
            <w:vAlign w:val="center"/>
            <w:hideMark/>
          </w:tcPr>
          <w:p w:rsidR="00B61284" w:rsidRPr="008F26C2" w:rsidRDefault="00B61284"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女性</w:t>
            </w:r>
          </w:p>
        </w:tc>
        <w:tc>
          <w:tcPr>
            <w:tcW w:w="1418" w:type="dxa"/>
            <w:tcBorders>
              <w:top w:val="single" w:sz="12" w:space="0" w:color="auto"/>
              <w:left w:val="single" w:sz="6" w:space="0" w:color="auto"/>
              <w:bottom w:val="double" w:sz="4" w:space="0" w:color="auto"/>
              <w:right w:val="single" w:sz="6" w:space="0" w:color="auto"/>
            </w:tcBorders>
            <w:vAlign w:val="center"/>
            <w:hideMark/>
          </w:tcPr>
          <w:p w:rsidR="00B61284" w:rsidRPr="008F26C2" w:rsidRDefault="00B61284"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合計</w:t>
            </w:r>
          </w:p>
        </w:tc>
        <w:tc>
          <w:tcPr>
            <w:tcW w:w="1419" w:type="dxa"/>
            <w:tcBorders>
              <w:top w:val="single" w:sz="12" w:space="0" w:color="auto"/>
              <w:left w:val="single" w:sz="6" w:space="0" w:color="auto"/>
              <w:bottom w:val="double" w:sz="4" w:space="0" w:color="auto"/>
              <w:right w:val="single" w:sz="12" w:space="0" w:color="auto"/>
            </w:tcBorders>
            <w:vAlign w:val="center"/>
            <w:hideMark/>
          </w:tcPr>
          <w:p w:rsidR="00B61284" w:rsidRPr="008F26C2" w:rsidRDefault="00B61284"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女性占比</w:t>
            </w:r>
          </w:p>
        </w:tc>
      </w:tr>
      <w:tr w:rsidR="00D23E8F" w:rsidRPr="008F26C2" w:rsidTr="005918E0">
        <w:trPr>
          <w:trHeight w:val="351"/>
        </w:trPr>
        <w:tc>
          <w:tcPr>
            <w:tcW w:w="1418" w:type="dxa"/>
            <w:vMerge w:val="restart"/>
            <w:tcBorders>
              <w:top w:val="double" w:sz="4" w:space="0" w:color="auto"/>
              <w:left w:val="single" w:sz="12"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110年度</w:t>
            </w:r>
          </w:p>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實際數</w:t>
            </w:r>
          </w:p>
        </w:tc>
        <w:tc>
          <w:tcPr>
            <w:tcW w:w="1419" w:type="dxa"/>
            <w:tcBorders>
              <w:top w:val="double" w:sz="4"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董事</w:t>
            </w:r>
          </w:p>
        </w:tc>
        <w:tc>
          <w:tcPr>
            <w:tcW w:w="1418" w:type="dxa"/>
            <w:tcBorders>
              <w:top w:val="double" w:sz="4"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12</w:t>
            </w:r>
          </w:p>
        </w:tc>
        <w:tc>
          <w:tcPr>
            <w:tcW w:w="1419" w:type="dxa"/>
            <w:tcBorders>
              <w:top w:val="double" w:sz="4"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3</w:t>
            </w:r>
          </w:p>
        </w:tc>
        <w:tc>
          <w:tcPr>
            <w:tcW w:w="1418" w:type="dxa"/>
            <w:tcBorders>
              <w:top w:val="double" w:sz="4"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15</w:t>
            </w:r>
          </w:p>
        </w:tc>
        <w:tc>
          <w:tcPr>
            <w:tcW w:w="1419" w:type="dxa"/>
            <w:tcBorders>
              <w:top w:val="double" w:sz="4" w:space="0" w:color="auto"/>
              <w:left w:val="single" w:sz="6" w:space="0" w:color="auto"/>
              <w:bottom w:val="single" w:sz="6" w:space="0" w:color="auto"/>
              <w:right w:val="single" w:sz="12"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20</w:t>
            </w:r>
            <w:r w:rsidR="003639AE" w:rsidRPr="008F26C2">
              <w:rPr>
                <w:rFonts w:hAnsi="標楷體" w:hint="eastAsia"/>
                <w:sz w:val="24"/>
              </w:rPr>
              <w:t>.00</w:t>
            </w:r>
            <w:r w:rsidRPr="008F26C2">
              <w:rPr>
                <w:rFonts w:hAnsi="標楷體" w:hint="eastAsia"/>
                <w:sz w:val="24"/>
              </w:rPr>
              <w:t>%</w:t>
            </w:r>
          </w:p>
        </w:tc>
      </w:tr>
      <w:tr w:rsidR="00D23E8F" w:rsidRPr="008F26C2" w:rsidTr="005918E0">
        <w:trPr>
          <w:trHeight w:val="351"/>
        </w:trPr>
        <w:tc>
          <w:tcPr>
            <w:tcW w:w="1418" w:type="dxa"/>
            <w:vMerge/>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監察人</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2</w:t>
            </w:r>
          </w:p>
        </w:tc>
        <w:tc>
          <w:tcPr>
            <w:tcW w:w="1419" w:type="dxa"/>
            <w:tcBorders>
              <w:top w:val="single" w:sz="6" w:space="0" w:color="auto"/>
              <w:left w:val="single" w:sz="6" w:space="0" w:color="auto"/>
              <w:bottom w:val="single" w:sz="6" w:space="0" w:color="auto"/>
              <w:right w:val="single" w:sz="12" w:space="0" w:color="auto"/>
            </w:tcBorders>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50</w:t>
            </w:r>
            <w:r w:rsidR="003639AE" w:rsidRPr="008F26C2">
              <w:rPr>
                <w:rFonts w:hAnsi="標楷體" w:hint="eastAsia"/>
                <w:sz w:val="24"/>
              </w:rPr>
              <w:t>.00</w:t>
            </w:r>
            <w:r w:rsidRPr="008F26C2">
              <w:rPr>
                <w:rFonts w:hAnsi="標楷體" w:hint="eastAsia"/>
                <w:sz w:val="24"/>
              </w:rPr>
              <w:t>%</w:t>
            </w:r>
          </w:p>
        </w:tc>
      </w:tr>
      <w:tr w:rsidR="00D23E8F" w:rsidRPr="008F26C2" w:rsidTr="005918E0">
        <w:trPr>
          <w:trHeight w:val="351"/>
        </w:trPr>
        <w:tc>
          <w:tcPr>
            <w:tcW w:w="1418" w:type="dxa"/>
            <w:vMerge w:val="restart"/>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111年度</w:t>
            </w:r>
          </w:p>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實際數</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董事</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12</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3</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15</w:t>
            </w:r>
          </w:p>
        </w:tc>
        <w:tc>
          <w:tcPr>
            <w:tcW w:w="1419" w:type="dxa"/>
            <w:tcBorders>
              <w:top w:val="single" w:sz="6" w:space="0" w:color="auto"/>
              <w:left w:val="single" w:sz="6" w:space="0" w:color="auto"/>
              <w:bottom w:val="single" w:sz="6" w:space="0" w:color="auto"/>
              <w:right w:val="single" w:sz="12"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20</w:t>
            </w:r>
            <w:r w:rsidR="003639AE" w:rsidRPr="008F26C2">
              <w:rPr>
                <w:rFonts w:hAnsi="標楷體" w:hint="eastAsia"/>
                <w:sz w:val="24"/>
              </w:rPr>
              <w:t>.00</w:t>
            </w:r>
            <w:r w:rsidRPr="008F26C2">
              <w:rPr>
                <w:rFonts w:hAnsi="標楷體" w:hint="eastAsia"/>
                <w:sz w:val="24"/>
              </w:rPr>
              <w:t>%</w:t>
            </w:r>
          </w:p>
        </w:tc>
      </w:tr>
      <w:tr w:rsidR="00D23E8F" w:rsidRPr="008F26C2" w:rsidTr="005918E0">
        <w:trPr>
          <w:trHeight w:val="351"/>
        </w:trPr>
        <w:tc>
          <w:tcPr>
            <w:tcW w:w="1418" w:type="dxa"/>
            <w:vMerge/>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監察人</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2</w:t>
            </w:r>
          </w:p>
        </w:tc>
        <w:tc>
          <w:tcPr>
            <w:tcW w:w="1419" w:type="dxa"/>
            <w:tcBorders>
              <w:top w:val="single" w:sz="6" w:space="0" w:color="auto"/>
              <w:left w:val="single" w:sz="6" w:space="0" w:color="auto"/>
              <w:bottom w:val="single" w:sz="6" w:space="0" w:color="auto"/>
              <w:right w:val="single" w:sz="12" w:space="0" w:color="auto"/>
            </w:tcBorders>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50</w:t>
            </w:r>
            <w:r w:rsidR="003639AE" w:rsidRPr="008F26C2">
              <w:rPr>
                <w:rFonts w:hAnsi="標楷體" w:hint="eastAsia"/>
                <w:sz w:val="24"/>
              </w:rPr>
              <w:t>.00</w:t>
            </w:r>
            <w:r w:rsidRPr="008F26C2">
              <w:rPr>
                <w:rFonts w:hAnsi="標楷體" w:hint="eastAsia"/>
                <w:sz w:val="24"/>
              </w:rPr>
              <w:t>%</w:t>
            </w:r>
          </w:p>
        </w:tc>
      </w:tr>
      <w:tr w:rsidR="00D23E8F" w:rsidRPr="008F26C2" w:rsidTr="005918E0">
        <w:trPr>
          <w:trHeight w:val="351"/>
        </w:trPr>
        <w:tc>
          <w:tcPr>
            <w:tcW w:w="1418" w:type="dxa"/>
            <w:vMerge w:val="restart"/>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112年度</w:t>
            </w:r>
          </w:p>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實際數</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董事</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11</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4</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15</w:t>
            </w:r>
          </w:p>
        </w:tc>
        <w:tc>
          <w:tcPr>
            <w:tcW w:w="1419" w:type="dxa"/>
            <w:tcBorders>
              <w:top w:val="single" w:sz="6" w:space="0" w:color="auto"/>
              <w:left w:val="single" w:sz="6" w:space="0" w:color="auto"/>
              <w:bottom w:val="single" w:sz="6" w:space="0" w:color="auto"/>
              <w:right w:val="single" w:sz="12"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26.66%</w:t>
            </w:r>
          </w:p>
        </w:tc>
      </w:tr>
      <w:tr w:rsidR="00D23E8F" w:rsidRPr="008F26C2" w:rsidTr="005918E0">
        <w:trPr>
          <w:trHeight w:val="351"/>
        </w:trPr>
        <w:tc>
          <w:tcPr>
            <w:tcW w:w="1418" w:type="dxa"/>
            <w:vMerge/>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監察人</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2</w:t>
            </w:r>
          </w:p>
        </w:tc>
        <w:tc>
          <w:tcPr>
            <w:tcW w:w="1419" w:type="dxa"/>
            <w:tcBorders>
              <w:top w:val="single" w:sz="6" w:space="0" w:color="auto"/>
              <w:left w:val="single" w:sz="6" w:space="0" w:color="auto"/>
              <w:bottom w:val="single" w:sz="6" w:space="0" w:color="auto"/>
              <w:right w:val="single" w:sz="12" w:space="0" w:color="auto"/>
            </w:tcBorders>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50</w:t>
            </w:r>
            <w:r w:rsidR="003639AE" w:rsidRPr="008F26C2">
              <w:rPr>
                <w:rFonts w:hAnsi="標楷體" w:hint="eastAsia"/>
                <w:sz w:val="24"/>
              </w:rPr>
              <w:t>.00</w:t>
            </w:r>
            <w:r w:rsidRPr="008F26C2">
              <w:rPr>
                <w:rFonts w:hAnsi="標楷體" w:hint="eastAsia"/>
                <w:sz w:val="24"/>
              </w:rPr>
              <w:t>%</w:t>
            </w:r>
          </w:p>
        </w:tc>
      </w:tr>
      <w:tr w:rsidR="00D23E8F" w:rsidRPr="008F26C2" w:rsidTr="005918E0">
        <w:trPr>
          <w:trHeight w:val="351"/>
        </w:trPr>
        <w:tc>
          <w:tcPr>
            <w:tcW w:w="1418" w:type="dxa"/>
            <w:vMerge w:val="restart"/>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113年度</w:t>
            </w:r>
          </w:p>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實際數</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董事</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14</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15</w:t>
            </w:r>
          </w:p>
        </w:tc>
        <w:tc>
          <w:tcPr>
            <w:tcW w:w="1419" w:type="dxa"/>
            <w:tcBorders>
              <w:top w:val="single" w:sz="6" w:space="0" w:color="auto"/>
              <w:left w:val="single" w:sz="6" w:space="0" w:color="auto"/>
              <w:bottom w:val="single" w:sz="6" w:space="0" w:color="auto"/>
              <w:right w:val="single" w:sz="12" w:space="0" w:color="auto"/>
            </w:tcBorders>
            <w:shd w:val="clear" w:color="auto" w:fill="F2F2F2"/>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6.67%</w:t>
            </w:r>
          </w:p>
        </w:tc>
      </w:tr>
      <w:tr w:rsidR="00D23E8F" w:rsidRPr="008F26C2" w:rsidTr="005918E0">
        <w:trPr>
          <w:trHeight w:val="351"/>
        </w:trPr>
        <w:tc>
          <w:tcPr>
            <w:tcW w:w="1418" w:type="dxa"/>
            <w:vMerge/>
            <w:tcBorders>
              <w:top w:val="single" w:sz="6" w:space="0" w:color="auto"/>
              <w:left w:val="single" w:sz="12" w:space="0" w:color="auto"/>
              <w:bottom w:val="single" w:sz="6" w:space="0" w:color="auto"/>
              <w:right w:val="single" w:sz="6" w:space="0" w:color="auto"/>
            </w:tcBorders>
            <w:vAlign w:val="center"/>
            <w:hideMark/>
          </w:tcPr>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監察人</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9"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1</w:t>
            </w:r>
          </w:p>
        </w:tc>
        <w:tc>
          <w:tcPr>
            <w:tcW w:w="1418" w:type="dxa"/>
            <w:tcBorders>
              <w:top w:val="single" w:sz="6" w:space="0" w:color="auto"/>
              <w:left w:val="single" w:sz="6" w:space="0" w:color="auto"/>
              <w:bottom w:val="single" w:sz="6" w:space="0" w:color="auto"/>
              <w:right w:val="single" w:sz="6" w:space="0" w:color="auto"/>
            </w:tcBorders>
            <w:vAlign w:val="center"/>
            <w:hideMark/>
          </w:tcPr>
          <w:p w:rsidR="00D23E8F" w:rsidRPr="008F26C2" w:rsidRDefault="00D23E8F" w:rsidP="005918E0">
            <w:pPr>
              <w:snapToGrid w:val="0"/>
              <w:spacing w:line="400" w:lineRule="exact"/>
              <w:ind w:leftChars="0" w:left="0" w:firstLineChars="0" w:firstLine="0"/>
              <w:jc w:val="center"/>
              <w:rPr>
                <w:rFonts w:hAnsi="標楷體"/>
                <w:sz w:val="24"/>
              </w:rPr>
            </w:pPr>
            <w:r w:rsidRPr="008F26C2">
              <w:rPr>
                <w:rFonts w:hAnsi="標楷體" w:hint="eastAsia"/>
                <w:sz w:val="24"/>
              </w:rPr>
              <w:t>2</w:t>
            </w:r>
          </w:p>
        </w:tc>
        <w:tc>
          <w:tcPr>
            <w:tcW w:w="1419" w:type="dxa"/>
            <w:tcBorders>
              <w:top w:val="single" w:sz="6" w:space="0" w:color="auto"/>
              <w:left w:val="single" w:sz="6" w:space="0" w:color="auto"/>
              <w:bottom w:val="single" w:sz="6" w:space="0" w:color="auto"/>
              <w:right w:val="single" w:sz="12" w:space="0" w:color="auto"/>
            </w:tcBorders>
            <w:vAlign w:val="center"/>
            <w:hideMark/>
          </w:tcPr>
          <w:p w:rsidR="00D23E8F" w:rsidRPr="008F26C2" w:rsidRDefault="00D23E8F" w:rsidP="005918E0">
            <w:pPr>
              <w:snapToGrid w:val="0"/>
              <w:spacing w:line="400" w:lineRule="exact"/>
              <w:ind w:leftChars="0" w:left="0" w:firstLineChars="0" w:firstLine="0"/>
              <w:jc w:val="right"/>
              <w:rPr>
                <w:rFonts w:hAnsi="標楷體"/>
                <w:sz w:val="24"/>
              </w:rPr>
            </w:pPr>
            <w:r w:rsidRPr="008F26C2">
              <w:rPr>
                <w:rFonts w:hAnsi="標楷體" w:hint="eastAsia"/>
                <w:sz w:val="24"/>
              </w:rPr>
              <w:t>50</w:t>
            </w:r>
            <w:r w:rsidR="003639AE" w:rsidRPr="008F26C2">
              <w:rPr>
                <w:rFonts w:hAnsi="標楷體" w:hint="eastAsia"/>
                <w:sz w:val="24"/>
              </w:rPr>
              <w:t>.00</w:t>
            </w:r>
            <w:r w:rsidRPr="008F26C2">
              <w:rPr>
                <w:rFonts w:hAnsi="標楷體" w:hint="eastAsia"/>
                <w:sz w:val="24"/>
              </w:rPr>
              <w:t>%</w:t>
            </w:r>
          </w:p>
        </w:tc>
      </w:tr>
      <w:tr w:rsidR="00D23E8F" w:rsidRPr="008F26C2" w:rsidTr="005918E0">
        <w:trPr>
          <w:trHeight w:val="351"/>
        </w:trPr>
        <w:tc>
          <w:tcPr>
            <w:tcW w:w="1418" w:type="dxa"/>
            <w:vMerge w:val="restart"/>
            <w:tcBorders>
              <w:top w:val="single" w:sz="6" w:space="0" w:color="auto"/>
              <w:left w:val="single" w:sz="12" w:space="0" w:color="auto"/>
              <w:bottom w:val="single" w:sz="12"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114年度</w:t>
            </w:r>
          </w:p>
          <w:p w:rsidR="00D23E8F" w:rsidRPr="008F26C2" w:rsidRDefault="00D23E8F" w:rsidP="005918E0">
            <w:pPr>
              <w:widowControl/>
              <w:adjustRightInd w:val="0"/>
              <w:snapToGrid w:val="0"/>
              <w:spacing w:line="400" w:lineRule="exact"/>
              <w:ind w:leftChars="0" w:left="0" w:firstLineChars="0" w:firstLine="0"/>
              <w:jc w:val="center"/>
              <w:rPr>
                <w:rFonts w:hAnsi="標楷體"/>
                <w:snapToGrid/>
                <w:color w:val="000000"/>
                <w:sz w:val="24"/>
              </w:rPr>
            </w:pPr>
            <w:r w:rsidRPr="008F26C2">
              <w:rPr>
                <w:rFonts w:hAnsi="標楷體" w:hint="eastAsia"/>
                <w:snapToGrid/>
                <w:color w:val="000000"/>
                <w:sz w:val="24"/>
              </w:rPr>
              <w:t>預計數</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董事</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tcPr>
          <w:p w:rsidR="00D23E8F" w:rsidRPr="008F26C2" w:rsidRDefault="00D23E8F" w:rsidP="005918E0">
            <w:pPr>
              <w:adjustRightInd w:val="0"/>
              <w:snapToGrid w:val="0"/>
              <w:spacing w:line="400" w:lineRule="exact"/>
              <w:ind w:leftChars="0" w:left="0" w:firstLineChars="0" w:firstLine="0"/>
              <w:jc w:val="center"/>
              <w:rPr>
                <w:rFonts w:hAnsi="標楷體"/>
                <w:snapToGrid/>
                <w:sz w:val="24"/>
                <w:szCs w:val="24"/>
              </w:rPr>
            </w:pPr>
            <w:r w:rsidRPr="008F26C2">
              <w:rPr>
                <w:rFonts w:hAnsi="標楷體" w:hint="eastAsia"/>
                <w:sz w:val="24"/>
                <w:szCs w:val="24"/>
              </w:rPr>
              <w:t>14</w:t>
            </w:r>
          </w:p>
        </w:tc>
        <w:tc>
          <w:tcPr>
            <w:tcW w:w="1419" w:type="dxa"/>
            <w:tcBorders>
              <w:top w:val="single" w:sz="6" w:space="0" w:color="auto"/>
              <w:left w:val="single" w:sz="6" w:space="0" w:color="auto"/>
              <w:bottom w:val="single" w:sz="6" w:space="0" w:color="auto"/>
              <w:right w:val="single" w:sz="6" w:space="0" w:color="auto"/>
            </w:tcBorders>
            <w:shd w:val="clear" w:color="auto" w:fill="F2F2F2"/>
            <w:vAlign w:val="center"/>
          </w:tcPr>
          <w:p w:rsidR="00D23E8F" w:rsidRPr="008F26C2" w:rsidRDefault="00D23E8F" w:rsidP="005918E0">
            <w:pPr>
              <w:adjustRightInd w:val="0"/>
              <w:snapToGrid w:val="0"/>
              <w:spacing w:line="400" w:lineRule="exact"/>
              <w:ind w:leftChars="0" w:left="0" w:firstLineChars="0" w:firstLine="0"/>
              <w:jc w:val="center"/>
              <w:rPr>
                <w:rFonts w:hAnsi="標楷體"/>
                <w:snapToGrid/>
                <w:sz w:val="24"/>
                <w:szCs w:val="24"/>
              </w:rPr>
            </w:pPr>
            <w:r w:rsidRPr="008F26C2">
              <w:rPr>
                <w:rFonts w:hAnsi="標楷體" w:hint="eastAsia"/>
                <w:sz w:val="24"/>
                <w:szCs w:val="24"/>
              </w:rPr>
              <w:t>1</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tcPr>
          <w:p w:rsidR="00D23E8F" w:rsidRPr="008F26C2" w:rsidRDefault="00D23E8F" w:rsidP="005918E0">
            <w:pPr>
              <w:adjustRightInd w:val="0"/>
              <w:snapToGrid w:val="0"/>
              <w:spacing w:line="400" w:lineRule="exact"/>
              <w:ind w:leftChars="0" w:left="0" w:firstLineChars="0" w:firstLine="0"/>
              <w:jc w:val="center"/>
              <w:rPr>
                <w:rFonts w:hAnsi="標楷體"/>
                <w:snapToGrid/>
                <w:sz w:val="24"/>
                <w:szCs w:val="24"/>
              </w:rPr>
            </w:pPr>
            <w:r w:rsidRPr="008F26C2">
              <w:rPr>
                <w:rFonts w:hAnsi="標楷體" w:hint="eastAsia"/>
                <w:sz w:val="24"/>
                <w:szCs w:val="24"/>
              </w:rPr>
              <w:t>15</w:t>
            </w:r>
          </w:p>
        </w:tc>
        <w:tc>
          <w:tcPr>
            <w:tcW w:w="1419" w:type="dxa"/>
            <w:tcBorders>
              <w:top w:val="single" w:sz="6" w:space="0" w:color="auto"/>
              <w:left w:val="single" w:sz="6" w:space="0" w:color="auto"/>
              <w:bottom w:val="single" w:sz="6" w:space="0" w:color="auto"/>
              <w:right w:val="single" w:sz="12" w:space="0" w:color="auto"/>
            </w:tcBorders>
            <w:shd w:val="clear" w:color="auto" w:fill="F2F2F2"/>
            <w:vAlign w:val="center"/>
          </w:tcPr>
          <w:p w:rsidR="00D23E8F" w:rsidRPr="008F26C2" w:rsidRDefault="00D23E8F" w:rsidP="005918E0">
            <w:pPr>
              <w:adjustRightInd w:val="0"/>
              <w:snapToGrid w:val="0"/>
              <w:spacing w:line="400" w:lineRule="exact"/>
              <w:ind w:leftChars="0" w:left="0" w:firstLineChars="0" w:firstLine="0"/>
              <w:jc w:val="right"/>
              <w:rPr>
                <w:rFonts w:hAnsi="標楷體"/>
                <w:snapToGrid/>
                <w:sz w:val="24"/>
                <w:szCs w:val="24"/>
              </w:rPr>
            </w:pPr>
            <w:r w:rsidRPr="008F26C2">
              <w:rPr>
                <w:rFonts w:hAnsi="標楷體" w:hint="eastAsia"/>
                <w:sz w:val="24"/>
              </w:rPr>
              <w:t>6.67%</w:t>
            </w:r>
          </w:p>
        </w:tc>
      </w:tr>
      <w:tr w:rsidR="00D23E8F" w:rsidRPr="008F26C2" w:rsidTr="005918E0">
        <w:trPr>
          <w:trHeight w:val="351"/>
        </w:trPr>
        <w:tc>
          <w:tcPr>
            <w:tcW w:w="1418" w:type="dxa"/>
            <w:vMerge/>
            <w:tcBorders>
              <w:top w:val="single" w:sz="6" w:space="0" w:color="auto"/>
              <w:left w:val="single" w:sz="12" w:space="0" w:color="auto"/>
              <w:bottom w:val="single" w:sz="12" w:space="0" w:color="auto"/>
              <w:right w:val="single" w:sz="6" w:space="0" w:color="auto"/>
            </w:tcBorders>
            <w:vAlign w:val="center"/>
            <w:hideMark/>
          </w:tcPr>
          <w:p w:rsidR="00D23E8F" w:rsidRPr="008F26C2" w:rsidRDefault="00D23E8F" w:rsidP="005918E0">
            <w:pPr>
              <w:widowControl/>
              <w:adjustRightInd w:val="0"/>
              <w:snapToGrid w:val="0"/>
              <w:spacing w:line="400" w:lineRule="exact"/>
              <w:ind w:leftChars="0" w:left="0" w:firstLineChars="0" w:firstLine="0"/>
              <w:jc w:val="left"/>
              <w:rPr>
                <w:rFonts w:hAnsi="標楷體"/>
                <w:snapToGrid/>
                <w:color w:val="000000"/>
                <w:sz w:val="24"/>
              </w:rPr>
            </w:pPr>
          </w:p>
        </w:tc>
        <w:tc>
          <w:tcPr>
            <w:tcW w:w="1419" w:type="dxa"/>
            <w:tcBorders>
              <w:top w:val="single" w:sz="6" w:space="0" w:color="auto"/>
              <w:left w:val="single" w:sz="6" w:space="0" w:color="auto"/>
              <w:bottom w:val="single" w:sz="12" w:space="0" w:color="auto"/>
              <w:right w:val="single" w:sz="6" w:space="0" w:color="auto"/>
            </w:tcBorders>
            <w:vAlign w:val="center"/>
            <w:hideMark/>
          </w:tcPr>
          <w:p w:rsidR="00D23E8F" w:rsidRPr="008F26C2" w:rsidRDefault="00D23E8F" w:rsidP="005918E0">
            <w:pPr>
              <w:adjustRightInd w:val="0"/>
              <w:snapToGrid w:val="0"/>
              <w:spacing w:line="400" w:lineRule="exact"/>
              <w:ind w:leftChars="0" w:left="0" w:firstLineChars="0" w:firstLine="0"/>
              <w:rPr>
                <w:rFonts w:hAnsi="標楷體"/>
                <w:snapToGrid/>
                <w:color w:val="000000"/>
                <w:sz w:val="24"/>
              </w:rPr>
            </w:pPr>
            <w:r w:rsidRPr="008F26C2">
              <w:rPr>
                <w:rFonts w:hAnsi="標楷體" w:hint="eastAsia"/>
                <w:snapToGrid/>
                <w:color w:val="000000"/>
                <w:sz w:val="24"/>
              </w:rPr>
              <w:t>監察人</w:t>
            </w:r>
          </w:p>
        </w:tc>
        <w:tc>
          <w:tcPr>
            <w:tcW w:w="1418" w:type="dxa"/>
            <w:tcBorders>
              <w:top w:val="single" w:sz="6" w:space="0" w:color="auto"/>
              <w:left w:val="single" w:sz="6" w:space="0" w:color="auto"/>
              <w:bottom w:val="single" w:sz="12" w:space="0" w:color="auto"/>
              <w:right w:val="single" w:sz="6" w:space="0" w:color="auto"/>
            </w:tcBorders>
            <w:vAlign w:val="center"/>
          </w:tcPr>
          <w:p w:rsidR="00D23E8F" w:rsidRPr="008F26C2" w:rsidRDefault="00D23E8F" w:rsidP="005918E0">
            <w:pPr>
              <w:adjustRightInd w:val="0"/>
              <w:snapToGrid w:val="0"/>
              <w:spacing w:line="400" w:lineRule="exact"/>
              <w:ind w:leftChars="0" w:left="0" w:firstLineChars="0" w:firstLine="0"/>
              <w:jc w:val="center"/>
              <w:rPr>
                <w:rFonts w:hAnsi="標楷體"/>
                <w:snapToGrid/>
                <w:sz w:val="24"/>
                <w:szCs w:val="24"/>
              </w:rPr>
            </w:pPr>
            <w:r w:rsidRPr="008F26C2">
              <w:rPr>
                <w:rFonts w:hAnsi="標楷體" w:hint="eastAsia"/>
                <w:sz w:val="24"/>
                <w:szCs w:val="24"/>
              </w:rPr>
              <w:t>1</w:t>
            </w:r>
          </w:p>
        </w:tc>
        <w:tc>
          <w:tcPr>
            <w:tcW w:w="1419" w:type="dxa"/>
            <w:tcBorders>
              <w:top w:val="single" w:sz="6" w:space="0" w:color="auto"/>
              <w:left w:val="single" w:sz="6" w:space="0" w:color="auto"/>
              <w:bottom w:val="single" w:sz="12" w:space="0" w:color="auto"/>
              <w:right w:val="single" w:sz="6" w:space="0" w:color="auto"/>
            </w:tcBorders>
            <w:vAlign w:val="center"/>
          </w:tcPr>
          <w:p w:rsidR="00D23E8F" w:rsidRPr="008F26C2" w:rsidRDefault="00D23E8F" w:rsidP="005918E0">
            <w:pPr>
              <w:adjustRightInd w:val="0"/>
              <w:snapToGrid w:val="0"/>
              <w:spacing w:line="400" w:lineRule="exact"/>
              <w:ind w:leftChars="0" w:left="0" w:firstLineChars="0" w:firstLine="0"/>
              <w:jc w:val="center"/>
              <w:rPr>
                <w:rFonts w:hAnsi="標楷體"/>
                <w:snapToGrid/>
                <w:sz w:val="24"/>
                <w:szCs w:val="24"/>
              </w:rPr>
            </w:pPr>
            <w:r w:rsidRPr="008F26C2">
              <w:rPr>
                <w:rFonts w:hAnsi="標楷體" w:hint="eastAsia"/>
                <w:sz w:val="24"/>
                <w:szCs w:val="24"/>
              </w:rPr>
              <w:t>1</w:t>
            </w:r>
          </w:p>
        </w:tc>
        <w:tc>
          <w:tcPr>
            <w:tcW w:w="1418" w:type="dxa"/>
            <w:tcBorders>
              <w:top w:val="single" w:sz="6" w:space="0" w:color="auto"/>
              <w:left w:val="single" w:sz="6" w:space="0" w:color="auto"/>
              <w:bottom w:val="single" w:sz="12" w:space="0" w:color="auto"/>
              <w:right w:val="single" w:sz="6" w:space="0" w:color="auto"/>
            </w:tcBorders>
            <w:vAlign w:val="center"/>
          </w:tcPr>
          <w:p w:rsidR="00D23E8F" w:rsidRPr="008F26C2" w:rsidRDefault="00D23E8F" w:rsidP="005918E0">
            <w:pPr>
              <w:adjustRightInd w:val="0"/>
              <w:snapToGrid w:val="0"/>
              <w:spacing w:line="400" w:lineRule="exact"/>
              <w:ind w:leftChars="0" w:left="0" w:firstLineChars="0" w:firstLine="0"/>
              <w:jc w:val="center"/>
              <w:rPr>
                <w:rFonts w:hAnsi="標楷體"/>
                <w:snapToGrid/>
                <w:sz w:val="24"/>
                <w:szCs w:val="24"/>
              </w:rPr>
            </w:pPr>
            <w:r w:rsidRPr="008F26C2">
              <w:rPr>
                <w:rFonts w:hAnsi="標楷體" w:hint="eastAsia"/>
                <w:sz w:val="24"/>
                <w:szCs w:val="24"/>
              </w:rPr>
              <w:t>2</w:t>
            </w:r>
          </w:p>
        </w:tc>
        <w:tc>
          <w:tcPr>
            <w:tcW w:w="1419" w:type="dxa"/>
            <w:tcBorders>
              <w:top w:val="single" w:sz="6" w:space="0" w:color="auto"/>
              <w:left w:val="single" w:sz="6" w:space="0" w:color="auto"/>
              <w:bottom w:val="single" w:sz="12" w:space="0" w:color="auto"/>
              <w:right w:val="single" w:sz="12" w:space="0" w:color="auto"/>
            </w:tcBorders>
            <w:vAlign w:val="center"/>
          </w:tcPr>
          <w:p w:rsidR="00D23E8F" w:rsidRPr="008F26C2" w:rsidRDefault="00D23E8F" w:rsidP="005918E0">
            <w:pPr>
              <w:adjustRightInd w:val="0"/>
              <w:snapToGrid w:val="0"/>
              <w:spacing w:line="400" w:lineRule="exact"/>
              <w:ind w:leftChars="0" w:left="0" w:firstLineChars="0" w:firstLine="0"/>
              <w:jc w:val="right"/>
              <w:rPr>
                <w:rFonts w:hAnsi="標楷體"/>
                <w:snapToGrid/>
                <w:sz w:val="24"/>
                <w:szCs w:val="24"/>
              </w:rPr>
            </w:pPr>
            <w:r w:rsidRPr="008F26C2">
              <w:rPr>
                <w:rFonts w:hAnsi="標楷體" w:hint="eastAsia"/>
                <w:sz w:val="24"/>
              </w:rPr>
              <w:t>50</w:t>
            </w:r>
            <w:r w:rsidR="003639AE" w:rsidRPr="008F26C2">
              <w:rPr>
                <w:rFonts w:hAnsi="標楷體" w:hint="eastAsia"/>
                <w:sz w:val="24"/>
              </w:rPr>
              <w:t>.00</w:t>
            </w:r>
            <w:r w:rsidRPr="008F26C2">
              <w:rPr>
                <w:rFonts w:hAnsi="標楷體" w:hint="eastAsia"/>
                <w:sz w:val="24"/>
              </w:rPr>
              <w:t>%</w:t>
            </w:r>
          </w:p>
        </w:tc>
      </w:tr>
    </w:tbl>
    <w:bookmarkEnd w:id="28"/>
    <w:p w:rsidR="001F2BD4" w:rsidRPr="008F26C2" w:rsidRDefault="001F2BD4" w:rsidP="00B61284">
      <w:pPr>
        <w:spacing w:line="280" w:lineRule="exact"/>
        <w:ind w:leftChars="0" w:left="1116" w:hangingChars="465" w:hanging="1116"/>
        <w:jc w:val="left"/>
        <w:rPr>
          <w:rFonts w:hAnsi="標楷體"/>
          <w:color w:val="000000"/>
          <w:sz w:val="24"/>
        </w:rPr>
      </w:pPr>
      <w:r w:rsidRPr="008F26C2">
        <w:rPr>
          <w:rFonts w:hAnsi="標楷體" w:hint="eastAsia"/>
          <w:sz w:val="24"/>
        </w:rPr>
        <w:t>說　　明：中華顧問工程司設董事15人組董事會，董事互推1人為董事長。</w:t>
      </w:r>
    </w:p>
    <w:p w:rsidR="00B61284" w:rsidRPr="008F26C2" w:rsidRDefault="00B61284" w:rsidP="00B61284">
      <w:pPr>
        <w:spacing w:line="280" w:lineRule="exact"/>
        <w:ind w:leftChars="0" w:left="1116" w:hangingChars="465" w:hanging="1116"/>
        <w:jc w:val="left"/>
        <w:rPr>
          <w:rFonts w:hAnsi="標楷體"/>
          <w:color w:val="000000"/>
        </w:rPr>
      </w:pPr>
      <w:r w:rsidRPr="008F26C2">
        <w:rPr>
          <w:rFonts w:hAnsi="標楷體" w:hint="eastAsia"/>
          <w:color w:val="000000"/>
          <w:sz w:val="24"/>
        </w:rPr>
        <w:t>資料來源：</w:t>
      </w:r>
      <w:r w:rsidRPr="008F26C2">
        <w:rPr>
          <w:rFonts w:hAnsi="標楷體" w:hint="eastAsia"/>
          <w:color w:val="000000"/>
          <w:sz w:val="24"/>
          <w:lang w:eastAsia="zh-HK"/>
        </w:rPr>
        <w:t>中華顧問工程司</w:t>
      </w:r>
      <w:r w:rsidRPr="008F26C2">
        <w:rPr>
          <w:rFonts w:hAnsi="標楷體" w:hint="eastAsia"/>
          <w:color w:val="000000"/>
          <w:sz w:val="24"/>
        </w:rPr>
        <w:t>提供資料；本中心製表。</w:t>
      </w:r>
    </w:p>
    <w:p w:rsidR="00B61284" w:rsidRPr="008F26C2" w:rsidRDefault="00B61284" w:rsidP="00B61284">
      <w:pPr>
        <w:ind w:left="560" w:firstLine="560"/>
        <w:rPr>
          <w:rFonts w:hAnsi="標楷體"/>
          <w:color w:val="000000"/>
        </w:rPr>
      </w:pPr>
      <w:r w:rsidRPr="008F26C2">
        <w:rPr>
          <w:rFonts w:hAnsi="標楷體" w:hint="eastAsia"/>
          <w:color w:val="000000"/>
        </w:rPr>
        <w:t>綜上，</w:t>
      </w:r>
      <w:r w:rsidRPr="008F26C2">
        <w:rPr>
          <w:rFonts w:hAnsi="標楷體" w:hint="eastAsia"/>
          <w:color w:val="000000"/>
          <w:lang w:eastAsia="zh-HK"/>
        </w:rPr>
        <w:t>中華顧問工程司</w:t>
      </w:r>
      <w:r w:rsidRPr="008F26C2">
        <w:rPr>
          <w:rFonts w:hAnsi="標楷體"/>
          <w:color w:val="000000"/>
        </w:rPr>
        <w:t>1</w:t>
      </w:r>
      <w:r w:rsidR="00AE3D1E" w:rsidRPr="008F26C2">
        <w:rPr>
          <w:rFonts w:hAnsi="標楷體" w:hint="eastAsia"/>
          <w:color w:val="000000"/>
        </w:rPr>
        <w:t>10</w:t>
      </w:r>
      <w:r w:rsidRPr="008F26C2">
        <w:rPr>
          <w:rFonts w:hAnsi="標楷體" w:hint="eastAsia"/>
          <w:color w:val="000000"/>
        </w:rPr>
        <w:t>至</w:t>
      </w:r>
      <w:r w:rsidRPr="008F26C2">
        <w:rPr>
          <w:rFonts w:hAnsi="標楷體"/>
          <w:color w:val="000000"/>
        </w:rPr>
        <w:t>11</w:t>
      </w:r>
      <w:r w:rsidR="00AE3D1E" w:rsidRPr="008F26C2">
        <w:rPr>
          <w:rFonts w:hAnsi="標楷體" w:hint="eastAsia"/>
          <w:color w:val="000000"/>
        </w:rPr>
        <w:t>4</w:t>
      </w:r>
      <w:r w:rsidRPr="008F26C2">
        <w:rPr>
          <w:rFonts w:hAnsi="標楷體" w:hint="eastAsia"/>
          <w:color w:val="000000"/>
        </w:rPr>
        <w:t>年度(預計)</w:t>
      </w:r>
      <w:r w:rsidRPr="008F26C2">
        <w:rPr>
          <w:rFonts w:hAnsi="標楷體" w:hint="eastAsia"/>
          <w:color w:val="000000"/>
          <w:lang w:eastAsia="zh-HK"/>
        </w:rPr>
        <w:t>女性</w:t>
      </w:r>
      <w:r w:rsidRPr="008F26C2">
        <w:rPr>
          <w:rFonts w:hAnsi="標楷體" w:hint="eastAsia"/>
          <w:color w:val="000000"/>
        </w:rPr>
        <w:t>董事占比均未達三分之一，未符交通部所推動性別平等之政策目標，性別比例仍待</w:t>
      </w:r>
      <w:r w:rsidRPr="008F26C2">
        <w:rPr>
          <w:rFonts w:hAnsi="標楷體" w:hint="eastAsia"/>
          <w:color w:val="000000"/>
          <w:lang w:eastAsia="zh-HK"/>
        </w:rPr>
        <w:t>精進</w:t>
      </w:r>
      <w:r w:rsidRPr="008F26C2">
        <w:rPr>
          <w:rFonts w:hAnsi="標楷體" w:hint="eastAsia"/>
          <w:color w:val="000000"/>
        </w:rPr>
        <w:t>，</w:t>
      </w:r>
      <w:r w:rsidRPr="008F26C2">
        <w:rPr>
          <w:rFonts w:hAnsi="標楷體" w:hint="eastAsia"/>
        </w:rPr>
        <w:t>允宜持續改善，</w:t>
      </w:r>
      <w:r w:rsidRPr="008F26C2">
        <w:rPr>
          <w:rFonts w:hAnsi="標楷體" w:hint="eastAsia"/>
          <w:color w:val="000000"/>
        </w:rPr>
        <w:t>以增進婦女決策參與及資源分配之權益，俾落實政府性別平等</w:t>
      </w:r>
      <w:r w:rsidRPr="008F26C2">
        <w:rPr>
          <w:rFonts w:hAnsi="標楷體" w:hint="eastAsia"/>
        </w:rPr>
        <w:t>政策</w:t>
      </w:r>
      <w:r w:rsidRPr="008F26C2">
        <w:rPr>
          <w:rFonts w:hAnsi="標楷體" w:hint="eastAsia"/>
          <w:color w:val="000000"/>
        </w:rPr>
        <w:t>。</w:t>
      </w:r>
    </w:p>
    <w:bookmarkEnd w:id="23"/>
    <w:p w:rsidR="00AA755E" w:rsidRPr="00AD6313" w:rsidRDefault="00AA755E" w:rsidP="00AA755E">
      <w:pPr>
        <w:pStyle w:val="ad"/>
        <w:ind w:left="560" w:firstLine="560"/>
        <w:rPr>
          <w:rStyle w:val="ae"/>
        </w:rPr>
      </w:pPr>
      <w:r w:rsidRPr="008F26C2">
        <w:rPr>
          <w:rFonts w:hAnsi="標楷體" w:hint="eastAsia"/>
        </w:rPr>
        <w:t>(分機：1937鄧可容)</w:t>
      </w:r>
    </w:p>
    <w:sectPr w:rsidR="00AA755E" w:rsidRPr="00AD6313" w:rsidSect="005403C0">
      <w:pgSz w:w="11906" w:h="16838"/>
      <w:pgMar w:top="1701" w:right="1701" w:bottom="1701" w:left="170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1D0" w:rsidRDefault="006E01D0" w:rsidP="004B52BA">
      <w:pPr>
        <w:ind w:left="560" w:firstLine="560"/>
      </w:pPr>
      <w:r>
        <w:separator/>
      </w:r>
    </w:p>
  </w:endnote>
  <w:endnote w:type="continuationSeparator" w:id="0">
    <w:p w:rsidR="006E01D0" w:rsidRDefault="006E01D0" w:rsidP="004B52BA">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A19" w:rsidRPr="0031075F" w:rsidRDefault="00142AC4" w:rsidP="0001797D">
    <w:pPr>
      <w:pStyle w:val="afc"/>
      <w:jc w:val="center"/>
      <w:rPr>
        <w:rFonts w:ascii="標楷體" w:eastAsia="標楷體" w:hAnsi="標楷體"/>
        <w:sz w:val="20"/>
        <w:szCs w:val="20"/>
      </w:rPr>
    </w:pPr>
    <w:r>
      <w:rPr>
        <w:rFonts w:ascii="標楷體" w:eastAsia="標楷體" w:hAnsi="標楷體" w:hint="eastAsia"/>
        <w:sz w:val="20"/>
        <w:szCs w:val="20"/>
      </w:rPr>
      <w:t>87-</w:t>
    </w:r>
    <w:r w:rsidR="003A6C5C" w:rsidRPr="0031075F">
      <w:rPr>
        <w:rFonts w:ascii="標楷體" w:eastAsia="標楷體" w:hAnsi="標楷體"/>
        <w:sz w:val="20"/>
        <w:szCs w:val="20"/>
      </w:rPr>
      <w:fldChar w:fldCharType="begin"/>
    </w:r>
    <w:r w:rsidR="003A6C5C" w:rsidRPr="0031075F">
      <w:rPr>
        <w:rFonts w:ascii="標楷體" w:eastAsia="標楷體" w:hAnsi="標楷體"/>
        <w:sz w:val="20"/>
        <w:szCs w:val="20"/>
      </w:rPr>
      <w:instrText>PAGE   \* MERGEFORMAT</w:instrText>
    </w:r>
    <w:r w:rsidR="003A6C5C" w:rsidRPr="0031075F">
      <w:rPr>
        <w:rFonts w:ascii="標楷體" w:eastAsia="標楷體" w:hAnsi="標楷體"/>
        <w:sz w:val="20"/>
        <w:szCs w:val="20"/>
      </w:rPr>
      <w:fldChar w:fldCharType="separate"/>
    </w:r>
    <w:r w:rsidR="00DF11A4" w:rsidRPr="00DF11A4">
      <w:rPr>
        <w:rFonts w:ascii="標楷體" w:eastAsia="標楷體" w:hAnsi="標楷體"/>
        <w:noProof/>
        <w:sz w:val="20"/>
        <w:szCs w:val="20"/>
        <w:lang w:val="zh-TW"/>
      </w:rPr>
      <w:t>1</w:t>
    </w:r>
    <w:r w:rsidR="003A6C5C" w:rsidRPr="0031075F">
      <w:rPr>
        <w:rFonts w:ascii="標楷體" w:eastAsia="標楷體" w:hAnsi="標楷體"/>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1D0" w:rsidRDefault="006E01D0" w:rsidP="004B52BA">
      <w:pPr>
        <w:ind w:left="560" w:firstLine="560"/>
      </w:pPr>
      <w:r>
        <w:separator/>
      </w:r>
    </w:p>
  </w:footnote>
  <w:footnote w:type="continuationSeparator" w:id="0">
    <w:p w:rsidR="006E01D0" w:rsidRDefault="006E01D0" w:rsidP="004B52BA">
      <w:pPr>
        <w:ind w:left="560" w:firstLine="560"/>
      </w:pPr>
      <w:r>
        <w:continuationSeparator/>
      </w:r>
    </w:p>
  </w:footnote>
  <w:footnote w:id="1">
    <w:p w:rsidR="002B6AF5" w:rsidRPr="00FD206F" w:rsidRDefault="002B6AF5" w:rsidP="002B6AF5">
      <w:pPr>
        <w:pStyle w:val="af1"/>
        <w:spacing w:line="280" w:lineRule="exact"/>
        <w:ind w:leftChars="0" w:left="140" w:hangingChars="70" w:hanging="140"/>
        <w:jc w:val="both"/>
        <w:rPr>
          <w:rStyle w:val="143"/>
        </w:rPr>
      </w:pPr>
      <w:r>
        <w:rPr>
          <w:rStyle w:val="af3"/>
        </w:rPr>
        <w:footnoteRef/>
      </w:r>
      <w:r w:rsidR="00356DBC" w:rsidRPr="003421FE">
        <w:rPr>
          <w:rFonts w:hint="eastAsia"/>
          <w:sz w:val="12"/>
          <w:szCs w:val="12"/>
        </w:rPr>
        <w:t xml:space="preserve">　</w:t>
      </w:r>
      <w:r w:rsidRPr="00FD206F">
        <w:rPr>
          <w:rStyle w:val="143"/>
          <w:rFonts w:hint="eastAsia"/>
        </w:rPr>
        <w:t>財團法人中華顧問工程司捐助章程第</w:t>
      </w:r>
      <w:r w:rsidR="00356DBC">
        <w:rPr>
          <w:rStyle w:val="143"/>
          <w:rFonts w:hint="eastAsia"/>
        </w:rPr>
        <w:t>2</w:t>
      </w:r>
      <w:r w:rsidRPr="00FD206F">
        <w:rPr>
          <w:rStyle w:val="143"/>
          <w:rFonts w:hint="eastAsia"/>
        </w:rPr>
        <w:t>條規定：「本工程司以發揮我國專門人才之技術知識，促進交通建設，改進工程技術，提昇科技發展，協助國內外之經濟發展為目的。」</w:t>
      </w:r>
    </w:p>
  </w:footnote>
  <w:footnote w:id="2">
    <w:p w:rsidR="005A218E" w:rsidRDefault="005A218E" w:rsidP="005A218E">
      <w:pPr>
        <w:pStyle w:val="af1"/>
        <w:spacing w:line="280" w:lineRule="exact"/>
        <w:ind w:leftChars="0" w:left="140" w:hangingChars="70" w:hanging="140"/>
        <w:jc w:val="both"/>
        <w:rPr>
          <w:rFonts w:hint="eastAsia"/>
        </w:rPr>
      </w:pPr>
      <w:r>
        <w:rPr>
          <w:rStyle w:val="af3"/>
        </w:rPr>
        <w:footnoteRef/>
      </w:r>
      <w:r w:rsidR="00356DBC" w:rsidRPr="003421FE">
        <w:rPr>
          <w:rFonts w:hint="eastAsia"/>
          <w:sz w:val="12"/>
          <w:szCs w:val="12"/>
        </w:rPr>
        <w:t xml:space="preserve">　</w:t>
      </w:r>
      <w:r w:rsidRPr="00FD206F">
        <w:rPr>
          <w:rStyle w:val="143"/>
          <w:rFonts w:hint="eastAsia"/>
        </w:rPr>
        <w:t>工程技術顧問公司管理條例第</w:t>
      </w:r>
      <w:r w:rsidR="00356DBC">
        <w:rPr>
          <w:rStyle w:val="143"/>
          <w:rFonts w:hint="eastAsia"/>
        </w:rPr>
        <w:t>37</w:t>
      </w:r>
      <w:r w:rsidRPr="00FD206F">
        <w:rPr>
          <w:rStyle w:val="143"/>
          <w:rFonts w:hint="eastAsia"/>
        </w:rPr>
        <w:t>條第</w:t>
      </w:r>
      <w:r w:rsidR="00356DBC">
        <w:rPr>
          <w:rStyle w:val="143"/>
          <w:rFonts w:hint="eastAsia"/>
        </w:rPr>
        <w:t>1</w:t>
      </w:r>
      <w:r w:rsidRPr="00FD206F">
        <w:rPr>
          <w:rStyle w:val="143"/>
          <w:rFonts w:hint="eastAsia"/>
        </w:rPr>
        <w:t>項規定：「本條例施行前已依技術顧問機構管理辦法領得技術顧問機構登記證之技術顧問機構，應自本條例施行日起2年內，申請換領工程技術顧問公司登記證；屆期未申請換領者，主管機關應廢止其原許可及註銷其原技術顧問機構登記證，…。但財團法人經主管機關同意者，得申請展延1次，其期限以2年為限。」</w:t>
      </w:r>
    </w:p>
  </w:footnote>
  <w:footnote w:id="3">
    <w:p w:rsidR="00CA42A5" w:rsidRPr="00F13A16" w:rsidRDefault="00CA42A5" w:rsidP="00CA42A5">
      <w:pPr>
        <w:pStyle w:val="aff2"/>
        <w:ind w:leftChars="0" w:left="176" w:hanging="176"/>
      </w:pPr>
      <w:r>
        <w:rPr>
          <w:rStyle w:val="af3"/>
        </w:rPr>
        <w:footnoteRef/>
      </w:r>
      <w:bookmarkStart w:id="16" w:name="_Hlk192258837"/>
      <w:r w:rsidRPr="003421FE">
        <w:rPr>
          <w:rFonts w:hint="eastAsia"/>
          <w:sz w:val="12"/>
          <w:szCs w:val="12"/>
        </w:rPr>
        <w:t xml:space="preserve">　</w:t>
      </w:r>
      <w:bookmarkEnd w:id="16"/>
      <w:r w:rsidR="0097781D">
        <w:rPr>
          <w:rStyle w:val="143"/>
          <w:rFonts w:hint="eastAsia"/>
        </w:rPr>
        <w:t>據</w:t>
      </w:r>
      <w:r w:rsidR="00CE57BE">
        <w:rPr>
          <w:rStyle w:val="143"/>
          <w:rFonts w:hint="eastAsia"/>
        </w:rPr>
        <w:t>財團法人</w:t>
      </w:r>
      <w:r w:rsidRPr="00CA42A5">
        <w:rPr>
          <w:rStyle w:val="143"/>
          <w:rFonts w:hint="eastAsia"/>
        </w:rPr>
        <w:t>中華顧問工程司114年度</w:t>
      </w:r>
      <w:r w:rsidR="0097781D">
        <w:rPr>
          <w:rStyle w:val="143"/>
          <w:rFonts w:hint="eastAsia"/>
        </w:rPr>
        <w:t>預算書</w:t>
      </w:r>
      <w:r w:rsidR="00434F25">
        <w:rPr>
          <w:rStyle w:val="143"/>
          <w:rFonts w:hint="eastAsia"/>
        </w:rPr>
        <w:t>一、貳、工作計畫或方針</w:t>
      </w:r>
      <w:r w:rsidR="00434F25">
        <w:rPr>
          <w:rStyle w:val="143"/>
          <w:rFonts w:ascii="新細明體" w:eastAsia="新細明體" w:hAnsi="新細明體" w:hint="eastAsia"/>
        </w:rPr>
        <w:t>，</w:t>
      </w:r>
      <w:r w:rsidRPr="00CA42A5">
        <w:rPr>
          <w:rStyle w:val="143"/>
          <w:rFonts w:hint="eastAsia"/>
        </w:rPr>
        <w:t>工作計畫，依業務屬性，區分為「技術服務」、「技術開發」及「技術交流」等</w:t>
      </w:r>
      <w:r w:rsidR="00E15D44">
        <w:rPr>
          <w:rStyle w:val="143"/>
          <w:rFonts w:hint="eastAsia"/>
        </w:rPr>
        <w:t>3</w:t>
      </w:r>
      <w:r w:rsidRPr="00CA42A5">
        <w:rPr>
          <w:rStyle w:val="143"/>
          <w:rFonts w:hint="eastAsia"/>
        </w:rPr>
        <w:t>項</w:t>
      </w:r>
      <w:r w:rsidRPr="00413C10">
        <w:rPr>
          <w:rStyle w:val="143"/>
          <w:rFonts w:hint="eastAsia"/>
        </w:rPr>
        <w:t>。</w:t>
      </w:r>
    </w:p>
  </w:footnote>
  <w:footnote w:id="4">
    <w:p w:rsidR="00C13E1F" w:rsidRPr="00C13E1F" w:rsidRDefault="00C13E1F" w:rsidP="00C462B7">
      <w:pPr>
        <w:pStyle w:val="142"/>
        <w:adjustRightInd w:val="0"/>
        <w:ind w:left="180" w:hangingChars="75" w:hanging="180"/>
        <w:jc w:val="both"/>
        <w:rPr>
          <w:rFonts w:hint="eastAsia"/>
        </w:rPr>
      </w:pPr>
      <w:r>
        <w:rPr>
          <w:rStyle w:val="af3"/>
        </w:rPr>
        <w:footnoteRef/>
      </w:r>
      <w:r w:rsidRPr="003421FE">
        <w:rPr>
          <w:rFonts w:hint="eastAsia"/>
          <w:sz w:val="12"/>
          <w:szCs w:val="12"/>
        </w:rPr>
        <w:t xml:space="preserve">　</w:t>
      </w:r>
      <w:r>
        <w:rPr>
          <w:rStyle w:val="143"/>
          <w:rFonts w:hint="eastAsia"/>
        </w:rPr>
        <w:t>據</w:t>
      </w:r>
      <w:r w:rsidR="00C462B7" w:rsidRPr="00C462B7">
        <w:rPr>
          <w:rStyle w:val="143"/>
          <w:rFonts w:hint="eastAsia"/>
        </w:rPr>
        <w:t>財團法人中華顧問工程司</w:t>
      </w:r>
      <w:r w:rsidR="00C462B7">
        <w:rPr>
          <w:rStyle w:val="143"/>
          <w:rFonts w:hint="eastAsia"/>
        </w:rPr>
        <w:t>捐助章程第5條規定</w:t>
      </w:r>
      <w:r w:rsidR="00C462B7">
        <w:rPr>
          <w:rStyle w:val="143"/>
          <w:rFonts w:hAnsi="標楷體" w:hint="eastAsia"/>
        </w:rPr>
        <w:t>：「</w:t>
      </w:r>
      <w:r w:rsidR="00C462B7" w:rsidRPr="00C462B7">
        <w:rPr>
          <w:rStyle w:val="143"/>
          <w:rFonts w:hAnsi="標楷體" w:hint="eastAsia"/>
        </w:rPr>
        <w:t>本工程司設董事七人至十五人組織董事會</w:t>
      </w:r>
      <w:r w:rsidR="00C462B7">
        <w:rPr>
          <w:rStyle w:val="143"/>
          <w:rFonts w:ascii="新細明體" w:eastAsia="新細明體" w:hAnsi="新細明體" w:hint="eastAsia"/>
        </w:rPr>
        <w:t>，</w:t>
      </w:r>
      <w:r w:rsidR="00C462B7">
        <w:rPr>
          <w:rStyle w:val="143"/>
          <w:rFonts w:hAnsi="標楷體"/>
        </w:rPr>
        <w:t>…</w:t>
      </w:r>
      <w:r w:rsidR="00C462B7">
        <w:rPr>
          <w:rStyle w:val="143"/>
          <w:rFonts w:hAnsi="標楷體" w:hint="eastAsia"/>
        </w:rPr>
        <w:t>。</w:t>
      </w:r>
      <w:r w:rsidR="00C462B7" w:rsidRPr="00C462B7">
        <w:rPr>
          <w:rStyle w:val="143"/>
          <w:rFonts w:hAnsi="標楷體" w:hint="eastAsia"/>
        </w:rPr>
        <w:t>本工程司置監察人二人，…。</w:t>
      </w:r>
      <w:r w:rsidR="00C462B7">
        <w:rPr>
          <w:rStyle w:val="143"/>
          <w:rFonts w:hAnsi="標楷體" w:hint="eastAsia"/>
        </w:rPr>
        <w:t>」；及</w:t>
      </w:r>
      <w:r w:rsidR="00C462B7">
        <w:rPr>
          <w:rStyle w:val="143"/>
          <w:rFonts w:hint="eastAsia"/>
        </w:rPr>
        <w:t>第6條規定</w:t>
      </w:r>
      <w:r w:rsidR="00C462B7">
        <w:rPr>
          <w:rStyle w:val="143"/>
          <w:rFonts w:hAnsi="標楷體" w:hint="eastAsia"/>
        </w:rPr>
        <w:t>：「</w:t>
      </w:r>
      <w:r w:rsidR="00C462B7" w:rsidRPr="00C462B7">
        <w:rPr>
          <w:rStyle w:val="143"/>
          <w:rFonts w:hAnsi="標楷體" w:hint="eastAsia"/>
        </w:rPr>
        <w:t>本工程司董事會之董事互推一人為董事長，董事長對外代表本工程司與綜理董事會一切事務</w:t>
      </w:r>
      <w:r w:rsidR="00C462B7">
        <w:rPr>
          <w:rStyle w:val="143"/>
          <w:rFonts w:hAnsi="標楷體" w:hint="eastAsia"/>
        </w:rPr>
        <w:t>。」。</w:t>
      </w:r>
    </w:p>
  </w:footnote>
  <w:footnote w:id="5">
    <w:p w:rsidR="005E2A96" w:rsidRPr="00473A5F" w:rsidRDefault="005E2A96" w:rsidP="00473A5F">
      <w:pPr>
        <w:pStyle w:val="14"/>
        <w:spacing w:line="280" w:lineRule="exact"/>
        <w:ind w:left="180" w:hangingChars="75" w:hanging="180"/>
        <w:rPr>
          <w:rStyle w:val="143"/>
          <w:rFonts w:hint="eastAsia"/>
          <w:b w:val="0"/>
          <w:bCs/>
        </w:rPr>
      </w:pPr>
      <w:r w:rsidRPr="008F26C2">
        <w:rPr>
          <w:rStyle w:val="af3"/>
          <w:b w:val="0"/>
          <w:sz w:val="24"/>
          <w:szCs w:val="28"/>
        </w:rPr>
        <w:footnoteRef/>
      </w:r>
      <w:r w:rsidR="00473A5F" w:rsidRPr="003421FE">
        <w:rPr>
          <w:rFonts w:hint="eastAsia"/>
          <w:sz w:val="12"/>
          <w:szCs w:val="12"/>
        </w:rPr>
        <w:t xml:space="preserve">　</w:t>
      </w:r>
      <w:r w:rsidR="00473A5F" w:rsidRPr="00473A5F">
        <w:rPr>
          <w:rStyle w:val="143"/>
          <w:rFonts w:hint="eastAsia"/>
          <w:b w:val="0"/>
          <w:bCs/>
        </w:rPr>
        <w:t>依</w:t>
      </w:r>
      <w:r w:rsidR="00CD6304">
        <w:rPr>
          <w:rStyle w:val="143"/>
          <w:rFonts w:hAnsi="標楷體" w:hint="eastAsia"/>
          <w:b w:val="0"/>
          <w:bCs/>
        </w:rPr>
        <w:t>「</w:t>
      </w:r>
      <w:r w:rsidR="00473A5F" w:rsidRPr="00473A5F">
        <w:rPr>
          <w:rStyle w:val="143"/>
          <w:rFonts w:hint="eastAsia"/>
          <w:b w:val="0"/>
          <w:bCs/>
        </w:rPr>
        <w:t>交通部與所屬事業機構派任公民營事業機構及財團法人機關代表遴選管理及考核要點</w:t>
      </w:r>
      <w:r w:rsidR="00CD6304">
        <w:rPr>
          <w:rStyle w:val="143"/>
          <w:rFonts w:hAnsi="標楷體" w:hint="eastAsia"/>
          <w:b w:val="0"/>
          <w:bCs/>
        </w:rPr>
        <w:t>」</w:t>
      </w:r>
      <w:r w:rsidR="00473A5F" w:rsidRPr="00473A5F">
        <w:rPr>
          <w:rStyle w:val="143"/>
          <w:rFonts w:hint="eastAsia"/>
          <w:b w:val="0"/>
          <w:bCs/>
        </w:rPr>
        <w:t>第4點規定略以</w:t>
      </w:r>
      <w:r w:rsidR="00CD6304">
        <w:rPr>
          <w:rStyle w:val="143"/>
          <w:rFonts w:ascii="新細明體" w:eastAsia="新細明體" w:hAnsi="新細明體" w:hint="eastAsia"/>
          <w:b w:val="0"/>
          <w:bCs/>
        </w:rPr>
        <w:t>，</w:t>
      </w:r>
      <w:r w:rsidR="00CD6304">
        <w:rPr>
          <w:rStyle w:val="143"/>
          <w:rFonts w:hint="eastAsia"/>
          <w:b w:val="0"/>
          <w:bCs/>
        </w:rPr>
        <w:t>該</w:t>
      </w:r>
      <w:r w:rsidR="00473A5F" w:rsidRPr="00473A5F">
        <w:rPr>
          <w:rStyle w:val="143"/>
          <w:rFonts w:hint="eastAsia"/>
          <w:b w:val="0"/>
          <w:bCs/>
        </w:rPr>
        <w:t>部捐助財團法人之機關代表，任一性別比例不得低於1/3，未符合性別比例者，於屆期中遇有缺額情事或任期屆滿改派時，應優先推薦少數性別之適任人選。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Pr="0020035A" w:rsidRDefault="00BF415E" w:rsidP="0020035A">
    <w:pPr>
      <w:pStyle w:val="af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A1B3E"/>
    <w:multiLevelType w:val="hybridMultilevel"/>
    <w:tmpl w:val="E81E468A"/>
    <w:lvl w:ilvl="0" w:tplc="2F78860A">
      <w:start w:val="1"/>
      <w:numFmt w:val="decimal"/>
      <w:lvlText w:val="%1."/>
      <w:lvlJc w:val="left"/>
      <w:pPr>
        <w:ind w:left="360" w:hanging="360"/>
      </w:pPr>
      <w:rPr>
        <w:rFonts w:ascii="標楷體" w:eastAsia="標楷體" w:hAnsi="標楷體"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153536F"/>
    <w:multiLevelType w:val="hybridMultilevel"/>
    <w:tmpl w:val="38E2C284"/>
    <w:lvl w:ilvl="0" w:tplc="D4E852FC">
      <w:start w:val="1"/>
      <w:numFmt w:val="bullet"/>
      <w:lvlText w:val=""/>
      <w:lvlJc w:val="left"/>
      <w:pPr>
        <w:tabs>
          <w:tab w:val="num" w:pos="720"/>
        </w:tabs>
        <w:ind w:left="720" w:hanging="360"/>
      </w:pPr>
      <w:rPr>
        <w:rFonts w:ascii="Wingdings" w:hAnsi="Wingdings" w:hint="default"/>
      </w:rPr>
    </w:lvl>
    <w:lvl w:ilvl="1" w:tplc="FD9616BA" w:tentative="1">
      <w:start w:val="1"/>
      <w:numFmt w:val="bullet"/>
      <w:lvlText w:val=""/>
      <w:lvlJc w:val="left"/>
      <w:pPr>
        <w:tabs>
          <w:tab w:val="num" w:pos="1440"/>
        </w:tabs>
        <w:ind w:left="1440" w:hanging="360"/>
      </w:pPr>
      <w:rPr>
        <w:rFonts w:ascii="Wingdings" w:hAnsi="Wingdings" w:hint="default"/>
      </w:rPr>
    </w:lvl>
    <w:lvl w:ilvl="2" w:tplc="657E32C2" w:tentative="1">
      <w:start w:val="1"/>
      <w:numFmt w:val="bullet"/>
      <w:lvlText w:val=""/>
      <w:lvlJc w:val="left"/>
      <w:pPr>
        <w:tabs>
          <w:tab w:val="num" w:pos="2160"/>
        </w:tabs>
        <w:ind w:left="2160" w:hanging="360"/>
      </w:pPr>
      <w:rPr>
        <w:rFonts w:ascii="Wingdings" w:hAnsi="Wingdings" w:hint="default"/>
      </w:rPr>
    </w:lvl>
    <w:lvl w:ilvl="3" w:tplc="B63CB5BA" w:tentative="1">
      <w:start w:val="1"/>
      <w:numFmt w:val="bullet"/>
      <w:lvlText w:val=""/>
      <w:lvlJc w:val="left"/>
      <w:pPr>
        <w:tabs>
          <w:tab w:val="num" w:pos="2880"/>
        </w:tabs>
        <w:ind w:left="2880" w:hanging="360"/>
      </w:pPr>
      <w:rPr>
        <w:rFonts w:ascii="Wingdings" w:hAnsi="Wingdings" w:hint="default"/>
      </w:rPr>
    </w:lvl>
    <w:lvl w:ilvl="4" w:tplc="23362AEA" w:tentative="1">
      <w:start w:val="1"/>
      <w:numFmt w:val="bullet"/>
      <w:lvlText w:val=""/>
      <w:lvlJc w:val="left"/>
      <w:pPr>
        <w:tabs>
          <w:tab w:val="num" w:pos="3600"/>
        </w:tabs>
        <w:ind w:left="3600" w:hanging="360"/>
      </w:pPr>
      <w:rPr>
        <w:rFonts w:ascii="Wingdings" w:hAnsi="Wingdings" w:hint="default"/>
      </w:rPr>
    </w:lvl>
    <w:lvl w:ilvl="5" w:tplc="BD1438B6" w:tentative="1">
      <w:start w:val="1"/>
      <w:numFmt w:val="bullet"/>
      <w:lvlText w:val=""/>
      <w:lvlJc w:val="left"/>
      <w:pPr>
        <w:tabs>
          <w:tab w:val="num" w:pos="4320"/>
        </w:tabs>
        <w:ind w:left="4320" w:hanging="360"/>
      </w:pPr>
      <w:rPr>
        <w:rFonts w:ascii="Wingdings" w:hAnsi="Wingdings" w:hint="default"/>
      </w:rPr>
    </w:lvl>
    <w:lvl w:ilvl="6" w:tplc="FB50BE1A" w:tentative="1">
      <w:start w:val="1"/>
      <w:numFmt w:val="bullet"/>
      <w:lvlText w:val=""/>
      <w:lvlJc w:val="left"/>
      <w:pPr>
        <w:tabs>
          <w:tab w:val="num" w:pos="5040"/>
        </w:tabs>
        <w:ind w:left="5040" w:hanging="360"/>
      </w:pPr>
      <w:rPr>
        <w:rFonts w:ascii="Wingdings" w:hAnsi="Wingdings" w:hint="default"/>
      </w:rPr>
    </w:lvl>
    <w:lvl w:ilvl="7" w:tplc="A134BF72" w:tentative="1">
      <w:start w:val="1"/>
      <w:numFmt w:val="bullet"/>
      <w:lvlText w:val=""/>
      <w:lvlJc w:val="left"/>
      <w:pPr>
        <w:tabs>
          <w:tab w:val="num" w:pos="5760"/>
        </w:tabs>
        <w:ind w:left="5760" w:hanging="360"/>
      </w:pPr>
      <w:rPr>
        <w:rFonts w:ascii="Wingdings" w:hAnsi="Wingdings" w:hint="default"/>
      </w:rPr>
    </w:lvl>
    <w:lvl w:ilvl="8" w:tplc="04F8066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BF4AC9"/>
    <w:multiLevelType w:val="hybridMultilevel"/>
    <w:tmpl w:val="E64A689C"/>
    <w:lvl w:ilvl="0" w:tplc="5128FC54">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 w15:restartNumberingAfterBreak="0">
    <w:nsid w:val="7ACB16FB"/>
    <w:multiLevelType w:val="hybridMultilevel"/>
    <w:tmpl w:val="8E945E80"/>
    <w:lvl w:ilvl="0" w:tplc="53D47F56">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140"/>
  <w:drawingGridHorizontalSpacing w:val="140"/>
  <w:drawingGridVerticalSpacing w:val="381"/>
  <w:displayHorizontalDrawingGridEvery w:val="0"/>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33B"/>
    <w:rsid w:val="000005F2"/>
    <w:rsid w:val="0000090A"/>
    <w:rsid w:val="0000177D"/>
    <w:rsid w:val="0000252C"/>
    <w:rsid w:val="000025E8"/>
    <w:rsid w:val="00003150"/>
    <w:rsid w:val="00003736"/>
    <w:rsid w:val="00004F4E"/>
    <w:rsid w:val="00006240"/>
    <w:rsid w:val="0000689E"/>
    <w:rsid w:val="00006B35"/>
    <w:rsid w:val="00006EF2"/>
    <w:rsid w:val="000106D6"/>
    <w:rsid w:val="00010DDB"/>
    <w:rsid w:val="00011513"/>
    <w:rsid w:val="00011B41"/>
    <w:rsid w:val="00012413"/>
    <w:rsid w:val="000124B5"/>
    <w:rsid w:val="00012638"/>
    <w:rsid w:val="0001353A"/>
    <w:rsid w:val="00013CAF"/>
    <w:rsid w:val="00013E48"/>
    <w:rsid w:val="000143ED"/>
    <w:rsid w:val="00014604"/>
    <w:rsid w:val="00014702"/>
    <w:rsid w:val="000149E9"/>
    <w:rsid w:val="00016597"/>
    <w:rsid w:val="0001797D"/>
    <w:rsid w:val="00017E2A"/>
    <w:rsid w:val="00020031"/>
    <w:rsid w:val="00020471"/>
    <w:rsid w:val="00020CC1"/>
    <w:rsid w:val="00021B73"/>
    <w:rsid w:val="0002230B"/>
    <w:rsid w:val="00023547"/>
    <w:rsid w:val="00023573"/>
    <w:rsid w:val="00023A56"/>
    <w:rsid w:val="00024048"/>
    <w:rsid w:val="000241C2"/>
    <w:rsid w:val="0002446D"/>
    <w:rsid w:val="00024679"/>
    <w:rsid w:val="00024688"/>
    <w:rsid w:val="000246AF"/>
    <w:rsid w:val="000246DB"/>
    <w:rsid w:val="00024EEB"/>
    <w:rsid w:val="00025714"/>
    <w:rsid w:val="00025A7E"/>
    <w:rsid w:val="00030EBD"/>
    <w:rsid w:val="00030EE5"/>
    <w:rsid w:val="00030F8E"/>
    <w:rsid w:val="0003104C"/>
    <w:rsid w:val="0003106C"/>
    <w:rsid w:val="00031989"/>
    <w:rsid w:val="00031C48"/>
    <w:rsid w:val="0003244A"/>
    <w:rsid w:val="00033579"/>
    <w:rsid w:val="000336DF"/>
    <w:rsid w:val="000350E6"/>
    <w:rsid w:val="00035410"/>
    <w:rsid w:val="00035767"/>
    <w:rsid w:val="00035FBB"/>
    <w:rsid w:val="00037DF2"/>
    <w:rsid w:val="00037F79"/>
    <w:rsid w:val="00040471"/>
    <w:rsid w:val="00041337"/>
    <w:rsid w:val="00042788"/>
    <w:rsid w:val="00042FCA"/>
    <w:rsid w:val="00043573"/>
    <w:rsid w:val="00043744"/>
    <w:rsid w:val="00043C01"/>
    <w:rsid w:val="00044F55"/>
    <w:rsid w:val="00045CDE"/>
    <w:rsid w:val="000465F5"/>
    <w:rsid w:val="00046B66"/>
    <w:rsid w:val="00046C0B"/>
    <w:rsid w:val="00047C5D"/>
    <w:rsid w:val="00050674"/>
    <w:rsid w:val="00051639"/>
    <w:rsid w:val="0005202A"/>
    <w:rsid w:val="000526D0"/>
    <w:rsid w:val="00052983"/>
    <w:rsid w:val="0005374A"/>
    <w:rsid w:val="0005389C"/>
    <w:rsid w:val="00053BE1"/>
    <w:rsid w:val="00054340"/>
    <w:rsid w:val="00054519"/>
    <w:rsid w:val="00054EF8"/>
    <w:rsid w:val="00055382"/>
    <w:rsid w:val="00055C58"/>
    <w:rsid w:val="00057CD6"/>
    <w:rsid w:val="00057EDC"/>
    <w:rsid w:val="00060083"/>
    <w:rsid w:val="00060896"/>
    <w:rsid w:val="00060B3E"/>
    <w:rsid w:val="00061AB3"/>
    <w:rsid w:val="00062636"/>
    <w:rsid w:val="000628B5"/>
    <w:rsid w:val="000630BC"/>
    <w:rsid w:val="000632BF"/>
    <w:rsid w:val="00063B6D"/>
    <w:rsid w:val="00063BA8"/>
    <w:rsid w:val="00063D07"/>
    <w:rsid w:val="00064A37"/>
    <w:rsid w:val="0006508E"/>
    <w:rsid w:val="000658CA"/>
    <w:rsid w:val="00066516"/>
    <w:rsid w:val="00066782"/>
    <w:rsid w:val="000677F9"/>
    <w:rsid w:val="00070101"/>
    <w:rsid w:val="00070B17"/>
    <w:rsid w:val="0007131F"/>
    <w:rsid w:val="00071943"/>
    <w:rsid w:val="00071A54"/>
    <w:rsid w:val="00071DFF"/>
    <w:rsid w:val="000725C2"/>
    <w:rsid w:val="000728F3"/>
    <w:rsid w:val="0007299A"/>
    <w:rsid w:val="000730CD"/>
    <w:rsid w:val="000739F4"/>
    <w:rsid w:val="00073B10"/>
    <w:rsid w:val="00073DC4"/>
    <w:rsid w:val="00073F74"/>
    <w:rsid w:val="0007455F"/>
    <w:rsid w:val="00074D10"/>
    <w:rsid w:val="0007500B"/>
    <w:rsid w:val="000753D3"/>
    <w:rsid w:val="0007579B"/>
    <w:rsid w:val="00075878"/>
    <w:rsid w:val="00075E7D"/>
    <w:rsid w:val="00075F03"/>
    <w:rsid w:val="000760EF"/>
    <w:rsid w:val="00076249"/>
    <w:rsid w:val="00076A09"/>
    <w:rsid w:val="00076B4F"/>
    <w:rsid w:val="00076CDC"/>
    <w:rsid w:val="000772B6"/>
    <w:rsid w:val="00077359"/>
    <w:rsid w:val="0007748B"/>
    <w:rsid w:val="00077871"/>
    <w:rsid w:val="00077C6C"/>
    <w:rsid w:val="000808B3"/>
    <w:rsid w:val="00081096"/>
    <w:rsid w:val="000817F5"/>
    <w:rsid w:val="00082029"/>
    <w:rsid w:val="00082F3B"/>
    <w:rsid w:val="00083916"/>
    <w:rsid w:val="00083B0A"/>
    <w:rsid w:val="00083C78"/>
    <w:rsid w:val="000846B2"/>
    <w:rsid w:val="00084ABF"/>
    <w:rsid w:val="0008543B"/>
    <w:rsid w:val="0008554D"/>
    <w:rsid w:val="0008569B"/>
    <w:rsid w:val="00085F1E"/>
    <w:rsid w:val="000864F2"/>
    <w:rsid w:val="00086735"/>
    <w:rsid w:val="00086860"/>
    <w:rsid w:val="00086D66"/>
    <w:rsid w:val="000900AC"/>
    <w:rsid w:val="000907A6"/>
    <w:rsid w:val="00091A81"/>
    <w:rsid w:val="000920DC"/>
    <w:rsid w:val="000929FA"/>
    <w:rsid w:val="00092E99"/>
    <w:rsid w:val="00092F2B"/>
    <w:rsid w:val="0009305B"/>
    <w:rsid w:val="000930CD"/>
    <w:rsid w:val="000936A9"/>
    <w:rsid w:val="00093E5C"/>
    <w:rsid w:val="00094046"/>
    <w:rsid w:val="000949ED"/>
    <w:rsid w:val="00094A7C"/>
    <w:rsid w:val="00095545"/>
    <w:rsid w:val="00095D3B"/>
    <w:rsid w:val="000961BD"/>
    <w:rsid w:val="0009653C"/>
    <w:rsid w:val="00096CC4"/>
    <w:rsid w:val="00096F18"/>
    <w:rsid w:val="00096F32"/>
    <w:rsid w:val="000975A6"/>
    <w:rsid w:val="000975AA"/>
    <w:rsid w:val="00097ABD"/>
    <w:rsid w:val="00097D7A"/>
    <w:rsid w:val="000A0215"/>
    <w:rsid w:val="000A0779"/>
    <w:rsid w:val="000A09F2"/>
    <w:rsid w:val="000A1470"/>
    <w:rsid w:val="000A1BFE"/>
    <w:rsid w:val="000A267B"/>
    <w:rsid w:val="000A28BB"/>
    <w:rsid w:val="000A2D19"/>
    <w:rsid w:val="000A394E"/>
    <w:rsid w:val="000A3D5A"/>
    <w:rsid w:val="000A52AF"/>
    <w:rsid w:val="000A5EF9"/>
    <w:rsid w:val="000A7F86"/>
    <w:rsid w:val="000B079C"/>
    <w:rsid w:val="000B08D3"/>
    <w:rsid w:val="000B091C"/>
    <w:rsid w:val="000B094C"/>
    <w:rsid w:val="000B0BEA"/>
    <w:rsid w:val="000B11EB"/>
    <w:rsid w:val="000B1557"/>
    <w:rsid w:val="000B2C7D"/>
    <w:rsid w:val="000B3023"/>
    <w:rsid w:val="000B311B"/>
    <w:rsid w:val="000B3F2A"/>
    <w:rsid w:val="000B402D"/>
    <w:rsid w:val="000B47F9"/>
    <w:rsid w:val="000B4D27"/>
    <w:rsid w:val="000B5332"/>
    <w:rsid w:val="000B5E10"/>
    <w:rsid w:val="000B6889"/>
    <w:rsid w:val="000B6A0A"/>
    <w:rsid w:val="000B6BD8"/>
    <w:rsid w:val="000B6ECB"/>
    <w:rsid w:val="000B7ABE"/>
    <w:rsid w:val="000B7D1F"/>
    <w:rsid w:val="000B7EC3"/>
    <w:rsid w:val="000C0562"/>
    <w:rsid w:val="000C1542"/>
    <w:rsid w:val="000C154C"/>
    <w:rsid w:val="000C15C2"/>
    <w:rsid w:val="000C17E4"/>
    <w:rsid w:val="000C254A"/>
    <w:rsid w:val="000C2A3D"/>
    <w:rsid w:val="000C3110"/>
    <w:rsid w:val="000C335F"/>
    <w:rsid w:val="000C3E8B"/>
    <w:rsid w:val="000C4C63"/>
    <w:rsid w:val="000C4D43"/>
    <w:rsid w:val="000C5754"/>
    <w:rsid w:val="000C6FFE"/>
    <w:rsid w:val="000C71F7"/>
    <w:rsid w:val="000C7A13"/>
    <w:rsid w:val="000D0480"/>
    <w:rsid w:val="000D05A3"/>
    <w:rsid w:val="000D10B7"/>
    <w:rsid w:val="000D1111"/>
    <w:rsid w:val="000D131A"/>
    <w:rsid w:val="000D138F"/>
    <w:rsid w:val="000D1562"/>
    <w:rsid w:val="000D1DB5"/>
    <w:rsid w:val="000D24B9"/>
    <w:rsid w:val="000D2B6A"/>
    <w:rsid w:val="000D3374"/>
    <w:rsid w:val="000D3D04"/>
    <w:rsid w:val="000D4D28"/>
    <w:rsid w:val="000D4E24"/>
    <w:rsid w:val="000D55B7"/>
    <w:rsid w:val="000D57B3"/>
    <w:rsid w:val="000D65E3"/>
    <w:rsid w:val="000D6740"/>
    <w:rsid w:val="000D71DC"/>
    <w:rsid w:val="000D72D6"/>
    <w:rsid w:val="000D764D"/>
    <w:rsid w:val="000D7B86"/>
    <w:rsid w:val="000E1189"/>
    <w:rsid w:val="000E13E9"/>
    <w:rsid w:val="000E18AC"/>
    <w:rsid w:val="000E2053"/>
    <w:rsid w:val="000E218F"/>
    <w:rsid w:val="000E2231"/>
    <w:rsid w:val="000E2B61"/>
    <w:rsid w:val="000E330E"/>
    <w:rsid w:val="000E3F9C"/>
    <w:rsid w:val="000E5967"/>
    <w:rsid w:val="000E5ED3"/>
    <w:rsid w:val="000E62F5"/>
    <w:rsid w:val="000E63D7"/>
    <w:rsid w:val="000E645F"/>
    <w:rsid w:val="000E656C"/>
    <w:rsid w:val="000E6571"/>
    <w:rsid w:val="000E67A9"/>
    <w:rsid w:val="000E719B"/>
    <w:rsid w:val="000E75BA"/>
    <w:rsid w:val="000F0446"/>
    <w:rsid w:val="000F0BD8"/>
    <w:rsid w:val="000F0FC6"/>
    <w:rsid w:val="000F13A4"/>
    <w:rsid w:val="000F1CF6"/>
    <w:rsid w:val="000F2564"/>
    <w:rsid w:val="000F2622"/>
    <w:rsid w:val="000F27B3"/>
    <w:rsid w:val="000F2F28"/>
    <w:rsid w:val="000F318D"/>
    <w:rsid w:val="000F3BC3"/>
    <w:rsid w:val="000F4002"/>
    <w:rsid w:val="000F406D"/>
    <w:rsid w:val="000F43B0"/>
    <w:rsid w:val="000F48B7"/>
    <w:rsid w:val="000F4A6C"/>
    <w:rsid w:val="000F4D4A"/>
    <w:rsid w:val="000F5385"/>
    <w:rsid w:val="000F55C9"/>
    <w:rsid w:val="000F5A19"/>
    <w:rsid w:val="000F5AB2"/>
    <w:rsid w:val="000F645B"/>
    <w:rsid w:val="000F68B8"/>
    <w:rsid w:val="000F6E4F"/>
    <w:rsid w:val="000F70DD"/>
    <w:rsid w:val="000F74CA"/>
    <w:rsid w:val="000F7670"/>
    <w:rsid w:val="000F7BC2"/>
    <w:rsid w:val="000F7C06"/>
    <w:rsid w:val="0010033C"/>
    <w:rsid w:val="00100360"/>
    <w:rsid w:val="001004AE"/>
    <w:rsid w:val="001004D1"/>
    <w:rsid w:val="00100581"/>
    <w:rsid w:val="00100B45"/>
    <w:rsid w:val="00100D5A"/>
    <w:rsid w:val="00101AF3"/>
    <w:rsid w:val="00102268"/>
    <w:rsid w:val="001023B3"/>
    <w:rsid w:val="00102953"/>
    <w:rsid w:val="00102AA8"/>
    <w:rsid w:val="001039FD"/>
    <w:rsid w:val="0010446B"/>
    <w:rsid w:val="0010451B"/>
    <w:rsid w:val="0010469A"/>
    <w:rsid w:val="00104CE9"/>
    <w:rsid w:val="00104DC2"/>
    <w:rsid w:val="001054ED"/>
    <w:rsid w:val="001055BF"/>
    <w:rsid w:val="00105824"/>
    <w:rsid w:val="00105DD8"/>
    <w:rsid w:val="00106049"/>
    <w:rsid w:val="001076DB"/>
    <w:rsid w:val="00107891"/>
    <w:rsid w:val="00107CDA"/>
    <w:rsid w:val="00107DA2"/>
    <w:rsid w:val="001100F4"/>
    <w:rsid w:val="00110948"/>
    <w:rsid w:val="00110DEC"/>
    <w:rsid w:val="001113E4"/>
    <w:rsid w:val="001116AF"/>
    <w:rsid w:val="00111EC2"/>
    <w:rsid w:val="00112382"/>
    <w:rsid w:val="0011301F"/>
    <w:rsid w:val="00114364"/>
    <w:rsid w:val="0011461B"/>
    <w:rsid w:val="00114C3C"/>
    <w:rsid w:val="00116048"/>
    <w:rsid w:val="00116A63"/>
    <w:rsid w:val="00117023"/>
    <w:rsid w:val="001174DA"/>
    <w:rsid w:val="001177D1"/>
    <w:rsid w:val="00120093"/>
    <w:rsid w:val="00120936"/>
    <w:rsid w:val="00122827"/>
    <w:rsid w:val="001234C9"/>
    <w:rsid w:val="0012352C"/>
    <w:rsid w:val="00124151"/>
    <w:rsid w:val="001243FF"/>
    <w:rsid w:val="001248E7"/>
    <w:rsid w:val="00125292"/>
    <w:rsid w:val="00125B06"/>
    <w:rsid w:val="00125B41"/>
    <w:rsid w:val="00125CE1"/>
    <w:rsid w:val="00126461"/>
    <w:rsid w:val="001264A7"/>
    <w:rsid w:val="00127806"/>
    <w:rsid w:val="0013019F"/>
    <w:rsid w:val="00130B15"/>
    <w:rsid w:val="00131318"/>
    <w:rsid w:val="00131D79"/>
    <w:rsid w:val="00132C7A"/>
    <w:rsid w:val="00132E40"/>
    <w:rsid w:val="00132F14"/>
    <w:rsid w:val="00133374"/>
    <w:rsid w:val="001335BB"/>
    <w:rsid w:val="00133810"/>
    <w:rsid w:val="00133B84"/>
    <w:rsid w:val="00134949"/>
    <w:rsid w:val="00134C84"/>
    <w:rsid w:val="00134E0B"/>
    <w:rsid w:val="00135A4B"/>
    <w:rsid w:val="00135D42"/>
    <w:rsid w:val="00135F32"/>
    <w:rsid w:val="00136641"/>
    <w:rsid w:val="00136A65"/>
    <w:rsid w:val="00136EAA"/>
    <w:rsid w:val="001377DB"/>
    <w:rsid w:val="00140CBF"/>
    <w:rsid w:val="00141C2C"/>
    <w:rsid w:val="00142AC4"/>
    <w:rsid w:val="00142C42"/>
    <w:rsid w:val="00143C9E"/>
    <w:rsid w:val="001440D4"/>
    <w:rsid w:val="00144817"/>
    <w:rsid w:val="00144BBF"/>
    <w:rsid w:val="00144F83"/>
    <w:rsid w:val="00144FEA"/>
    <w:rsid w:val="00146C4E"/>
    <w:rsid w:val="001475D1"/>
    <w:rsid w:val="00147BD8"/>
    <w:rsid w:val="00147D32"/>
    <w:rsid w:val="00150208"/>
    <w:rsid w:val="00150841"/>
    <w:rsid w:val="001508D6"/>
    <w:rsid w:val="00150A1E"/>
    <w:rsid w:val="00150C9A"/>
    <w:rsid w:val="00150E44"/>
    <w:rsid w:val="00150E50"/>
    <w:rsid w:val="00151343"/>
    <w:rsid w:val="00151446"/>
    <w:rsid w:val="00152B90"/>
    <w:rsid w:val="00152CE2"/>
    <w:rsid w:val="00152D3A"/>
    <w:rsid w:val="00152ECF"/>
    <w:rsid w:val="00153132"/>
    <w:rsid w:val="001533DD"/>
    <w:rsid w:val="00153870"/>
    <w:rsid w:val="00153EF1"/>
    <w:rsid w:val="0015404F"/>
    <w:rsid w:val="00154264"/>
    <w:rsid w:val="001547F2"/>
    <w:rsid w:val="00154D61"/>
    <w:rsid w:val="00155753"/>
    <w:rsid w:val="00155EB0"/>
    <w:rsid w:val="001560A1"/>
    <w:rsid w:val="0015664C"/>
    <w:rsid w:val="00156A34"/>
    <w:rsid w:val="00156A54"/>
    <w:rsid w:val="00160436"/>
    <w:rsid w:val="00160750"/>
    <w:rsid w:val="001609A4"/>
    <w:rsid w:val="00161513"/>
    <w:rsid w:val="00161C74"/>
    <w:rsid w:val="00162584"/>
    <w:rsid w:val="00162E60"/>
    <w:rsid w:val="00163418"/>
    <w:rsid w:val="00163D72"/>
    <w:rsid w:val="00163F62"/>
    <w:rsid w:val="00165828"/>
    <w:rsid w:val="00166667"/>
    <w:rsid w:val="001671CB"/>
    <w:rsid w:val="001676E5"/>
    <w:rsid w:val="0016774A"/>
    <w:rsid w:val="00167C78"/>
    <w:rsid w:val="00170540"/>
    <w:rsid w:val="00170CE1"/>
    <w:rsid w:val="00171263"/>
    <w:rsid w:val="00171535"/>
    <w:rsid w:val="00171562"/>
    <w:rsid w:val="00171A8D"/>
    <w:rsid w:val="00172552"/>
    <w:rsid w:val="00172602"/>
    <w:rsid w:val="001728B4"/>
    <w:rsid w:val="0017381C"/>
    <w:rsid w:val="00173B0F"/>
    <w:rsid w:val="00173F27"/>
    <w:rsid w:val="00174C8F"/>
    <w:rsid w:val="00175702"/>
    <w:rsid w:val="00175981"/>
    <w:rsid w:val="00176183"/>
    <w:rsid w:val="001772E0"/>
    <w:rsid w:val="0017739F"/>
    <w:rsid w:val="00177467"/>
    <w:rsid w:val="001818C0"/>
    <w:rsid w:val="00181F7B"/>
    <w:rsid w:val="00182C80"/>
    <w:rsid w:val="00182FD3"/>
    <w:rsid w:val="00183501"/>
    <w:rsid w:val="00183607"/>
    <w:rsid w:val="00184545"/>
    <w:rsid w:val="00184EA0"/>
    <w:rsid w:val="001857D2"/>
    <w:rsid w:val="001869C4"/>
    <w:rsid w:val="00186C6C"/>
    <w:rsid w:val="00187B4D"/>
    <w:rsid w:val="00187E14"/>
    <w:rsid w:val="00187E90"/>
    <w:rsid w:val="001906B3"/>
    <w:rsid w:val="00190A5C"/>
    <w:rsid w:val="00191069"/>
    <w:rsid w:val="00191095"/>
    <w:rsid w:val="00191C88"/>
    <w:rsid w:val="00192585"/>
    <w:rsid w:val="00193886"/>
    <w:rsid w:val="00193FFA"/>
    <w:rsid w:val="00194EDD"/>
    <w:rsid w:val="00194FDA"/>
    <w:rsid w:val="00195207"/>
    <w:rsid w:val="00197622"/>
    <w:rsid w:val="00197E89"/>
    <w:rsid w:val="001A0583"/>
    <w:rsid w:val="001A05A3"/>
    <w:rsid w:val="001A1872"/>
    <w:rsid w:val="001A1F98"/>
    <w:rsid w:val="001A1FC3"/>
    <w:rsid w:val="001A2032"/>
    <w:rsid w:val="001A23DB"/>
    <w:rsid w:val="001A2843"/>
    <w:rsid w:val="001A2A39"/>
    <w:rsid w:val="001A3890"/>
    <w:rsid w:val="001A3E02"/>
    <w:rsid w:val="001A496F"/>
    <w:rsid w:val="001A4F00"/>
    <w:rsid w:val="001A4F15"/>
    <w:rsid w:val="001A5B8F"/>
    <w:rsid w:val="001A61E4"/>
    <w:rsid w:val="001A6E87"/>
    <w:rsid w:val="001A73B3"/>
    <w:rsid w:val="001A756A"/>
    <w:rsid w:val="001A7ADC"/>
    <w:rsid w:val="001B0C8A"/>
    <w:rsid w:val="001B2244"/>
    <w:rsid w:val="001B22F6"/>
    <w:rsid w:val="001B2322"/>
    <w:rsid w:val="001B263B"/>
    <w:rsid w:val="001B2D09"/>
    <w:rsid w:val="001B3106"/>
    <w:rsid w:val="001B4972"/>
    <w:rsid w:val="001B5197"/>
    <w:rsid w:val="001B6091"/>
    <w:rsid w:val="001B6A6A"/>
    <w:rsid w:val="001B6A7B"/>
    <w:rsid w:val="001B7D14"/>
    <w:rsid w:val="001C0382"/>
    <w:rsid w:val="001C0A64"/>
    <w:rsid w:val="001C141C"/>
    <w:rsid w:val="001C18B0"/>
    <w:rsid w:val="001C1CCC"/>
    <w:rsid w:val="001C1F42"/>
    <w:rsid w:val="001C2587"/>
    <w:rsid w:val="001C2AB4"/>
    <w:rsid w:val="001C2C07"/>
    <w:rsid w:val="001C3E97"/>
    <w:rsid w:val="001C43AA"/>
    <w:rsid w:val="001C50E4"/>
    <w:rsid w:val="001C51F0"/>
    <w:rsid w:val="001C5245"/>
    <w:rsid w:val="001C59AC"/>
    <w:rsid w:val="001C65F5"/>
    <w:rsid w:val="001C738D"/>
    <w:rsid w:val="001C78B9"/>
    <w:rsid w:val="001C7D3F"/>
    <w:rsid w:val="001D00EA"/>
    <w:rsid w:val="001D096D"/>
    <w:rsid w:val="001D1B22"/>
    <w:rsid w:val="001D1D75"/>
    <w:rsid w:val="001D1F35"/>
    <w:rsid w:val="001D2364"/>
    <w:rsid w:val="001D2401"/>
    <w:rsid w:val="001D2ACF"/>
    <w:rsid w:val="001D2F97"/>
    <w:rsid w:val="001D34D6"/>
    <w:rsid w:val="001D3FCB"/>
    <w:rsid w:val="001D415E"/>
    <w:rsid w:val="001D48D5"/>
    <w:rsid w:val="001D595E"/>
    <w:rsid w:val="001D61CC"/>
    <w:rsid w:val="001D74A1"/>
    <w:rsid w:val="001E0CA8"/>
    <w:rsid w:val="001E0D51"/>
    <w:rsid w:val="001E165C"/>
    <w:rsid w:val="001E1D85"/>
    <w:rsid w:val="001E2028"/>
    <w:rsid w:val="001E25C7"/>
    <w:rsid w:val="001E271D"/>
    <w:rsid w:val="001E343D"/>
    <w:rsid w:val="001E39D5"/>
    <w:rsid w:val="001E39FB"/>
    <w:rsid w:val="001E3F56"/>
    <w:rsid w:val="001E4728"/>
    <w:rsid w:val="001E4890"/>
    <w:rsid w:val="001E50DA"/>
    <w:rsid w:val="001E5829"/>
    <w:rsid w:val="001E5986"/>
    <w:rsid w:val="001E67D7"/>
    <w:rsid w:val="001E6C1F"/>
    <w:rsid w:val="001E7216"/>
    <w:rsid w:val="001E737E"/>
    <w:rsid w:val="001E7609"/>
    <w:rsid w:val="001E7723"/>
    <w:rsid w:val="001E79FE"/>
    <w:rsid w:val="001F0E91"/>
    <w:rsid w:val="001F150B"/>
    <w:rsid w:val="001F2BD4"/>
    <w:rsid w:val="001F2D15"/>
    <w:rsid w:val="001F36BF"/>
    <w:rsid w:val="001F4D2A"/>
    <w:rsid w:val="001F500B"/>
    <w:rsid w:val="001F64F8"/>
    <w:rsid w:val="001F6672"/>
    <w:rsid w:val="001F6BCB"/>
    <w:rsid w:val="001F6DF1"/>
    <w:rsid w:val="001F7A40"/>
    <w:rsid w:val="0020035A"/>
    <w:rsid w:val="0020046B"/>
    <w:rsid w:val="002010C5"/>
    <w:rsid w:val="002011B2"/>
    <w:rsid w:val="00201AE8"/>
    <w:rsid w:val="002028D8"/>
    <w:rsid w:val="00202C90"/>
    <w:rsid w:val="002032B4"/>
    <w:rsid w:val="00203495"/>
    <w:rsid w:val="00203524"/>
    <w:rsid w:val="00203896"/>
    <w:rsid w:val="00203D0F"/>
    <w:rsid w:val="002042AE"/>
    <w:rsid w:val="00204880"/>
    <w:rsid w:val="00204F51"/>
    <w:rsid w:val="0020540D"/>
    <w:rsid w:val="00205A68"/>
    <w:rsid w:val="00205AF0"/>
    <w:rsid w:val="00205B17"/>
    <w:rsid w:val="00205E4A"/>
    <w:rsid w:val="002067FD"/>
    <w:rsid w:val="00206D50"/>
    <w:rsid w:val="0020732D"/>
    <w:rsid w:val="00207F3B"/>
    <w:rsid w:val="002100B5"/>
    <w:rsid w:val="002102E2"/>
    <w:rsid w:val="0021054B"/>
    <w:rsid w:val="002115BC"/>
    <w:rsid w:val="002128B3"/>
    <w:rsid w:val="00212ECD"/>
    <w:rsid w:val="00214393"/>
    <w:rsid w:val="00214945"/>
    <w:rsid w:val="00214971"/>
    <w:rsid w:val="00215641"/>
    <w:rsid w:val="00215D43"/>
    <w:rsid w:val="002161D7"/>
    <w:rsid w:val="00216FA9"/>
    <w:rsid w:val="0021719F"/>
    <w:rsid w:val="00217309"/>
    <w:rsid w:val="00217987"/>
    <w:rsid w:val="00220190"/>
    <w:rsid w:val="002210BE"/>
    <w:rsid w:val="002229A6"/>
    <w:rsid w:val="00222D6E"/>
    <w:rsid w:val="002239C9"/>
    <w:rsid w:val="00225AA3"/>
    <w:rsid w:val="002263EE"/>
    <w:rsid w:val="002265C0"/>
    <w:rsid w:val="00226A20"/>
    <w:rsid w:val="00226CD5"/>
    <w:rsid w:val="00226EA2"/>
    <w:rsid w:val="0022737F"/>
    <w:rsid w:val="00227B91"/>
    <w:rsid w:val="002306BE"/>
    <w:rsid w:val="00230DBF"/>
    <w:rsid w:val="00231285"/>
    <w:rsid w:val="002317E9"/>
    <w:rsid w:val="00231CEC"/>
    <w:rsid w:val="002325F7"/>
    <w:rsid w:val="00232BAC"/>
    <w:rsid w:val="00232F6F"/>
    <w:rsid w:val="0023328E"/>
    <w:rsid w:val="00233394"/>
    <w:rsid w:val="002336C6"/>
    <w:rsid w:val="00233A94"/>
    <w:rsid w:val="00234305"/>
    <w:rsid w:val="002349BC"/>
    <w:rsid w:val="00234C3D"/>
    <w:rsid w:val="002351AC"/>
    <w:rsid w:val="00235786"/>
    <w:rsid w:val="00235E87"/>
    <w:rsid w:val="002361D1"/>
    <w:rsid w:val="002363D2"/>
    <w:rsid w:val="00236427"/>
    <w:rsid w:val="00236CE1"/>
    <w:rsid w:val="0023723B"/>
    <w:rsid w:val="00237506"/>
    <w:rsid w:val="002377B7"/>
    <w:rsid w:val="00240749"/>
    <w:rsid w:val="00240F2A"/>
    <w:rsid w:val="0024213F"/>
    <w:rsid w:val="002424E8"/>
    <w:rsid w:val="00242999"/>
    <w:rsid w:val="00242E24"/>
    <w:rsid w:val="002434BC"/>
    <w:rsid w:val="002435C4"/>
    <w:rsid w:val="00243FAA"/>
    <w:rsid w:val="0024427D"/>
    <w:rsid w:val="00244661"/>
    <w:rsid w:val="00244AD7"/>
    <w:rsid w:val="00244D99"/>
    <w:rsid w:val="00245270"/>
    <w:rsid w:val="00245295"/>
    <w:rsid w:val="0024759A"/>
    <w:rsid w:val="00247CA7"/>
    <w:rsid w:val="00247E7F"/>
    <w:rsid w:val="00250AF1"/>
    <w:rsid w:val="002518C9"/>
    <w:rsid w:val="0025199C"/>
    <w:rsid w:val="00252232"/>
    <w:rsid w:val="002525F4"/>
    <w:rsid w:val="002526B8"/>
    <w:rsid w:val="002537F1"/>
    <w:rsid w:val="00254926"/>
    <w:rsid w:val="00254E2E"/>
    <w:rsid w:val="00255290"/>
    <w:rsid w:val="0025558A"/>
    <w:rsid w:val="002558B3"/>
    <w:rsid w:val="0025675B"/>
    <w:rsid w:val="0025678D"/>
    <w:rsid w:val="00256BF3"/>
    <w:rsid w:val="002574D2"/>
    <w:rsid w:val="00257C17"/>
    <w:rsid w:val="002605D3"/>
    <w:rsid w:val="00261EF4"/>
    <w:rsid w:val="00261F41"/>
    <w:rsid w:val="0026282B"/>
    <w:rsid w:val="0026338A"/>
    <w:rsid w:val="00263778"/>
    <w:rsid w:val="00263F64"/>
    <w:rsid w:val="002642AD"/>
    <w:rsid w:val="00264308"/>
    <w:rsid w:val="002645A8"/>
    <w:rsid w:val="0026667F"/>
    <w:rsid w:val="002668D7"/>
    <w:rsid w:val="00266A5C"/>
    <w:rsid w:val="0026769F"/>
    <w:rsid w:val="002677C6"/>
    <w:rsid w:val="00267E59"/>
    <w:rsid w:val="00270114"/>
    <w:rsid w:val="00270B0B"/>
    <w:rsid w:val="002718FD"/>
    <w:rsid w:val="0027276E"/>
    <w:rsid w:val="00272881"/>
    <w:rsid w:val="00272980"/>
    <w:rsid w:val="00272D68"/>
    <w:rsid w:val="00274E80"/>
    <w:rsid w:val="002750D2"/>
    <w:rsid w:val="00275ADF"/>
    <w:rsid w:val="00276189"/>
    <w:rsid w:val="00276529"/>
    <w:rsid w:val="00277E23"/>
    <w:rsid w:val="00277F2D"/>
    <w:rsid w:val="002808D1"/>
    <w:rsid w:val="002812AE"/>
    <w:rsid w:val="002818D4"/>
    <w:rsid w:val="00281990"/>
    <w:rsid w:val="00281F3F"/>
    <w:rsid w:val="002826E1"/>
    <w:rsid w:val="00282938"/>
    <w:rsid w:val="00283306"/>
    <w:rsid w:val="00283955"/>
    <w:rsid w:val="00284A3A"/>
    <w:rsid w:val="00284F9D"/>
    <w:rsid w:val="00285901"/>
    <w:rsid w:val="002868C1"/>
    <w:rsid w:val="00286A48"/>
    <w:rsid w:val="002907C5"/>
    <w:rsid w:val="00290A95"/>
    <w:rsid w:val="00291106"/>
    <w:rsid w:val="002919DA"/>
    <w:rsid w:val="00291B36"/>
    <w:rsid w:val="00291D3D"/>
    <w:rsid w:val="00292D39"/>
    <w:rsid w:val="00292DC0"/>
    <w:rsid w:val="00292FB7"/>
    <w:rsid w:val="00293564"/>
    <w:rsid w:val="002935E2"/>
    <w:rsid w:val="00294672"/>
    <w:rsid w:val="00294DF7"/>
    <w:rsid w:val="0029537F"/>
    <w:rsid w:val="00295BAC"/>
    <w:rsid w:val="00295DEE"/>
    <w:rsid w:val="002963D4"/>
    <w:rsid w:val="00296536"/>
    <w:rsid w:val="00296A14"/>
    <w:rsid w:val="00296D43"/>
    <w:rsid w:val="00296F6C"/>
    <w:rsid w:val="002979AA"/>
    <w:rsid w:val="002A053C"/>
    <w:rsid w:val="002A2F41"/>
    <w:rsid w:val="002A320E"/>
    <w:rsid w:val="002A3665"/>
    <w:rsid w:val="002A38BA"/>
    <w:rsid w:val="002A3ED6"/>
    <w:rsid w:val="002A53F0"/>
    <w:rsid w:val="002A5990"/>
    <w:rsid w:val="002A60EE"/>
    <w:rsid w:val="002A7758"/>
    <w:rsid w:val="002A7F4B"/>
    <w:rsid w:val="002B07AE"/>
    <w:rsid w:val="002B189E"/>
    <w:rsid w:val="002B1BCF"/>
    <w:rsid w:val="002B1F33"/>
    <w:rsid w:val="002B1F54"/>
    <w:rsid w:val="002B3225"/>
    <w:rsid w:val="002B3D71"/>
    <w:rsid w:val="002B45D3"/>
    <w:rsid w:val="002B46F8"/>
    <w:rsid w:val="002B4DDA"/>
    <w:rsid w:val="002B56D4"/>
    <w:rsid w:val="002B60F1"/>
    <w:rsid w:val="002B61E2"/>
    <w:rsid w:val="002B6AF5"/>
    <w:rsid w:val="002B7CC1"/>
    <w:rsid w:val="002C0348"/>
    <w:rsid w:val="002C0415"/>
    <w:rsid w:val="002C1004"/>
    <w:rsid w:val="002C19A7"/>
    <w:rsid w:val="002C28F6"/>
    <w:rsid w:val="002C3545"/>
    <w:rsid w:val="002C3E0F"/>
    <w:rsid w:val="002C415B"/>
    <w:rsid w:val="002C5B88"/>
    <w:rsid w:val="002C5D66"/>
    <w:rsid w:val="002C76A0"/>
    <w:rsid w:val="002D046D"/>
    <w:rsid w:val="002D0B85"/>
    <w:rsid w:val="002D13FF"/>
    <w:rsid w:val="002D1B01"/>
    <w:rsid w:val="002D24E8"/>
    <w:rsid w:val="002D36E1"/>
    <w:rsid w:val="002D4CD7"/>
    <w:rsid w:val="002D514C"/>
    <w:rsid w:val="002D5241"/>
    <w:rsid w:val="002D547E"/>
    <w:rsid w:val="002D5BAA"/>
    <w:rsid w:val="002D5E79"/>
    <w:rsid w:val="002D60DB"/>
    <w:rsid w:val="002D6B62"/>
    <w:rsid w:val="002D7776"/>
    <w:rsid w:val="002D7BDD"/>
    <w:rsid w:val="002E013B"/>
    <w:rsid w:val="002E0B95"/>
    <w:rsid w:val="002E1717"/>
    <w:rsid w:val="002E1844"/>
    <w:rsid w:val="002E3159"/>
    <w:rsid w:val="002E316A"/>
    <w:rsid w:val="002E32E9"/>
    <w:rsid w:val="002E3495"/>
    <w:rsid w:val="002E35EC"/>
    <w:rsid w:val="002E37FB"/>
    <w:rsid w:val="002E4331"/>
    <w:rsid w:val="002E4E94"/>
    <w:rsid w:val="002E4F7E"/>
    <w:rsid w:val="002E5519"/>
    <w:rsid w:val="002E7B4D"/>
    <w:rsid w:val="002E7D70"/>
    <w:rsid w:val="002F1821"/>
    <w:rsid w:val="002F1C94"/>
    <w:rsid w:val="002F1CF8"/>
    <w:rsid w:val="002F2170"/>
    <w:rsid w:val="002F227B"/>
    <w:rsid w:val="002F23CE"/>
    <w:rsid w:val="002F34E5"/>
    <w:rsid w:val="002F39BD"/>
    <w:rsid w:val="002F3F31"/>
    <w:rsid w:val="002F3F71"/>
    <w:rsid w:val="002F45C4"/>
    <w:rsid w:val="002F4712"/>
    <w:rsid w:val="002F6540"/>
    <w:rsid w:val="002F696A"/>
    <w:rsid w:val="002F7198"/>
    <w:rsid w:val="002F7903"/>
    <w:rsid w:val="002F7EB4"/>
    <w:rsid w:val="002F7ED5"/>
    <w:rsid w:val="0030001D"/>
    <w:rsid w:val="00300C32"/>
    <w:rsid w:val="00300F7A"/>
    <w:rsid w:val="00301633"/>
    <w:rsid w:val="00303550"/>
    <w:rsid w:val="00304325"/>
    <w:rsid w:val="00305CA8"/>
    <w:rsid w:val="003065DE"/>
    <w:rsid w:val="0030682A"/>
    <w:rsid w:val="00306856"/>
    <w:rsid w:val="0031004A"/>
    <w:rsid w:val="0031075F"/>
    <w:rsid w:val="00310BE0"/>
    <w:rsid w:val="00311260"/>
    <w:rsid w:val="003118AD"/>
    <w:rsid w:val="00312010"/>
    <w:rsid w:val="00312C29"/>
    <w:rsid w:val="00313A71"/>
    <w:rsid w:val="00314380"/>
    <w:rsid w:val="0031590F"/>
    <w:rsid w:val="003161B5"/>
    <w:rsid w:val="00317E1F"/>
    <w:rsid w:val="00320315"/>
    <w:rsid w:val="00320940"/>
    <w:rsid w:val="00320C4E"/>
    <w:rsid w:val="0032125A"/>
    <w:rsid w:val="00321A24"/>
    <w:rsid w:val="00321A44"/>
    <w:rsid w:val="00323487"/>
    <w:rsid w:val="00323B98"/>
    <w:rsid w:val="0032411E"/>
    <w:rsid w:val="00324BCD"/>
    <w:rsid w:val="00325C5E"/>
    <w:rsid w:val="00325C66"/>
    <w:rsid w:val="00325ECA"/>
    <w:rsid w:val="003264F9"/>
    <w:rsid w:val="003266FA"/>
    <w:rsid w:val="00327F0C"/>
    <w:rsid w:val="00330477"/>
    <w:rsid w:val="00330507"/>
    <w:rsid w:val="003312AF"/>
    <w:rsid w:val="003316BA"/>
    <w:rsid w:val="00332028"/>
    <w:rsid w:val="003322F2"/>
    <w:rsid w:val="00332EF8"/>
    <w:rsid w:val="00333995"/>
    <w:rsid w:val="00333F97"/>
    <w:rsid w:val="0033520F"/>
    <w:rsid w:val="00335293"/>
    <w:rsid w:val="0033535D"/>
    <w:rsid w:val="00335462"/>
    <w:rsid w:val="0033549E"/>
    <w:rsid w:val="00335B10"/>
    <w:rsid w:val="00336CC4"/>
    <w:rsid w:val="003375F2"/>
    <w:rsid w:val="0033787B"/>
    <w:rsid w:val="00337A6E"/>
    <w:rsid w:val="003415F5"/>
    <w:rsid w:val="003418A3"/>
    <w:rsid w:val="00341BC1"/>
    <w:rsid w:val="00341E55"/>
    <w:rsid w:val="00343473"/>
    <w:rsid w:val="00344207"/>
    <w:rsid w:val="003443B2"/>
    <w:rsid w:val="00344772"/>
    <w:rsid w:val="00344BA7"/>
    <w:rsid w:val="00344E10"/>
    <w:rsid w:val="003462BB"/>
    <w:rsid w:val="00346651"/>
    <w:rsid w:val="00346F6E"/>
    <w:rsid w:val="003472CC"/>
    <w:rsid w:val="0034768A"/>
    <w:rsid w:val="003478E9"/>
    <w:rsid w:val="00347958"/>
    <w:rsid w:val="00347B81"/>
    <w:rsid w:val="003500BF"/>
    <w:rsid w:val="00350796"/>
    <w:rsid w:val="00350ACA"/>
    <w:rsid w:val="00350BC9"/>
    <w:rsid w:val="00351633"/>
    <w:rsid w:val="00351D66"/>
    <w:rsid w:val="00351F1C"/>
    <w:rsid w:val="00352236"/>
    <w:rsid w:val="0035227A"/>
    <w:rsid w:val="0035255C"/>
    <w:rsid w:val="00352DD8"/>
    <w:rsid w:val="0035414F"/>
    <w:rsid w:val="0035426F"/>
    <w:rsid w:val="00354538"/>
    <w:rsid w:val="00354D5B"/>
    <w:rsid w:val="00356AB6"/>
    <w:rsid w:val="00356D2E"/>
    <w:rsid w:val="00356DBC"/>
    <w:rsid w:val="00356FA4"/>
    <w:rsid w:val="0035733A"/>
    <w:rsid w:val="003573CE"/>
    <w:rsid w:val="0035743E"/>
    <w:rsid w:val="00357A23"/>
    <w:rsid w:val="00360BD0"/>
    <w:rsid w:val="00360FD0"/>
    <w:rsid w:val="003611DF"/>
    <w:rsid w:val="00361B3D"/>
    <w:rsid w:val="003620B2"/>
    <w:rsid w:val="003624E6"/>
    <w:rsid w:val="003639AE"/>
    <w:rsid w:val="00363B00"/>
    <w:rsid w:val="00364C54"/>
    <w:rsid w:val="00365318"/>
    <w:rsid w:val="00365A0B"/>
    <w:rsid w:val="00365ECB"/>
    <w:rsid w:val="00366150"/>
    <w:rsid w:val="00366768"/>
    <w:rsid w:val="00367476"/>
    <w:rsid w:val="00367EB0"/>
    <w:rsid w:val="0037010C"/>
    <w:rsid w:val="003701FA"/>
    <w:rsid w:val="00370594"/>
    <w:rsid w:val="003705FC"/>
    <w:rsid w:val="0037096E"/>
    <w:rsid w:val="003711BF"/>
    <w:rsid w:val="00371AE8"/>
    <w:rsid w:val="00371B3E"/>
    <w:rsid w:val="00373A4B"/>
    <w:rsid w:val="00374576"/>
    <w:rsid w:val="003745F0"/>
    <w:rsid w:val="00374AF1"/>
    <w:rsid w:val="00375062"/>
    <w:rsid w:val="00375136"/>
    <w:rsid w:val="00375760"/>
    <w:rsid w:val="0037597D"/>
    <w:rsid w:val="00375AF9"/>
    <w:rsid w:val="00375B5E"/>
    <w:rsid w:val="00375E41"/>
    <w:rsid w:val="00376514"/>
    <w:rsid w:val="0037706B"/>
    <w:rsid w:val="0037785F"/>
    <w:rsid w:val="0037798B"/>
    <w:rsid w:val="00377B2A"/>
    <w:rsid w:val="00380505"/>
    <w:rsid w:val="00380596"/>
    <w:rsid w:val="003807CD"/>
    <w:rsid w:val="00380838"/>
    <w:rsid w:val="00380F45"/>
    <w:rsid w:val="0038160D"/>
    <w:rsid w:val="00381A2D"/>
    <w:rsid w:val="00381E75"/>
    <w:rsid w:val="003826DC"/>
    <w:rsid w:val="00382E82"/>
    <w:rsid w:val="00383015"/>
    <w:rsid w:val="003830D3"/>
    <w:rsid w:val="00384413"/>
    <w:rsid w:val="00384634"/>
    <w:rsid w:val="00384C60"/>
    <w:rsid w:val="00384F7A"/>
    <w:rsid w:val="003851FB"/>
    <w:rsid w:val="00385B32"/>
    <w:rsid w:val="00386CAA"/>
    <w:rsid w:val="0038727A"/>
    <w:rsid w:val="00387765"/>
    <w:rsid w:val="00387806"/>
    <w:rsid w:val="00387B8F"/>
    <w:rsid w:val="00390422"/>
    <w:rsid w:val="003905F7"/>
    <w:rsid w:val="00390674"/>
    <w:rsid w:val="00390C47"/>
    <w:rsid w:val="00390E2B"/>
    <w:rsid w:val="003914CC"/>
    <w:rsid w:val="00391AA0"/>
    <w:rsid w:val="00391CF2"/>
    <w:rsid w:val="003921B3"/>
    <w:rsid w:val="003944FB"/>
    <w:rsid w:val="00394AB6"/>
    <w:rsid w:val="003959D8"/>
    <w:rsid w:val="00396995"/>
    <w:rsid w:val="00397633"/>
    <w:rsid w:val="003A0074"/>
    <w:rsid w:val="003A0818"/>
    <w:rsid w:val="003A0AC0"/>
    <w:rsid w:val="003A0C5C"/>
    <w:rsid w:val="003A0F4B"/>
    <w:rsid w:val="003A1141"/>
    <w:rsid w:val="003A13D5"/>
    <w:rsid w:val="003A1688"/>
    <w:rsid w:val="003A2D72"/>
    <w:rsid w:val="003A3128"/>
    <w:rsid w:val="003A3736"/>
    <w:rsid w:val="003A3EC6"/>
    <w:rsid w:val="003A41AB"/>
    <w:rsid w:val="003A4B5D"/>
    <w:rsid w:val="003A58B7"/>
    <w:rsid w:val="003A64B7"/>
    <w:rsid w:val="003A68D9"/>
    <w:rsid w:val="003A6C5C"/>
    <w:rsid w:val="003A6F26"/>
    <w:rsid w:val="003A7035"/>
    <w:rsid w:val="003A771B"/>
    <w:rsid w:val="003A78AA"/>
    <w:rsid w:val="003A7A69"/>
    <w:rsid w:val="003A7CE9"/>
    <w:rsid w:val="003B0519"/>
    <w:rsid w:val="003B22F4"/>
    <w:rsid w:val="003B27B2"/>
    <w:rsid w:val="003B35A0"/>
    <w:rsid w:val="003B3A40"/>
    <w:rsid w:val="003B3D7F"/>
    <w:rsid w:val="003B3ED3"/>
    <w:rsid w:val="003B463C"/>
    <w:rsid w:val="003B4C33"/>
    <w:rsid w:val="003B5B34"/>
    <w:rsid w:val="003B63C7"/>
    <w:rsid w:val="003B6A0C"/>
    <w:rsid w:val="003B6A23"/>
    <w:rsid w:val="003B6B7C"/>
    <w:rsid w:val="003B6D2E"/>
    <w:rsid w:val="003B7DD6"/>
    <w:rsid w:val="003B7F41"/>
    <w:rsid w:val="003C072B"/>
    <w:rsid w:val="003C0C3D"/>
    <w:rsid w:val="003C1867"/>
    <w:rsid w:val="003C1B60"/>
    <w:rsid w:val="003C1B88"/>
    <w:rsid w:val="003C1B98"/>
    <w:rsid w:val="003C1FF6"/>
    <w:rsid w:val="003C225A"/>
    <w:rsid w:val="003C2963"/>
    <w:rsid w:val="003C2B93"/>
    <w:rsid w:val="003C30D2"/>
    <w:rsid w:val="003C33ED"/>
    <w:rsid w:val="003C38F8"/>
    <w:rsid w:val="003C3B65"/>
    <w:rsid w:val="003C3BD1"/>
    <w:rsid w:val="003C3C09"/>
    <w:rsid w:val="003C3E7D"/>
    <w:rsid w:val="003C4708"/>
    <w:rsid w:val="003C4EED"/>
    <w:rsid w:val="003C4F93"/>
    <w:rsid w:val="003C59AC"/>
    <w:rsid w:val="003C5A54"/>
    <w:rsid w:val="003C5FCE"/>
    <w:rsid w:val="003C6CFE"/>
    <w:rsid w:val="003C7923"/>
    <w:rsid w:val="003C7A32"/>
    <w:rsid w:val="003D0EA1"/>
    <w:rsid w:val="003D0EDE"/>
    <w:rsid w:val="003D1038"/>
    <w:rsid w:val="003D2036"/>
    <w:rsid w:val="003D2155"/>
    <w:rsid w:val="003D2C2B"/>
    <w:rsid w:val="003D4285"/>
    <w:rsid w:val="003D6296"/>
    <w:rsid w:val="003D6966"/>
    <w:rsid w:val="003D6CD4"/>
    <w:rsid w:val="003D6D9C"/>
    <w:rsid w:val="003D7338"/>
    <w:rsid w:val="003D7652"/>
    <w:rsid w:val="003D7837"/>
    <w:rsid w:val="003D7F0B"/>
    <w:rsid w:val="003E05FA"/>
    <w:rsid w:val="003E065D"/>
    <w:rsid w:val="003E1A9B"/>
    <w:rsid w:val="003E1ABB"/>
    <w:rsid w:val="003E3AD0"/>
    <w:rsid w:val="003E4CE4"/>
    <w:rsid w:val="003E4E66"/>
    <w:rsid w:val="003E57A0"/>
    <w:rsid w:val="003E7CF1"/>
    <w:rsid w:val="003E7FB1"/>
    <w:rsid w:val="003F14C2"/>
    <w:rsid w:val="003F1577"/>
    <w:rsid w:val="003F2096"/>
    <w:rsid w:val="003F2369"/>
    <w:rsid w:val="003F5594"/>
    <w:rsid w:val="003F5942"/>
    <w:rsid w:val="003F597E"/>
    <w:rsid w:val="003F6D76"/>
    <w:rsid w:val="003F70A2"/>
    <w:rsid w:val="004001CF"/>
    <w:rsid w:val="00401177"/>
    <w:rsid w:val="004014A6"/>
    <w:rsid w:val="00401C9B"/>
    <w:rsid w:val="004030FE"/>
    <w:rsid w:val="0040352E"/>
    <w:rsid w:val="00403CA5"/>
    <w:rsid w:val="00404A9F"/>
    <w:rsid w:val="00404EA6"/>
    <w:rsid w:val="00404F18"/>
    <w:rsid w:val="00404F2D"/>
    <w:rsid w:val="0040653E"/>
    <w:rsid w:val="00406CEE"/>
    <w:rsid w:val="00407087"/>
    <w:rsid w:val="00407316"/>
    <w:rsid w:val="0040756B"/>
    <w:rsid w:val="00407A35"/>
    <w:rsid w:val="004105F3"/>
    <w:rsid w:val="00410791"/>
    <w:rsid w:val="004116DC"/>
    <w:rsid w:val="00411A7E"/>
    <w:rsid w:val="00413095"/>
    <w:rsid w:val="00413C9D"/>
    <w:rsid w:val="004141CA"/>
    <w:rsid w:val="00414771"/>
    <w:rsid w:val="004148E8"/>
    <w:rsid w:val="00414C86"/>
    <w:rsid w:val="004169D8"/>
    <w:rsid w:val="004173AF"/>
    <w:rsid w:val="004173C1"/>
    <w:rsid w:val="00421290"/>
    <w:rsid w:val="00421DD1"/>
    <w:rsid w:val="00421FF8"/>
    <w:rsid w:val="004223E4"/>
    <w:rsid w:val="0042281B"/>
    <w:rsid w:val="00422D39"/>
    <w:rsid w:val="00422E1C"/>
    <w:rsid w:val="00422EFF"/>
    <w:rsid w:val="00422FAA"/>
    <w:rsid w:val="004239D9"/>
    <w:rsid w:val="004244B9"/>
    <w:rsid w:val="00424DDB"/>
    <w:rsid w:val="00425192"/>
    <w:rsid w:val="00425660"/>
    <w:rsid w:val="00425BD7"/>
    <w:rsid w:val="004264D8"/>
    <w:rsid w:val="00427808"/>
    <w:rsid w:val="00427D47"/>
    <w:rsid w:val="00430E22"/>
    <w:rsid w:val="00431A2E"/>
    <w:rsid w:val="00431CB5"/>
    <w:rsid w:val="0043275A"/>
    <w:rsid w:val="00432823"/>
    <w:rsid w:val="0043289F"/>
    <w:rsid w:val="00432A6C"/>
    <w:rsid w:val="00432A93"/>
    <w:rsid w:val="00432A9D"/>
    <w:rsid w:val="00432BBB"/>
    <w:rsid w:val="0043383E"/>
    <w:rsid w:val="00433AB1"/>
    <w:rsid w:val="00434F25"/>
    <w:rsid w:val="00435150"/>
    <w:rsid w:val="0043562B"/>
    <w:rsid w:val="004356B1"/>
    <w:rsid w:val="00435A8F"/>
    <w:rsid w:val="00435ABE"/>
    <w:rsid w:val="00436024"/>
    <w:rsid w:val="004369E4"/>
    <w:rsid w:val="00436F22"/>
    <w:rsid w:val="0043748A"/>
    <w:rsid w:val="0043748B"/>
    <w:rsid w:val="00437A2B"/>
    <w:rsid w:val="0044050C"/>
    <w:rsid w:val="00440A78"/>
    <w:rsid w:val="004416A7"/>
    <w:rsid w:val="00442A0C"/>
    <w:rsid w:val="00442ABC"/>
    <w:rsid w:val="00442F38"/>
    <w:rsid w:val="00443ACD"/>
    <w:rsid w:val="0044408F"/>
    <w:rsid w:val="004446AA"/>
    <w:rsid w:val="0044488E"/>
    <w:rsid w:val="00444DB3"/>
    <w:rsid w:val="00445439"/>
    <w:rsid w:val="004455F0"/>
    <w:rsid w:val="00445CB2"/>
    <w:rsid w:val="004471F5"/>
    <w:rsid w:val="004509AB"/>
    <w:rsid w:val="00451447"/>
    <w:rsid w:val="00451450"/>
    <w:rsid w:val="0045229C"/>
    <w:rsid w:val="00452D39"/>
    <w:rsid w:val="00453DD3"/>
    <w:rsid w:val="00453F0C"/>
    <w:rsid w:val="00454203"/>
    <w:rsid w:val="00454472"/>
    <w:rsid w:val="0045450E"/>
    <w:rsid w:val="0045481A"/>
    <w:rsid w:val="00454E82"/>
    <w:rsid w:val="004554E7"/>
    <w:rsid w:val="00455A62"/>
    <w:rsid w:val="00455FA8"/>
    <w:rsid w:val="0045732C"/>
    <w:rsid w:val="00457ACE"/>
    <w:rsid w:val="004611E1"/>
    <w:rsid w:val="00461372"/>
    <w:rsid w:val="00461481"/>
    <w:rsid w:val="00461B62"/>
    <w:rsid w:val="00461C16"/>
    <w:rsid w:val="00462480"/>
    <w:rsid w:val="004631E9"/>
    <w:rsid w:val="004632E9"/>
    <w:rsid w:val="00463D90"/>
    <w:rsid w:val="00464048"/>
    <w:rsid w:val="00464156"/>
    <w:rsid w:val="0046418E"/>
    <w:rsid w:val="004649FD"/>
    <w:rsid w:val="00464BF9"/>
    <w:rsid w:val="00464D97"/>
    <w:rsid w:val="004658F5"/>
    <w:rsid w:val="004668F3"/>
    <w:rsid w:val="0046718C"/>
    <w:rsid w:val="00467845"/>
    <w:rsid w:val="004708F0"/>
    <w:rsid w:val="00471EA1"/>
    <w:rsid w:val="00471F6E"/>
    <w:rsid w:val="0047224A"/>
    <w:rsid w:val="0047232B"/>
    <w:rsid w:val="00472A92"/>
    <w:rsid w:val="00472BCB"/>
    <w:rsid w:val="004730BF"/>
    <w:rsid w:val="00473A5F"/>
    <w:rsid w:val="00473B8C"/>
    <w:rsid w:val="00474F94"/>
    <w:rsid w:val="004752A0"/>
    <w:rsid w:val="00475677"/>
    <w:rsid w:val="00475FFE"/>
    <w:rsid w:val="00476C4A"/>
    <w:rsid w:val="00477ED8"/>
    <w:rsid w:val="00480E02"/>
    <w:rsid w:val="00481005"/>
    <w:rsid w:val="004811AF"/>
    <w:rsid w:val="004811B6"/>
    <w:rsid w:val="004818B9"/>
    <w:rsid w:val="0048293B"/>
    <w:rsid w:val="00482A0C"/>
    <w:rsid w:val="00482E9E"/>
    <w:rsid w:val="00482F50"/>
    <w:rsid w:val="004830F3"/>
    <w:rsid w:val="0048344E"/>
    <w:rsid w:val="00483871"/>
    <w:rsid w:val="0048458A"/>
    <w:rsid w:val="00484B98"/>
    <w:rsid w:val="0048511B"/>
    <w:rsid w:val="00485791"/>
    <w:rsid w:val="00485F6C"/>
    <w:rsid w:val="00486514"/>
    <w:rsid w:val="0048678E"/>
    <w:rsid w:val="004873ED"/>
    <w:rsid w:val="00487909"/>
    <w:rsid w:val="00490C6A"/>
    <w:rsid w:val="00491398"/>
    <w:rsid w:val="00491AE0"/>
    <w:rsid w:val="00491D1C"/>
    <w:rsid w:val="00491E1E"/>
    <w:rsid w:val="004926FD"/>
    <w:rsid w:val="0049289D"/>
    <w:rsid w:val="00493F11"/>
    <w:rsid w:val="00494639"/>
    <w:rsid w:val="00494817"/>
    <w:rsid w:val="00495192"/>
    <w:rsid w:val="0049627F"/>
    <w:rsid w:val="00496BEF"/>
    <w:rsid w:val="00496CDA"/>
    <w:rsid w:val="00496FFA"/>
    <w:rsid w:val="00497060"/>
    <w:rsid w:val="004977AC"/>
    <w:rsid w:val="0049795A"/>
    <w:rsid w:val="00497AF4"/>
    <w:rsid w:val="00497D05"/>
    <w:rsid w:val="004A1C84"/>
    <w:rsid w:val="004A2A41"/>
    <w:rsid w:val="004A2AEA"/>
    <w:rsid w:val="004A363D"/>
    <w:rsid w:val="004A3FC5"/>
    <w:rsid w:val="004A44B7"/>
    <w:rsid w:val="004A4D3D"/>
    <w:rsid w:val="004A55B8"/>
    <w:rsid w:val="004A5993"/>
    <w:rsid w:val="004A6513"/>
    <w:rsid w:val="004A6EFC"/>
    <w:rsid w:val="004B01A0"/>
    <w:rsid w:val="004B0790"/>
    <w:rsid w:val="004B0987"/>
    <w:rsid w:val="004B09EF"/>
    <w:rsid w:val="004B0B4B"/>
    <w:rsid w:val="004B0B9A"/>
    <w:rsid w:val="004B0CAE"/>
    <w:rsid w:val="004B1392"/>
    <w:rsid w:val="004B14AF"/>
    <w:rsid w:val="004B1C13"/>
    <w:rsid w:val="004B3289"/>
    <w:rsid w:val="004B33B7"/>
    <w:rsid w:val="004B371C"/>
    <w:rsid w:val="004B37E4"/>
    <w:rsid w:val="004B39CD"/>
    <w:rsid w:val="004B41F3"/>
    <w:rsid w:val="004B43AF"/>
    <w:rsid w:val="004B4909"/>
    <w:rsid w:val="004B4A00"/>
    <w:rsid w:val="004B52BA"/>
    <w:rsid w:val="004B5D75"/>
    <w:rsid w:val="004B65D0"/>
    <w:rsid w:val="004B686F"/>
    <w:rsid w:val="004B7058"/>
    <w:rsid w:val="004B71B9"/>
    <w:rsid w:val="004B7F57"/>
    <w:rsid w:val="004C11EB"/>
    <w:rsid w:val="004C26A4"/>
    <w:rsid w:val="004C2C85"/>
    <w:rsid w:val="004C31A3"/>
    <w:rsid w:val="004C43AE"/>
    <w:rsid w:val="004C46DC"/>
    <w:rsid w:val="004C4745"/>
    <w:rsid w:val="004C49A3"/>
    <w:rsid w:val="004C526F"/>
    <w:rsid w:val="004C5392"/>
    <w:rsid w:val="004C585E"/>
    <w:rsid w:val="004C58CD"/>
    <w:rsid w:val="004C66DF"/>
    <w:rsid w:val="004C67FD"/>
    <w:rsid w:val="004C75F6"/>
    <w:rsid w:val="004C7DFE"/>
    <w:rsid w:val="004D0C1A"/>
    <w:rsid w:val="004D0F03"/>
    <w:rsid w:val="004D14DF"/>
    <w:rsid w:val="004D2027"/>
    <w:rsid w:val="004D3412"/>
    <w:rsid w:val="004D3752"/>
    <w:rsid w:val="004D389A"/>
    <w:rsid w:val="004D3B15"/>
    <w:rsid w:val="004D4496"/>
    <w:rsid w:val="004D46B7"/>
    <w:rsid w:val="004D4E3E"/>
    <w:rsid w:val="004D5140"/>
    <w:rsid w:val="004D5C2E"/>
    <w:rsid w:val="004D6311"/>
    <w:rsid w:val="004D660C"/>
    <w:rsid w:val="004D6800"/>
    <w:rsid w:val="004D6F12"/>
    <w:rsid w:val="004D707B"/>
    <w:rsid w:val="004D7EB4"/>
    <w:rsid w:val="004E0091"/>
    <w:rsid w:val="004E1058"/>
    <w:rsid w:val="004E191C"/>
    <w:rsid w:val="004E21BE"/>
    <w:rsid w:val="004E2354"/>
    <w:rsid w:val="004E2EBE"/>
    <w:rsid w:val="004E32C4"/>
    <w:rsid w:val="004E3ADF"/>
    <w:rsid w:val="004E401E"/>
    <w:rsid w:val="004E4AAA"/>
    <w:rsid w:val="004E53F1"/>
    <w:rsid w:val="004E58A1"/>
    <w:rsid w:val="004E5DDD"/>
    <w:rsid w:val="004E6861"/>
    <w:rsid w:val="004E6C1E"/>
    <w:rsid w:val="004E7BF6"/>
    <w:rsid w:val="004F00C6"/>
    <w:rsid w:val="004F03E2"/>
    <w:rsid w:val="004F0817"/>
    <w:rsid w:val="004F0893"/>
    <w:rsid w:val="004F0A44"/>
    <w:rsid w:val="004F1696"/>
    <w:rsid w:val="004F1F61"/>
    <w:rsid w:val="004F28E8"/>
    <w:rsid w:val="004F3C30"/>
    <w:rsid w:val="004F442F"/>
    <w:rsid w:val="004F46F0"/>
    <w:rsid w:val="004F4DBB"/>
    <w:rsid w:val="004F51A0"/>
    <w:rsid w:val="004F5650"/>
    <w:rsid w:val="004F64A1"/>
    <w:rsid w:val="004F7295"/>
    <w:rsid w:val="004F740E"/>
    <w:rsid w:val="004F79C9"/>
    <w:rsid w:val="004F7CF0"/>
    <w:rsid w:val="005003C8"/>
    <w:rsid w:val="0050042E"/>
    <w:rsid w:val="00500D6D"/>
    <w:rsid w:val="00501994"/>
    <w:rsid w:val="0050200A"/>
    <w:rsid w:val="0050203E"/>
    <w:rsid w:val="00502273"/>
    <w:rsid w:val="0050292B"/>
    <w:rsid w:val="00503BBC"/>
    <w:rsid w:val="005047BB"/>
    <w:rsid w:val="0050493E"/>
    <w:rsid w:val="00504EA0"/>
    <w:rsid w:val="0050545A"/>
    <w:rsid w:val="005055A8"/>
    <w:rsid w:val="00505ACC"/>
    <w:rsid w:val="005061F2"/>
    <w:rsid w:val="00506C22"/>
    <w:rsid w:val="00506F7E"/>
    <w:rsid w:val="00507397"/>
    <w:rsid w:val="0050739A"/>
    <w:rsid w:val="00507B99"/>
    <w:rsid w:val="0051023C"/>
    <w:rsid w:val="00510993"/>
    <w:rsid w:val="0051158E"/>
    <w:rsid w:val="00512C4A"/>
    <w:rsid w:val="00513957"/>
    <w:rsid w:val="00513B23"/>
    <w:rsid w:val="0051597C"/>
    <w:rsid w:val="00516280"/>
    <w:rsid w:val="00517139"/>
    <w:rsid w:val="00517184"/>
    <w:rsid w:val="005175D4"/>
    <w:rsid w:val="00517A00"/>
    <w:rsid w:val="0052016E"/>
    <w:rsid w:val="0052019C"/>
    <w:rsid w:val="0052042A"/>
    <w:rsid w:val="005209A1"/>
    <w:rsid w:val="005232B3"/>
    <w:rsid w:val="00523C7A"/>
    <w:rsid w:val="00523D39"/>
    <w:rsid w:val="00523FE5"/>
    <w:rsid w:val="0052512A"/>
    <w:rsid w:val="00525173"/>
    <w:rsid w:val="0052554F"/>
    <w:rsid w:val="00525774"/>
    <w:rsid w:val="0052584D"/>
    <w:rsid w:val="00525C44"/>
    <w:rsid w:val="00525F6B"/>
    <w:rsid w:val="005271C1"/>
    <w:rsid w:val="00527352"/>
    <w:rsid w:val="00530081"/>
    <w:rsid w:val="005300D1"/>
    <w:rsid w:val="00530218"/>
    <w:rsid w:val="00530C6F"/>
    <w:rsid w:val="00531671"/>
    <w:rsid w:val="00531840"/>
    <w:rsid w:val="00531901"/>
    <w:rsid w:val="00531924"/>
    <w:rsid w:val="00531AEE"/>
    <w:rsid w:val="00531DC8"/>
    <w:rsid w:val="00532D25"/>
    <w:rsid w:val="005332FF"/>
    <w:rsid w:val="00533589"/>
    <w:rsid w:val="005335A0"/>
    <w:rsid w:val="00533B00"/>
    <w:rsid w:val="00533B54"/>
    <w:rsid w:val="0053431E"/>
    <w:rsid w:val="00535602"/>
    <w:rsid w:val="0053570D"/>
    <w:rsid w:val="00535C59"/>
    <w:rsid w:val="00535D9C"/>
    <w:rsid w:val="005363DF"/>
    <w:rsid w:val="005365E4"/>
    <w:rsid w:val="00536603"/>
    <w:rsid w:val="00536811"/>
    <w:rsid w:val="00536A79"/>
    <w:rsid w:val="00536A7D"/>
    <w:rsid w:val="005370E7"/>
    <w:rsid w:val="00537148"/>
    <w:rsid w:val="005377B3"/>
    <w:rsid w:val="00537ED3"/>
    <w:rsid w:val="005403C0"/>
    <w:rsid w:val="00540617"/>
    <w:rsid w:val="00541FFF"/>
    <w:rsid w:val="00542817"/>
    <w:rsid w:val="005429B2"/>
    <w:rsid w:val="005432C4"/>
    <w:rsid w:val="0054339E"/>
    <w:rsid w:val="00543722"/>
    <w:rsid w:val="00543ACA"/>
    <w:rsid w:val="00544247"/>
    <w:rsid w:val="00544D02"/>
    <w:rsid w:val="005452E4"/>
    <w:rsid w:val="005453AE"/>
    <w:rsid w:val="00545914"/>
    <w:rsid w:val="005460BA"/>
    <w:rsid w:val="00546826"/>
    <w:rsid w:val="005473B3"/>
    <w:rsid w:val="00547982"/>
    <w:rsid w:val="00550331"/>
    <w:rsid w:val="005503BA"/>
    <w:rsid w:val="005504B6"/>
    <w:rsid w:val="00550756"/>
    <w:rsid w:val="00550A72"/>
    <w:rsid w:val="005510EC"/>
    <w:rsid w:val="00551102"/>
    <w:rsid w:val="00551152"/>
    <w:rsid w:val="00551BB6"/>
    <w:rsid w:val="00553033"/>
    <w:rsid w:val="00553368"/>
    <w:rsid w:val="005538E9"/>
    <w:rsid w:val="00553C80"/>
    <w:rsid w:val="005545C6"/>
    <w:rsid w:val="00554B89"/>
    <w:rsid w:val="00555051"/>
    <w:rsid w:val="005554C4"/>
    <w:rsid w:val="0055631E"/>
    <w:rsid w:val="005564BA"/>
    <w:rsid w:val="005569E7"/>
    <w:rsid w:val="00556DFD"/>
    <w:rsid w:val="0055704C"/>
    <w:rsid w:val="00557952"/>
    <w:rsid w:val="00557DB9"/>
    <w:rsid w:val="00560044"/>
    <w:rsid w:val="005604C4"/>
    <w:rsid w:val="00560B9B"/>
    <w:rsid w:val="005619C1"/>
    <w:rsid w:val="005620EA"/>
    <w:rsid w:val="005625C9"/>
    <w:rsid w:val="00562F0F"/>
    <w:rsid w:val="0056324E"/>
    <w:rsid w:val="00563784"/>
    <w:rsid w:val="00563C07"/>
    <w:rsid w:val="005642BF"/>
    <w:rsid w:val="0056466C"/>
    <w:rsid w:val="00564679"/>
    <w:rsid w:val="00564CC4"/>
    <w:rsid w:val="005652D3"/>
    <w:rsid w:val="00565636"/>
    <w:rsid w:val="0056636B"/>
    <w:rsid w:val="00566B0C"/>
    <w:rsid w:val="00566F87"/>
    <w:rsid w:val="00567B53"/>
    <w:rsid w:val="00570186"/>
    <w:rsid w:val="00570B72"/>
    <w:rsid w:val="00571BF7"/>
    <w:rsid w:val="00571D24"/>
    <w:rsid w:val="00574034"/>
    <w:rsid w:val="00574B0A"/>
    <w:rsid w:val="0057691A"/>
    <w:rsid w:val="00577261"/>
    <w:rsid w:val="00577876"/>
    <w:rsid w:val="005804E8"/>
    <w:rsid w:val="00580529"/>
    <w:rsid w:val="0058068C"/>
    <w:rsid w:val="00581308"/>
    <w:rsid w:val="00581CD2"/>
    <w:rsid w:val="005820F9"/>
    <w:rsid w:val="005823FB"/>
    <w:rsid w:val="00582498"/>
    <w:rsid w:val="0058285D"/>
    <w:rsid w:val="0058286F"/>
    <w:rsid w:val="00583B1F"/>
    <w:rsid w:val="00584EBB"/>
    <w:rsid w:val="005864B8"/>
    <w:rsid w:val="00586717"/>
    <w:rsid w:val="00586BA9"/>
    <w:rsid w:val="00587262"/>
    <w:rsid w:val="00587BE6"/>
    <w:rsid w:val="00590399"/>
    <w:rsid w:val="005903E3"/>
    <w:rsid w:val="00590529"/>
    <w:rsid w:val="00590906"/>
    <w:rsid w:val="00590A3A"/>
    <w:rsid w:val="00590DFA"/>
    <w:rsid w:val="00590E2D"/>
    <w:rsid w:val="0059153F"/>
    <w:rsid w:val="00591876"/>
    <w:rsid w:val="005918BA"/>
    <w:rsid w:val="005918E0"/>
    <w:rsid w:val="00591C7D"/>
    <w:rsid w:val="00591D0F"/>
    <w:rsid w:val="00591FA0"/>
    <w:rsid w:val="005922CC"/>
    <w:rsid w:val="005926CC"/>
    <w:rsid w:val="00592A3A"/>
    <w:rsid w:val="00593531"/>
    <w:rsid w:val="00594209"/>
    <w:rsid w:val="0059488F"/>
    <w:rsid w:val="0059565E"/>
    <w:rsid w:val="00595AFD"/>
    <w:rsid w:val="00596E74"/>
    <w:rsid w:val="005975F9"/>
    <w:rsid w:val="00597B99"/>
    <w:rsid w:val="00597CA3"/>
    <w:rsid w:val="00597F2A"/>
    <w:rsid w:val="005A02DA"/>
    <w:rsid w:val="005A0397"/>
    <w:rsid w:val="005A051F"/>
    <w:rsid w:val="005A1DC4"/>
    <w:rsid w:val="005A218E"/>
    <w:rsid w:val="005A25E1"/>
    <w:rsid w:val="005A2951"/>
    <w:rsid w:val="005A2E63"/>
    <w:rsid w:val="005A3214"/>
    <w:rsid w:val="005A32CC"/>
    <w:rsid w:val="005A3401"/>
    <w:rsid w:val="005A4C7E"/>
    <w:rsid w:val="005A56B0"/>
    <w:rsid w:val="005A6024"/>
    <w:rsid w:val="005A624F"/>
    <w:rsid w:val="005A6583"/>
    <w:rsid w:val="005A6599"/>
    <w:rsid w:val="005A71E6"/>
    <w:rsid w:val="005A7372"/>
    <w:rsid w:val="005A754A"/>
    <w:rsid w:val="005A77B0"/>
    <w:rsid w:val="005A7D2A"/>
    <w:rsid w:val="005B0D89"/>
    <w:rsid w:val="005B0E08"/>
    <w:rsid w:val="005B12BD"/>
    <w:rsid w:val="005B1E1D"/>
    <w:rsid w:val="005B3F97"/>
    <w:rsid w:val="005B4644"/>
    <w:rsid w:val="005B4F1A"/>
    <w:rsid w:val="005B4F3A"/>
    <w:rsid w:val="005B51A8"/>
    <w:rsid w:val="005B580F"/>
    <w:rsid w:val="005B5C75"/>
    <w:rsid w:val="005B61AE"/>
    <w:rsid w:val="005B6863"/>
    <w:rsid w:val="005B6E96"/>
    <w:rsid w:val="005B6FB1"/>
    <w:rsid w:val="005B77A7"/>
    <w:rsid w:val="005B7F82"/>
    <w:rsid w:val="005C0390"/>
    <w:rsid w:val="005C0D21"/>
    <w:rsid w:val="005C233D"/>
    <w:rsid w:val="005C2A4F"/>
    <w:rsid w:val="005C2AF6"/>
    <w:rsid w:val="005C3397"/>
    <w:rsid w:val="005C3732"/>
    <w:rsid w:val="005C3A8F"/>
    <w:rsid w:val="005C3F31"/>
    <w:rsid w:val="005C58A9"/>
    <w:rsid w:val="005C5C2F"/>
    <w:rsid w:val="005C6828"/>
    <w:rsid w:val="005C6A5D"/>
    <w:rsid w:val="005C6F96"/>
    <w:rsid w:val="005C7E13"/>
    <w:rsid w:val="005D05C0"/>
    <w:rsid w:val="005D0795"/>
    <w:rsid w:val="005D084A"/>
    <w:rsid w:val="005D0D0A"/>
    <w:rsid w:val="005D12D0"/>
    <w:rsid w:val="005D1521"/>
    <w:rsid w:val="005D153F"/>
    <w:rsid w:val="005D183D"/>
    <w:rsid w:val="005D18EF"/>
    <w:rsid w:val="005D1FAF"/>
    <w:rsid w:val="005D20C2"/>
    <w:rsid w:val="005D33C1"/>
    <w:rsid w:val="005D356E"/>
    <w:rsid w:val="005D3B1D"/>
    <w:rsid w:val="005D3B23"/>
    <w:rsid w:val="005D4F5F"/>
    <w:rsid w:val="005D5411"/>
    <w:rsid w:val="005D60B9"/>
    <w:rsid w:val="005D64C3"/>
    <w:rsid w:val="005D6660"/>
    <w:rsid w:val="005D6A12"/>
    <w:rsid w:val="005D7E1B"/>
    <w:rsid w:val="005D7E36"/>
    <w:rsid w:val="005D7FD1"/>
    <w:rsid w:val="005E02FB"/>
    <w:rsid w:val="005E0954"/>
    <w:rsid w:val="005E0AC7"/>
    <w:rsid w:val="005E118B"/>
    <w:rsid w:val="005E11DC"/>
    <w:rsid w:val="005E2A96"/>
    <w:rsid w:val="005E368D"/>
    <w:rsid w:val="005E3F03"/>
    <w:rsid w:val="005E4280"/>
    <w:rsid w:val="005E52EB"/>
    <w:rsid w:val="005E5C5A"/>
    <w:rsid w:val="005E61F6"/>
    <w:rsid w:val="005E6C02"/>
    <w:rsid w:val="005E7143"/>
    <w:rsid w:val="005E787D"/>
    <w:rsid w:val="005F0BB1"/>
    <w:rsid w:val="005F0C8B"/>
    <w:rsid w:val="005F10C2"/>
    <w:rsid w:val="005F1BBD"/>
    <w:rsid w:val="005F1E57"/>
    <w:rsid w:val="005F28DE"/>
    <w:rsid w:val="005F310A"/>
    <w:rsid w:val="005F4046"/>
    <w:rsid w:val="005F48A0"/>
    <w:rsid w:val="005F4B3C"/>
    <w:rsid w:val="005F59DE"/>
    <w:rsid w:val="005F6808"/>
    <w:rsid w:val="005F71EB"/>
    <w:rsid w:val="005F7A2C"/>
    <w:rsid w:val="005F7EF5"/>
    <w:rsid w:val="006012DE"/>
    <w:rsid w:val="0060219E"/>
    <w:rsid w:val="00602207"/>
    <w:rsid w:val="00602D67"/>
    <w:rsid w:val="006030BE"/>
    <w:rsid w:val="006031E1"/>
    <w:rsid w:val="006033E7"/>
    <w:rsid w:val="006042CA"/>
    <w:rsid w:val="00604F58"/>
    <w:rsid w:val="00605D57"/>
    <w:rsid w:val="00605DBC"/>
    <w:rsid w:val="00606582"/>
    <w:rsid w:val="00606EE5"/>
    <w:rsid w:val="00607779"/>
    <w:rsid w:val="00607B95"/>
    <w:rsid w:val="00607EFE"/>
    <w:rsid w:val="006107CF"/>
    <w:rsid w:val="00610DEF"/>
    <w:rsid w:val="006118A0"/>
    <w:rsid w:val="00611A6A"/>
    <w:rsid w:val="00611D38"/>
    <w:rsid w:val="0061237C"/>
    <w:rsid w:val="006129BF"/>
    <w:rsid w:val="00613AFD"/>
    <w:rsid w:val="00614FA6"/>
    <w:rsid w:val="00615144"/>
    <w:rsid w:val="006151F5"/>
    <w:rsid w:val="006156F7"/>
    <w:rsid w:val="006157C3"/>
    <w:rsid w:val="00615C2E"/>
    <w:rsid w:val="00615D56"/>
    <w:rsid w:val="00616441"/>
    <w:rsid w:val="006169DC"/>
    <w:rsid w:val="00616EB0"/>
    <w:rsid w:val="006173AE"/>
    <w:rsid w:val="0061743B"/>
    <w:rsid w:val="006175C8"/>
    <w:rsid w:val="00617AF8"/>
    <w:rsid w:val="00617C08"/>
    <w:rsid w:val="006213C3"/>
    <w:rsid w:val="006215B0"/>
    <w:rsid w:val="006215FF"/>
    <w:rsid w:val="00621BDF"/>
    <w:rsid w:val="00621CA3"/>
    <w:rsid w:val="00622484"/>
    <w:rsid w:val="00622901"/>
    <w:rsid w:val="00623300"/>
    <w:rsid w:val="00623750"/>
    <w:rsid w:val="00623AB9"/>
    <w:rsid w:val="00623C0D"/>
    <w:rsid w:val="00624452"/>
    <w:rsid w:val="00624471"/>
    <w:rsid w:val="006251C2"/>
    <w:rsid w:val="00625BD4"/>
    <w:rsid w:val="00625D34"/>
    <w:rsid w:val="00626144"/>
    <w:rsid w:val="0062681D"/>
    <w:rsid w:val="00627454"/>
    <w:rsid w:val="0062746D"/>
    <w:rsid w:val="0062789A"/>
    <w:rsid w:val="00627E3C"/>
    <w:rsid w:val="00631137"/>
    <w:rsid w:val="006313C6"/>
    <w:rsid w:val="0063158E"/>
    <w:rsid w:val="0063160B"/>
    <w:rsid w:val="00631884"/>
    <w:rsid w:val="006318BD"/>
    <w:rsid w:val="0063191E"/>
    <w:rsid w:val="00632876"/>
    <w:rsid w:val="00632DA7"/>
    <w:rsid w:val="00633822"/>
    <w:rsid w:val="00633FF1"/>
    <w:rsid w:val="00635407"/>
    <w:rsid w:val="006356D8"/>
    <w:rsid w:val="00635967"/>
    <w:rsid w:val="00635EE0"/>
    <w:rsid w:val="00636380"/>
    <w:rsid w:val="00636D7B"/>
    <w:rsid w:val="006376F7"/>
    <w:rsid w:val="00637767"/>
    <w:rsid w:val="00637C09"/>
    <w:rsid w:val="00640FA5"/>
    <w:rsid w:val="00640FD1"/>
    <w:rsid w:val="006411A6"/>
    <w:rsid w:val="006417D8"/>
    <w:rsid w:val="00641AF1"/>
    <w:rsid w:val="00641FBB"/>
    <w:rsid w:val="00643259"/>
    <w:rsid w:val="00643313"/>
    <w:rsid w:val="006438CB"/>
    <w:rsid w:val="006449B8"/>
    <w:rsid w:val="00644B21"/>
    <w:rsid w:val="00644B6B"/>
    <w:rsid w:val="00645316"/>
    <w:rsid w:val="006454E4"/>
    <w:rsid w:val="0064617D"/>
    <w:rsid w:val="00646219"/>
    <w:rsid w:val="0064674C"/>
    <w:rsid w:val="00646924"/>
    <w:rsid w:val="00646EE6"/>
    <w:rsid w:val="00647B08"/>
    <w:rsid w:val="00647EFF"/>
    <w:rsid w:val="00650E36"/>
    <w:rsid w:val="00650F3B"/>
    <w:rsid w:val="00651251"/>
    <w:rsid w:val="006513AD"/>
    <w:rsid w:val="0065159F"/>
    <w:rsid w:val="00651C86"/>
    <w:rsid w:val="006521DF"/>
    <w:rsid w:val="00652B2E"/>
    <w:rsid w:val="00653939"/>
    <w:rsid w:val="00654373"/>
    <w:rsid w:val="006547A5"/>
    <w:rsid w:val="00654E4C"/>
    <w:rsid w:val="00654FEC"/>
    <w:rsid w:val="006564A8"/>
    <w:rsid w:val="00656AAA"/>
    <w:rsid w:val="00656F8B"/>
    <w:rsid w:val="006615AF"/>
    <w:rsid w:val="006615D2"/>
    <w:rsid w:val="00662E81"/>
    <w:rsid w:val="006638F7"/>
    <w:rsid w:val="00663CF3"/>
    <w:rsid w:val="00663EA8"/>
    <w:rsid w:val="00664171"/>
    <w:rsid w:val="0066481B"/>
    <w:rsid w:val="00665C12"/>
    <w:rsid w:val="00665C6B"/>
    <w:rsid w:val="0066712D"/>
    <w:rsid w:val="006671DC"/>
    <w:rsid w:val="00667354"/>
    <w:rsid w:val="006704A5"/>
    <w:rsid w:val="00670950"/>
    <w:rsid w:val="006717C7"/>
    <w:rsid w:val="00671CE2"/>
    <w:rsid w:val="00672436"/>
    <w:rsid w:val="00672F41"/>
    <w:rsid w:val="006735D0"/>
    <w:rsid w:val="00673953"/>
    <w:rsid w:val="00673AEB"/>
    <w:rsid w:val="00674860"/>
    <w:rsid w:val="00674AA2"/>
    <w:rsid w:val="0067574D"/>
    <w:rsid w:val="00675E4C"/>
    <w:rsid w:val="0067624A"/>
    <w:rsid w:val="0067683C"/>
    <w:rsid w:val="006770D8"/>
    <w:rsid w:val="00677623"/>
    <w:rsid w:val="00677D66"/>
    <w:rsid w:val="00677E7E"/>
    <w:rsid w:val="00680028"/>
    <w:rsid w:val="00680329"/>
    <w:rsid w:val="00680396"/>
    <w:rsid w:val="006804F7"/>
    <w:rsid w:val="00680522"/>
    <w:rsid w:val="0068093B"/>
    <w:rsid w:val="00681135"/>
    <w:rsid w:val="006814B9"/>
    <w:rsid w:val="00681D0B"/>
    <w:rsid w:val="00682D17"/>
    <w:rsid w:val="006839FC"/>
    <w:rsid w:val="00684382"/>
    <w:rsid w:val="00684DFA"/>
    <w:rsid w:val="006850FE"/>
    <w:rsid w:val="00685881"/>
    <w:rsid w:val="00685B0E"/>
    <w:rsid w:val="00686C47"/>
    <w:rsid w:val="006874AD"/>
    <w:rsid w:val="00690387"/>
    <w:rsid w:val="006906A2"/>
    <w:rsid w:val="006909C0"/>
    <w:rsid w:val="00691421"/>
    <w:rsid w:val="00692A1D"/>
    <w:rsid w:val="00692A77"/>
    <w:rsid w:val="006930E2"/>
    <w:rsid w:val="00694431"/>
    <w:rsid w:val="00694FDC"/>
    <w:rsid w:val="00695B3B"/>
    <w:rsid w:val="006963B0"/>
    <w:rsid w:val="006970EF"/>
    <w:rsid w:val="006972D2"/>
    <w:rsid w:val="0069735C"/>
    <w:rsid w:val="00697965"/>
    <w:rsid w:val="00697AE6"/>
    <w:rsid w:val="006A0244"/>
    <w:rsid w:val="006A031C"/>
    <w:rsid w:val="006A0A8D"/>
    <w:rsid w:val="006A220B"/>
    <w:rsid w:val="006A2259"/>
    <w:rsid w:val="006A2481"/>
    <w:rsid w:val="006A2DB9"/>
    <w:rsid w:val="006A38A3"/>
    <w:rsid w:val="006A3B4D"/>
    <w:rsid w:val="006A4465"/>
    <w:rsid w:val="006A5276"/>
    <w:rsid w:val="006A528A"/>
    <w:rsid w:val="006A5C2A"/>
    <w:rsid w:val="006A6C43"/>
    <w:rsid w:val="006A6DC9"/>
    <w:rsid w:val="006A70F2"/>
    <w:rsid w:val="006A7188"/>
    <w:rsid w:val="006A7B44"/>
    <w:rsid w:val="006A7C14"/>
    <w:rsid w:val="006B072E"/>
    <w:rsid w:val="006B0B55"/>
    <w:rsid w:val="006B16C7"/>
    <w:rsid w:val="006B18B6"/>
    <w:rsid w:val="006B288E"/>
    <w:rsid w:val="006B2E8A"/>
    <w:rsid w:val="006B2F3D"/>
    <w:rsid w:val="006B34A4"/>
    <w:rsid w:val="006B4070"/>
    <w:rsid w:val="006B4333"/>
    <w:rsid w:val="006B4D52"/>
    <w:rsid w:val="006B6038"/>
    <w:rsid w:val="006B688E"/>
    <w:rsid w:val="006B6968"/>
    <w:rsid w:val="006B6DF2"/>
    <w:rsid w:val="006B7D53"/>
    <w:rsid w:val="006B7FE0"/>
    <w:rsid w:val="006C052E"/>
    <w:rsid w:val="006C08A1"/>
    <w:rsid w:val="006C0E78"/>
    <w:rsid w:val="006C2102"/>
    <w:rsid w:val="006C2486"/>
    <w:rsid w:val="006C3783"/>
    <w:rsid w:val="006C3B8E"/>
    <w:rsid w:val="006C4691"/>
    <w:rsid w:val="006C4789"/>
    <w:rsid w:val="006C5E3E"/>
    <w:rsid w:val="006C6277"/>
    <w:rsid w:val="006C6B0A"/>
    <w:rsid w:val="006C760B"/>
    <w:rsid w:val="006D06AD"/>
    <w:rsid w:val="006D0E4E"/>
    <w:rsid w:val="006D189B"/>
    <w:rsid w:val="006D2E19"/>
    <w:rsid w:val="006D339C"/>
    <w:rsid w:val="006D3AE4"/>
    <w:rsid w:val="006D4819"/>
    <w:rsid w:val="006D4C64"/>
    <w:rsid w:val="006D4F1E"/>
    <w:rsid w:val="006D561F"/>
    <w:rsid w:val="006D6047"/>
    <w:rsid w:val="006D609D"/>
    <w:rsid w:val="006D66F6"/>
    <w:rsid w:val="006D67A0"/>
    <w:rsid w:val="006D69F3"/>
    <w:rsid w:val="006D6B88"/>
    <w:rsid w:val="006D6FF3"/>
    <w:rsid w:val="006D75A3"/>
    <w:rsid w:val="006D78DB"/>
    <w:rsid w:val="006E01D0"/>
    <w:rsid w:val="006E04F2"/>
    <w:rsid w:val="006E0536"/>
    <w:rsid w:val="006E09F7"/>
    <w:rsid w:val="006E1A21"/>
    <w:rsid w:val="006E1D40"/>
    <w:rsid w:val="006E1DD3"/>
    <w:rsid w:val="006E2280"/>
    <w:rsid w:val="006E241C"/>
    <w:rsid w:val="006E29B4"/>
    <w:rsid w:val="006E33C9"/>
    <w:rsid w:val="006E3E12"/>
    <w:rsid w:val="006E4584"/>
    <w:rsid w:val="006E4B42"/>
    <w:rsid w:val="006E4B47"/>
    <w:rsid w:val="006E4B9F"/>
    <w:rsid w:val="006E5C1C"/>
    <w:rsid w:val="006E6D2B"/>
    <w:rsid w:val="006E6FCD"/>
    <w:rsid w:val="006F03ED"/>
    <w:rsid w:val="006F0617"/>
    <w:rsid w:val="006F067C"/>
    <w:rsid w:val="006F075F"/>
    <w:rsid w:val="006F0A4E"/>
    <w:rsid w:val="006F0BFC"/>
    <w:rsid w:val="006F0DBA"/>
    <w:rsid w:val="006F12CA"/>
    <w:rsid w:val="006F14F5"/>
    <w:rsid w:val="006F1C98"/>
    <w:rsid w:val="006F1E30"/>
    <w:rsid w:val="006F25BE"/>
    <w:rsid w:val="006F260C"/>
    <w:rsid w:val="006F3171"/>
    <w:rsid w:val="006F38C2"/>
    <w:rsid w:val="006F38E1"/>
    <w:rsid w:val="006F4741"/>
    <w:rsid w:val="006F4EF2"/>
    <w:rsid w:val="006F4F6D"/>
    <w:rsid w:val="006F5503"/>
    <w:rsid w:val="006F5668"/>
    <w:rsid w:val="006F5F49"/>
    <w:rsid w:val="006F6385"/>
    <w:rsid w:val="006F6BCF"/>
    <w:rsid w:val="006F72AE"/>
    <w:rsid w:val="006F78A3"/>
    <w:rsid w:val="00701054"/>
    <w:rsid w:val="0070123E"/>
    <w:rsid w:val="007015A1"/>
    <w:rsid w:val="0070202D"/>
    <w:rsid w:val="0070243B"/>
    <w:rsid w:val="00702510"/>
    <w:rsid w:val="00702AAE"/>
    <w:rsid w:val="00703599"/>
    <w:rsid w:val="00703907"/>
    <w:rsid w:val="00703DA6"/>
    <w:rsid w:val="00704B1B"/>
    <w:rsid w:val="007057BD"/>
    <w:rsid w:val="00705ADE"/>
    <w:rsid w:val="00705CBC"/>
    <w:rsid w:val="00707074"/>
    <w:rsid w:val="00710CAE"/>
    <w:rsid w:val="00711238"/>
    <w:rsid w:val="00711843"/>
    <w:rsid w:val="00711C7F"/>
    <w:rsid w:val="00712577"/>
    <w:rsid w:val="007125FA"/>
    <w:rsid w:val="00712E9C"/>
    <w:rsid w:val="007137CA"/>
    <w:rsid w:val="00713EE4"/>
    <w:rsid w:val="00714A1C"/>
    <w:rsid w:val="00714C5C"/>
    <w:rsid w:val="007154B6"/>
    <w:rsid w:val="00715AB1"/>
    <w:rsid w:val="00715E67"/>
    <w:rsid w:val="007163FB"/>
    <w:rsid w:val="00716420"/>
    <w:rsid w:val="00717745"/>
    <w:rsid w:val="00717F02"/>
    <w:rsid w:val="00717F83"/>
    <w:rsid w:val="00717FEE"/>
    <w:rsid w:val="00720437"/>
    <w:rsid w:val="007205B8"/>
    <w:rsid w:val="00720787"/>
    <w:rsid w:val="00720CE1"/>
    <w:rsid w:val="007214EF"/>
    <w:rsid w:val="00721663"/>
    <w:rsid w:val="00721D4F"/>
    <w:rsid w:val="007221D8"/>
    <w:rsid w:val="00722714"/>
    <w:rsid w:val="00722ABB"/>
    <w:rsid w:val="00722ED0"/>
    <w:rsid w:val="0072308F"/>
    <w:rsid w:val="007231D1"/>
    <w:rsid w:val="007248F4"/>
    <w:rsid w:val="007248FF"/>
    <w:rsid w:val="00724C66"/>
    <w:rsid w:val="00724CA4"/>
    <w:rsid w:val="007262C9"/>
    <w:rsid w:val="00726582"/>
    <w:rsid w:val="007272C0"/>
    <w:rsid w:val="00727861"/>
    <w:rsid w:val="00727D24"/>
    <w:rsid w:val="0073111E"/>
    <w:rsid w:val="007314DC"/>
    <w:rsid w:val="007321BF"/>
    <w:rsid w:val="00732CCA"/>
    <w:rsid w:val="00732F2A"/>
    <w:rsid w:val="00733153"/>
    <w:rsid w:val="0073373F"/>
    <w:rsid w:val="00733C60"/>
    <w:rsid w:val="00733FFE"/>
    <w:rsid w:val="00734227"/>
    <w:rsid w:val="00734573"/>
    <w:rsid w:val="00735E9A"/>
    <w:rsid w:val="00736563"/>
    <w:rsid w:val="007368CA"/>
    <w:rsid w:val="00736A82"/>
    <w:rsid w:val="00736C69"/>
    <w:rsid w:val="00737B6F"/>
    <w:rsid w:val="00740787"/>
    <w:rsid w:val="007408EB"/>
    <w:rsid w:val="007409CF"/>
    <w:rsid w:val="00741654"/>
    <w:rsid w:val="00741A67"/>
    <w:rsid w:val="00741DB3"/>
    <w:rsid w:val="00741FB4"/>
    <w:rsid w:val="0074273B"/>
    <w:rsid w:val="00743E74"/>
    <w:rsid w:val="00743F32"/>
    <w:rsid w:val="00744408"/>
    <w:rsid w:val="00744831"/>
    <w:rsid w:val="00744B9B"/>
    <w:rsid w:val="00744DA7"/>
    <w:rsid w:val="00744DF6"/>
    <w:rsid w:val="007451CA"/>
    <w:rsid w:val="00745B7F"/>
    <w:rsid w:val="00746500"/>
    <w:rsid w:val="00746B02"/>
    <w:rsid w:val="00747BF3"/>
    <w:rsid w:val="00747E16"/>
    <w:rsid w:val="00750ACC"/>
    <w:rsid w:val="00750F5E"/>
    <w:rsid w:val="00750F93"/>
    <w:rsid w:val="00751714"/>
    <w:rsid w:val="0075198D"/>
    <w:rsid w:val="00751AE9"/>
    <w:rsid w:val="00751DBD"/>
    <w:rsid w:val="007523B9"/>
    <w:rsid w:val="00754620"/>
    <w:rsid w:val="007548F6"/>
    <w:rsid w:val="0075498D"/>
    <w:rsid w:val="0075697D"/>
    <w:rsid w:val="00756E6A"/>
    <w:rsid w:val="00756E75"/>
    <w:rsid w:val="00757910"/>
    <w:rsid w:val="00757C81"/>
    <w:rsid w:val="00757FE2"/>
    <w:rsid w:val="007601E7"/>
    <w:rsid w:val="00760801"/>
    <w:rsid w:val="007613B2"/>
    <w:rsid w:val="0076152C"/>
    <w:rsid w:val="007615A2"/>
    <w:rsid w:val="0076218E"/>
    <w:rsid w:val="00762627"/>
    <w:rsid w:val="00762FDC"/>
    <w:rsid w:val="007636BC"/>
    <w:rsid w:val="007637DC"/>
    <w:rsid w:val="00764271"/>
    <w:rsid w:val="00764635"/>
    <w:rsid w:val="007647D7"/>
    <w:rsid w:val="00765F01"/>
    <w:rsid w:val="007671AD"/>
    <w:rsid w:val="00770F81"/>
    <w:rsid w:val="0077131A"/>
    <w:rsid w:val="00771B6C"/>
    <w:rsid w:val="007724F9"/>
    <w:rsid w:val="007727F9"/>
    <w:rsid w:val="0077281A"/>
    <w:rsid w:val="0077288F"/>
    <w:rsid w:val="007728A6"/>
    <w:rsid w:val="00772A78"/>
    <w:rsid w:val="00772F87"/>
    <w:rsid w:val="007731DD"/>
    <w:rsid w:val="0077325E"/>
    <w:rsid w:val="007740E2"/>
    <w:rsid w:val="007742E7"/>
    <w:rsid w:val="007743F8"/>
    <w:rsid w:val="0077449E"/>
    <w:rsid w:val="00774A50"/>
    <w:rsid w:val="0077549C"/>
    <w:rsid w:val="00775670"/>
    <w:rsid w:val="00776A01"/>
    <w:rsid w:val="007774A1"/>
    <w:rsid w:val="007775EE"/>
    <w:rsid w:val="007777C5"/>
    <w:rsid w:val="00777966"/>
    <w:rsid w:val="00777DA0"/>
    <w:rsid w:val="00780161"/>
    <w:rsid w:val="007803C8"/>
    <w:rsid w:val="0078100D"/>
    <w:rsid w:val="0078109F"/>
    <w:rsid w:val="007815AB"/>
    <w:rsid w:val="007819EE"/>
    <w:rsid w:val="0078200F"/>
    <w:rsid w:val="007826AA"/>
    <w:rsid w:val="0078270A"/>
    <w:rsid w:val="00783296"/>
    <w:rsid w:val="00783C55"/>
    <w:rsid w:val="007840C9"/>
    <w:rsid w:val="007846C1"/>
    <w:rsid w:val="00784B90"/>
    <w:rsid w:val="00784E96"/>
    <w:rsid w:val="0078503B"/>
    <w:rsid w:val="00785425"/>
    <w:rsid w:val="007855F1"/>
    <w:rsid w:val="00785729"/>
    <w:rsid w:val="007858DC"/>
    <w:rsid w:val="00786CB1"/>
    <w:rsid w:val="00790F6E"/>
    <w:rsid w:val="007911AA"/>
    <w:rsid w:val="007924C8"/>
    <w:rsid w:val="007924D4"/>
    <w:rsid w:val="007936C0"/>
    <w:rsid w:val="007939EA"/>
    <w:rsid w:val="0079489D"/>
    <w:rsid w:val="007949CE"/>
    <w:rsid w:val="00794B71"/>
    <w:rsid w:val="007951FB"/>
    <w:rsid w:val="00795221"/>
    <w:rsid w:val="0079631D"/>
    <w:rsid w:val="00796792"/>
    <w:rsid w:val="00797011"/>
    <w:rsid w:val="007972DB"/>
    <w:rsid w:val="007A12B4"/>
    <w:rsid w:val="007A1AC4"/>
    <w:rsid w:val="007A235A"/>
    <w:rsid w:val="007A3520"/>
    <w:rsid w:val="007A3771"/>
    <w:rsid w:val="007A43E3"/>
    <w:rsid w:val="007A5526"/>
    <w:rsid w:val="007A55E6"/>
    <w:rsid w:val="007A5982"/>
    <w:rsid w:val="007A6058"/>
    <w:rsid w:val="007A6306"/>
    <w:rsid w:val="007A67B1"/>
    <w:rsid w:val="007A67B2"/>
    <w:rsid w:val="007A6858"/>
    <w:rsid w:val="007A70AF"/>
    <w:rsid w:val="007A7657"/>
    <w:rsid w:val="007B0859"/>
    <w:rsid w:val="007B1D8C"/>
    <w:rsid w:val="007B244F"/>
    <w:rsid w:val="007B30E4"/>
    <w:rsid w:val="007B3961"/>
    <w:rsid w:val="007B40E4"/>
    <w:rsid w:val="007B4131"/>
    <w:rsid w:val="007B4EB8"/>
    <w:rsid w:val="007B5157"/>
    <w:rsid w:val="007B5193"/>
    <w:rsid w:val="007B55E1"/>
    <w:rsid w:val="007B5667"/>
    <w:rsid w:val="007B56CE"/>
    <w:rsid w:val="007B7C93"/>
    <w:rsid w:val="007C05B6"/>
    <w:rsid w:val="007C0901"/>
    <w:rsid w:val="007C0D41"/>
    <w:rsid w:val="007C141B"/>
    <w:rsid w:val="007C14B5"/>
    <w:rsid w:val="007C1FAF"/>
    <w:rsid w:val="007C21BC"/>
    <w:rsid w:val="007C37F6"/>
    <w:rsid w:val="007C3977"/>
    <w:rsid w:val="007C5415"/>
    <w:rsid w:val="007C5911"/>
    <w:rsid w:val="007C5918"/>
    <w:rsid w:val="007C5AA2"/>
    <w:rsid w:val="007C669C"/>
    <w:rsid w:val="007C6F67"/>
    <w:rsid w:val="007C6FDE"/>
    <w:rsid w:val="007C71E9"/>
    <w:rsid w:val="007C7302"/>
    <w:rsid w:val="007C7A38"/>
    <w:rsid w:val="007D0035"/>
    <w:rsid w:val="007D03B7"/>
    <w:rsid w:val="007D083A"/>
    <w:rsid w:val="007D0F45"/>
    <w:rsid w:val="007D1382"/>
    <w:rsid w:val="007D2547"/>
    <w:rsid w:val="007D2BDC"/>
    <w:rsid w:val="007D2D76"/>
    <w:rsid w:val="007D2F7B"/>
    <w:rsid w:val="007D3660"/>
    <w:rsid w:val="007D3CB9"/>
    <w:rsid w:val="007D4A22"/>
    <w:rsid w:val="007D4EC2"/>
    <w:rsid w:val="007D5EBA"/>
    <w:rsid w:val="007D645A"/>
    <w:rsid w:val="007D6F81"/>
    <w:rsid w:val="007D70A0"/>
    <w:rsid w:val="007D7442"/>
    <w:rsid w:val="007E017E"/>
    <w:rsid w:val="007E01CE"/>
    <w:rsid w:val="007E0295"/>
    <w:rsid w:val="007E0A65"/>
    <w:rsid w:val="007E0CFA"/>
    <w:rsid w:val="007E19FE"/>
    <w:rsid w:val="007E1BA6"/>
    <w:rsid w:val="007E245A"/>
    <w:rsid w:val="007E2787"/>
    <w:rsid w:val="007E288C"/>
    <w:rsid w:val="007E2D4B"/>
    <w:rsid w:val="007E3E29"/>
    <w:rsid w:val="007E40B1"/>
    <w:rsid w:val="007E4465"/>
    <w:rsid w:val="007E4690"/>
    <w:rsid w:val="007E4A44"/>
    <w:rsid w:val="007E4D6A"/>
    <w:rsid w:val="007E5082"/>
    <w:rsid w:val="007E6423"/>
    <w:rsid w:val="007E74E4"/>
    <w:rsid w:val="007E76C0"/>
    <w:rsid w:val="007E7713"/>
    <w:rsid w:val="007F01B5"/>
    <w:rsid w:val="007F1256"/>
    <w:rsid w:val="007F1727"/>
    <w:rsid w:val="007F2023"/>
    <w:rsid w:val="007F2140"/>
    <w:rsid w:val="007F2BA8"/>
    <w:rsid w:val="007F2D32"/>
    <w:rsid w:val="007F368C"/>
    <w:rsid w:val="007F37F3"/>
    <w:rsid w:val="007F4CF4"/>
    <w:rsid w:val="007F4D82"/>
    <w:rsid w:val="007F4FC6"/>
    <w:rsid w:val="007F55D9"/>
    <w:rsid w:val="007F5709"/>
    <w:rsid w:val="007F5DEB"/>
    <w:rsid w:val="007F6224"/>
    <w:rsid w:val="007F660B"/>
    <w:rsid w:val="007F7240"/>
    <w:rsid w:val="00800E0C"/>
    <w:rsid w:val="0080106C"/>
    <w:rsid w:val="0080167A"/>
    <w:rsid w:val="00801BF3"/>
    <w:rsid w:val="008037E2"/>
    <w:rsid w:val="00804713"/>
    <w:rsid w:val="00804928"/>
    <w:rsid w:val="00804D4D"/>
    <w:rsid w:val="008051C5"/>
    <w:rsid w:val="0080554A"/>
    <w:rsid w:val="008059B9"/>
    <w:rsid w:val="00805A1F"/>
    <w:rsid w:val="00805D8B"/>
    <w:rsid w:val="008064A5"/>
    <w:rsid w:val="008071FB"/>
    <w:rsid w:val="00810274"/>
    <w:rsid w:val="00811026"/>
    <w:rsid w:val="00811241"/>
    <w:rsid w:val="008112E0"/>
    <w:rsid w:val="00811470"/>
    <w:rsid w:val="00811FA7"/>
    <w:rsid w:val="00812997"/>
    <w:rsid w:val="00812BF6"/>
    <w:rsid w:val="00813078"/>
    <w:rsid w:val="00813DA4"/>
    <w:rsid w:val="00813F1B"/>
    <w:rsid w:val="00815ED2"/>
    <w:rsid w:val="00816382"/>
    <w:rsid w:val="008202C2"/>
    <w:rsid w:val="00820632"/>
    <w:rsid w:val="00821049"/>
    <w:rsid w:val="008214B1"/>
    <w:rsid w:val="008216BF"/>
    <w:rsid w:val="00821888"/>
    <w:rsid w:val="00821FF3"/>
    <w:rsid w:val="008227E2"/>
    <w:rsid w:val="00822AB4"/>
    <w:rsid w:val="00822C9B"/>
    <w:rsid w:val="008231BF"/>
    <w:rsid w:val="00824EFA"/>
    <w:rsid w:val="008255FB"/>
    <w:rsid w:val="008256A7"/>
    <w:rsid w:val="00825BA4"/>
    <w:rsid w:val="00826688"/>
    <w:rsid w:val="00826C32"/>
    <w:rsid w:val="00826EC6"/>
    <w:rsid w:val="0082717B"/>
    <w:rsid w:val="00827197"/>
    <w:rsid w:val="0082753F"/>
    <w:rsid w:val="0082788D"/>
    <w:rsid w:val="00830279"/>
    <w:rsid w:val="00830536"/>
    <w:rsid w:val="008314F3"/>
    <w:rsid w:val="00831B2E"/>
    <w:rsid w:val="008321AA"/>
    <w:rsid w:val="00832C62"/>
    <w:rsid w:val="00833108"/>
    <w:rsid w:val="00833729"/>
    <w:rsid w:val="00833E4D"/>
    <w:rsid w:val="00834237"/>
    <w:rsid w:val="008346B5"/>
    <w:rsid w:val="00834A42"/>
    <w:rsid w:val="00834BBD"/>
    <w:rsid w:val="0083572A"/>
    <w:rsid w:val="00835837"/>
    <w:rsid w:val="00835DD0"/>
    <w:rsid w:val="008366EA"/>
    <w:rsid w:val="0083682E"/>
    <w:rsid w:val="00836AB5"/>
    <w:rsid w:val="00837B5B"/>
    <w:rsid w:val="00840166"/>
    <w:rsid w:val="00842265"/>
    <w:rsid w:val="00842EC2"/>
    <w:rsid w:val="00843292"/>
    <w:rsid w:val="0084357E"/>
    <w:rsid w:val="0084407B"/>
    <w:rsid w:val="00844588"/>
    <w:rsid w:val="00844608"/>
    <w:rsid w:val="00844FD3"/>
    <w:rsid w:val="00845EF9"/>
    <w:rsid w:val="0084604A"/>
    <w:rsid w:val="00846362"/>
    <w:rsid w:val="0084636A"/>
    <w:rsid w:val="008465A4"/>
    <w:rsid w:val="00846B0E"/>
    <w:rsid w:val="00847054"/>
    <w:rsid w:val="008473D5"/>
    <w:rsid w:val="00847A77"/>
    <w:rsid w:val="00847BDC"/>
    <w:rsid w:val="00847DB2"/>
    <w:rsid w:val="0085038C"/>
    <w:rsid w:val="008505B8"/>
    <w:rsid w:val="00850A59"/>
    <w:rsid w:val="00850D12"/>
    <w:rsid w:val="008510F7"/>
    <w:rsid w:val="00851150"/>
    <w:rsid w:val="00851583"/>
    <w:rsid w:val="008522F4"/>
    <w:rsid w:val="00852A1E"/>
    <w:rsid w:val="00852A5E"/>
    <w:rsid w:val="00852BEF"/>
    <w:rsid w:val="00852E2A"/>
    <w:rsid w:val="00852F6A"/>
    <w:rsid w:val="00852FFC"/>
    <w:rsid w:val="0085309C"/>
    <w:rsid w:val="00853967"/>
    <w:rsid w:val="00853E62"/>
    <w:rsid w:val="00853F67"/>
    <w:rsid w:val="00854AAA"/>
    <w:rsid w:val="00855176"/>
    <w:rsid w:val="008556D8"/>
    <w:rsid w:val="00855B22"/>
    <w:rsid w:val="008564EE"/>
    <w:rsid w:val="00857356"/>
    <w:rsid w:val="0086000F"/>
    <w:rsid w:val="0086051E"/>
    <w:rsid w:val="00860E40"/>
    <w:rsid w:val="00861870"/>
    <w:rsid w:val="00862004"/>
    <w:rsid w:val="0086271D"/>
    <w:rsid w:val="00862A2A"/>
    <w:rsid w:val="00862D22"/>
    <w:rsid w:val="00863113"/>
    <w:rsid w:val="008639B8"/>
    <w:rsid w:val="008639E7"/>
    <w:rsid w:val="00863A79"/>
    <w:rsid w:val="008673D3"/>
    <w:rsid w:val="008675E6"/>
    <w:rsid w:val="00870094"/>
    <w:rsid w:val="00870FAC"/>
    <w:rsid w:val="00871680"/>
    <w:rsid w:val="008717EE"/>
    <w:rsid w:val="00872952"/>
    <w:rsid w:val="00872DAC"/>
    <w:rsid w:val="00872E63"/>
    <w:rsid w:val="00872FDE"/>
    <w:rsid w:val="00873386"/>
    <w:rsid w:val="008736BF"/>
    <w:rsid w:val="008738D2"/>
    <w:rsid w:val="00873DD1"/>
    <w:rsid w:val="00875752"/>
    <w:rsid w:val="00875A38"/>
    <w:rsid w:val="0087647F"/>
    <w:rsid w:val="00876D79"/>
    <w:rsid w:val="0087748A"/>
    <w:rsid w:val="008806FA"/>
    <w:rsid w:val="0088134A"/>
    <w:rsid w:val="00881820"/>
    <w:rsid w:val="00882FCE"/>
    <w:rsid w:val="00883378"/>
    <w:rsid w:val="00883502"/>
    <w:rsid w:val="00883533"/>
    <w:rsid w:val="00884CD7"/>
    <w:rsid w:val="00884ED4"/>
    <w:rsid w:val="00886250"/>
    <w:rsid w:val="008864B5"/>
    <w:rsid w:val="0088723B"/>
    <w:rsid w:val="00887B16"/>
    <w:rsid w:val="00887CE3"/>
    <w:rsid w:val="008904E4"/>
    <w:rsid w:val="00890A9E"/>
    <w:rsid w:val="00890C81"/>
    <w:rsid w:val="0089170A"/>
    <w:rsid w:val="00891B32"/>
    <w:rsid w:val="00892B2F"/>
    <w:rsid w:val="00892DDE"/>
    <w:rsid w:val="00893523"/>
    <w:rsid w:val="00893B1B"/>
    <w:rsid w:val="00894261"/>
    <w:rsid w:val="008946BC"/>
    <w:rsid w:val="0089608C"/>
    <w:rsid w:val="008964A6"/>
    <w:rsid w:val="00896AF7"/>
    <w:rsid w:val="00896C41"/>
    <w:rsid w:val="00896D05"/>
    <w:rsid w:val="0089729F"/>
    <w:rsid w:val="008977BF"/>
    <w:rsid w:val="008A085D"/>
    <w:rsid w:val="008A0901"/>
    <w:rsid w:val="008A1083"/>
    <w:rsid w:val="008A12A9"/>
    <w:rsid w:val="008A147F"/>
    <w:rsid w:val="008A14F0"/>
    <w:rsid w:val="008A2851"/>
    <w:rsid w:val="008A2909"/>
    <w:rsid w:val="008A30B4"/>
    <w:rsid w:val="008A49ED"/>
    <w:rsid w:val="008A546F"/>
    <w:rsid w:val="008A5A74"/>
    <w:rsid w:val="008A5ADA"/>
    <w:rsid w:val="008A5D4E"/>
    <w:rsid w:val="008A608E"/>
    <w:rsid w:val="008A620E"/>
    <w:rsid w:val="008A73E2"/>
    <w:rsid w:val="008B04CE"/>
    <w:rsid w:val="008B0D3D"/>
    <w:rsid w:val="008B0D93"/>
    <w:rsid w:val="008B118E"/>
    <w:rsid w:val="008B121F"/>
    <w:rsid w:val="008B2B64"/>
    <w:rsid w:val="008B377F"/>
    <w:rsid w:val="008B4116"/>
    <w:rsid w:val="008B5492"/>
    <w:rsid w:val="008B6277"/>
    <w:rsid w:val="008B6310"/>
    <w:rsid w:val="008B6731"/>
    <w:rsid w:val="008B67A6"/>
    <w:rsid w:val="008C0271"/>
    <w:rsid w:val="008C0E99"/>
    <w:rsid w:val="008C0FB9"/>
    <w:rsid w:val="008C1124"/>
    <w:rsid w:val="008C1396"/>
    <w:rsid w:val="008C2B82"/>
    <w:rsid w:val="008C2C3E"/>
    <w:rsid w:val="008C355D"/>
    <w:rsid w:val="008C3EDD"/>
    <w:rsid w:val="008C447F"/>
    <w:rsid w:val="008C46CC"/>
    <w:rsid w:val="008C4720"/>
    <w:rsid w:val="008C4D94"/>
    <w:rsid w:val="008C510A"/>
    <w:rsid w:val="008C6050"/>
    <w:rsid w:val="008C60A2"/>
    <w:rsid w:val="008C61E2"/>
    <w:rsid w:val="008C692D"/>
    <w:rsid w:val="008C7262"/>
    <w:rsid w:val="008C7E04"/>
    <w:rsid w:val="008D1455"/>
    <w:rsid w:val="008D1516"/>
    <w:rsid w:val="008D1548"/>
    <w:rsid w:val="008D28EF"/>
    <w:rsid w:val="008D2A37"/>
    <w:rsid w:val="008D3715"/>
    <w:rsid w:val="008D375B"/>
    <w:rsid w:val="008D3ED4"/>
    <w:rsid w:val="008D41CB"/>
    <w:rsid w:val="008D4351"/>
    <w:rsid w:val="008D45AF"/>
    <w:rsid w:val="008D462E"/>
    <w:rsid w:val="008D5100"/>
    <w:rsid w:val="008D52DB"/>
    <w:rsid w:val="008D53B8"/>
    <w:rsid w:val="008D556F"/>
    <w:rsid w:val="008D5950"/>
    <w:rsid w:val="008D5A3C"/>
    <w:rsid w:val="008D64DB"/>
    <w:rsid w:val="008D71A1"/>
    <w:rsid w:val="008D7FBE"/>
    <w:rsid w:val="008E0685"/>
    <w:rsid w:val="008E0D30"/>
    <w:rsid w:val="008E0F5F"/>
    <w:rsid w:val="008E1F6D"/>
    <w:rsid w:val="008E44A8"/>
    <w:rsid w:val="008E46B4"/>
    <w:rsid w:val="008E4CBA"/>
    <w:rsid w:val="008E4EAE"/>
    <w:rsid w:val="008E5037"/>
    <w:rsid w:val="008E51E8"/>
    <w:rsid w:val="008E656E"/>
    <w:rsid w:val="008E65B2"/>
    <w:rsid w:val="008E664C"/>
    <w:rsid w:val="008E68B8"/>
    <w:rsid w:val="008E708C"/>
    <w:rsid w:val="008E7264"/>
    <w:rsid w:val="008E75D3"/>
    <w:rsid w:val="008F027A"/>
    <w:rsid w:val="008F059D"/>
    <w:rsid w:val="008F0D51"/>
    <w:rsid w:val="008F1691"/>
    <w:rsid w:val="008F183B"/>
    <w:rsid w:val="008F1BCE"/>
    <w:rsid w:val="008F1DC5"/>
    <w:rsid w:val="008F2537"/>
    <w:rsid w:val="008F25F8"/>
    <w:rsid w:val="008F26C2"/>
    <w:rsid w:val="008F3AE1"/>
    <w:rsid w:val="008F3E24"/>
    <w:rsid w:val="008F4BC9"/>
    <w:rsid w:val="008F4F72"/>
    <w:rsid w:val="008F5671"/>
    <w:rsid w:val="008F6584"/>
    <w:rsid w:val="008F7B54"/>
    <w:rsid w:val="0090086E"/>
    <w:rsid w:val="009008FC"/>
    <w:rsid w:val="00900C31"/>
    <w:rsid w:val="00900F67"/>
    <w:rsid w:val="0090117C"/>
    <w:rsid w:val="009018FC"/>
    <w:rsid w:val="00901CAF"/>
    <w:rsid w:val="0090216B"/>
    <w:rsid w:val="00902A9C"/>
    <w:rsid w:val="0090333A"/>
    <w:rsid w:val="00904821"/>
    <w:rsid w:val="00904C82"/>
    <w:rsid w:val="00904D97"/>
    <w:rsid w:val="00905416"/>
    <w:rsid w:val="00905437"/>
    <w:rsid w:val="00905714"/>
    <w:rsid w:val="00905C09"/>
    <w:rsid w:val="009060A4"/>
    <w:rsid w:val="00906598"/>
    <w:rsid w:val="009067C4"/>
    <w:rsid w:val="009069A1"/>
    <w:rsid w:val="00906EBD"/>
    <w:rsid w:val="009070D7"/>
    <w:rsid w:val="00907527"/>
    <w:rsid w:val="00907890"/>
    <w:rsid w:val="00907D57"/>
    <w:rsid w:val="009115A6"/>
    <w:rsid w:val="00911BEE"/>
    <w:rsid w:val="0091336C"/>
    <w:rsid w:val="00913D4B"/>
    <w:rsid w:val="009146E0"/>
    <w:rsid w:val="00914E24"/>
    <w:rsid w:val="0091505D"/>
    <w:rsid w:val="0091539E"/>
    <w:rsid w:val="0091556D"/>
    <w:rsid w:val="00916C45"/>
    <w:rsid w:val="009171F4"/>
    <w:rsid w:val="009174DA"/>
    <w:rsid w:val="009204D3"/>
    <w:rsid w:val="00920DD3"/>
    <w:rsid w:val="009214CB"/>
    <w:rsid w:val="009216FE"/>
    <w:rsid w:val="00921914"/>
    <w:rsid w:val="00922296"/>
    <w:rsid w:val="00922907"/>
    <w:rsid w:val="009229CA"/>
    <w:rsid w:val="00922C6D"/>
    <w:rsid w:val="00922F0C"/>
    <w:rsid w:val="00922FBA"/>
    <w:rsid w:val="00923D67"/>
    <w:rsid w:val="0092486A"/>
    <w:rsid w:val="00924D36"/>
    <w:rsid w:val="00925290"/>
    <w:rsid w:val="00925A60"/>
    <w:rsid w:val="009261F0"/>
    <w:rsid w:val="0092656E"/>
    <w:rsid w:val="00926FFC"/>
    <w:rsid w:val="0092712F"/>
    <w:rsid w:val="00930047"/>
    <w:rsid w:val="00930159"/>
    <w:rsid w:val="0093019E"/>
    <w:rsid w:val="009305C9"/>
    <w:rsid w:val="0093102A"/>
    <w:rsid w:val="00931157"/>
    <w:rsid w:val="009312FF"/>
    <w:rsid w:val="0093185C"/>
    <w:rsid w:val="00931F94"/>
    <w:rsid w:val="0093276A"/>
    <w:rsid w:val="00932941"/>
    <w:rsid w:val="00932BBA"/>
    <w:rsid w:val="00932BE2"/>
    <w:rsid w:val="00933212"/>
    <w:rsid w:val="00934805"/>
    <w:rsid w:val="0093509E"/>
    <w:rsid w:val="0093520F"/>
    <w:rsid w:val="00935493"/>
    <w:rsid w:val="00935551"/>
    <w:rsid w:val="009356DF"/>
    <w:rsid w:val="00935C76"/>
    <w:rsid w:val="00935FD9"/>
    <w:rsid w:val="00936119"/>
    <w:rsid w:val="0093641E"/>
    <w:rsid w:val="009366E4"/>
    <w:rsid w:val="00937182"/>
    <w:rsid w:val="009378AE"/>
    <w:rsid w:val="00937E25"/>
    <w:rsid w:val="00940145"/>
    <w:rsid w:val="009410B7"/>
    <w:rsid w:val="009418E3"/>
    <w:rsid w:val="0094269D"/>
    <w:rsid w:val="00942F6D"/>
    <w:rsid w:val="00943024"/>
    <w:rsid w:val="0094305B"/>
    <w:rsid w:val="0094394E"/>
    <w:rsid w:val="0094423B"/>
    <w:rsid w:val="00944862"/>
    <w:rsid w:val="00944868"/>
    <w:rsid w:val="00944A0D"/>
    <w:rsid w:val="00946967"/>
    <w:rsid w:val="00947576"/>
    <w:rsid w:val="0095011E"/>
    <w:rsid w:val="009504FD"/>
    <w:rsid w:val="00950529"/>
    <w:rsid w:val="00950622"/>
    <w:rsid w:val="00950DF5"/>
    <w:rsid w:val="00950FD7"/>
    <w:rsid w:val="009517DB"/>
    <w:rsid w:val="00952E18"/>
    <w:rsid w:val="00953128"/>
    <w:rsid w:val="00954154"/>
    <w:rsid w:val="009550A7"/>
    <w:rsid w:val="009565F7"/>
    <w:rsid w:val="009573E3"/>
    <w:rsid w:val="0095753D"/>
    <w:rsid w:val="0095755B"/>
    <w:rsid w:val="00957735"/>
    <w:rsid w:val="00957F8B"/>
    <w:rsid w:val="00960A38"/>
    <w:rsid w:val="00960A47"/>
    <w:rsid w:val="009611F2"/>
    <w:rsid w:val="009611FE"/>
    <w:rsid w:val="0096130E"/>
    <w:rsid w:val="009616D2"/>
    <w:rsid w:val="00961735"/>
    <w:rsid w:val="00961871"/>
    <w:rsid w:val="009619F9"/>
    <w:rsid w:val="00963515"/>
    <w:rsid w:val="00963810"/>
    <w:rsid w:val="00963FEC"/>
    <w:rsid w:val="009649C3"/>
    <w:rsid w:val="00964D6C"/>
    <w:rsid w:val="009653A5"/>
    <w:rsid w:val="00965C37"/>
    <w:rsid w:val="0096603D"/>
    <w:rsid w:val="00966A0F"/>
    <w:rsid w:val="009671DA"/>
    <w:rsid w:val="009674E8"/>
    <w:rsid w:val="009701BD"/>
    <w:rsid w:val="0097080C"/>
    <w:rsid w:val="00971B1B"/>
    <w:rsid w:val="00972E57"/>
    <w:rsid w:val="00973733"/>
    <w:rsid w:val="0097388F"/>
    <w:rsid w:val="00974302"/>
    <w:rsid w:val="00974CD5"/>
    <w:rsid w:val="0097529D"/>
    <w:rsid w:val="009758F8"/>
    <w:rsid w:val="0097597B"/>
    <w:rsid w:val="0097627E"/>
    <w:rsid w:val="009764C2"/>
    <w:rsid w:val="00976546"/>
    <w:rsid w:val="00976B68"/>
    <w:rsid w:val="00977549"/>
    <w:rsid w:val="009775CC"/>
    <w:rsid w:val="0097781D"/>
    <w:rsid w:val="009802AE"/>
    <w:rsid w:val="00980673"/>
    <w:rsid w:val="00981C56"/>
    <w:rsid w:val="00981F15"/>
    <w:rsid w:val="00982176"/>
    <w:rsid w:val="00982345"/>
    <w:rsid w:val="0098247D"/>
    <w:rsid w:val="00982512"/>
    <w:rsid w:val="009829F5"/>
    <w:rsid w:val="00983B83"/>
    <w:rsid w:val="00983CE2"/>
    <w:rsid w:val="0098405C"/>
    <w:rsid w:val="0098457A"/>
    <w:rsid w:val="00984A4F"/>
    <w:rsid w:val="00985B96"/>
    <w:rsid w:val="00986663"/>
    <w:rsid w:val="00990726"/>
    <w:rsid w:val="00990D31"/>
    <w:rsid w:val="00990D8B"/>
    <w:rsid w:val="00990F09"/>
    <w:rsid w:val="009911B9"/>
    <w:rsid w:val="00991680"/>
    <w:rsid w:val="009917D3"/>
    <w:rsid w:val="00992F47"/>
    <w:rsid w:val="0099418D"/>
    <w:rsid w:val="009951FB"/>
    <w:rsid w:val="00995998"/>
    <w:rsid w:val="0099622B"/>
    <w:rsid w:val="00996254"/>
    <w:rsid w:val="00996B62"/>
    <w:rsid w:val="00996C01"/>
    <w:rsid w:val="00997178"/>
    <w:rsid w:val="009971DA"/>
    <w:rsid w:val="00997670"/>
    <w:rsid w:val="00997AE8"/>
    <w:rsid w:val="009A03B8"/>
    <w:rsid w:val="009A150F"/>
    <w:rsid w:val="009A1B1E"/>
    <w:rsid w:val="009A1E51"/>
    <w:rsid w:val="009A23C9"/>
    <w:rsid w:val="009A29AA"/>
    <w:rsid w:val="009A3A3E"/>
    <w:rsid w:val="009A3C79"/>
    <w:rsid w:val="009A436C"/>
    <w:rsid w:val="009A4627"/>
    <w:rsid w:val="009A4C66"/>
    <w:rsid w:val="009A51D2"/>
    <w:rsid w:val="009A6BAE"/>
    <w:rsid w:val="009A6D16"/>
    <w:rsid w:val="009A6D24"/>
    <w:rsid w:val="009A77A3"/>
    <w:rsid w:val="009A7991"/>
    <w:rsid w:val="009B05D1"/>
    <w:rsid w:val="009B0F2E"/>
    <w:rsid w:val="009B1989"/>
    <w:rsid w:val="009B2038"/>
    <w:rsid w:val="009B2A4C"/>
    <w:rsid w:val="009B315E"/>
    <w:rsid w:val="009B341A"/>
    <w:rsid w:val="009B3B5B"/>
    <w:rsid w:val="009B3E5A"/>
    <w:rsid w:val="009B40AE"/>
    <w:rsid w:val="009B40EA"/>
    <w:rsid w:val="009B4B0E"/>
    <w:rsid w:val="009B4EF8"/>
    <w:rsid w:val="009B5611"/>
    <w:rsid w:val="009B56D0"/>
    <w:rsid w:val="009B58D2"/>
    <w:rsid w:val="009B5DB4"/>
    <w:rsid w:val="009B6196"/>
    <w:rsid w:val="009B6312"/>
    <w:rsid w:val="009B6441"/>
    <w:rsid w:val="009B64B0"/>
    <w:rsid w:val="009B66E1"/>
    <w:rsid w:val="009B70E2"/>
    <w:rsid w:val="009B724B"/>
    <w:rsid w:val="009B72C3"/>
    <w:rsid w:val="009B760F"/>
    <w:rsid w:val="009C02BD"/>
    <w:rsid w:val="009C1958"/>
    <w:rsid w:val="009C2278"/>
    <w:rsid w:val="009C23AE"/>
    <w:rsid w:val="009C24F3"/>
    <w:rsid w:val="009C26E0"/>
    <w:rsid w:val="009C27AC"/>
    <w:rsid w:val="009C5727"/>
    <w:rsid w:val="009C5A35"/>
    <w:rsid w:val="009C5DA3"/>
    <w:rsid w:val="009C6672"/>
    <w:rsid w:val="009C6A2B"/>
    <w:rsid w:val="009C6CAD"/>
    <w:rsid w:val="009C74F3"/>
    <w:rsid w:val="009D019A"/>
    <w:rsid w:val="009D03E6"/>
    <w:rsid w:val="009D0D0D"/>
    <w:rsid w:val="009D15C1"/>
    <w:rsid w:val="009D166C"/>
    <w:rsid w:val="009D26B4"/>
    <w:rsid w:val="009D2D80"/>
    <w:rsid w:val="009D4DCC"/>
    <w:rsid w:val="009D526B"/>
    <w:rsid w:val="009D58FC"/>
    <w:rsid w:val="009D59A6"/>
    <w:rsid w:val="009D693E"/>
    <w:rsid w:val="009D6C12"/>
    <w:rsid w:val="009D6C49"/>
    <w:rsid w:val="009D6CEB"/>
    <w:rsid w:val="009D6F76"/>
    <w:rsid w:val="009D7391"/>
    <w:rsid w:val="009D7C6A"/>
    <w:rsid w:val="009E06D7"/>
    <w:rsid w:val="009E084A"/>
    <w:rsid w:val="009E0FA7"/>
    <w:rsid w:val="009E1237"/>
    <w:rsid w:val="009E1E80"/>
    <w:rsid w:val="009E2BA3"/>
    <w:rsid w:val="009E3391"/>
    <w:rsid w:val="009E4A0F"/>
    <w:rsid w:val="009E587A"/>
    <w:rsid w:val="009E5E31"/>
    <w:rsid w:val="009E64E3"/>
    <w:rsid w:val="009E669D"/>
    <w:rsid w:val="009E69AC"/>
    <w:rsid w:val="009E6E25"/>
    <w:rsid w:val="009E72AF"/>
    <w:rsid w:val="009E74AA"/>
    <w:rsid w:val="009E763F"/>
    <w:rsid w:val="009E78AA"/>
    <w:rsid w:val="009F0055"/>
    <w:rsid w:val="009F0A4E"/>
    <w:rsid w:val="009F0E8F"/>
    <w:rsid w:val="009F1008"/>
    <w:rsid w:val="009F1B5A"/>
    <w:rsid w:val="009F2830"/>
    <w:rsid w:val="009F301A"/>
    <w:rsid w:val="009F31AA"/>
    <w:rsid w:val="009F39A9"/>
    <w:rsid w:val="009F43B9"/>
    <w:rsid w:val="009F4748"/>
    <w:rsid w:val="009F4D43"/>
    <w:rsid w:val="009F58FB"/>
    <w:rsid w:val="009F6214"/>
    <w:rsid w:val="009F624B"/>
    <w:rsid w:val="009F66E2"/>
    <w:rsid w:val="009F6D7E"/>
    <w:rsid w:val="009F6FDE"/>
    <w:rsid w:val="009F76CF"/>
    <w:rsid w:val="00A00638"/>
    <w:rsid w:val="00A00DF5"/>
    <w:rsid w:val="00A00F22"/>
    <w:rsid w:val="00A00FA0"/>
    <w:rsid w:val="00A01301"/>
    <w:rsid w:val="00A0168C"/>
    <w:rsid w:val="00A02229"/>
    <w:rsid w:val="00A02A59"/>
    <w:rsid w:val="00A02CDA"/>
    <w:rsid w:val="00A035A3"/>
    <w:rsid w:val="00A03E01"/>
    <w:rsid w:val="00A04D45"/>
    <w:rsid w:val="00A0634B"/>
    <w:rsid w:val="00A067BB"/>
    <w:rsid w:val="00A07078"/>
    <w:rsid w:val="00A077B9"/>
    <w:rsid w:val="00A078A7"/>
    <w:rsid w:val="00A07AC9"/>
    <w:rsid w:val="00A10E75"/>
    <w:rsid w:val="00A110E1"/>
    <w:rsid w:val="00A121C5"/>
    <w:rsid w:val="00A126CB"/>
    <w:rsid w:val="00A12F18"/>
    <w:rsid w:val="00A15255"/>
    <w:rsid w:val="00A1578E"/>
    <w:rsid w:val="00A15807"/>
    <w:rsid w:val="00A15A0F"/>
    <w:rsid w:val="00A164FB"/>
    <w:rsid w:val="00A16663"/>
    <w:rsid w:val="00A20EEC"/>
    <w:rsid w:val="00A21B25"/>
    <w:rsid w:val="00A21B60"/>
    <w:rsid w:val="00A21BBB"/>
    <w:rsid w:val="00A231F3"/>
    <w:rsid w:val="00A23D85"/>
    <w:rsid w:val="00A246F3"/>
    <w:rsid w:val="00A24CEB"/>
    <w:rsid w:val="00A24EE5"/>
    <w:rsid w:val="00A256A9"/>
    <w:rsid w:val="00A26F1D"/>
    <w:rsid w:val="00A27A72"/>
    <w:rsid w:val="00A3106E"/>
    <w:rsid w:val="00A316B6"/>
    <w:rsid w:val="00A31F80"/>
    <w:rsid w:val="00A3250A"/>
    <w:rsid w:val="00A32997"/>
    <w:rsid w:val="00A32D9B"/>
    <w:rsid w:val="00A33299"/>
    <w:rsid w:val="00A33595"/>
    <w:rsid w:val="00A33695"/>
    <w:rsid w:val="00A3382B"/>
    <w:rsid w:val="00A3393F"/>
    <w:rsid w:val="00A341B5"/>
    <w:rsid w:val="00A346FF"/>
    <w:rsid w:val="00A3550C"/>
    <w:rsid w:val="00A36098"/>
    <w:rsid w:val="00A36DA1"/>
    <w:rsid w:val="00A408D9"/>
    <w:rsid w:val="00A412D7"/>
    <w:rsid w:val="00A41598"/>
    <w:rsid w:val="00A42DB3"/>
    <w:rsid w:val="00A430A8"/>
    <w:rsid w:val="00A43138"/>
    <w:rsid w:val="00A4477F"/>
    <w:rsid w:val="00A44EB7"/>
    <w:rsid w:val="00A44FAF"/>
    <w:rsid w:val="00A4505A"/>
    <w:rsid w:val="00A45EB9"/>
    <w:rsid w:val="00A46D8D"/>
    <w:rsid w:val="00A50B8B"/>
    <w:rsid w:val="00A50FDA"/>
    <w:rsid w:val="00A51BFE"/>
    <w:rsid w:val="00A52BC5"/>
    <w:rsid w:val="00A52D40"/>
    <w:rsid w:val="00A52E11"/>
    <w:rsid w:val="00A53881"/>
    <w:rsid w:val="00A54092"/>
    <w:rsid w:val="00A54576"/>
    <w:rsid w:val="00A546E5"/>
    <w:rsid w:val="00A54FE7"/>
    <w:rsid w:val="00A55B30"/>
    <w:rsid w:val="00A55B40"/>
    <w:rsid w:val="00A561B0"/>
    <w:rsid w:val="00A571AC"/>
    <w:rsid w:val="00A5762D"/>
    <w:rsid w:val="00A57824"/>
    <w:rsid w:val="00A60DA6"/>
    <w:rsid w:val="00A61620"/>
    <w:rsid w:val="00A62670"/>
    <w:rsid w:val="00A62CA4"/>
    <w:rsid w:val="00A62E0A"/>
    <w:rsid w:val="00A630D2"/>
    <w:rsid w:val="00A6324B"/>
    <w:rsid w:val="00A63BF9"/>
    <w:rsid w:val="00A63EC0"/>
    <w:rsid w:val="00A64C3E"/>
    <w:rsid w:val="00A64FCE"/>
    <w:rsid w:val="00A65663"/>
    <w:rsid w:val="00A657CF"/>
    <w:rsid w:val="00A659F2"/>
    <w:rsid w:val="00A6617A"/>
    <w:rsid w:val="00A664F2"/>
    <w:rsid w:val="00A66A04"/>
    <w:rsid w:val="00A676FE"/>
    <w:rsid w:val="00A67914"/>
    <w:rsid w:val="00A703D8"/>
    <w:rsid w:val="00A706F7"/>
    <w:rsid w:val="00A708E9"/>
    <w:rsid w:val="00A7143D"/>
    <w:rsid w:val="00A72BCA"/>
    <w:rsid w:val="00A73689"/>
    <w:rsid w:val="00A73D8E"/>
    <w:rsid w:val="00A749CA"/>
    <w:rsid w:val="00A74E33"/>
    <w:rsid w:val="00A74FB7"/>
    <w:rsid w:val="00A75016"/>
    <w:rsid w:val="00A7567F"/>
    <w:rsid w:val="00A75B30"/>
    <w:rsid w:val="00A76136"/>
    <w:rsid w:val="00A767D1"/>
    <w:rsid w:val="00A76CBD"/>
    <w:rsid w:val="00A76D07"/>
    <w:rsid w:val="00A76F8E"/>
    <w:rsid w:val="00A77505"/>
    <w:rsid w:val="00A80014"/>
    <w:rsid w:val="00A80EF1"/>
    <w:rsid w:val="00A81E31"/>
    <w:rsid w:val="00A81E6C"/>
    <w:rsid w:val="00A82C3C"/>
    <w:rsid w:val="00A83074"/>
    <w:rsid w:val="00A846F4"/>
    <w:rsid w:val="00A847C1"/>
    <w:rsid w:val="00A84C1A"/>
    <w:rsid w:val="00A85357"/>
    <w:rsid w:val="00A85BE1"/>
    <w:rsid w:val="00A85F18"/>
    <w:rsid w:val="00A862B2"/>
    <w:rsid w:val="00A863CE"/>
    <w:rsid w:val="00A86EAF"/>
    <w:rsid w:val="00A87344"/>
    <w:rsid w:val="00A87550"/>
    <w:rsid w:val="00A87EBB"/>
    <w:rsid w:val="00A9044A"/>
    <w:rsid w:val="00A90A2B"/>
    <w:rsid w:val="00A90CA6"/>
    <w:rsid w:val="00A9129D"/>
    <w:rsid w:val="00A91570"/>
    <w:rsid w:val="00A91891"/>
    <w:rsid w:val="00A91BFF"/>
    <w:rsid w:val="00A91C53"/>
    <w:rsid w:val="00A9264F"/>
    <w:rsid w:val="00A92A6E"/>
    <w:rsid w:val="00A92B43"/>
    <w:rsid w:val="00A92D17"/>
    <w:rsid w:val="00A92EDB"/>
    <w:rsid w:val="00A93258"/>
    <w:rsid w:val="00A9342A"/>
    <w:rsid w:val="00A93511"/>
    <w:rsid w:val="00A93615"/>
    <w:rsid w:val="00A939D2"/>
    <w:rsid w:val="00A94391"/>
    <w:rsid w:val="00A958B9"/>
    <w:rsid w:val="00A95C13"/>
    <w:rsid w:val="00A96B13"/>
    <w:rsid w:val="00A973F4"/>
    <w:rsid w:val="00A97608"/>
    <w:rsid w:val="00A97A38"/>
    <w:rsid w:val="00AA01A0"/>
    <w:rsid w:val="00AA101F"/>
    <w:rsid w:val="00AA15E5"/>
    <w:rsid w:val="00AA176A"/>
    <w:rsid w:val="00AA1CEB"/>
    <w:rsid w:val="00AA2664"/>
    <w:rsid w:val="00AA3160"/>
    <w:rsid w:val="00AA3269"/>
    <w:rsid w:val="00AA37E0"/>
    <w:rsid w:val="00AA3DAF"/>
    <w:rsid w:val="00AA4141"/>
    <w:rsid w:val="00AA507E"/>
    <w:rsid w:val="00AA675A"/>
    <w:rsid w:val="00AA69C2"/>
    <w:rsid w:val="00AA7041"/>
    <w:rsid w:val="00AA755E"/>
    <w:rsid w:val="00AA7A74"/>
    <w:rsid w:val="00AB0B3A"/>
    <w:rsid w:val="00AB0BFC"/>
    <w:rsid w:val="00AB1DC7"/>
    <w:rsid w:val="00AB236D"/>
    <w:rsid w:val="00AB248C"/>
    <w:rsid w:val="00AB2691"/>
    <w:rsid w:val="00AB28B4"/>
    <w:rsid w:val="00AB2B50"/>
    <w:rsid w:val="00AB2F7F"/>
    <w:rsid w:val="00AB42BC"/>
    <w:rsid w:val="00AB4A41"/>
    <w:rsid w:val="00AB57C3"/>
    <w:rsid w:val="00AB599A"/>
    <w:rsid w:val="00AB5B43"/>
    <w:rsid w:val="00AB6F7D"/>
    <w:rsid w:val="00AB7508"/>
    <w:rsid w:val="00AB7844"/>
    <w:rsid w:val="00AC0DD2"/>
    <w:rsid w:val="00AC18FE"/>
    <w:rsid w:val="00AC24D0"/>
    <w:rsid w:val="00AC27E7"/>
    <w:rsid w:val="00AC288C"/>
    <w:rsid w:val="00AC4010"/>
    <w:rsid w:val="00AC5676"/>
    <w:rsid w:val="00AC5986"/>
    <w:rsid w:val="00AC5D47"/>
    <w:rsid w:val="00AC6283"/>
    <w:rsid w:val="00AC6500"/>
    <w:rsid w:val="00AC65E3"/>
    <w:rsid w:val="00AC706F"/>
    <w:rsid w:val="00AC7166"/>
    <w:rsid w:val="00AC7AA3"/>
    <w:rsid w:val="00AC7D3F"/>
    <w:rsid w:val="00AC7E18"/>
    <w:rsid w:val="00AD0FAA"/>
    <w:rsid w:val="00AD10FE"/>
    <w:rsid w:val="00AD1204"/>
    <w:rsid w:val="00AD19C2"/>
    <w:rsid w:val="00AD27C8"/>
    <w:rsid w:val="00AD27C9"/>
    <w:rsid w:val="00AD3C88"/>
    <w:rsid w:val="00AD43BF"/>
    <w:rsid w:val="00AD44EB"/>
    <w:rsid w:val="00AD49E2"/>
    <w:rsid w:val="00AD4F73"/>
    <w:rsid w:val="00AD5555"/>
    <w:rsid w:val="00AD614B"/>
    <w:rsid w:val="00AD6313"/>
    <w:rsid w:val="00AD6441"/>
    <w:rsid w:val="00AD725C"/>
    <w:rsid w:val="00AD7B0B"/>
    <w:rsid w:val="00AE00B0"/>
    <w:rsid w:val="00AE0ABA"/>
    <w:rsid w:val="00AE0F83"/>
    <w:rsid w:val="00AE18B9"/>
    <w:rsid w:val="00AE26E3"/>
    <w:rsid w:val="00AE27DB"/>
    <w:rsid w:val="00AE3D1E"/>
    <w:rsid w:val="00AE3EB1"/>
    <w:rsid w:val="00AE6DFE"/>
    <w:rsid w:val="00AE791A"/>
    <w:rsid w:val="00AE79B3"/>
    <w:rsid w:val="00AE79FF"/>
    <w:rsid w:val="00AF01D5"/>
    <w:rsid w:val="00AF0F87"/>
    <w:rsid w:val="00AF102D"/>
    <w:rsid w:val="00AF1225"/>
    <w:rsid w:val="00AF1478"/>
    <w:rsid w:val="00AF173C"/>
    <w:rsid w:val="00AF1B49"/>
    <w:rsid w:val="00AF2475"/>
    <w:rsid w:val="00AF24E3"/>
    <w:rsid w:val="00AF2A35"/>
    <w:rsid w:val="00AF2E76"/>
    <w:rsid w:val="00AF3374"/>
    <w:rsid w:val="00AF4099"/>
    <w:rsid w:val="00AF4337"/>
    <w:rsid w:val="00AF4352"/>
    <w:rsid w:val="00AF47B3"/>
    <w:rsid w:val="00AF4CA3"/>
    <w:rsid w:val="00AF5B66"/>
    <w:rsid w:val="00AF5D8B"/>
    <w:rsid w:val="00AF5EF2"/>
    <w:rsid w:val="00AF5FE7"/>
    <w:rsid w:val="00AF74F3"/>
    <w:rsid w:val="00AF7E81"/>
    <w:rsid w:val="00B002B1"/>
    <w:rsid w:val="00B004AB"/>
    <w:rsid w:val="00B01273"/>
    <w:rsid w:val="00B0131F"/>
    <w:rsid w:val="00B0157F"/>
    <w:rsid w:val="00B02739"/>
    <w:rsid w:val="00B0299A"/>
    <w:rsid w:val="00B03447"/>
    <w:rsid w:val="00B0347F"/>
    <w:rsid w:val="00B04A20"/>
    <w:rsid w:val="00B05B0C"/>
    <w:rsid w:val="00B05C52"/>
    <w:rsid w:val="00B05C53"/>
    <w:rsid w:val="00B06610"/>
    <w:rsid w:val="00B066D5"/>
    <w:rsid w:val="00B06722"/>
    <w:rsid w:val="00B06FB6"/>
    <w:rsid w:val="00B07350"/>
    <w:rsid w:val="00B1006F"/>
    <w:rsid w:val="00B103F6"/>
    <w:rsid w:val="00B10E85"/>
    <w:rsid w:val="00B111E3"/>
    <w:rsid w:val="00B113E4"/>
    <w:rsid w:val="00B11F80"/>
    <w:rsid w:val="00B13CBF"/>
    <w:rsid w:val="00B14EFD"/>
    <w:rsid w:val="00B152B6"/>
    <w:rsid w:val="00B1705E"/>
    <w:rsid w:val="00B17328"/>
    <w:rsid w:val="00B2041A"/>
    <w:rsid w:val="00B207AC"/>
    <w:rsid w:val="00B21624"/>
    <w:rsid w:val="00B21CB3"/>
    <w:rsid w:val="00B22FF1"/>
    <w:rsid w:val="00B23F85"/>
    <w:rsid w:val="00B24936"/>
    <w:rsid w:val="00B258FB"/>
    <w:rsid w:val="00B25D10"/>
    <w:rsid w:val="00B26761"/>
    <w:rsid w:val="00B268AF"/>
    <w:rsid w:val="00B26BAA"/>
    <w:rsid w:val="00B26C09"/>
    <w:rsid w:val="00B30BBE"/>
    <w:rsid w:val="00B3177F"/>
    <w:rsid w:val="00B319F6"/>
    <w:rsid w:val="00B32F9F"/>
    <w:rsid w:val="00B33286"/>
    <w:rsid w:val="00B33693"/>
    <w:rsid w:val="00B338C0"/>
    <w:rsid w:val="00B34826"/>
    <w:rsid w:val="00B34DA0"/>
    <w:rsid w:val="00B353BD"/>
    <w:rsid w:val="00B357F6"/>
    <w:rsid w:val="00B35BB6"/>
    <w:rsid w:val="00B36492"/>
    <w:rsid w:val="00B3651E"/>
    <w:rsid w:val="00B366CC"/>
    <w:rsid w:val="00B370F1"/>
    <w:rsid w:val="00B40189"/>
    <w:rsid w:val="00B404B9"/>
    <w:rsid w:val="00B40816"/>
    <w:rsid w:val="00B415CB"/>
    <w:rsid w:val="00B41BB9"/>
    <w:rsid w:val="00B41CDB"/>
    <w:rsid w:val="00B41E9C"/>
    <w:rsid w:val="00B4217A"/>
    <w:rsid w:val="00B43157"/>
    <w:rsid w:val="00B4316C"/>
    <w:rsid w:val="00B43A02"/>
    <w:rsid w:val="00B43AC9"/>
    <w:rsid w:val="00B45131"/>
    <w:rsid w:val="00B45FCC"/>
    <w:rsid w:val="00B46A8B"/>
    <w:rsid w:val="00B4709F"/>
    <w:rsid w:val="00B5075C"/>
    <w:rsid w:val="00B513BF"/>
    <w:rsid w:val="00B513E8"/>
    <w:rsid w:val="00B51C98"/>
    <w:rsid w:val="00B52890"/>
    <w:rsid w:val="00B52B02"/>
    <w:rsid w:val="00B532A3"/>
    <w:rsid w:val="00B546C1"/>
    <w:rsid w:val="00B549E3"/>
    <w:rsid w:val="00B54BE4"/>
    <w:rsid w:val="00B54FCD"/>
    <w:rsid w:val="00B55B2D"/>
    <w:rsid w:val="00B5629E"/>
    <w:rsid w:val="00B563B6"/>
    <w:rsid w:val="00B56695"/>
    <w:rsid w:val="00B57508"/>
    <w:rsid w:val="00B575DD"/>
    <w:rsid w:val="00B5766D"/>
    <w:rsid w:val="00B60005"/>
    <w:rsid w:val="00B60839"/>
    <w:rsid w:val="00B61284"/>
    <w:rsid w:val="00B61BDD"/>
    <w:rsid w:val="00B628B5"/>
    <w:rsid w:val="00B62F80"/>
    <w:rsid w:val="00B634EA"/>
    <w:rsid w:val="00B637BE"/>
    <w:rsid w:val="00B63A34"/>
    <w:rsid w:val="00B63B4D"/>
    <w:rsid w:val="00B63E6E"/>
    <w:rsid w:val="00B63E73"/>
    <w:rsid w:val="00B65291"/>
    <w:rsid w:val="00B655B0"/>
    <w:rsid w:val="00B667F0"/>
    <w:rsid w:val="00B66986"/>
    <w:rsid w:val="00B66C51"/>
    <w:rsid w:val="00B66E36"/>
    <w:rsid w:val="00B66FE7"/>
    <w:rsid w:val="00B672E3"/>
    <w:rsid w:val="00B7049F"/>
    <w:rsid w:val="00B7053D"/>
    <w:rsid w:val="00B70556"/>
    <w:rsid w:val="00B70D56"/>
    <w:rsid w:val="00B715E1"/>
    <w:rsid w:val="00B71B62"/>
    <w:rsid w:val="00B71F41"/>
    <w:rsid w:val="00B72BCD"/>
    <w:rsid w:val="00B733DE"/>
    <w:rsid w:val="00B7399A"/>
    <w:rsid w:val="00B74717"/>
    <w:rsid w:val="00B75BCB"/>
    <w:rsid w:val="00B75C62"/>
    <w:rsid w:val="00B75E26"/>
    <w:rsid w:val="00B75ED0"/>
    <w:rsid w:val="00B76108"/>
    <w:rsid w:val="00B76241"/>
    <w:rsid w:val="00B76D46"/>
    <w:rsid w:val="00B77002"/>
    <w:rsid w:val="00B7749F"/>
    <w:rsid w:val="00B77F5B"/>
    <w:rsid w:val="00B802DE"/>
    <w:rsid w:val="00B80376"/>
    <w:rsid w:val="00B81F86"/>
    <w:rsid w:val="00B82634"/>
    <w:rsid w:val="00B826A9"/>
    <w:rsid w:val="00B82BAE"/>
    <w:rsid w:val="00B835FA"/>
    <w:rsid w:val="00B838E7"/>
    <w:rsid w:val="00B838EC"/>
    <w:rsid w:val="00B84084"/>
    <w:rsid w:val="00B8456C"/>
    <w:rsid w:val="00B85952"/>
    <w:rsid w:val="00B86220"/>
    <w:rsid w:val="00B86368"/>
    <w:rsid w:val="00B873F0"/>
    <w:rsid w:val="00B8792E"/>
    <w:rsid w:val="00B87B00"/>
    <w:rsid w:val="00B90399"/>
    <w:rsid w:val="00B921E8"/>
    <w:rsid w:val="00B92B93"/>
    <w:rsid w:val="00B93626"/>
    <w:rsid w:val="00B945FF"/>
    <w:rsid w:val="00B9547D"/>
    <w:rsid w:val="00B954E2"/>
    <w:rsid w:val="00B9597F"/>
    <w:rsid w:val="00B96811"/>
    <w:rsid w:val="00B96A28"/>
    <w:rsid w:val="00B96E8C"/>
    <w:rsid w:val="00BA0634"/>
    <w:rsid w:val="00BA0677"/>
    <w:rsid w:val="00BA0C4A"/>
    <w:rsid w:val="00BA17E0"/>
    <w:rsid w:val="00BA1871"/>
    <w:rsid w:val="00BA1A57"/>
    <w:rsid w:val="00BA2D04"/>
    <w:rsid w:val="00BA39E3"/>
    <w:rsid w:val="00BA3DBF"/>
    <w:rsid w:val="00BA3FB4"/>
    <w:rsid w:val="00BA41CB"/>
    <w:rsid w:val="00BA5137"/>
    <w:rsid w:val="00BA674C"/>
    <w:rsid w:val="00BA781E"/>
    <w:rsid w:val="00BB017A"/>
    <w:rsid w:val="00BB131B"/>
    <w:rsid w:val="00BB1E21"/>
    <w:rsid w:val="00BB20D7"/>
    <w:rsid w:val="00BB2779"/>
    <w:rsid w:val="00BB44A7"/>
    <w:rsid w:val="00BB5933"/>
    <w:rsid w:val="00BB59EA"/>
    <w:rsid w:val="00BB5B36"/>
    <w:rsid w:val="00BB5EC0"/>
    <w:rsid w:val="00BB621B"/>
    <w:rsid w:val="00BB67D1"/>
    <w:rsid w:val="00BB76A3"/>
    <w:rsid w:val="00BB7D72"/>
    <w:rsid w:val="00BB7F6B"/>
    <w:rsid w:val="00BC1098"/>
    <w:rsid w:val="00BC14FF"/>
    <w:rsid w:val="00BC162B"/>
    <w:rsid w:val="00BC165C"/>
    <w:rsid w:val="00BC16CE"/>
    <w:rsid w:val="00BC17FF"/>
    <w:rsid w:val="00BC25CD"/>
    <w:rsid w:val="00BC2B67"/>
    <w:rsid w:val="00BC50E0"/>
    <w:rsid w:val="00BC56DC"/>
    <w:rsid w:val="00BC62E7"/>
    <w:rsid w:val="00BC74CC"/>
    <w:rsid w:val="00BC76C0"/>
    <w:rsid w:val="00BC7ACE"/>
    <w:rsid w:val="00BC7C80"/>
    <w:rsid w:val="00BD024A"/>
    <w:rsid w:val="00BD0C86"/>
    <w:rsid w:val="00BD0FB1"/>
    <w:rsid w:val="00BD18BA"/>
    <w:rsid w:val="00BD1CF3"/>
    <w:rsid w:val="00BD2A38"/>
    <w:rsid w:val="00BD42AA"/>
    <w:rsid w:val="00BD44AF"/>
    <w:rsid w:val="00BD5651"/>
    <w:rsid w:val="00BD6337"/>
    <w:rsid w:val="00BD6375"/>
    <w:rsid w:val="00BD6C79"/>
    <w:rsid w:val="00BD7284"/>
    <w:rsid w:val="00BD7A21"/>
    <w:rsid w:val="00BD7C49"/>
    <w:rsid w:val="00BE0B7F"/>
    <w:rsid w:val="00BE0EFC"/>
    <w:rsid w:val="00BE13EE"/>
    <w:rsid w:val="00BE19BE"/>
    <w:rsid w:val="00BE1F9D"/>
    <w:rsid w:val="00BE236A"/>
    <w:rsid w:val="00BE2AFF"/>
    <w:rsid w:val="00BE2FDD"/>
    <w:rsid w:val="00BE3108"/>
    <w:rsid w:val="00BE3FB6"/>
    <w:rsid w:val="00BE4775"/>
    <w:rsid w:val="00BE4A68"/>
    <w:rsid w:val="00BE4BE2"/>
    <w:rsid w:val="00BE4D73"/>
    <w:rsid w:val="00BE4FC6"/>
    <w:rsid w:val="00BE4FE0"/>
    <w:rsid w:val="00BE5191"/>
    <w:rsid w:val="00BE64AD"/>
    <w:rsid w:val="00BE6D62"/>
    <w:rsid w:val="00BE6EBF"/>
    <w:rsid w:val="00BE7216"/>
    <w:rsid w:val="00BE7999"/>
    <w:rsid w:val="00BF0C71"/>
    <w:rsid w:val="00BF1526"/>
    <w:rsid w:val="00BF2143"/>
    <w:rsid w:val="00BF21BC"/>
    <w:rsid w:val="00BF2B8E"/>
    <w:rsid w:val="00BF2E1A"/>
    <w:rsid w:val="00BF2EB1"/>
    <w:rsid w:val="00BF34F4"/>
    <w:rsid w:val="00BF415E"/>
    <w:rsid w:val="00BF4EFA"/>
    <w:rsid w:val="00BF505C"/>
    <w:rsid w:val="00BF50EC"/>
    <w:rsid w:val="00BF5C24"/>
    <w:rsid w:val="00BF5D4C"/>
    <w:rsid w:val="00BF63F0"/>
    <w:rsid w:val="00BF640B"/>
    <w:rsid w:val="00BF6A6B"/>
    <w:rsid w:val="00BF6FAB"/>
    <w:rsid w:val="00BF7467"/>
    <w:rsid w:val="00BF7531"/>
    <w:rsid w:val="00BF7633"/>
    <w:rsid w:val="00C007E8"/>
    <w:rsid w:val="00C00987"/>
    <w:rsid w:val="00C009B5"/>
    <w:rsid w:val="00C0259B"/>
    <w:rsid w:val="00C031EC"/>
    <w:rsid w:val="00C03576"/>
    <w:rsid w:val="00C0389D"/>
    <w:rsid w:val="00C04096"/>
    <w:rsid w:val="00C047EC"/>
    <w:rsid w:val="00C048EA"/>
    <w:rsid w:val="00C04CA0"/>
    <w:rsid w:val="00C05190"/>
    <w:rsid w:val="00C05245"/>
    <w:rsid w:val="00C05A01"/>
    <w:rsid w:val="00C05F6E"/>
    <w:rsid w:val="00C05F97"/>
    <w:rsid w:val="00C06001"/>
    <w:rsid w:val="00C06C0A"/>
    <w:rsid w:val="00C072A3"/>
    <w:rsid w:val="00C07574"/>
    <w:rsid w:val="00C10614"/>
    <w:rsid w:val="00C109AF"/>
    <w:rsid w:val="00C10E0F"/>
    <w:rsid w:val="00C11C91"/>
    <w:rsid w:val="00C11D69"/>
    <w:rsid w:val="00C120B2"/>
    <w:rsid w:val="00C122D1"/>
    <w:rsid w:val="00C12C77"/>
    <w:rsid w:val="00C12D12"/>
    <w:rsid w:val="00C12FA2"/>
    <w:rsid w:val="00C13E1F"/>
    <w:rsid w:val="00C141E9"/>
    <w:rsid w:val="00C1439E"/>
    <w:rsid w:val="00C14673"/>
    <w:rsid w:val="00C152C9"/>
    <w:rsid w:val="00C1607E"/>
    <w:rsid w:val="00C1692B"/>
    <w:rsid w:val="00C171A5"/>
    <w:rsid w:val="00C178DF"/>
    <w:rsid w:val="00C17BE3"/>
    <w:rsid w:val="00C17E9A"/>
    <w:rsid w:val="00C17FDC"/>
    <w:rsid w:val="00C2003C"/>
    <w:rsid w:val="00C21B40"/>
    <w:rsid w:val="00C21F28"/>
    <w:rsid w:val="00C22690"/>
    <w:rsid w:val="00C2293D"/>
    <w:rsid w:val="00C22E58"/>
    <w:rsid w:val="00C23C04"/>
    <w:rsid w:val="00C23C4A"/>
    <w:rsid w:val="00C24904"/>
    <w:rsid w:val="00C24A12"/>
    <w:rsid w:val="00C25F01"/>
    <w:rsid w:val="00C262D0"/>
    <w:rsid w:val="00C263BF"/>
    <w:rsid w:val="00C267C0"/>
    <w:rsid w:val="00C26B14"/>
    <w:rsid w:val="00C27842"/>
    <w:rsid w:val="00C27E64"/>
    <w:rsid w:val="00C3041A"/>
    <w:rsid w:val="00C30545"/>
    <w:rsid w:val="00C3068C"/>
    <w:rsid w:val="00C30A12"/>
    <w:rsid w:val="00C30A2C"/>
    <w:rsid w:val="00C30CB1"/>
    <w:rsid w:val="00C30CE0"/>
    <w:rsid w:val="00C32253"/>
    <w:rsid w:val="00C32301"/>
    <w:rsid w:val="00C323F4"/>
    <w:rsid w:val="00C329C6"/>
    <w:rsid w:val="00C335A2"/>
    <w:rsid w:val="00C3486E"/>
    <w:rsid w:val="00C363BB"/>
    <w:rsid w:val="00C364A1"/>
    <w:rsid w:val="00C3701B"/>
    <w:rsid w:val="00C40400"/>
    <w:rsid w:val="00C4046D"/>
    <w:rsid w:val="00C40578"/>
    <w:rsid w:val="00C4086B"/>
    <w:rsid w:val="00C40AD3"/>
    <w:rsid w:val="00C40F1E"/>
    <w:rsid w:val="00C410CF"/>
    <w:rsid w:val="00C4157D"/>
    <w:rsid w:val="00C41704"/>
    <w:rsid w:val="00C4297B"/>
    <w:rsid w:val="00C42C50"/>
    <w:rsid w:val="00C432A1"/>
    <w:rsid w:val="00C43439"/>
    <w:rsid w:val="00C43EA8"/>
    <w:rsid w:val="00C440D5"/>
    <w:rsid w:val="00C459E3"/>
    <w:rsid w:val="00C45ADE"/>
    <w:rsid w:val="00C45FD9"/>
    <w:rsid w:val="00C462B7"/>
    <w:rsid w:val="00C464C6"/>
    <w:rsid w:val="00C46520"/>
    <w:rsid w:val="00C46597"/>
    <w:rsid w:val="00C46872"/>
    <w:rsid w:val="00C46ED3"/>
    <w:rsid w:val="00C475B8"/>
    <w:rsid w:val="00C47F83"/>
    <w:rsid w:val="00C50016"/>
    <w:rsid w:val="00C50186"/>
    <w:rsid w:val="00C50AA5"/>
    <w:rsid w:val="00C512C0"/>
    <w:rsid w:val="00C5131E"/>
    <w:rsid w:val="00C51652"/>
    <w:rsid w:val="00C5249B"/>
    <w:rsid w:val="00C52CA6"/>
    <w:rsid w:val="00C52E2A"/>
    <w:rsid w:val="00C52E94"/>
    <w:rsid w:val="00C52F99"/>
    <w:rsid w:val="00C533A7"/>
    <w:rsid w:val="00C54971"/>
    <w:rsid w:val="00C55209"/>
    <w:rsid w:val="00C55541"/>
    <w:rsid w:val="00C55EB6"/>
    <w:rsid w:val="00C560B1"/>
    <w:rsid w:val="00C56433"/>
    <w:rsid w:val="00C56678"/>
    <w:rsid w:val="00C568AF"/>
    <w:rsid w:val="00C56993"/>
    <w:rsid w:val="00C56C3B"/>
    <w:rsid w:val="00C56D9B"/>
    <w:rsid w:val="00C57CBF"/>
    <w:rsid w:val="00C6048C"/>
    <w:rsid w:val="00C6058B"/>
    <w:rsid w:val="00C60971"/>
    <w:rsid w:val="00C60D08"/>
    <w:rsid w:val="00C61582"/>
    <w:rsid w:val="00C620B7"/>
    <w:rsid w:val="00C625A2"/>
    <w:rsid w:val="00C6289F"/>
    <w:rsid w:val="00C6343E"/>
    <w:rsid w:val="00C63B46"/>
    <w:rsid w:val="00C63B8F"/>
    <w:rsid w:val="00C6468D"/>
    <w:rsid w:val="00C647CE"/>
    <w:rsid w:val="00C64E01"/>
    <w:rsid w:val="00C65461"/>
    <w:rsid w:val="00C679E2"/>
    <w:rsid w:val="00C67F4E"/>
    <w:rsid w:val="00C708D3"/>
    <w:rsid w:val="00C715B9"/>
    <w:rsid w:val="00C71CD5"/>
    <w:rsid w:val="00C71D2A"/>
    <w:rsid w:val="00C738F6"/>
    <w:rsid w:val="00C74247"/>
    <w:rsid w:val="00C74CC0"/>
    <w:rsid w:val="00C74F0C"/>
    <w:rsid w:val="00C7549B"/>
    <w:rsid w:val="00C75B22"/>
    <w:rsid w:val="00C76517"/>
    <w:rsid w:val="00C7668E"/>
    <w:rsid w:val="00C76DAB"/>
    <w:rsid w:val="00C76DB9"/>
    <w:rsid w:val="00C80188"/>
    <w:rsid w:val="00C8040D"/>
    <w:rsid w:val="00C80578"/>
    <w:rsid w:val="00C8158E"/>
    <w:rsid w:val="00C817C8"/>
    <w:rsid w:val="00C81B88"/>
    <w:rsid w:val="00C828C4"/>
    <w:rsid w:val="00C82AD6"/>
    <w:rsid w:val="00C82DBE"/>
    <w:rsid w:val="00C83AC6"/>
    <w:rsid w:val="00C83C57"/>
    <w:rsid w:val="00C83CAD"/>
    <w:rsid w:val="00C843A6"/>
    <w:rsid w:val="00C846DE"/>
    <w:rsid w:val="00C847FC"/>
    <w:rsid w:val="00C84F52"/>
    <w:rsid w:val="00C854D2"/>
    <w:rsid w:val="00C856FC"/>
    <w:rsid w:val="00C85B21"/>
    <w:rsid w:val="00C85E67"/>
    <w:rsid w:val="00C861D6"/>
    <w:rsid w:val="00C86643"/>
    <w:rsid w:val="00C86873"/>
    <w:rsid w:val="00C869B8"/>
    <w:rsid w:val="00C86F33"/>
    <w:rsid w:val="00C87826"/>
    <w:rsid w:val="00C87EC6"/>
    <w:rsid w:val="00C927F5"/>
    <w:rsid w:val="00C92CF7"/>
    <w:rsid w:val="00C92D07"/>
    <w:rsid w:val="00C94470"/>
    <w:rsid w:val="00C947EF"/>
    <w:rsid w:val="00C94823"/>
    <w:rsid w:val="00C94EAC"/>
    <w:rsid w:val="00C95854"/>
    <w:rsid w:val="00C95B19"/>
    <w:rsid w:val="00C96BCA"/>
    <w:rsid w:val="00C9750E"/>
    <w:rsid w:val="00C97AA3"/>
    <w:rsid w:val="00CA0132"/>
    <w:rsid w:val="00CA0EAF"/>
    <w:rsid w:val="00CA191D"/>
    <w:rsid w:val="00CA1967"/>
    <w:rsid w:val="00CA1B2E"/>
    <w:rsid w:val="00CA1F9A"/>
    <w:rsid w:val="00CA26BE"/>
    <w:rsid w:val="00CA29FB"/>
    <w:rsid w:val="00CA2D0F"/>
    <w:rsid w:val="00CA3CEE"/>
    <w:rsid w:val="00CA42A5"/>
    <w:rsid w:val="00CA4613"/>
    <w:rsid w:val="00CA48E6"/>
    <w:rsid w:val="00CA4BC0"/>
    <w:rsid w:val="00CA524C"/>
    <w:rsid w:val="00CA5DD2"/>
    <w:rsid w:val="00CA6244"/>
    <w:rsid w:val="00CA63E6"/>
    <w:rsid w:val="00CA6474"/>
    <w:rsid w:val="00CA6591"/>
    <w:rsid w:val="00CA6721"/>
    <w:rsid w:val="00CA6BB8"/>
    <w:rsid w:val="00CB0043"/>
    <w:rsid w:val="00CB0240"/>
    <w:rsid w:val="00CB0B1D"/>
    <w:rsid w:val="00CB0CAD"/>
    <w:rsid w:val="00CB1186"/>
    <w:rsid w:val="00CB1A51"/>
    <w:rsid w:val="00CB1AA5"/>
    <w:rsid w:val="00CB2431"/>
    <w:rsid w:val="00CB2C9A"/>
    <w:rsid w:val="00CB40BD"/>
    <w:rsid w:val="00CB446F"/>
    <w:rsid w:val="00CB4AE2"/>
    <w:rsid w:val="00CB5621"/>
    <w:rsid w:val="00CB593F"/>
    <w:rsid w:val="00CB5BDB"/>
    <w:rsid w:val="00CB5E80"/>
    <w:rsid w:val="00CB6C70"/>
    <w:rsid w:val="00CB7EE0"/>
    <w:rsid w:val="00CC04E2"/>
    <w:rsid w:val="00CC0A7C"/>
    <w:rsid w:val="00CC0E54"/>
    <w:rsid w:val="00CC1965"/>
    <w:rsid w:val="00CC1E9B"/>
    <w:rsid w:val="00CC23E8"/>
    <w:rsid w:val="00CC2630"/>
    <w:rsid w:val="00CC28F7"/>
    <w:rsid w:val="00CC36C8"/>
    <w:rsid w:val="00CC3A12"/>
    <w:rsid w:val="00CC4046"/>
    <w:rsid w:val="00CC484C"/>
    <w:rsid w:val="00CC4B94"/>
    <w:rsid w:val="00CC59C8"/>
    <w:rsid w:val="00CC5F22"/>
    <w:rsid w:val="00CC5F70"/>
    <w:rsid w:val="00CC6928"/>
    <w:rsid w:val="00CC763D"/>
    <w:rsid w:val="00CC7D51"/>
    <w:rsid w:val="00CC7FCE"/>
    <w:rsid w:val="00CD056E"/>
    <w:rsid w:val="00CD0D0C"/>
    <w:rsid w:val="00CD0DE3"/>
    <w:rsid w:val="00CD1104"/>
    <w:rsid w:val="00CD17A6"/>
    <w:rsid w:val="00CD2403"/>
    <w:rsid w:val="00CD2E80"/>
    <w:rsid w:val="00CD2F12"/>
    <w:rsid w:val="00CD32C6"/>
    <w:rsid w:val="00CD34AB"/>
    <w:rsid w:val="00CD3E3D"/>
    <w:rsid w:val="00CD3E78"/>
    <w:rsid w:val="00CD58D3"/>
    <w:rsid w:val="00CD62EF"/>
    <w:rsid w:val="00CD6304"/>
    <w:rsid w:val="00CD6A67"/>
    <w:rsid w:val="00CD6DB4"/>
    <w:rsid w:val="00CD73D5"/>
    <w:rsid w:val="00CD77CF"/>
    <w:rsid w:val="00CD7855"/>
    <w:rsid w:val="00CD7BA0"/>
    <w:rsid w:val="00CD7BB9"/>
    <w:rsid w:val="00CD7E49"/>
    <w:rsid w:val="00CE04AF"/>
    <w:rsid w:val="00CE08EF"/>
    <w:rsid w:val="00CE1470"/>
    <w:rsid w:val="00CE2B5F"/>
    <w:rsid w:val="00CE3917"/>
    <w:rsid w:val="00CE3C33"/>
    <w:rsid w:val="00CE4243"/>
    <w:rsid w:val="00CE4B05"/>
    <w:rsid w:val="00CE4DD4"/>
    <w:rsid w:val="00CE513B"/>
    <w:rsid w:val="00CE57BE"/>
    <w:rsid w:val="00CE66F2"/>
    <w:rsid w:val="00CE699C"/>
    <w:rsid w:val="00CE6E50"/>
    <w:rsid w:val="00CE6FD6"/>
    <w:rsid w:val="00CE782C"/>
    <w:rsid w:val="00CE7EF0"/>
    <w:rsid w:val="00CF062F"/>
    <w:rsid w:val="00CF105E"/>
    <w:rsid w:val="00CF2949"/>
    <w:rsid w:val="00CF2C96"/>
    <w:rsid w:val="00CF3A00"/>
    <w:rsid w:val="00CF4EC9"/>
    <w:rsid w:val="00CF5B6A"/>
    <w:rsid w:val="00CF5C8C"/>
    <w:rsid w:val="00CF5D40"/>
    <w:rsid w:val="00CF5E11"/>
    <w:rsid w:val="00CF6B40"/>
    <w:rsid w:val="00CF6BD2"/>
    <w:rsid w:val="00CF6D7F"/>
    <w:rsid w:val="00CF7334"/>
    <w:rsid w:val="00CF78E6"/>
    <w:rsid w:val="00CF7A61"/>
    <w:rsid w:val="00CF7EB4"/>
    <w:rsid w:val="00CF7F4E"/>
    <w:rsid w:val="00D00504"/>
    <w:rsid w:val="00D00AAA"/>
    <w:rsid w:val="00D012AB"/>
    <w:rsid w:val="00D014CF"/>
    <w:rsid w:val="00D01823"/>
    <w:rsid w:val="00D01D3E"/>
    <w:rsid w:val="00D021F8"/>
    <w:rsid w:val="00D026B3"/>
    <w:rsid w:val="00D02B66"/>
    <w:rsid w:val="00D02FEC"/>
    <w:rsid w:val="00D03827"/>
    <w:rsid w:val="00D03AF3"/>
    <w:rsid w:val="00D04027"/>
    <w:rsid w:val="00D04146"/>
    <w:rsid w:val="00D042B6"/>
    <w:rsid w:val="00D04A37"/>
    <w:rsid w:val="00D04DB6"/>
    <w:rsid w:val="00D0516C"/>
    <w:rsid w:val="00D053F5"/>
    <w:rsid w:val="00D062A9"/>
    <w:rsid w:val="00D069FF"/>
    <w:rsid w:val="00D072BD"/>
    <w:rsid w:val="00D076ED"/>
    <w:rsid w:val="00D07782"/>
    <w:rsid w:val="00D105B5"/>
    <w:rsid w:val="00D108EF"/>
    <w:rsid w:val="00D110A8"/>
    <w:rsid w:val="00D11D92"/>
    <w:rsid w:val="00D11E3C"/>
    <w:rsid w:val="00D12F75"/>
    <w:rsid w:val="00D13B83"/>
    <w:rsid w:val="00D140E7"/>
    <w:rsid w:val="00D147C6"/>
    <w:rsid w:val="00D153EB"/>
    <w:rsid w:val="00D1559B"/>
    <w:rsid w:val="00D157ED"/>
    <w:rsid w:val="00D15A38"/>
    <w:rsid w:val="00D15F32"/>
    <w:rsid w:val="00D16172"/>
    <w:rsid w:val="00D16208"/>
    <w:rsid w:val="00D1665F"/>
    <w:rsid w:val="00D17BB2"/>
    <w:rsid w:val="00D20482"/>
    <w:rsid w:val="00D213A4"/>
    <w:rsid w:val="00D21435"/>
    <w:rsid w:val="00D214CB"/>
    <w:rsid w:val="00D2159D"/>
    <w:rsid w:val="00D23321"/>
    <w:rsid w:val="00D237BD"/>
    <w:rsid w:val="00D23D6D"/>
    <w:rsid w:val="00D23E8F"/>
    <w:rsid w:val="00D23EF9"/>
    <w:rsid w:val="00D2402C"/>
    <w:rsid w:val="00D243AF"/>
    <w:rsid w:val="00D26AE4"/>
    <w:rsid w:val="00D27DD9"/>
    <w:rsid w:val="00D30F7B"/>
    <w:rsid w:val="00D31081"/>
    <w:rsid w:val="00D31424"/>
    <w:rsid w:val="00D3148B"/>
    <w:rsid w:val="00D31AE6"/>
    <w:rsid w:val="00D32138"/>
    <w:rsid w:val="00D32A44"/>
    <w:rsid w:val="00D32D92"/>
    <w:rsid w:val="00D330FD"/>
    <w:rsid w:val="00D338B7"/>
    <w:rsid w:val="00D33BAE"/>
    <w:rsid w:val="00D33CBC"/>
    <w:rsid w:val="00D3449B"/>
    <w:rsid w:val="00D349FE"/>
    <w:rsid w:val="00D358BD"/>
    <w:rsid w:val="00D359F2"/>
    <w:rsid w:val="00D35FE5"/>
    <w:rsid w:val="00D36B20"/>
    <w:rsid w:val="00D37023"/>
    <w:rsid w:val="00D37141"/>
    <w:rsid w:val="00D40C0D"/>
    <w:rsid w:val="00D412F1"/>
    <w:rsid w:val="00D419D6"/>
    <w:rsid w:val="00D41DD3"/>
    <w:rsid w:val="00D42971"/>
    <w:rsid w:val="00D42F44"/>
    <w:rsid w:val="00D4360B"/>
    <w:rsid w:val="00D44658"/>
    <w:rsid w:val="00D44B12"/>
    <w:rsid w:val="00D45991"/>
    <w:rsid w:val="00D45A34"/>
    <w:rsid w:val="00D45E72"/>
    <w:rsid w:val="00D46186"/>
    <w:rsid w:val="00D47909"/>
    <w:rsid w:val="00D503DF"/>
    <w:rsid w:val="00D51D56"/>
    <w:rsid w:val="00D51E60"/>
    <w:rsid w:val="00D52AD3"/>
    <w:rsid w:val="00D52AF6"/>
    <w:rsid w:val="00D53424"/>
    <w:rsid w:val="00D534E7"/>
    <w:rsid w:val="00D535FA"/>
    <w:rsid w:val="00D5412A"/>
    <w:rsid w:val="00D54546"/>
    <w:rsid w:val="00D55CD6"/>
    <w:rsid w:val="00D55CFF"/>
    <w:rsid w:val="00D55FB6"/>
    <w:rsid w:val="00D560DD"/>
    <w:rsid w:val="00D564E2"/>
    <w:rsid w:val="00D56555"/>
    <w:rsid w:val="00D56602"/>
    <w:rsid w:val="00D56B68"/>
    <w:rsid w:val="00D56CFB"/>
    <w:rsid w:val="00D56D1A"/>
    <w:rsid w:val="00D57328"/>
    <w:rsid w:val="00D57B26"/>
    <w:rsid w:val="00D57B36"/>
    <w:rsid w:val="00D60C44"/>
    <w:rsid w:val="00D61B35"/>
    <w:rsid w:val="00D62337"/>
    <w:rsid w:val="00D62EF9"/>
    <w:rsid w:val="00D63CED"/>
    <w:rsid w:val="00D64474"/>
    <w:rsid w:val="00D64DBD"/>
    <w:rsid w:val="00D65256"/>
    <w:rsid w:val="00D65CBE"/>
    <w:rsid w:val="00D662F0"/>
    <w:rsid w:val="00D663D5"/>
    <w:rsid w:val="00D66721"/>
    <w:rsid w:val="00D6672C"/>
    <w:rsid w:val="00D66C4C"/>
    <w:rsid w:val="00D70C82"/>
    <w:rsid w:val="00D71A3D"/>
    <w:rsid w:val="00D72428"/>
    <w:rsid w:val="00D72B57"/>
    <w:rsid w:val="00D7320E"/>
    <w:rsid w:val="00D73B78"/>
    <w:rsid w:val="00D75074"/>
    <w:rsid w:val="00D75224"/>
    <w:rsid w:val="00D757A7"/>
    <w:rsid w:val="00D758D3"/>
    <w:rsid w:val="00D767F6"/>
    <w:rsid w:val="00D76C03"/>
    <w:rsid w:val="00D77CE4"/>
    <w:rsid w:val="00D80CF2"/>
    <w:rsid w:val="00D80FD9"/>
    <w:rsid w:val="00D81012"/>
    <w:rsid w:val="00D81125"/>
    <w:rsid w:val="00D824F4"/>
    <w:rsid w:val="00D826AF"/>
    <w:rsid w:val="00D83019"/>
    <w:rsid w:val="00D844AB"/>
    <w:rsid w:val="00D8509D"/>
    <w:rsid w:val="00D8511F"/>
    <w:rsid w:val="00D859A7"/>
    <w:rsid w:val="00D86019"/>
    <w:rsid w:val="00D8618B"/>
    <w:rsid w:val="00D86454"/>
    <w:rsid w:val="00D86563"/>
    <w:rsid w:val="00D86A5E"/>
    <w:rsid w:val="00D8713E"/>
    <w:rsid w:val="00D873B1"/>
    <w:rsid w:val="00D8748F"/>
    <w:rsid w:val="00D879A6"/>
    <w:rsid w:val="00D87C8A"/>
    <w:rsid w:val="00D87DD7"/>
    <w:rsid w:val="00D903CB"/>
    <w:rsid w:val="00D908DE"/>
    <w:rsid w:val="00D90BB5"/>
    <w:rsid w:val="00D91887"/>
    <w:rsid w:val="00D91A5D"/>
    <w:rsid w:val="00D92E16"/>
    <w:rsid w:val="00D93AAE"/>
    <w:rsid w:val="00D93D7F"/>
    <w:rsid w:val="00D9465B"/>
    <w:rsid w:val="00D94FEB"/>
    <w:rsid w:val="00D958FF"/>
    <w:rsid w:val="00D95AAF"/>
    <w:rsid w:val="00D95E56"/>
    <w:rsid w:val="00D96149"/>
    <w:rsid w:val="00D96386"/>
    <w:rsid w:val="00D963BD"/>
    <w:rsid w:val="00D9646D"/>
    <w:rsid w:val="00D96470"/>
    <w:rsid w:val="00D966B5"/>
    <w:rsid w:val="00D96A2C"/>
    <w:rsid w:val="00D974C4"/>
    <w:rsid w:val="00D97DEA"/>
    <w:rsid w:val="00DA0ADC"/>
    <w:rsid w:val="00DA0BB9"/>
    <w:rsid w:val="00DA1359"/>
    <w:rsid w:val="00DA172B"/>
    <w:rsid w:val="00DA1783"/>
    <w:rsid w:val="00DA1A26"/>
    <w:rsid w:val="00DA1E05"/>
    <w:rsid w:val="00DA2535"/>
    <w:rsid w:val="00DA25F8"/>
    <w:rsid w:val="00DA2C15"/>
    <w:rsid w:val="00DA2C38"/>
    <w:rsid w:val="00DA2F93"/>
    <w:rsid w:val="00DA301E"/>
    <w:rsid w:val="00DA305C"/>
    <w:rsid w:val="00DA37CE"/>
    <w:rsid w:val="00DA39EA"/>
    <w:rsid w:val="00DA406A"/>
    <w:rsid w:val="00DA467A"/>
    <w:rsid w:val="00DA5116"/>
    <w:rsid w:val="00DA5F97"/>
    <w:rsid w:val="00DA764E"/>
    <w:rsid w:val="00DA7665"/>
    <w:rsid w:val="00DB004B"/>
    <w:rsid w:val="00DB006D"/>
    <w:rsid w:val="00DB01DD"/>
    <w:rsid w:val="00DB09C4"/>
    <w:rsid w:val="00DB0D21"/>
    <w:rsid w:val="00DB1028"/>
    <w:rsid w:val="00DB1E74"/>
    <w:rsid w:val="00DB300A"/>
    <w:rsid w:val="00DB329E"/>
    <w:rsid w:val="00DB56B9"/>
    <w:rsid w:val="00DB5E74"/>
    <w:rsid w:val="00DB669D"/>
    <w:rsid w:val="00DB6E70"/>
    <w:rsid w:val="00DB773B"/>
    <w:rsid w:val="00DB79F7"/>
    <w:rsid w:val="00DB7F48"/>
    <w:rsid w:val="00DC1512"/>
    <w:rsid w:val="00DC2012"/>
    <w:rsid w:val="00DC2993"/>
    <w:rsid w:val="00DC3411"/>
    <w:rsid w:val="00DC44A3"/>
    <w:rsid w:val="00DC44FC"/>
    <w:rsid w:val="00DC48BD"/>
    <w:rsid w:val="00DC5B32"/>
    <w:rsid w:val="00DC5F22"/>
    <w:rsid w:val="00DC606B"/>
    <w:rsid w:val="00DC7840"/>
    <w:rsid w:val="00DC7CDE"/>
    <w:rsid w:val="00DD0840"/>
    <w:rsid w:val="00DD0FA9"/>
    <w:rsid w:val="00DD124B"/>
    <w:rsid w:val="00DD1C8F"/>
    <w:rsid w:val="00DD2AA2"/>
    <w:rsid w:val="00DD521A"/>
    <w:rsid w:val="00DD592D"/>
    <w:rsid w:val="00DD5FF5"/>
    <w:rsid w:val="00DD60A0"/>
    <w:rsid w:val="00DD654B"/>
    <w:rsid w:val="00DD67E5"/>
    <w:rsid w:val="00DD6963"/>
    <w:rsid w:val="00DD790B"/>
    <w:rsid w:val="00DD7C15"/>
    <w:rsid w:val="00DD7E40"/>
    <w:rsid w:val="00DE0485"/>
    <w:rsid w:val="00DE0BF1"/>
    <w:rsid w:val="00DE13B9"/>
    <w:rsid w:val="00DE14BB"/>
    <w:rsid w:val="00DE169B"/>
    <w:rsid w:val="00DE195D"/>
    <w:rsid w:val="00DE1CC1"/>
    <w:rsid w:val="00DE24EE"/>
    <w:rsid w:val="00DE286D"/>
    <w:rsid w:val="00DE2CB2"/>
    <w:rsid w:val="00DE2D98"/>
    <w:rsid w:val="00DE3100"/>
    <w:rsid w:val="00DE492E"/>
    <w:rsid w:val="00DE50BD"/>
    <w:rsid w:val="00DE54B2"/>
    <w:rsid w:val="00DE5B01"/>
    <w:rsid w:val="00DE5C46"/>
    <w:rsid w:val="00DE681E"/>
    <w:rsid w:val="00DE6C7F"/>
    <w:rsid w:val="00DE6CF5"/>
    <w:rsid w:val="00DE6F85"/>
    <w:rsid w:val="00DE7267"/>
    <w:rsid w:val="00DE7448"/>
    <w:rsid w:val="00DE7693"/>
    <w:rsid w:val="00DE79EE"/>
    <w:rsid w:val="00DE7A28"/>
    <w:rsid w:val="00DE7E93"/>
    <w:rsid w:val="00DF0B2F"/>
    <w:rsid w:val="00DF0FE2"/>
    <w:rsid w:val="00DF11A4"/>
    <w:rsid w:val="00DF18AC"/>
    <w:rsid w:val="00DF1AB7"/>
    <w:rsid w:val="00DF27C8"/>
    <w:rsid w:val="00DF297A"/>
    <w:rsid w:val="00DF36BD"/>
    <w:rsid w:val="00DF4057"/>
    <w:rsid w:val="00DF493E"/>
    <w:rsid w:val="00DF56CB"/>
    <w:rsid w:val="00DF5FFA"/>
    <w:rsid w:val="00DF66DB"/>
    <w:rsid w:val="00DF797D"/>
    <w:rsid w:val="00DF7CB5"/>
    <w:rsid w:val="00E00499"/>
    <w:rsid w:val="00E00B82"/>
    <w:rsid w:val="00E00F74"/>
    <w:rsid w:val="00E01359"/>
    <w:rsid w:val="00E01656"/>
    <w:rsid w:val="00E018FB"/>
    <w:rsid w:val="00E01D70"/>
    <w:rsid w:val="00E01E48"/>
    <w:rsid w:val="00E028F4"/>
    <w:rsid w:val="00E032CE"/>
    <w:rsid w:val="00E03D55"/>
    <w:rsid w:val="00E0431E"/>
    <w:rsid w:val="00E04C3D"/>
    <w:rsid w:val="00E04EF8"/>
    <w:rsid w:val="00E0510D"/>
    <w:rsid w:val="00E05599"/>
    <w:rsid w:val="00E05C35"/>
    <w:rsid w:val="00E06B19"/>
    <w:rsid w:val="00E06EFC"/>
    <w:rsid w:val="00E06F82"/>
    <w:rsid w:val="00E071A8"/>
    <w:rsid w:val="00E07893"/>
    <w:rsid w:val="00E07D34"/>
    <w:rsid w:val="00E10260"/>
    <w:rsid w:val="00E10617"/>
    <w:rsid w:val="00E10B2B"/>
    <w:rsid w:val="00E11CBA"/>
    <w:rsid w:val="00E11D8F"/>
    <w:rsid w:val="00E11F27"/>
    <w:rsid w:val="00E121CB"/>
    <w:rsid w:val="00E123F4"/>
    <w:rsid w:val="00E1309E"/>
    <w:rsid w:val="00E13779"/>
    <w:rsid w:val="00E141DD"/>
    <w:rsid w:val="00E14E38"/>
    <w:rsid w:val="00E15143"/>
    <w:rsid w:val="00E1569A"/>
    <w:rsid w:val="00E15D44"/>
    <w:rsid w:val="00E1606D"/>
    <w:rsid w:val="00E16139"/>
    <w:rsid w:val="00E1669E"/>
    <w:rsid w:val="00E17638"/>
    <w:rsid w:val="00E17651"/>
    <w:rsid w:val="00E178C7"/>
    <w:rsid w:val="00E17EFD"/>
    <w:rsid w:val="00E20062"/>
    <w:rsid w:val="00E200D4"/>
    <w:rsid w:val="00E20590"/>
    <w:rsid w:val="00E208B7"/>
    <w:rsid w:val="00E21098"/>
    <w:rsid w:val="00E210B3"/>
    <w:rsid w:val="00E2162C"/>
    <w:rsid w:val="00E216DB"/>
    <w:rsid w:val="00E21B6C"/>
    <w:rsid w:val="00E23EB8"/>
    <w:rsid w:val="00E24957"/>
    <w:rsid w:val="00E25400"/>
    <w:rsid w:val="00E2586B"/>
    <w:rsid w:val="00E25A52"/>
    <w:rsid w:val="00E2614C"/>
    <w:rsid w:val="00E269AE"/>
    <w:rsid w:val="00E27B30"/>
    <w:rsid w:val="00E3026A"/>
    <w:rsid w:val="00E304A7"/>
    <w:rsid w:val="00E30628"/>
    <w:rsid w:val="00E30A66"/>
    <w:rsid w:val="00E31134"/>
    <w:rsid w:val="00E31236"/>
    <w:rsid w:val="00E315C4"/>
    <w:rsid w:val="00E31648"/>
    <w:rsid w:val="00E329BC"/>
    <w:rsid w:val="00E32E06"/>
    <w:rsid w:val="00E345C8"/>
    <w:rsid w:val="00E35124"/>
    <w:rsid w:val="00E357F7"/>
    <w:rsid w:val="00E361B3"/>
    <w:rsid w:val="00E369B4"/>
    <w:rsid w:val="00E3770D"/>
    <w:rsid w:val="00E408A6"/>
    <w:rsid w:val="00E411D1"/>
    <w:rsid w:val="00E429EE"/>
    <w:rsid w:val="00E42A26"/>
    <w:rsid w:val="00E42A48"/>
    <w:rsid w:val="00E4355B"/>
    <w:rsid w:val="00E4567C"/>
    <w:rsid w:val="00E4607C"/>
    <w:rsid w:val="00E505B1"/>
    <w:rsid w:val="00E51639"/>
    <w:rsid w:val="00E51A31"/>
    <w:rsid w:val="00E52133"/>
    <w:rsid w:val="00E525CC"/>
    <w:rsid w:val="00E52624"/>
    <w:rsid w:val="00E527B1"/>
    <w:rsid w:val="00E52A17"/>
    <w:rsid w:val="00E534B6"/>
    <w:rsid w:val="00E53B22"/>
    <w:rsid w:val="00E540DD"/>
    <w:rsid w:val="00E5450C"/>
    <w:rsid w:val="00E5509E"/>
    <w:rsid w:val="00E553E3"/>
    <w:rsid w:val="00E5562C"/>
    <w:rsid w:val="00E56119"/>
    <w:rsid w:val="00E573BD"/>
    <w:rsid w:val="00E57FAF"/>
    <w:rsid w:val="00E612A6"/>
    <w:rsid w:val="00E614F7"/>
    <w:rsid w:val="00E6200D"/>
    <w:rsid w:val="00E62310"/>
    <w:rsid w:val="00E6284B"/>
    <w:rsid w:val="00E63D73"/>
    <w:rsid w:val="00E646F8"/>
    <w:rsid w:val="00E65377"/>
    <w:rsid w:val="00E65991"/>
    <w:rsid w:val="00E66624"/>
    <w:rsid w:val="00E67426"/>
    <w:rsid w:val="00E67696"/>
    <w:rsid w:val="00E6782C"/>
    <w:rsid w:val="00E70112"/>
    <w:rsid w:val="00E704FA"/>
    <w:rsid w:val="00E716BC"/>
    <w:rsid w:val="00E71795"/>
    <w:rsid w:val="00E728A6"/>
    <w:rsid w:val="00E72A2D"/>
    <w:rsid w:val="00E72B87"/>
    <w:rsid w:val="00E72EF6"/>
    <w:rsid w:val="00E730C1"/>
    <w:rsid w:val="00E73AE9"/>
    <w:rsid w:val="00E73FF1"/>
    <w:rsid w:val="00E7492F"/>
    <w:rsid w:val="00E74CA7"/>
    <w:rsid w:val="00E74CCA"/>
    <w:rsid w:val="00E750F7"/>
    <w:rsid w:val="00E75B16"/>
    <w:rsid w:val="00E77797"/>
    <w:rsid w:val="00E77DA8"/>
    <w:rsid w:val="00E77EE4"/>
    <w:rsid w:val="00E80054"/>
    <w:rsid w:val="00E801EA"/>
    <w:rsid w:val="00E80A68"/>
    <w:rsid w:val="00E81207"/>
    <w:rsid w:val="00E81211"/>
    <w:rsid w:val="00E816F5"/>
    <w:rsid w:val="00E82151"/>
    <w:rsid w:val="00E823B5"/>
    <w:rsid w:val="00E82B64"/>
    <w:rsid w:val="00E82CAC"/>
    <w:rsid w:val="00E83384"/>
    <w:rsid w:val="00E846FF"/>
    <w:rsid w:val="00E84B73"/>
    <w:rsid w:val="00E84C21"/>
    <w:rsid w:val="00E856D0"/>
    <w:rsid w:val="00E857CD"/>
    <w:rsid w:val="00E85CFC"/>
    <w:rsid w:val="00E85FFA"/>
    <w:rsid w:val="00E87B28"/>
    <w:rsid w:val="00E921C4"/>
    <w:rsid w:val="00E92DA5"/>
    <w:rsid w:val="00E92DD3"/>
    <w:rsid w:val="00E94287"/>
    <w:rsid w:val="00E95966"/>
    <w:rsid w:val="00E95E22"/>
    <w:rsid w:val="00E96262"/>
    <w:rsid w:val="00E96279"/>
    <w:rsid w:val="00E9656D"/>
    <w:rsid w:val="00E972A4"/>
    <w:rsid w:val="00E973EB"/>
    <w:rsid w:val="00EA13F4"/>
    <w:rsid w:val="00EA1742"/>
    <w:rsid w:val="00EA1891"/>
    <w:rsid w:val="00EA1C11"/>
    <w:rsid w:val="00EA1E88"/>
    <w:rsid w:val="00EA3BC0"/>
    <w:rsid w:val="00EA3FBC"/>
    <w:rsid w:val="00EA4572"/>
    <w:rsid w:val="00EA4CAC"/>
    <w:rsid w:val="00EA4D09"/>
    <w:rsid w:val="00EA51AD"/>
    <w:rsid w:val="00EA5222"/>
    <w:rsid w:val="00EA5910"/>
    <w:rsid w:val="00EA59CE"/>
    <w:rsid w:val="00EA5B6E"/>
    <w:rsid w:val="00EA5D93"/>
    <w:rsid w:val="00EA5DFC"/>
    <w:rsid w:val="00EA7489"/>
    <w:rsid w:val="00EA76AF"/>
    <w:rsid w:val="00EB033D"/>
    <w:rsid w:val="00EB0D7A"/>
    <w:rsid w:val="00EB192B"/>
    <w:rsid w:val="00EB1EF9"/>
    <w:rsid w:val="00EB3F92"/>
    <w:rsid w:val="00EB4FE7"/>
    <w:rsid w:val="00EB5703"/>
    <w:rsid w:val="00EB58B9"/>
    <w:rsid w:val="00EB668E"/>
    <w:rsid w:val="00EB702C"/>
    <w:rsid w:val="00EC0E62"/>
    <w:rsid w:val="00EC1452"/>
    <w:rsid w:val="00EC152E"/>
    <w:rsid w:val="00EC185E"/>
    <w:rsid w:val="00EC1921"/>
    <w:rsid w:val="00EC1958"/>
    <w:rsid w:val="00EC1E76"/>
    <w:rsid w:val="00EC2869"/>
    <w:rsid w:val="00EC3724"/>
    <w:rsid w:val="00EC3A45"/>
    <w:rsid w:val="00EC3FC2"/>
    <w:rsid w:val="00EC45DC"/>
    <w:rsid w:val="00EC4C67"/>
    <w:rsid w:val="00EC5575"/>
    <w:rsid w:val="00EC57F3"/>
    <w:rsid w:val="00EC61E8"/>
    <w:rsid w:val="00EC6616"/>
    <w:rsid w:val="00EC6B8B"/>
    <w:rsid w:val="00ED09E3"/>
    <w:rsid w:val="00ED09E5"/>
    <w:rsid w:val="00ED0E88"/>
    <w:rsid w:val="00ED1025"/>
    <w:rsid w:val="00ED1238"/>
    <w:rsid w:val="00ED1CFD"/>
    <w:rsid w:val="00ED1D18"/>
    <w:rsid w:val="00ED1D59"/>
    <w:rsid w:val="00ED1FCE"/>
    <w:rsid w:val="00ED20B1"/>
    <w:rsid w:val="00ED23F3"/>
    <w:rsid w:val="00ED3650"/>
    <w:rsid w:val="00ED4485"/>
    <w:rsid w:val="00ED4C1F"/>
    <w:rsid w:val="00ED53C5"/>
    <w:rsid w:val="00ED54A0"/>
    <w:rsid w:val="00ED6C57"/>
    <w:rsid w:val="00ED7466"/>
    <w:rsid w:val="00ED74B3"/>
    <w:rsid w:val="00ED7619"/>
    <w:rsid w:val="00EE0D26"/>
    <w:rsid w:val="00EE391F"/>
    <w:rsid w:val="00EE399B"/>
    <w:rsid w:val="00EE4861"/>
    <w:rsid w:val="00EE55B5"/>
    <w:rsid w:val="00EE5B79"/>
    <w:rsid w:val="00EE6517"/>
    <w:rsid w:val="00EE7CFE"/>
    <w:rsid w:val="00EF0724"/>
    <w:rsid w:val="00EF11D3"/>
    <w:rsid w:val="00EF149D"/>
    <w:rsid w:val="00EF15A3"/>
    <w:rsid w:val="00EF1D01"/>
    <w:rsid w:val="00EF205E"/>
    <w:rsid w:val="00EF2220"/>
    <w:rsid w:val="00EF2FD4"/>
    <w:rsid w:val="00EF434E"/>
    <w:rsid w:val="00EF5B0A"/>
    <w:rsid w:val="00EF604E"/>
    <w:rsid w:val="00EF6348"/>
    <w:rsid w:val="00EF6771"/>
    <w:rsid w:val="00EF6D6C"/>
    <w:rsid w:val="00EF6DFC"/>
    <w:rsid w:val="00EF6E46"/>
    <w:rsid w:val="00F00537"/>
    <w:rsid w:val="00F00ABF"/>
    <w:rsid w:val="00F00BEB"/>
    <w:rsid w:val="00F026D9"/>
    <w:rsid w:val="00F02DC3"/>
    <w:rsid w:val="00F02DD1"/>
    <w:rsid w:val="00F03F32"/>
    <w:rsid w:val="00F04F07"/>
    <w:rsid w:val="00F061C0"/>
    <w:rsid w:val="00F065E5"/>
    <w:rsid w:val="00F067F8"/>
    <w:rsid w:val="00F06AA7"/>
    <w:rsid w:val="00F06C74"/>
    <w:rsid w:val="00F0724A"/>
    <w:rsid w:val="00F07793"/>
    <w:rsid w:val="00F07A87"/>
    <w:rsid w:val="00F07FB5"/>
    <w:rsid w:val="00F11FA4"/>
    <w:rsid w:val="00F12B58"/>
    <w:rsid w:val="00F134FA"/>
    <w:rsid w:val="00F149FB"/>
    <w:rsid w:val="00F1565E"/>
    <w:rsid w:val="00F1622B"/>
    <w:rsid w:val="00F16319"/>
    <w:rsid w:val="00F1638F"/>
    <w:rsid w:val="00F1664F"/>
    <w:rsid w:val="00F16E26"/>
    <w:rsid w:val="00F200AA"/>
    <w:rsid w:val="00F202A2"/>
    <w:rsid w:val="00F20396"/>
    <w:rsid w:val="00F20CFB"/>
    <w:rsid w:val="00F20FF7"/>
    <w:rsid w:val="00F2146A"/>
    <w:rsid w:val="00F21AE0"/>
    <w:rsid w:val="00F21E06"/>
    <w:rsid w:val="00F22E9A"/>
    <w:rsid w:val="00F232CE"/>
    <w:rsid w:val="00F2352A"/>
    <w:rsid w:val="00F23582"/>
    <w:rsid w:val="00F23603"/>
    <w:rsid w:val="00F23699"/>
    <w:rsid w:val="00F24E94"/>
    <w:rsid w:val="00F24FB5"/>
    <w:rsid w:val="00F26975"/>
    <w:rsid w:val="00F269AE"/>
    <w:rsid w:val="00F26B48"/>
    <w:rsid w:val="00F26D0C"/>
    <w:rsid w:val="00F2731C"/>
    <w:rsid w:val="00F27692"/>
    <w:rsid w:val="00F30FF7"/>
    <w:rsid w:val="00F32DAF"/>
    <w:rsid w:val="00F33301"/>
    <w:rsid w:val="00F336AB"/>
    <w:rsid w:val="00F33C0E"/>
    <w:rsid w:val="00F347FC"/>
    <w:rsid w:val="00F34CDF"/>
    <w:rsid w:val="00F359A2"/>
    <w:rsid w:val="00F359DC"/>
    <w:rsid w:val="00F35BA4"/>
    <w:rsid w:val="00F3624E"/>
    <w:rsid w:val="00F375C9"/>
    <w:rsid w:val="00F37741"/>
    <w:rsid w:val="00F40771"/>
    <w:rsid w:val="00F40864"/>
    <w:rsid w:val="00F40B5B"/>
    <w:rsid w:val="00F40F0C"/>
    <w:rsid w:val="00F41281"/>
    <w:rsid w:val="00F412A3"/>
    <w:rsid w:val="00F4256F"/>
    <w:rsid w:val="00F42AA4"/>
    <w:rsid w:val="00F42E95"/>
    <w:rsid w:val="00F43107"/>
    <w:rsid w:val="00F437A8"/>
    <w:rsid w:val="00F44FFB"/>
    <w:rsid w:val="00F45499"/>
    <w:rsid w:val="00F45C12"/>
    <w:rsid w:val="00F46817"/>
    <w:rsid w:val="00F46D32"/>
    <w:rsid w:val="00F47B00"/>
    <w:rsid w:val="00F51DB5"/>
    <w:rsid w:val="00F51E9C"/>
    <w:rsid w:val="00F52B91"/>
    <w:rsid w:val="00F53042"/>
    <w:rsid w:val="00F53B8C"/>
    <w:rsid w:val="00F5432F"/>
    <w:rsid w:val="00F5486C"/>
    <w:rsid w:val="00F54E88"/>
    <w:rsid w:val="00F5634F"/>
    <w:rsid w:val="00F60CED"/>
    <w:rsid w:val="00F6187F"/>
    <w:rsid w:val="00F61B19"/>
    <w:rsid w:val="00F61F16"/>
    <w:rsid w:val="00F62024"/>
    <w:rsid w:val="00F6250C"/>
    <w:rsid w:val="00F63817"/>
    <w:rsid w:val="00F64253"/>
    <w:rsid w:val="00F642ED"/>
    <w:rsid w:val="00F643B9"/>
    <w:rsid w:val="00F64FD6"/>
    <w:rsid w:val="00F6630A"/>
    <w:rsid w:val="00F66471"/>
    <w:rsid w:val="00F66711"/>
    <w:rsid w:val="00F6759B"/>
    <w:rsid w:val="00F675C2"/>
    <w:rsid w:val="00F679A2"/>
    <w:rsid w:val="00F67E5E"/>
    <w:rsid w:val="00F70215"/>
    <w:rsid w:val="00F703F5"/>
    <w:rsid w:val="00F704BA"/>
    <w:rsid w:val="00F70C3C"/>
    <w:rsid w:val="00F70F32"/>
    <w:rsid w:val="00F7138F"/>
    <w:rsid w:val="00F717B9"/>
    <w:rsid w:val="00F71C25"/>
    <w:rsid w:val="00F71EDC"/>
    <w:rsid w:val="00F72235"/>
    <w:rsid w:val="00F72777"/>
    <w:rsid w:val="00F72F01"/>
    <w:rsid w:val="00F72F18"/>
    <w:rsid w:val="00F732C5"/>
    <w:rsid w:val="00F73732"/>
    <w:rsid w:val="00F7525E"/>
    <w:rsid w:val="00F75350"/>
    <w:rsid w:val="00F7551A"/>
    <w:rsid w:val="00F75E80"/>
    <w:rsid w:val="00F75F2F"/>
    <w:rsid w:val="00F75F98"/>
    <w:rsid w:val="00F75FA2"/>
    <w:rsid w:val="00F76505"/>
    <w:rsid w:val="00F767EA"/>
    <w:rsid w:val="00F76C8E"/>
    <w:rsid w:val="00F80007"/>
    <w:rsid w:val="00F801F6"/>
    <w:rsid w:val="00F802D1"/>
    <w:rsid w:val="00F80398"/>
    <w:rsid w:val="00F80DC7"/>
    <w:rsid w:val="00F821E9"/>
    <w:rsid w:val="00F82577"/>
    <w:rsid w:val="00F825CA"/>
    <w:rsid w:val="00F83779"/>
    <w:rsid w:val="00F8381C"/>
    <w:rsid w:val="00F83AB1"/>
    <w:rsid w:val="00F8456A"/>
    <w:rsid w:val="00F84F6A"/>
    <w:rsid w:val="00F8510D"/>
    <w:rsid w:val="00F852C3"/>
    <w:rsid w:val="00F856BE"/>
    <w:rsid w:val="00F85B16"/>
    <w:rsid w:val="00F85B3E"/>
    <w:rsid w:val="00F85E6D"/>
    <w:rsid w:val="00F876D0"/>
    <w:rsid w:val="00F903D1"/>
    <w:rsid w:val="00F90C77"/>
    <w:rsid w:val="00F90E6F"/>
    <w:rsid w:val="00F9124E"/>
    <w:rsid w:val="00F9138D"/>
    <w:rsid w:val="00F9210C"/>
    <w:rsid w:val="00F924C0"/>
    <w:rsid w:val="00F9257F"/>
    <w:rsid w:val="00F926AE"/>
    <w:rsid w:val="00F92C50"/>
    <w:rsid w:val="00F92C71"/>
    <w:rsid w:val="00F92F7B"/>
    <w:rsid w:val="00F93CA4"/>
    <w:rsid w:val="00F94EC6"/>
    <w:rsid w:val="00F950D4"/>
    <w:rsid w:val="00F951F9"/>
    <w:rsid w:val="00F95F70"/>
    <w:rsid w:val="00F960DE"/>
    <w:rsid w:val="00F961FA"/>
    <w:rsid w:val="00F96345"/>
    <w:rsid w:val="00F96D0E"/>
    <w:rsid w:val="00F96DEF"/>
    <w:rsid w:val="00F975CF"/>
    <w:rsid w:val="00F97E93"/>
    <w:rsid w:val="00F97F08"/>
    <w:rsid w:val="00FA04DE"/>
    <w:rsid w:val="00FA08C2"/>
    <w:rsid w:val="00FA0DD3"/>
    <w:rsid w:val="00FA0F2D"/>
    <w:rsid w:val="00FA17C0"/>
    <w:rsid w:val="00FA1FBE"/>
    <w:rsid w:val="00FA2365"/>
    <w:rsid w:val="00FA4308"/>
    <w:rsid w:val="00FA46C5"/>
    <w:rsid w:val="00FA53F9"/>
    <w:rsid w:val="00FA5464"/>
    <w:rsid w:val="00FA571A"/>
    <w:rsid w:val="00FA58FB"/>
    <w:rsid w:val="00FA7F9F"/>
    <w:rsid w:val="00FB05A7"/>
    <w:rsid w:val="00FB0BF7"/>
    <w:rsid w:val="00FB14B4"/>
    <w:rsid w:val="00FB14D0"/>
    <w:rsid w:val="00FB1DA5"/>
    <w:rsid w:val="00FB2063"/>
    <w:rsid w:val="00FB35B8"/>
    <w:rsid w:val="00FB3960"/>
    <w:rsid w:val="00FB42E5"/>
    <w:rsid w:val="00FB56F3"/>
    <w:rsid w:val="00FB5810"/>
    <w:rsid w:val="00FB5D71"/>
    <w:rsid w:val="00FB5EEC"/>
    <w:rsid w:val="00FB6789"/>
    <w:rsid w:val="00FB6C12"/>
    <w:rsid w:val="00FB6E37"/>
    <w:rsid w:val="00FB7236"/>
    <w:rsid w:val="00FC0055"/>
    <w:rsid w:val="00FC15FB"/>
    <w:rsid w:val="00FC1AFB"/>
    <w:rsid w:val="00FC264A"/>
    <w:rsid w:val="00FC2999"/>
    <w:rsid w:val="00FC2D48"/>
    <w:rsid w:val="00FC303D"/>
    <w:rsid w:val="00FC3349"/>
    <w:rsid w:val="00FC4B96"/>
    <w:rsid w:val="00FC4D9D"/>
    <w:rsid w:val="00FC4E3B"/>
    <w:rsid w:val="00FC53E0"/>
    <w:rsid w:val="00FC5D0A"/>
    <w:rsid w:val="00FC634A"/>
    <w:rsid w:val="00FC7196"/>
    <w:rsid w:val="00FC738A"/>
    <w:rsid w:val="00FC74FD"/>
    <w:rsid w:val="00FC7999"/>
    <w:rsid w:val="00FD0DF7"/>
    <w:rsid w:val="00FD117C"/>
    <w:rsid w:val="00FD206F"/>
    <w:rsid w:val="00FD21FF"/>
    <w:rsid w:val="00FD253F"/>
    <w:rsid w:val="00FD2907"/>
    <w:rsid w:val="00FD306F"/>
    <w:rsid w:val="00FD34A0"/>
    <w:rsid w:val="00FD3B3C"/>
    <w:rsid w:val="00FD4422"/>
    <w:rsid w:val="00FD54D4"/>
    <w:rsid w:val="00FD65E4"/>
    <w:rsid w:val="00FD6B88"/>
    <w:rsid w:val="00FD7404"/>
    <w:rsid w:val="00FD769B"/>
    <w:rsid w:val="00FD7E8D"/>
    <w:rsid w:val="00FE02B1"/>
    <w:rsid w:val="00FE0C4B"/>
    <w:rsid w:val="00FE14B2"/>
    <w:rsid w:val="00FE1DAB"/>
    <w:rsid w:val="00FE1E10"/>
    <w:rsid w:val="00FE2033"/>
    <w:rsid w:val="00FE22CA"/>
    <w:rsid w:val="00FE2D26"/>
    <w:rsid w:val="00FE3001"/>
    <w:rsid w:val="00FE33A6"/>
    <w:rsid w:val="00FE4294"/>
    <w:rsid w:val="00FE4624"/>
    <w:rsid w:val="00FE46B0"/>
    <w:rsid w:val="00FE4BFB"/>
    <w:rsid w:val="00FE4EF7"/>
    <w:rsid w:val="00FE51C2"/>
    <w:rsid w:val="00FE51F9"/>
    <w:rsid w:val="00FE56C3"/>
    <w:rsid w:val="00FE5D02"/>
    <w:rsid w:val="00FE6C4E"/>
    <w:rsid w:val="00FE7095"/>
    <w:rsid w:val="00FE7156"/>
    <w:rsid w:val="00FF01D6"/>
    <w:rsid w:val="00FF05A4"/>
    <w:rsid w:val="00FF0898"/>
    <w:rsid w:val="00FF0CAC"/>
    <w:rsid w:val="00FF0E99"/>
    <w:rsid w:val="00FF10BB"/>
    <w:rsid w:val="00FF1D6A"/>
    <w:rsid w:val="00FF1E53"/>
    <w:rsid w:val="00FF1F1C"/>
    <w:rsid w:val="00FF1F40"/>
    <w:rsid w:val="00FF2623"/>
    <w:rsid w:val="00FF3275"/>
    <w:rsid w:val="00FF373F"/>
    <w:rsid w:val="00FF3F10"/>
    <w:rsid w:val="00FF5A52"/>
    <w:rsid w:val="00FF681E"/>
    <w:rsid w:val="00FF7557"/>
    <w:rsid w:val="00FF79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FDBDB77-61BC-454E-A09B-DE1FDF92C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5BA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722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722714"/>
    <w:pPr>
      <w:keepNext/>
      <w:spacing w:line="720" w:lineRule="atLeast"/>
      <w:outlineLvl w:val="1"/>
    </w:pPr>
    <w:rPr>
      <w:rFonts w:ascii="Arial" w:eastAsia="新細明體" w:hAnsi="Arial"/>
      <w:b/>
      <w:bCs/>
      <w:sz w:val="48"/>
      <w:szCs w:val="48"/>
    </w:rPr>
  </w:style>
  <w:style w:type="paragraph" w:styleId="3">
    <w:name w:val="heading 3"/>
    <w:basedOn w:val="a"/>
    <w:next w:val="a"/>
    <w:qFormat/>
    <w:rsid w:val="00722714"/>
    <w:pPr>
      <w:keepNext/>
      <w:spacing w:line="720" w:lineRule="atLeast"/>
      <w:outlineLvl w:val="2"/>
    </w:pPr>
    <w:rPr>
      <w:rFonts w:ascii="Arial" w:eastAsia="新細明體" w:hAnsi="Arial"/>
      <w:b/>
      <w:bCs/>
      <w:sz w:val="36"/>
      <w:szCs w:val="36"/>
    </w:rPr>
  </w:style>
  <w:style w:type="paragraph" w:styleId="5">
    <w:name w:val="heading 5"/>
    <w:basedOn w:val="a"/>
    <w:next w:val="a"/>
    <w:link w:val="50"/>
    <w:qFormat/>
    <w:rsid w:val="00764635"/>
    <w:pPr>
      <w:keepNext/>
      <w:spacing w:line="720" w:lineRule="atLeast"/>
      <w:outlineLvl w:val="4"/>
    </w:pPr>
    <w:rPr>
      <w:rFonts w:ascii="Arial" w:hAnsi="Arial"/>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標題 5 字元"/>
    <w:link w:val="5"/>
    <w:rsid w:val="00764635"/>
    <w:rPr>
      <w:rFonts w:ascii="Arial" w:eastAsia="標楷體" w:hAnsi="Arial"/>
      <w:b/>
      <w:bCs/>
      <w:snapToGrid w:val="0"/>
      <w:kern w:val="2"/>
      <w:sz w:val="36"/>
      <w:szCs w:val="36"/>
      <w:lang w:val="en-US" w:eastAsia="zh-TW" w:bidi="ar-SA"/>
    </w:rPr>
  </w:style>
  <w:style w:type="paragraph" w:customStyle="1" w:styleId="10">
    <w:name w:val="1"/>
    <w:basedOn w:val="a"/>
    <w:semiHidden/>
    <w:rsid w:val="005E714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5E7143"/>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character" w:customStyle="1" w:styleId="a5">
    <w:name w:val="(一)(二)(三) 字元"/>
    <w:link w:val="a4"/>
    <w:rsid w:val="005E7143"/>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E6284B"/>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5E7143"/>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143">
    <w:name w:val="表格內文(14行高) 字元"/>
    <w:link w:val="142"/>
    <w:qFormat/>
    <w:rsid w:val="005E7143"/>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F72F18"/>
    <w:rPr>
      <w:rFonts w:ascii="標楷體" w:eastAsia="標楷體"/>
      <w:b/>
      <w:snapToGrid w:val="0"/>
      <w:kern w:val="2"/>
      <w:sz w:val="28"/>
      <w:lang w:val="en-US" w:eastAsia="zh-TW" w:bidi="ar-SA"/>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5E7143"/>
    <w:rPr>
      <w:rFonts w:ascii="標楷體" w:eastAsia="標楷體"/>
      <w:snapToGrid w:val="0"/>
      <w:kern w:val="2"/>
      <w:sz w:val="24"/>
      <w:szCs w:val="28"/>
      <w:lang w:val="en-US" w:eastAsia="zh-TW" w:bidi="ar-SA"/>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5E7143"/>
    <w:rPr>
      <w:rFonts w:ascii="標楷體" w:eastAsia="標楷體"/>
      <w:snapToGrid w:val="0"/>
      <w:kern w:val="2"/>
      <w:sz w:val="24"/>
      <w:szCs w:val="28"/>
      <w:lang w:val="en-US" w:eastAsia="zh-TW" w:bidi="ar-SA"/>
    </w:rPr>
  </w:style>
  <w:style w:type="paragraph" w:customStyle="1" w:styleId="11">
    <w:name w:val="(1)下內文"/>
    <w:basedOn w:val="a"/>
    <w:autoRedefine/>
    <w:rsid w:val="005A624F"/>
    <w:pPr>
      <w:ind w:leftChars="400" w:left="500" w:hangingChars="100" w:hanging="100"/>
    </w:p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5E7143"/>
    <w:rPr>
      <w:rFonts w:ascii="標楷體" w:eastAsia="標楷體"/>
      <w:snapToGrid w:val="0"/>
      <w:kern w:val="2"/>
      <w:sz w:val="28"/>
      <w:szCs w:val="28"/>
      <w:lang w:val="en-US" w:eastAsia="zh-TW" w:bidi="ar-SA"/>
    </w:rPr>
  </w:style>
  <w:style w:type="paragraph" w:styleId="12">
    <w:name w:val="toc 1"/>
    <w:basedOn w:val="a"/>
    <w:next w:val="a"/>
    <w:autoRedefine/>
    <w:uiPriority w:val="39"/>
    <w:rsid w:val="00961735"/>
    <w:pPr>
      <w:tabs>
        <w:tab w:val="right" w:leader="dot" w:pos="8504"/>
      </w:tabs>
      <w:overflowPunct w:val="0"/>
      <w:ind w:leftChars="0" w:left="480" w:rightChars="150" w:right="420" w:hangingChars="200" w:hanging="480"/>
      <w:jc w:val="left"/>
    </w:pPr>
    <w:rPr>
      <w:sz w:val="24"/>
    </w:rPr>
  </w:style>
  <w:style w:type="paragraph" w:styleId="23">
    <w:name w:val="toc 2"/>
    <w:basedOn w:val="a"/>
    <w:next w:val="a"/>
    <w:autoRedefine/>
    <w:semiHidden/>
    <w:rsid w:val="00CF5B6A"/>
    <w:pPr>
      <w:tabs>
        <w:tab w:val="right" w:leader="hyphen" w:pos="8490"/>
      </w:tabs>
      <w:ind w:leftChars="0" w:left="0" w:hangingChars="200" w:hanging="200"/>
    </w:pPr>
    <w:rPr>
      <w:sz w:val="24"/>
    </w:rPr>
  </w:style>
  <w:style w:type="character" w:styleId="af0">
    <w:name w:val="Hyperlink"/>
    <w:uiPriority w:val="99"/>
    <w:rsid w:val="00105DD8"/>
    <w:rPr>
      <w:color w:val="0000FF"/>
      <w:u w:val="single"/>
    </w:rPr>
  </w:style>
  <w:style w:type="paragraph" w:styleId="af1">
    <w:name w:val="footnote text"/>
    <w:basedOn w:val="a"/>
    <w:link w:val="af2"/>
    <w:rsid w:val="005E7143"/>
    <w:pPr>
      <w:snapToGrid w:val="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uiPriority w:val="99"/>
    <w:qFormat/>
    <w:rsid w:val="005E7143"/>
    <w:rPr>
      <w:vertAlign w:val="superscript"/>
    </w:rPr>
  </w:style>
  <w:style w:type="character" w:styleId="af4">
    <w:name w:val="page number"/>
    <w:basedOn w:val="a0"/>
    <w:rsid w:val="00654373"/>
  </w:style>
  <w:style w:type="paragraph" w:customStyle="1" w:styleId="af5">
    <w:name w:val="第一層"/>
    <w:basedOn w:val="a"/>
    <w:rsid w:val="00105DD8"/>
    <w:pPr>
      <w:overflowPunct w:val="0"/>
      <w:snapToGrid w:val="0"/>
      <w:spacing w:line="480" w:lineRule="exact"/>
      <w:ind w:leftChars="0" w:left="0" w:firstLineChars="0" w:firstLine="0"/>
    </w:pPr>
    <w:rPr>
      <w:rFonts w:hAnsi="Courier New"/>
      <w:b/>
      <w:szCs w:val="20"/>
    </w:rPr>
  </w:style>
  <w:style w:type="paragraph" w:styleId="af6">
    <w:name w:val="Body Text"/>
    <w:basedOn w:val="a"/>
    <w:link w:val="af7"/>
    <w:rsid w:val="000A0779"/>
    <w:pPr>
      <w:spacing w:after="120"/>
    </w:pPr>
  </w:style>
  <w:style w:type="paragraph" w:styleId="af8">
    <w:name w:val="Balloon Text"/>
    <w:basedOn w:val="a"/>
    <w:link w:val="af9"/>
    <w:rsid w:val="00CA4BC0"/>
    <w:pPr>
      <w:spacing w:line="240" w:lineRule="auto"/>
    </w:pPr>
    <w:rPr>
      <w:rFonts w:ascii="Cambria" w:eastAsia="新細明體" w:hAnsi="Cambria"/>
      <w:sz w:val="18"/>
      <w:szCs w:val="18"/>
    </w:rPr>
  </w:style>
  <w:style w:type="character" w:customStyle="1" w:styleId="af9">
    <w:name w:val="註解方塊文字 字元"/>
    <w:link w:val="af8"/>
    <w:rsid w:val="00CA4BC0"/>
    <w:rPr>
      <w:rFonts w:ascii="Cambria" w:eastAsia="新細明體" w:hAnsi="Cambria" w:cs="Times New Roman"/>
      <w:snapToGrid w:val="0"/>
      <w:kern w:val="2"/>
      <w:sz w:val="18"/>
      <w:szCs w:val="18"/>
    </w:rPr>
  </w:style>
  <w:style w:type="character" w:customStyle="1" w:styleId="af2">
    <w:name w:val="註腳文字 字元"/>
    <w:link w:val="af1"/>
    <w:rsid w:val="0035414F"/>
    <w:rPr>
      <w:rFonts w:ascii="標楷體" w:eastAsia="標楷體"/>
      <w:snapToGrid w:val="0"/>
      <w:kern w:val="2"/>
    </w:rPr>
  </w:style>
  <w:style w:type="paragraph" w:customStyle="1" w:styleId="13">
    <w:name w:val="字元 字元1 字元"/>
    <w:basedOn w:val="a"/>
    <w:semiHidden/>
    <w:rsid w:val="00A42DB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
    <w:semiHidden/>
    <w:rsid w:val="00E25A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
    <w:name w:val="字元 字元2 字元 字元 字元"/>
    <w:basedOn w:val="a"/>
    <w:semiHidden/>
    <w:rsid w:val="0013019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a">
    <w:name w:val="Table Grid"/>
    <w:basedOn w:val="a1"/>
    <w:uiPriority w:val="59"/>
    <w:rsid w:val="00E11D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List Paragraph"/>
    <w:basedOn w:val="a"/>
    <w:uiPriority w:val="34"/>
    <w:qFormat/>
    <w:rsid w:val="005300D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styleId="afc">
    <w:name w:val="footer"/>
    <w:basedOn w:val="a"/>
    <w:link w:val="afd"/>
    <w:uiPriority w:val="99"/>
    <w:unhideWhenUsed/>
    <w:rsid w:val="00D758D3"/>
    <w:pPr>
      <w:widowControl/>
      <w:tabs>
        <w:tab w:val="center" w:pos="4680"/>
        <w:tab w:val="right" w:pos="9360"/>
      </w:tabs>
      <w:spacing w:line="240" w:lineRule="auto"/>
      <w:ind w:leftChars="0" w:left="0" w:firstLineChars="0" w:firstLine="0"/>
      <w:jc w:val="left"/>
    </w:pPr>
    <w:rPr>
      <w:rFonts w:ascii="Calibri" w:eastAsia="Calibri" w:hAnsi="Calibri"/>
      <w:snapToGrid/>
      <w:kern w:val="0"/>
      <w:sz w:val="21"/>
      <w:szCs w:val="21"/>
    </w:rPr>
  </w:style>
  <w:style w:type="character" w:customStyle="1" w:styleId="afd">
    <w:name w:val="頁尾 字元"/>
    <w:link w:val="afc"/>
    <w:uiPriority w:val="99"/>
    <w:rsid w:val="00D758D3"/>
    <w:rPr>
      <w:rFonts w:ascii="Calibri" w:eastAsia="Calibri" w:hAnsi="Calibri"/>
      <w:sz w:val="21"/>
      <w:szCs w:val="21"/>
    </w:rPr>
  </w:style>
  <w:style w:type="character" w:customStyle="1" w:styleId="1410">
    <w:name w:val="第二層(14號字) 字元1"/>
    <w:rsid w:val="0050042E"/>
    <w:rPr>
      <w:rFonts w:ascii="標楷體" w:eastAsia="標楷體" w:hAnsi="Times New Roman"/>
      <w:b/>
      <w:snapToGrid w:val="0"/>
      <w:kern w:val="2"/>
      <w:sz w:val="28"/>
    </w:rPr>
  </w:style>
  <w:style w:type="paragraph" w:styleId="afe">
    <w:name w:val="header"/>
    <w:basedOn w:val="a"/>
    <w:link w:val="aff"/>
    <w:uiPriority w:val="99"/>
    <w:rsid w:val="00C363BB"/>
    <w:pPr>
      <w:tabs>
        <w:tab w:val="center" w:pos="4153"/>
        <w:tab w:val="right" w:pos="8306"/>
      </w:tabs>
      <w:snapToGrid w:val="0"/>
    </w:pPr>
    <w:rPr>
      <w:sz w:val="20"/>
      <w:szCs w:val="20"/>
    </w:rPr>
  </w:style>
  <w:style w:type="character" w:customStyle="1" w:styleId="aff">
    <w:name w:val="頁首 字元"/>
    <w:link w:val="afe"/>
    <w:uiPriority w:val="99"/>
    <w:rsid w:val="00C363BB"/>
    <w:rPr>
      <w:rFonts w:ascii="標楷體" w:eastAsia="標楷體"/>
      <w:snapToGrid w:val="0"/>
      <w:kern w:val="2"/>
    </w:rPr>
  </w:style>
  <w:style w:type="paragraph" w:styleId="aff0">
    <w:name w:val="Title"/>
    <w:basedOn w:val="a"/>
    <w:next w:val="a"/>
    <w:link w:val="aff1"/>
    <w:qFormat/>
    <w:rsid w:val="00311260"/>
    <w:pPr>
      <w:spacing w:before="240" w:after="60"/>
      <w:jc w:val="center"/>
      <w:outlineLvl w:val="0"/>
    </w:pPr>
    <w:rPr>
      <w:rFonts w:ascii="Calibri Light" w:eastAsia="新細明體" w:hAnsi="Calibri Light"/>
      <w:b/>
      <w:bCs/>
      <w:sz w:val="32"/>
      <w:szCs w:val="32"/>
    </w:rPr>
  </w:style>
  <w:style w:type="character" w:customStyle="1" w:styleId="aff1">
    <w:name w:val="標題 字元"/>
    <w:link w:val="aff0"/>
    <w:rsid w:val="00311260"/>
    <w:rPr>
      <w:rFonts w:ascii="Calibri Light" w:hAnsi="Calibri Light" w:cs="Times New Roman"/>
      <w:b/>
      <w:bCs/>
      <w:snapToGrid w:val="0"/>
      <w:kern w:val="2"/>
      <w:sz w:val="32"/>
      <w:szCs w:val="32"/>
    </w:rPr>
  </w:style>
  <w:style w:type="character" w:customStyle="1" w:styleId="af7">
    <w:name w:val="本文 字元"/>
    <w:link w:val="af6"/>
    <w:rsid w:val="00311260"/>
    <w:rPr>
      <w:rFonts w:ascii="標楷體" w:eastAsia="標楷體"/>
      <w:snapToGrid w:val="0"/>
      <w:kern w:val="2"/>
      <w:sz w:val="28"/>
      <w:szCs w:val="28"/>
    </w:rPr>
  </w:style>
  <w:style w:type="character" w:customStyle="1" w:styleId="ab">
    <w:name w:val="圖表目錄 字元"/>
    <w:link w:val="aa"/>
    <w:semiHidden/>
    <w:rsid w:val="00C50186"/>
    <w:rPr>
      <w:rFonts w:ascii="標楷體" w:eastAsia="標楷體"/>
      <w:snapToGrid w:val="0"/>
      <w:kern w:val="2"/>
      <w:sz w:val="28"/>
      <w:szCs w:val="28"/>
    </w:rPr>
  </w:style>
  <w:style w:type="paragraph" w:customStyle="1" w:styleId="aff2">
    <w:name w:val="註腳"/>
    <w:basedOn w:val="af1"/>
    <w:qFormat/>
    <w:rsid w:val="00C50186"/>
    <w:pPr>
      <w:wordWrap w:val="0"/>
      <w:spacing w:line="280" w:lineRule="exact"/>
      <w:ind w:leftChars="50" w:left="321" w:hangingChars="80" w:hanging="179"/>
      <w:jc w:val="both"/>
    </w:pPr>
    <w:rPr>
      <w:rFonts w:hAnsi="標楷體"/>
      <w:bCs/>
      <w:noProof/>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07322">
      <w:bodyDiv w:val="1"/>
      <w:marLeft w:val="0"/>
      <w:marRight w:val="0"/>
      <w:marTop w:val="0"/>
      <w:marBottom w:val="0"/>
      <w:divBdr>
        <w:top w:val="none" w:sz="0" w:space="0" w:color="auto"/>
        <w:left w:val="none" w:sz="0" w:space="0" w:color="auto"/>
        <w:bottom w:val="none" w:sz="0" w:space="0" w:color="auto"/>
        <w:right w:val="none" w:sz="0" w:space="0" w:color="auto"/>
      </w:divBdr>
    </w:div>
    <w:div w:id="180898341">
      <w:bodyDiv w:val="1"/>
      <w:marLeft w:val="0"/>
      <w:marRight w:val="0"/>
      <w:marTop w:val="0"/>
      <w:marBottom w:val="0"/>
      <w:divBdr>
        <w:top w:val="none" w:sz="0" w:space="0" w:color="auto"/>
        <w:left w:val="none" w:sz="0" w:space="0" w:color="auto"/>
        <w:bottom w:val="none" w:sz="0" w:space="0" w:color="auto"/>
        <w:right w:val="none" w:sz="0" w:space="0" w:color="auto"/>
      </w:divBdr>
    </w:div>
    <w:div w:id="281618016">
      <w:bodyDiv w:val="1"/>
      <w:marLeft w:val="0"/>
      <w:marRight w:val="0"/>
      <w:marTop w:val="0"/>
      <w:marBottom w:val="0"/>
      <w:divBdr>
        <w:top w:val="none" w:sz="0" w:space="0" w:color="auto"/>
        <w:left w:val="none" w:sz="0" w:space="0" w:color="auto"/>
        <w:bottom w:val="none" w:sz="0" w:space="0" w:color="auto"/>
        <w:right w:val="none" w:sz="0" w:space="0" w:color="auto"/>
      </w:divBdr>
    </w:div>
    <w:div w:id="312756848">
      <w:bodyDiv w:val="1"/>
      <w:marLeft w:val="0"/>
      <w:marRight w:val="0"/>
      <w:marTop w:val="0"/>
      <w:marBottom w:val="0"/>
      <w:divBdr>
        <w:top w:val="none" w:sz="0" w:space="0" w:color="auto"/>
        <w:left w:val="none" w:sz="0" w:space="0" w:color="auto"/>
        <w:bottom w:val="none" w:sz="0" w:space="0" w:color="auto"/>
        <w:right w:val="none" w:sz="0" w:space="0" w:color="auto"/>
      </w:divBdr>
    </w:div>
    <w:div w:id="513423085">
      <w:bodyDiv w:val="1"/>
      <w:marLeft w:val="0"/>
      <w:marRight w:val="0"/>
      <w:marTop w:val="0"/>
      <w:marBottom w:val="0"/>
      <w:divBdr>
        <w:top w:val="none" w:sz="0" w:space="0" w:color="auto"/>
        <w:left w:val="none" w:sz="0" w:space="0" w:color="auto"/>
        <w:bottom w:val="none" w:sz="0" w:space="0" w:color="auto"/>
        <w:right w:val="none" w:sz="0" w:space="0" w:color="auto"/>
      </w:divBdr>
    </w:div>
    <w:div w:id="520045494">
      <w:bodyDiv w:val="1"/>
      <w:marLeft w:val="0"/>
      <w:marRight w:val="0"/>
      <w:marTop w:val="0"/>
      <w:marBottom w:val="0"/>
      <w:divBdr>
        <w:top w:val="none" w:sz="0" w:space="0" w:color="auto"/>
        <w:left w:val="none" w:sz="0" w:space="0" w:color="auto"/>
        <w:bottom w:val="none" w:sz="0" w:space="0" w:color="auto"/>
        <w:right w:val="none" w:sz="0" w:space="0" w:color="auto"/>
      </w:divBdr>
    </w:div>
    <w:div w:id="529034344">
      <w:bodyDiv w:val="1"/>
      <w:marLeft w:val="0"/>
      <w:marRight w:val="0"/>
      <w:marTop w:val="0"/>
      <w:marBottom w:val="0"/>
      <w:divBdr>
        <w:top w:val="none" w:sz="0" w:space="0" w:color="auto"/>
        <w:left w:val="none" w:sz="0" w:space="0" w:color="auto"/>
        <w:bottom w:val="none" w:sz="0" w:space="0" w:color="auto"/>
        <w:right w:val="none" w:sz="0" w:space="0" w:color="auto"/>
      </w:divBdr>
    </w:div>
    <w:div w:id="651064129">
      <w:bodyDiv w:val="1"/>
      <w:marLeft w:val="0"/>
      <w:marRight w:val="0"/>
      <w:marTop w:val="0"/>
      <w:marBottom w:val="0"/>
      <w:divBdr>
        <w:top w:val="none" w:sz="0" w:space="0" w:color="auto"/>
        <w:left w:val="none" w:sz="0" w:space="0" w:color="auto"/>
        <w:bottom w:val="none" w:sz="0" w:space="0" w:color="auto"/>
        <w:right w:val="none" w:sz="0" w:space="0" w:color="auto"/>
      </w:divBdr>
    </w:div>
    <w:div w:id="753671605">
      <w:bodyDiv w:val="1"/>
      <w:marLeft w:val="0"/>
      <w:marRight w:val="0"/>
      <w:marTop w:val="0"/>
      <w:marBottom w:val="0"/>
      <w:divBdr>
        <w:top w:val="none" w:sz="0" w:space="0" w:color="auto"/>
        <w:left w:val="none" w:sz="0" w:space="0" w:color="auto"/>
        <w:bottom w:val="none" w:sz="0" w:space="0" w:color="auto"/>
        <w:right w:val="none" w:sz="0" w:space="0" w:color="auto"/>
      </w:divBdr>
    </w:div>
    <w:div w:id="883757521">
      <w:bodyDiv w:val="1"/>
      <w:marLeft w:val="0"/>
      <w:marRight w:val="0"/>
      <w:marTop w:val="0"/>
      <w:marBottom w:val="0"/>
      <w:divBdr>
        <w:top w:val="none" w:sz="0" w:space="0" w:color="auto"/>
        <w:left w:val="none" w:sz="0" w:space="0" w:color="auto"/>
        <w:bottom w:val="none" w:sz="0" w:space="0" w:color="auto"/>
        <w:right w:val="none" w:sz="0" w:space="0" w:color="auto"/>
      </w:divBdr>
      <w:divsChild>
        <w:div w:id="1027439519">
          <w:marLeft w:val="0"/>
          <w:marRight w:val="0"/>
          <w:marTop w:val="0"/>
          <w:marBottom w:val="0"/>
          <w:divBdr>
            <w:top w:val="none" w:sz="0" w:space="0" w:color="auto"/>
            <w:left w:val="none" w:sz="0" w:space="0" w:color="auto"/>
            <w:bottom w:val="none" w:sz="0" w:space="0" w:color="auto"/>
            <w:right w:val="none" w:sz="0" w:space="0" w:color="auto"/>
          </w:divBdr>
        </w:div>
      </w:divsChild>
    </w:div>
    <w:div w:id="885289529">
      <w:bodyDiv w:val="1"/>
      <w:marLeft w:val="0"/>
      <w:marRight w:val="0"/>
      <w:marTop w:val="0"/>
      <w:marBottom w:val="0"/>
      <w:divBdr>
        <w:top w:val="none" w:sz="0" w:space="0" w:color="auto"/>
        <w:left w:val="none" w:sz="0" w:space="0" w:color="auto"/>
        <w:bottom w:val="none" w:sz="0" w:space="0" w:color="auto"/>
        <w:right w:val="none" w:sz="0" w:space="0" w:color="auto"/>
      </w:divBdr>
    </w:div>
    <w:div w:id="1028801801">
      <w:bodyDiv w:val="1"/>
      <w:marLeft w:val="0"/>
      <w:marRight w:val="0"/>
      <w:marTop w:val="0"/>
      <w:marBottom w:val="0"/>
      <w:divBdr>
        <w:top w:val="none" w:sz="0" w:space="0" w:color="auto"/>
        <w:left w:val="none" w:sz="0" w:space="0" w:color="auto"/>
        <w:bottom w:val="none" w:sz="0" w:space="0" w:color="auto"/>
        <w:right w:val="none" w:sz="0" w:space="0" w:color="auto"/>
      </w:divBdr>
    </w:div>
    <w:div w:id="1048454884">
      <w:bodyDiv w:val="1"/>
      <w:marLeft w:val="0"/>
      <w:marRight w:val="0"/>
      <w:marTop w:val="0"/>
      <w:marBottom w:val="0"/>
      <w:divBdr>
        <w:top w:val="none" w:sz="0" w:space="0" w:color="auto"/>
        <w:left w:val="none" w:sz="0" w:space="0" w:color="auto"/>
        <w:bottom w:val="none" w:sz="0" w:space="0" w:color="auto"/>
        <w:right w:val="none" w:sz="0" w:space="0" w:color="auto"/>
      </w:divBdr>
    </w:div>
    <w:div w:id="1228422373">
      <w:bodyDiv w:val="1"/>
      <w:marLeft w:val="0"/>
      <w:marRight w:val="0"/>
      <w:marTop w:val="0"/>
      <w:marBottom w:val="0"/>
      <w:divBdr>
        <w:top w:val="none" w:sz="0" w:space="0" w:color="auto"/>
        <w:left w:val="none" w:sz="0" w:space="0" w:color="auto"/>
        <w:bottom w:val="none" w:sz="0" w:space="0" w:color="auto"/>
        <w:right w:val="none" w:sz="0" w:space="0" w:color="auto"/>
      </w:divBdr>
    </w:div>
    <w:div w:id="1254162510">
      <w:bodyDiv w:val="1"/>
      <w:marLeft w:val="0"/>
      <w:marRight w:val="0"/>
      <w:marTop w:val="0"/>
      <w:marBottom w:val="0"/>
      <w:divBdr>
        <w:top w:val="none" w:sz="0" w:space="0" w:color="auto"/>
        <w:left w:val="none" w:sz="0" w:space="0" w:color="auto"/>
        <w:bottom w:val="none" w:sz="0" w:space="0" w:color="auto"/>
        <w:right w:val="none" w:sz="0" w:space="0" w:color="auto"/>
      </w:divBdr>
    </w:div>
    <w:div w:id="1324627684">
      <w:bodyDiv w:val="1"/>
      <w:marLeft w:val="0"/>
      <w:marRight w:val="0"/>
      <w:marTop w:val="0"/>
      <w:marBottom w:val="0"/>
      <w:divBdr>
        <w:top w:val="none" w:sz="0" w:space="0" w:color="auto"/>
        <w:left w:val="none" w:sz="0" w:space="0" w:color="auto"/>
        <w:bottom w:val="none" w:sz="0" w:space="0" w:color="auto"/>
        <w:right w:val="none" w:sz="0" w:space="0" w:color="auto"/>
      </w:divBdr>
    </w:div>
    <w:div w:id="1463497655">
      <w:bodyDiv w:val="1"/>
      <w:marLeft w:val="0"/>
      <w:marRight w:val="0"/>
      <w:marTop w:val="0"/>
      <w:marBottom w:val="0"/>
      <w:divBdr>
        <w:top w:val="none" w:sz="0" w:space="0" w:color="auto"/>
        <w:left w:val="none" w:sz="0" w:space="0" w:color="auto"/>
        <w:bottom w:val="none" w:sz="0" w:space="0" w:color="auto"/>
        <w:right w:val="none" w:sz="0" w:space="0" w:color="auto"/>
      </w:divBdr>
    </w:div>
    <w:div w:id="1537426755">
      <w:bodyDiv w:val="1"/>
      <w:marLeft w:val="0"/>
      <w:marRight w:val="0"/>
      <w:marTop w:val="0"/>
      <w:marBottom w:val="0"/>
      <w:divBdr>
        <w:top w:val="none" w:sz="0" w:space="0" w:color="auto"/>
        <w:left w:val="none" w:sz="0" w:space="0" w:color="auto"/>
        <w:bottom w:val="none" w:sz="0" w:space="0" w:color="auto"/>
        <w:right w:val="none" w:sz="0" w:space="0" w:color="auto"/>
      </w:divBdr>
      <w:divsChild>
        <w:div w:id="866525656">
          <w:marLeft w:val="547"/>
          <w:marRight w:val="0"/>
          <w:marTop w:val="134"/>
          <w:marBottom w:val="0"/>
          <w:divBdr>
            <w:top w:val="none" w:sz="0" w:space="0" w:color="auto"/>
            <w:left w:val="none" w:sz="0" w:space="0" w:color="auto"/>
            <w:bottom w:val="none" w:sz="0" w:space="0" w:color="auto"/>
            <w:right w:val="none" w:sz="0" w:space="0" w:color="auto"/>
          </w:divBdr>
        </w:div>
      </w:divsChild>
    </w:div>
    <w:div w:id="1590499599">
      <w:bodyDiv w:val="1"/>
      <w:marLeft w:val="0"/>
      <w:marRight w:val="0"/>
      <w:marTop w:val="0"/>
      <w:marBottom w:val="0"/>
      <w:divBdr>
        <w:top w:val="none" w:sz="0" w:space="0" w:color="auto"/>
        <w:left w:val="none" w:sz="0" w:space="0" w:color="auto"/>
        <w:bottom w:val="none" w:sz="0" w:space="0" w:color="auto"/>
        <w:right w:val="none" w:sz="0" w:space="0" w:color="auto"/>
      </w:divBdr>
    </w:div>
    <w:div w:id="1645238840">
      <w:bodyDiv w:val="1"/>
      <w:marLeft w:val="0"/>
      <w:marRight w:val="0"/>
      <w:marTop w:val="0"/>
      <w:marBottom w:val="0"/>
      <w:divBdr>
        <w:top w:val="none" w:sz="0" w:space="0" w:color="auto"/>
        <w:left w:val="none" w:sz="0" w:space="0" w:color="auto"/>
        <w:bottom w:val="none" w:sz="0" w:space="0" w:color="auto"/>
        <w:right w:val="none" w:sz="0" w:space="0" w:color="auto"/>
      </w:divBdr>
    </w:div>
    <w:div w:id="1650742763">
      <w:bodyDiv w:val="1"/>
      <w:marLeft w:val="0"/>
      <w:marRight w:val="0"/>
      <w:marTop w:val="0"/>
      <w:marBottom w:val="0"/>
      <w:divBdr>
        <w:top w:val="none" w:sz="0" w:space="0" w:color="auto"/>
        <w:left w:val="none" w:sz="0" w:space="0" w:color="auto"/>
        <w:bottom w:val="none" w:sz="0" w:space="0" w:color="auto"/>
        <w:right w:val="none" w:sz="0" w:space="0" w:color="auto"/>
      </w:divBdr>
      <w:divsChild>
        <w:div w:id="1342397105">
          <w:marLeft w:val="0"/>
          <w:marRight w:val="0"/>
          <w:marTop w:val="0"/>
          <w:marBottom w:val="0"/>
          <w:divBdr>
            <w:top w:val="none" w:sz="0" w:space="0" w:color="auto"/>
            <w:left w:val="none" w:sz="0" w:space="0" w:color="auto"/>
            <w:bottom w:val="none" w:sz="0" w:space="0" w:color="auto"/>
            <w:right w:val="none" w:sz="0" w:space="0" w:color="auto"/>
          </w:divBdr>
          <w:divsChild>
            <w:div w:id="141793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475458">
      <w:bodyDiv w:val="1"/>
      <w:marLeft w:val="0"/>
      <w:marRight w:val="0"/>
      <w:marTop w:val="0"/>
      <w:marBottom w:val="0"/>
      <w:divBdr>
        <w:top w:val="none" w:sz="0" w:space="0" w:color="auto"/>
        <w:left w:val="none" w:sz="0" w:space="0" w:color="auto"/>
        <w:bottom w:val="none" w:sz="0" w:space="0" w:color="auto"/>
        <w:right w:val="none" w:sz="0" w:space="0" w:color="auto"/>
      </w:divBdr>
    </w:div>
    <w:div w:id="1763837193">
      <w:bodyDiv w:val="1"/>
      <w:marLeft w:val="0"/>
      <w:marRight w:val="0"/>
      <w:marTop w:val="0"/>
      <w:marBottom w:val="0"/>
      <w:divBdr>
        <w:top w:val="none" w:sz="0" w:space="0" w:color="auto"/>
        <w:left w:val="none" w:sz="0" w:space="0" w:color="auto"/>
        <w:bottom w:val="none" w:sz="0" w:space="0" w:color="auto"/>
        <w:right w:val="none" w:sz="0" w:space="0" w:color="auto"/>
      </w:divBdr>
    </w:div>
    <w:div w:id="1954170247">
      <w:bodyDiv w:val="1"/>
      <w:marLeft w:val="0"/>
      <w:marRight w:val="0"/>
      <w:marTop w:val="0"/>
      <w:marBottom w:val="0"/>
      <w:divBdr>
        <w:top w:val="none" w:sz="0" w:space="0" w:color="auto"/>
        <w:left w:val="none" w:sz="0" w:space="0" w:color="auto"/>
        <w:bottom w:val="none" w:sz="0" w:space="0" w:color="auto"/>
        <w:right w:val="none" w:sz="0" w:space="0" w:color="auto"/>
      </w:divBdr>
    </w:div>
    <w:div w:id="2062631817">
      <w:bodyDiv w:val="1"/>
      <w:marLeft w:val="0"/>
      <w:marRight w:val="0"/>
      <w:marTop w:val="0"/>
      <w:marBottom w:val="0"/>
      <w:divBdr>
        <w:top w:val="none" w:sz="0" w:space="0" w:color="auto"/>
        <w:left w:val="none" w:sz="0" w:space="0" w:color="auto"/>
        <w:bottom w:val="none" w:sz="0" w:space="0" w:color="auto"/>
        <w:right w:val="none" w:sz="0" w:space="0" w:color="auto"/>
      </w:divBdr>
    </w:div>
    <w:div w:id="2063944702">
      <w:bodyDiv w:val="1"/>
      <w:marLeft w:val="0"/>
      <w:marRight w:val="0"/>
      <w:marTop w:val="0"/>
      <w:marBottom w:val="240"/>
      <w:divBdr>
        <w:top w:val="none" w:sz="0" w:space="0" w:color="auto"/>
        <w:left w:val="none" w:sz="0" w:space="0" w:color="auto"/>
        <w:bottom w:val="none" w:sz="0" w:space="0" w:color="auto"/>
        <w:right w:val="none" w:sz="0" w:space="0" w:color="auto"/>
      </w:divBdr>
      <w:divsChild>
        <w:div w:id="468212242">
          <w:marLeft w:val="0"/>
          <w:marRight w:val="0"/>
          <w:marTop w:val="0"/>
          <w:marBottom w:val="0"/>
          <w:divBdr>
            <w:top w:val="none" w:sz="0" w:space="0" w:color="auto"/>
            <w:left w:val="none" w:sz="0" w:space="0" w:color="auto"/>
            <w:bottom w:val="none" w:sz="0" w:space="0" w:color="auto"/>
            <w:right w:val="none" w:sz="0" w:space="0" w:color="auto"/>
          </w:divBdr>
          <w:divsChild>
            <w:div w:id="2107337246">
              <w:marLeft w:val="150"/>
              <w:marRight w:val="150"/>
              <w:marTop w:val="0"/>
              <w:marBottom w:val="0"/>
              <w:divBdr>
                <w:top w:val="none" w:sz="0" w:space="0" w:color="auto"/>
                <w:left w:val="none" w:sz="0" w:space="0" w:color="auto"/>
                <w:bottom w:val="none" w:sz="0" w:space="0" w:color="auto"/>
                <w:right w:val="none" w:sz="0" w:space="0" w:color="auto"/>
              </w:divBdr>
              <w:divsChild>
                <w:div w:id="253709364">
                  <w:marLeft w:val="-2400"/>
                  <w:marRight w:val="0"/>
                  <w:marTop w:val="0"/>
                  <w:marBottom w:val="0"/>
                  <w:divBdr>
                    <w:top w:val="none" w:sz="0" w:space="0" w:color="auto"/>
                    <w:left w:val="none" w:sz="0" w:space="0" w:color="auto"/>
                    <w:bottom w:val="none" w:sz="0" w:space="0" w:color="auto"/>
                    <w:right w:val="none" w:sz="0" w:space="0" w:color="auto"/>
                  </w:divBdr>
                  <w:divsChild>
                    <w:div w:id="385496021">
                      <w:marLeft w:val="2400"/>
                      <w:marRight w:val="0"/>
                      <w:marTop w:val="0"/>
                      <w:marBottom w:val="0"/>
                      <w:divBdr>
                        <w:top w:val="none" w:sz="0" w:space="0" w:color="auto"/>
                        <w:left w:val="none" w:sz="0" w:space="0" w:color="auto"/>
                        <w:bottom w:val="none" w:sz="0" w:space="0" w:color="auto"/>
                        <w:right w:val="none" w:sz="0" w:space="0" w:color="auto"/>
                      </w:divBdr>
                      <w:divsChild>
                        <w:div w:id="1124615767">
                          <w:marLeft w:val="0"/>
                          <w:marRight w:val="-2400"/>
                          <w:marTop w:val="0"/>
                          <w:marBottom w:val="0"/>
                          <w:divBdr>
                            <w:top w:val="none" w:sz="0" w:space="0" w:color="auto"/>
                            <w:left w:val="none" w:sz="0" w:space="0" w:color="auto"/>
                            <w:bottom w:val="none" w:sz="0" w:space="0" w:color="auto"/>
                            <w:right w:val="none" w:sz="0" w:space="0" w:color="auto"/>
                          </w:divBdr>
                          <w:divsChild>
                            <w:div w:id="1132022467">
                              <w:marLeft w:val="0"/>
                              <w:marRight w:val="2400"/>
                              <w:marTop w:val="0"/>
                              <w:marBottom w:val="0"/>
                              <w:divBdr>
                                <w:top w:val="none" w:sz="0" w:space="0" w:color="auto"/>
                                <w:left w:val="none" w:sz="0" w:space="0" w:color="auto"/>
                                <w:bottom w:val="none" w:sz="0" w:space="0" w:color="auto"/>
                                <w:right w:val="none" w:sz="0" w:space="0" w:color="auto"/>
                              </w:divBdr>
                              <w:divsChild>
                                <w:div w:id="441919936">
                                  <w:marLeft w:val="0"/>
                                  <w:marRight w:val="0"/>
                                  <w:marTop w:val="0"/>
                                  <w:marBottom w:val="150"/>
                                  <w:divBdr>
                                    <w:top w:val="none" w:sz="0" w:space="0" w:color="auto"/>
                                    <w:left w:val="none" w:sz="0" w:space="0" w:color="auto"/>
                                    <w:bottom w:val="none" w:sz="0" w:space="0" w:color="auto"/>
                                    <w:right w:val="none" w:sz="0" w:space="0" w:color="auto"/>
                                  </w:divBdr>
                                  <w:divsChild>
                                    <w:div w:id="382951411">
                                      <w:marLeft w:val="0"/>
                                      <w:marRight w:val="0"/>
                                      <w:marTop w:val="0"/>
                                      <w:marBottom w:val="0"/>
                                      <w:divBdr>
                                        <w:top w:val="none" w:sz="0" w:space="0" w:color="auto"/>
                                        <w:left w:val="none" w:sz="0" w:space="0" w:color="auto"/>
                                        <w:bottom w:val="none" w:sz="0" w:space="0" w:color="auto"/>
                                        <w:right w:val="none" w:sz="0" w:space="0" w:color="auto"/>
                                      </w:divBdr>
                                      <w:divsChild>
                                        <w:div w:id="503057016">
                                          <w:marLeft w:val="0"/>
                                          <w:marRight w:val="0"/>
                                          <w:marTop w:val="0"/>
                                          <w:marBottom w:val="0"/>
                                          <w:divBdr>
                                            <w:top w:val="none" w:sz="0" w:space="0" w:color="auto"/>
                                            <w:left w:val="none" w:sz="0" w:space="0" w:color="auto"/>
                                            <w:bottom w:val="none" w:sz="0" w:space="0" w:color="auto"/>
                                            <w:right w:val="none" w:sz="0" w:space="0" w:color="auto"/>
                                          </w:divBdr>
                                          <w:divsChild>
                                            <w:div w:id="722675388">
                                              <w:marLeft w:val="0"/>
                                              <w:marRight w:val="0"/>
                                              <w:marTop w:val="0"/>
                                              <w:marBottom w:val="0"/>
                                              <w:divBdr>
                                                <w:top w:val="none" w:sz="0" w:space="0" w:color="auto"/>
                                                <w:left w:val="none" w:sz="0" w:space="0" w:color="auto"/>
                                                <w:bottom w:val="none" w:sz="0" w:space="0" w:color="auto"/>
                                                <w:right w:val="none" w:sz="0" w:space="0" w:color="auto"/>
                                              </w:divBdr>
                                              <w:divsChild>
                                                <w:div w:id="733090284">
                                                  <w:marLeft w:val="0"/>
                                                  <w:marRight w:val="0"/>
                                                  <w:marTop w:val="0"/>
                                                  <w:marBottom w:val="0"/>
                                                  <w:divBdr>
                                                    <w:top w:val="none" w:sz="0" w:space="0" w:color="auto"/>
                                                    <w:left w:val="none" w:sz="0" w:space="0" w:color="auto"/>
                                                    <w:bottom w:val="none" w:sz="0" w:space="0" w:color="auto"/>
                                                    <w:right w:val="none" w:sz="0" w:space="0" w:color="auto"/>
                                                  </w:divBdr>
                                                  <w:divsChild>
                                                    <w:div w:id="1251159591">
                                                      <w:marLeft w:val="0"/>
                                                      <w:marRight w:val="0"/>
                                                      <w:marTop w:val="0"/>
                                                      <w:marBottom w:val="0"/>
                                                      <w:divBdr>
                                                        <w:top w:val="none" w:sz="0" w:space="0" w:color="auto"/>
                                                        <w:left w:val="none" w:sz="0" w:space="0" w:color="auto"/>
                                                        <w:bottom w:val="none" w:sz="0" w:space="0" w:color="auto"/>
                                                        <w:right w:val="none" w:sz="0" w:space="0" w:color="auto"/>
                                                      </w:divBdr>
                                                      <w:divsChild>
                                                        <w:div w:id="17318773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78017816">
      <w:bodyDiv w:val="1"/>
      <w:marLeft w:val="0"/>
      <w:marRight w:val="0"/>
      <w:marTop w:val="0"/>
      <w:marBottom w:val="0"/>
      <w:divBdr>
        <w:top w:val="none" w:sz="0" w:space="0" w:color="auto"/>
        <w:left w:val="none" w:sz="0" w:space="0" w:color="auto"/>
        <w:bottom w:val="none" w:sz="0" w:space="0" w:color="auto"/>
        <w:right w:val="none" w:sz="0" w:space="0" w:color="auto"/>
      </w:divBdr>
    </w:div>
    <w:div w:id="2083672991">
      <w:bodyDiv w:val="1"/>
      <w:marLeft w:val="0"/>
      <w:marRight w:val="0"/>
      <w:marTop w:val="0"/>
      <w:marBottom w:val="0"/>
      <w:divBdr>
        <w:top w:val="none" w:sz="0" w:space="0" w:color="auto"/>
        <w:left w:val="none" w:sz="0" w:space="0" w:color="auto"/>
        <w:bottom w:val="none" w:sz="0" w:space="0" w:color="auto"/>
        <w:right w:val="none" w:sz="0" w:space="0" w:color="auto"/>
      </w:divBdr>
    </w:div>
    <w:div w:id="2119256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AF5AD-3C4C-423A-AEDC-580F9B896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955</Words>
  <Characters>5447</Characters>
  <Application>Microsoft Office Word</Application>
  <DocSecurity>0</DocSecurity>
  <Lines>45</Lines>
  <Paragraphs>12</Paragraphs>
  <ScaleCrop>false</ScaleCrop>
  <Company/>
  <LinksUpToDate>false</LinksUpToDate>
  <CharactersWithSpaces>6390</CharactersWithSpaces>
  <SharedDoc>false</SharedDoc>
  <HLinks>
    <vt:vector size="18" baseType="variant">
      <vt:variant>
        <vt:i4>1441841</vt:i4>
      </vt:variant>
      <vt:variant>
        <vt:i4>14</vt:i4>
      </vt:variant>
      <vt:variant>
        <vt:i4>0</vt:i4>
      </vt:variant>
      <vt:variant>
        <vt:i4>5</vt:i4>
      </vt:variant>
      <vt:variant>
        <vt:lpwstr/>
      </vt:variant>
      <vt:variant>
        <vt:lpwstr>_Toc194504496</vt:lpwstr>
      </vt:variant>
      <vt:variant>
        <vt:i4>1441841</vt:i4>
      </vt:variant>
      <vt:variant>
        <vt:i4>8</vt:i4>
      </vt:variant>
      <vt:variant>
        <vt:i4>0</vt:i4>
      </vt:variant>
      <vt:variant>
        <vt:i4>5</vt:i4>
      </vt:variant>
      <vt:variant>
        <vt:lpwstr/>
      </vt:variant>
      <vt:variant>
        <vt:lpwstr>_Toc194504495</vt:lpwstr>
      </vt:variant>
      <vt:variant>
        <vt:i4>1441841</vt:i4>
      </vt:variant>
      <vt:variant>
        <vt:i4>2</vt:i4>
      </vt:variant>
      <vt:variant>
        <vt:i4>0</vt:i4>
      </vt:variant>
      <vt:variant>
        <vt:i4>5</vt:i4>
      </vt:variant>
      <vt:variant>
        <vt:lpwstr/>
      </vt:variant>
      <vt:variant>
        <vt:lpwstr>_Toc194504494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財團法人中華顧問工程司98年度預算評估報告</dc:title>
  <dc:subject/>
  <dc:creator>aaa</dc:creator>
  <cp:keywords/>
  <cp:lastModifiedBy>Administrator</cp:lastModifiedBy>
  <cp:revision>2</cp:revision>
  <cp:lastPrinted>2025-04-15T08:02:00Z</cp:lastPrinted>
  <dcterms:created xsi:type="dcterms:W3CDTF">2025-04-23T06:21:00Z</dcterms:created>
  <dcterms:modified xsi:type="dcterms:W3CDTF">2025-04-23T06:21:00Z</dcterms:modified>
</cp:coreProperties>
</file>