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1F3362" w:rsidRDefault="00524C54" w:rsidP="001F3362">
      <w:pPr>
        <w:pStyle w:val="a9"/>
      </w:pPr>
      <w:bookmarkStart w:id="0" w:name="_GoBack"/>
      <w:bookmarkEnd w:id="0"/>
      <w:r w:rsidRPr="001F3362">
        <w:rPr>
          <w:rFonts w:hint="eastAsia"/>
        </w:rPr>
        <w:t>財團法人汽車交通事故特別補償基金114年度預算評估報告</w:t>
      </w:r>
    </w:p>
    <w:p w:rsidR="00524C54" w:rsidRPr="008003E9" w:rsidRDefault="00524C54" w:rsidP="008003E9">
      <w:pPr>
        <w:pStyle w:val="a7"/>
        <w:ind w:firstLine="566"/>
      </w:pPr>
      <w:bookmarkStart w:id="1" w:name="_Toc110417727"/>
      <w:r w:rsidRPr="008003E9">
        <w:rPr>
          <w:rFonts w:hint="eastAsia"/>
        </w:rPr>
        <w:t>財團法人汽車交通事故特別補償基金(以下稱特別補償基金)係依強制汽車責任保險法第38條規定設置，並於87年完成財團法人登記，其目的事業主管機關為金融監督管理委員會(以下稱金管會)，該基金設立目的係使汽車交通事故受害人均能依規定獲得基本保障及健全強制汽車責任保險制度。</w:t>
      </w:r>
    </w:p>
    <w:p w:rsidR="00524C54" w:rsidRPr="008003E9" w:rsidRDefault="00524C54" w:rsidP="008003E9">
      <w:pPr>
        <w:pStyle w:val="a7"/>
        <w:ind w:firstLine="566"/>
      </w:pPr>
      <w:r w:rsidRPr="008003E9">
        <w:rPr>
          <w:rFonts w:hint="eastAsia"/>
        </w:rPr>
        <w:t>特別補償基金114年度預算案編列收入6億8,199萬9千元，較113年度增加857萬6千元(增幅1.27%)；支出編列5億2,648萬8千元，較113年度減少5,066萬4千元(減幅8.78%)；收支相抵後預計賸餘1億5,551萬1千元，較113年度預算賸餘增加5</w:t>
      </w:r>
      <w:r w:rsidRPr="008003E9">
        <w:t>,924</w:t>
      </w:r>
      <w:r w:rsidRPr="008003E9">
        <w:rPr>
          <w:rFonts w:hint="eastAsia"/>
        </w:rPr>
        <w:t>萬元(</w:t>
      </w:r>
      <w:r w:rsidRPr="008003E9">
        <w:t>增</w:t>
      </w:r>
      <w:r w:rsidRPr="008003E9">
        <w:rPr>
          <w:rFonts w:hint="eastAsia"/>
        </w:rPr>
        <w:t>幅61.53%)。謹就特別補償基金114年度預算案評估如下：</w:t>
      </w:r>
    </w:p>
    <w:p w:rsidR="00ED5DD1" w:rsidRPr="00C262F0" w:rsidRDefault="003E2FD5" w:rsidP="00C262F0">
      <w:pPr>
        <w:pStyle w:val="14"/>
        <w:ind w:left="567" w:hanging="567"/>
      </w:pPr>
      <w:bookmarkStart w:id="2" w:name="_Toc195170377"/>
      <w:bookmarkEnd w:id="1"/>
      <w:r w:rsidRPr="00C262F0">
        <w:rPr>
          <w:rFonts w:hint="eastAsia"/>
        </w:rPr>
        <w:t>二、</w:t>
      </w:r>
      <w:r w:rsidR="00ED5DD1" w:rsidRPr="00C262F0">
        <w:rPr>
          <w:rFonts w:hint="eastAsia"/>
        </w:rPr>
        <w:t>114</w:t>
      </w:r>
      <w:r w:rsidR="00781B22" w:rsidRPr="00C262F0">
        <w:rPr>
          <w:rFonts w:hint="eastAsia"/>
        </w:rPr>
        <w:t>年度補償作業管理之營運目標</w:t>
      </w:r>
      <w:r w:rsidR="00ED5DD1" w:rsidRPr="00C262F0">
        <w:rPr>
          <w:rFonts w:hint="eastAsia"/>
        </w:rPr>
        <w:t>係按前5年度實際執行結果平均值加計1個標準差計算，允宜</w:t>
      </w:r>
      <w:r w:rsidR="00781B22" w:rsidRPr="00C262F0">
        <w:rPr>
          <w:rFonts w:hint="eastAsia"/>
        </w:rPr>
        <w:t>視實際辦理情形滾動檢討以訂定合理</w:t>
      </w:r>
      <w:r w:rsidR="00ED5DD1" w:rsidRPr="00C262F0">
        <w:rPr>
          <w:rFonts w:hint="eastAsia"/>
        </w:rPr>
        <w:t>衡量指標</w:t>
      </w:r>
      <w:r w:rsidR="00F81458" w:rsidRPr="00C262F0">
        <w:rPr>
          <w:rFonts w:hint="eastAsia"/>
        </w:rPr>
        <w:t>，俾利提升服務品質及縮短辦理時效</w:t>
      </w:r>
      <w:bookmarkEnd w:id="2"/>
    </w:p>
    <w:p w:rsidR="0097012F" w:rsidRPr="0096461D" w:rsidRDefault="00ED5DD1" w:rsidP="00ED5DD1">
      <w:pPr>
        <w:ind w:left="566" w:firstLine="566"/>
      </w:pPr>
      <w:r w:rsidRPr="0096461D">
        <w:rPr>
          <w:rFonts w:hint="eastAsia"/>
        </w:rPr>
        <w:t>強制汽車責任保險法之立法目的係為使汽車交通事故之受害人均能迅速獲得基本保障，故規定不論加害人有無過失，請求權人無須經加害人同意，或先與加害人和解，或經法院判決，即可依強制汽車責任保險法之給付標準及其他相關規定，向保險人請求保險給付或向特別補償基金請求補償</w:t>
      </w:r>
      <w:r>
        <w:rPr>
          <w:rStyle w:val="af2"/>
        </w:rPr>
        <w:footnoteReference w:id="1"/>
      </w:r>
      <w:r w:rsidR="000E7707" w:rsidRPr="0096461D">
        <w:rPr>
          <w:rFonts w:hint="eastAsia"/>
        </w:rPr>
        <w:t>。詢據特別</w:t>
      </w:r>
      <w:r w:rsidR="0097012F" w:rsidRPr="0096461D">
        <w:rPr>
          <w:rFonts w:hint="eastAsia"/>
        </w:rPr>
        <w:t>補償基金表示，114</w:t>
      </w:r>
      <w:r w:rsidR="00910E06">
        <w:rPr>
          <w:rFonts w:hint="eastAsia"/>
        </w:rPr>
        <w:t>年度補償作業管理之營運目標</w:t>
      </w:r>
      <w:r w:rsidR="00D00740">
        <w:rPr>
          <w:rFonts w:hint="eastAsia"/>
        </w:rPr>
        <w:t>為</w:t>
      </w:r>
      <w:r w:rsidR="0097012F" w:rsidRPr="0096461D">
        <w:rPr>
          <w:rFonts w:hint="eastAsia"/>
        </w:rPr>
        <w:t>補償案件平均處理時效(天)</w:t>
      </w:r>
      <w:r w:rsidR="0025594B">
        <w:rPr>
          <w:rFonts w:hint="eastAsia"/>
        </w:rPr>
        <w:t>、結案率、申訴及訴訟案件勝訴比率，</w:t>
      </w:r>
      <w:r w:rsidR="00D00740">
        <w:rPr>
          <w:rFonts w:hint="eastAsia"/>
        </w:rPr>
        <w:t>均</w:t>
      </w:r>
      <w:r w:rsidR="00910E06">
        <w:rPr>
          <w:rFonts w:hint="eastAsia"/>
        </w:rPr>
        <w:t>按</w:t>
      </w:r>
      <w:r w:rsidR="0097012F" w:rsidRPr="0096461D">
        <w:rPr>
          <w:rFonts w:hint="eastAsia"/>
        </w:rPr>
        <w:t>前5年度實際執行結果之平均值，再加計1個標準差計算，與以前年度</w:t>
      </w:r>
      <w:r w:rsidR="009500B4" w:rsidRPr="0096461D">
        <w:rPr>
          <w:rFonts w:hint="eastAsia"/>
        </w:rPr>
        <w:t>訂定</w:t>
      </w:r>
      <w:r w:rsidR="00AE6B9E">
        <w:rPr>
          <w:rFonts w:hint="eastAsia"/>
        </w:rPr>
        <w:t>特定</w:t>
      </w:r>
      <w:r w:rsidR="00910E06">
        <w:rPr>
          <w:rFonts w:hint="eastAsia"/>
        </w:rPr>
        <w:t>數值作為衡量標準</w:t>
      </w:r>
      <w:r w:rsidR="00AB1BE5">
        <w:rPr>
          <w:rFonts w:hint="eastAsia"/>
        </w:rPr>
        <w:t>之方式</w:t>
      </w:r>
      <w:r w:rsidR="009500B4" w:rsidRPr="0096461D">
        <w:rPr>
          <w:rFonts w:hint="eastAsia"/>
        </w:rPr>
        <w:t>有所不同。</w:t>
      </w:r>
    </w:p>
    <w:p w:rsidR="00BD2A61" w:rsidRDefault="0096461D" w:rsidP="0096461D">
      <w:pPr>
        <w:ind w:left="566" w:firstLine="566"/>
      </w:pPr>
      <w:r w:rsidRPr="0096461D">
        <w:rPr>
          <w:rFonts w:hint="eastAsia"/>
        </w:rPr>
        <w:t>為提升服</w:t>
      </w:r>
      <w:r w:rsidR="00077347">
        <w:rPr>
          <w:rFonts w:hint="eastAsia"/>
        </w:rPr>
        <w:t>務品質及縮短辦理時效，特別補償基金近年改善補</w:t>
      </w:r>
      <w:r w:rsidR="00077347">
        <w:rPr>
          <w:rFonts w:hint="eastAsia"/>
        </w:rPr>
        <w:lastRenderedPageBreak/>
        <w:t>償業務作業流程，</w:t>
      </w:r>
      <w:r w:rsidR="00457267" w:rsidRPr="00457267">
        <w:rPr>
          <w:rFonts w:hint="eastAsia"/>
        </w:rPr>
        <w:t>109與110年度實際申訴及訴訟案件勝訴比率分別為93.48%及91.43%</w:t>
      </w:r>
      <w:r w:rsidR="00AB1BE5">
        <w:rPr>
          <w:rFonts w:hint="eastAsia"/>
        </w:rPr>
        <w:t>，</w:t>
      </w:r>
      <w:r w:rsidR="00457267" w:rsidRPr="00457267">
        <w:rPr>
          <w:rFonts w:hint="eastAsia"/>
        </w:rPr>
        <w:t>未達各該年度目標值之96.91%</w:t>
      </w:r>
      <w:r w:rsidR="00457267">
        <w:rPr>
          <w:rFonts w:hint="eastAsia"/>
        </w:rPr>
        <w:t>。又</w:t>
      </w:r>
      <w:r w:rsidRPr="0096461D">
        <w:rPr>
          <w:rFonts w:hint="eastAsia"/>
        </w:rPr>
        <w:t>補償案件</w:t>
      </w:r>
      <w:r w:rsidR="00B06F63">
        <w:rPr>
          <w:rFonts w:hint="eastAsia"/>
        </w:rPr>
        <w:t>實際</w:t>
      </w:r>
      <w:r w:rsidR="00BD2A61">
        <w:rPr>
          <w:rFonts w:hint="eastAsia"/>
        </w:rPr>
        <w:t>平均處理時效</w:t>
      </w:r>
      <w:r w:rsidR="00371950">
        <w:rPr>
          <w:rFonts w:hint="eastAsia"/>
        </w:rPr>
        <w:t>雖</w:t>
      </w:r>
      <w:r w:rsidRPr="0096461D">
        <w:rPr>
          <w:rFonts w:hint="eastAsia"/>
        </w:rPr>
        <w:t>由</w:t>
      </w:r>
      <w:r w:rsidR="003C697D">
        <w:rPr>
          <w:rFonts w:hint="eastAsia"/>
        </w:rPr>
        <w:t>109</w:t>
      </w:r>
      <w:r w:rsidRPr="0096461D">
        <w:rPr>
          <w:rFonts w:hint="eastAsia"/>
        </w:rPr>
        <w:t>年度</w:t>
      </w:r>
      <w:r w:rsidR="003C697D">
        <w:rPr>
          <w:rFonts w:hint="eastAsia"/>
        </w:rPr>
        <w:t>10</w:t>
      </w:r>
      <w:r w:rsidRPr="0096461D">
        <w:rPr>
          <w:rFonts w:hint="eastAsia"/>
        </w:rPr>
        <w:t>.</w:t>
      </w:r>
      <w:r w:rsidR="003C697D">
        <w:rPr>
          <w:rFonts w:hint="eastAsia"/>
        </w:rPr>
        <w:t>1</w:t>
      </w:r>
      <w:r w:rsidRPr="0096461D">
        <w:rPr>
          <w:rFonts w:hint="eastAsia"/>
        </w:rPr>
        <w:t>2</w:t>
      </w:r>
      <w:r w:rsidR="007948DD">
        <w:rPr>
          <w:rFonts w:hint="eastAsia"/>
        </w:rPr>
        <w:t>日，降</w:t>
      </w:r>
      <w:r w:rsidRPr="0096461D">
        <w:rPr>
          <w:rFonts w:hint="eastAsia"/>
        </w:rPr>
        <w:t>至111年度5.42日，</w:t>
      </w:r>
      <w:r w:rsidR="00AB1BE5">
        <w:rPr>
          <w:rFonts w:hint="eastAsia"/>
        </w:rPr>
        <w:t>尚</w:t>
      </w:r>
      <w:r w:rsidR="00BD2A61">
        <w:rPr>
          <w:rFonts w:hint="eastAsia"/>
        </w:rPr>
        <w:t>達</w:t>
      </w:r>
      <w:r w:rsidR="00750BF2">
        <w:rPr>
          <w:rFonts w:hint="eastAsia"/>
        </w:rPr>
        <w:t>各該年度</w:t>
      </w:r>
      <w:r w:rsidR="007948DD">
        <w:rPr>
          <w:rFonts w:hint="eastAsia"/>
        </w:rPr>
        <w:t>目標值</w:t>
      </w:r>
      <w:r w:rsidR="006A5CC2">
        <w:rPr>
          <w:rFonts w:hint="eastAsia"/>
        </w:rPr>
        <w:t>且</w:t>
      </w:r>
      <w:r w:rsidRPr="0096461D">
        <w:rPr>
          <w:rFonts w:hint="eastAsia"/>
        </w:rPr>
        <w:t>效率</w:t>
      </w:r>
      <w:r w:rsidR="007948DD">
        <w:rPr>
          <w:rFonts w:hint="eastAsia"/>
        </w:rPr>
        <w:t>逐年</w:t>
      </w:r>
      <w:r w:rsidR="00BD2A61">
        <w:rPr>
          <w:rFonts w:hint="eastAsia"/>
        </w:rPr>
        <w:t>提升，</w:t>
      </w:r>
      <w:r w:rsidRPr="0096461D">
        <w:rPr>
          <w:rFonts w:hint="eastAsia"/>
        </w:rPr>
        <w:t>惟112</w:t>
      </w:r>
      <w:r w:rsidR="006A5CC2">
        <w:rPr>
          <w:rFonts w:hint="eastAsia"/>
        </w:rPr>
        <w:t>與</w:t>
      </w:r>
      <w:r w:rsidR="00C158D2">
        <w:rPr>
          <w:rFonts w:hint="eastAsia"/>
        </w:rPr>
        <w:t>113</w:t>
      </w:r>
      <w:r w:rsidR="00B06F63">
        <w:rPr>
          <w:rFonts w:hint="eastAsia"/>
        </w:rPr>
        <w:t>年度平均處理時效</w:t>
      </w:r>
      <w:r w:rsidR="0004292F">
        <w:rPr>
          <w:rFonts w:hint="eastAsia"/>
        </w:rPr>
        <w:t>各</w:t>
      </w:r>
      <w:r w:rsidR="00750BF2">
        <w:rPr>
          <w:rFonts w:hint="eastAsia"/>
        </w:rPr>
        <w:t>為5.61日</w:t>
      </w:r>
      <w:r w:rsidR="00C158D2">
        <w:rPr>
          <w:rFonts w:hint="eastAsia"/>
        </w:rPr>
        <w:t>及</w:t>
      </w:r>
      <w:r w:rsidR="0004292F">
        <w:rPr>
          <w:rFonts w:hint="eastAsia"/>
        </w:rPr>
        <w:t>5.4</w:t>
      </w:r>
      <w:r w:rsidR="00C158D2">
        <w:rPr>
          <w:rFonts w:hint="eastAsia"/>
        </w:rPr>
        <w:t>日</w:t>
      </w:r>
      <w:r w:rsidR="00750BF2">
        <w:rPr>
          <w:rFonts w:hint="eastAsia"/>
        </w:rPr>
        <w:t>，未達</w:t>
      </w:r>
      <w:r w:rsidR="00C158D2">
        <w:rPr>
          <w:rFonts w:hint="eastAsia"/>
        </w:rPr>
        <w:t>各</w:t>
      </w:r>
      <w:r w:rsidR="00750BF2">
        <w:rPr>
          <w:rFonts w:hint="eastAsia"/>
        </w:rPr>
        <w:t>該年度目標值4.84日</w:t>
      </w:r>
      <w:r w:rsidR="00371950" w:rsidRPr="00371950">
        <w:rPr>
          <w:rFonts w:hint="eastAsia"/>
        </w:rPr>
        <w:t>(詳表1)</w:t>
      </w:r>
      <w:r w:rsidR="00750BF2">
        <w:rPr>
          <w:rFonts w:hint="eastAsia"/>
        </w:rPr>
        <w:t>，</w:t>
      </w:r>
      <w:r w:rsidR="00371950">
        <w:rPr>
          <w:rFonts w:hint="eastAsia"/>
        </w:rPr>
        <w:t>容有精進空間</w:t>
      </w:r>
      <w:r w:rsidR="001F5FCB">
        <w:rPr>
          <w:rFonts w:hint="eastAsia"/>
        </w:rPr>
        <w:t>。</w:t>
      </w:r>
    </w:p>
    <w:p w:rsidR="00F30FB7" w:rsidRPr="00DD304D" w:rsidRDefault="00F30FB7" w:rsidP="00D41566">
      <w:pPr>
        <w:ind w:left="566" w:firstLine="566"/>
        <w:rPr>
          <w:color w:val="000000" w:themeColor="text1"/>
        </w:rPr>
      </w:pPr>
      <w:r>
        <w:t>綜上，</w:t>
      </w:r>
      <w:r w:rsidR="006E6AFE">
        <w:rPr>
          <w:rFonts w:hint="eastAsia"/>
        </w:rPr>
        <w:t>該基金訂定補償作業管理</w:t>
      </w:r>
      <w:r w:rsidR="00781B22">
        <w:rPr>
          <w:rFonts w:hint="eastAsia"/>
        </w:rPr>
        <w:t>營運目標</w:t>
      </w:r>
      <w:r w:rsidR="006E6AFE">
        <w:rPr>
          <w:rFonts w:hint="eastAsia"/>
        </w:rPr>
        <w:t>之方式</w:t>
      </w:r>
      <w:r w:rsidR="00D41566">
        <w:rPr>
          <w:rFonts w:hint="eastAsia"/>
        </w:rPr>
        <w:t>，113</w:t>
      </w:r>
      <w:r w:rsidR="0004292F">
        <w:rPr>
          <w:rFonts w:hint="eastAsia"/>
        </w:rPr>
        <w:t>年度(含)以前</w:t>
      </w:r>
      <w:r w:rsidR="00781B22">
        <w:rPr>
          <w:rFonts w:hint="eastAsia"/>
        </w:rPr>
        <w:t>為特定數值</w:t>
      </w:r>
      <w:r w:rsidR="00D41566">
        <w:rPr>
          <w:rFonts w:hint="eastAsia"/>
        </w:rPr>
        <w:t>，</w:t>
      </w:r>
      <w:r>
        <w:rPr>
          <w:rFonts w:hint="eastAsia"/>
        </w:rPr>
        <w:t>114</w:t>
      </w:r>
      <w:r w:rsidR="007371EB">
        <w:rPr>
          <w:rFonts w:hint="eastAsia"/>
        </w:rPr>
        <w:t>年度</w:t>
      </w:r>
      <w:r w:rsidR="00D41566">
        <w:rPr>
          <w:rFonts w:hint="eastAsia"/>
        </w:rPr>
        <w:t>改</w:t>
      </w:r>
      <w:r w:rsidRPr="00F30FB7">
        <w:rPr>
          <w:rFonts w:hint="eastAsia"/>
        </w:rPr>
        <w:t>按前5年度實際執行結果</w:t>
      </w:r>
      <w:r w:rsidR="007371EB">
        <w:rPr>
          <w:rFonts w:hint="eastAsia"/>
        </w:rPr>
        <w:t>之</w:t>
      </w:r>
      <w:r w:rsidRPr="00F30FB7">
        <w:rPr>
          <w:rFonts w:hint="eastAsia"/>
        </w:rPr>
        <w:t>平均值</w:t>
      </w:r>
      <w:r w:rsidR="007371EB">
        <w:rPr>
          <w:rFonts w:hint="eastAsia"/>
        </w:rPr>
        <w:t>，再</w:t>
      </w:r>
      <w:r w:rsidRPr="00F30FB7">
        <w:rPr>
          <w:rFonts w:hint="eastAsia"/>
        </w:rPr>
        <w:t>加計1個標準差計算</w:t>
      </w:r>
      <w:r w:rsidR="0004292F">
        <w:rPr>
          <w:rFonts w:hint="eastAsia"/>
        </w:rPr>
        <w:t>；</w:t>
      </w:r>
      <w:r w:rsidR="00781B22" w:rsidRPr="00781B22">
        <w:rPr>
          <w:rFonts w:hint="eastAsia"/>
        </w:rPr>
        <w:t>鑑於</w:t>
      </w:r>
      <w:r w:rsidR="00F54F60">
        <w:rPr>
          <w:rFonts w:hint="eastAsia"/>
        </w:rPr>
        <w:t>109</w:t>
      </w:r>
      <w:r w:rsidR="00781B22" w:rsidRPr="00781B22">
        <w:rPr>
          <w:rFonts w:hint="eastAsia"/>
        </w:rPr>
        <w:t>至</w:t>
      </w:r>
      <w:r w:rsidR="00F54F60">
        <w:rPr>
          <w:rFonts w:hint="eastAsia"/>
        </w:rPr>
        <w:t>113</w:t>
      </w:r>
      <w:r w:rsidR="00781B22" w:rsidRPr="00781B22">
        <w:rPr>
          <w:rFonts w:hint="eastAsia"/>
        </w:rPr>
        <w:t>年度特別補償基金辦理補償案件之平均處理時效、申訴及訴訟案件勝訴比率，間有未達目標值之情事，</w:t>
      </w:r>
      <w:r w:rsidR="00781B22" w:rsidRPr="00781B22">
        <w:rPr>
          <w:rFonts w:hint="eastAsia"/>
          <w:color w:val="000000" w:themeColor="text1"/>
        </w:rPr>
        <w:t>允宜視實際辦理情形滾動檢討衡量指標</w:t>
      </w:r>
      <w:r w:rsidR="00781B22">
        <w:rPr>
          <w:rFonts w:hint="eastAsia"/>
          <w:color w:val="000000" w:themeColor="text1"/>
        </w:rPr>
        <w:t>之合理性</w:t>
      </w:r>
      <w:r w:rsidR="00F81458">
        <w:rPr>
          <w:rFonts w:hint="eastAsia"/>
          <w:color w:val="000000" w:themeColor="text1"/>
        </w:rPr>
        <w:t>，</w:t>
      </w:r>
      <w:r w:rsidR="00781B22" w:rsidRPr="00781B22">
        <w:rPr>
          <w:rFonts w:hint="eastAsia"/>
          <w:color w:val="000000" w:themeColor="text1"/>
        </w:rPr>
        <w:t>以提升服務品質及縮短辦理時效</w:t>
      </w:r>
      <w:r w:rsidR="00F81458">
        <w:rPr>
          <w:rFonts w:hint="eastAsia"/>
          <w:color w:val="000000" w:themeColor="text1"/>
        </w:rPr>
        <w:t>。</w:t>
      </w:r>
    </w:p>
    <w:p w:rsidR="002632B6" w:rsidRPr="001F52DE" w:rsidRDefault="002632B6" w:rsidP="00E9634F">
      <w:pPr>
        <w:pStyle w:val="afc"/>
        <w:ind w:left="778" w:hanging="778"/>
        <w:rPr>
          <w:spacing w:val="-12"/>
        </w:rPr>
      </w:pPr>
      <w:r w:rsidRPr="001F52DE">
        <w:rPr>
          <w:rFonts w:hint="eastAsia"/>
          <w:spacing w:val="-12"/>
        </w:rPr>
        <w:t xml:space="preserve">表1  </w:t>
      </w:r>
      <w:r w:rsidR="00DA6A25">
        <w:rPr>
          <w:rFonts w:hint="eastAsia"/>
          <w:spacing w:val="-12"/>
        </w:rPr>
        <w:t>109</w:t>
      </w:r>
      <w:r w:rsidRPr="001F52DE">
        <w:rPr>
          <w:rFonts w:hint="eastAsia"/>
          <w:spacing w:val="-12"/>
        </w:rPr>
        <w:t>至</w:t>
      </w:r>
      <w:r w:rsidR="00DA6A25">
        <w:rPr>
          <w:rFonts w:hint="eastAsia"/>
          <w:spacing w:val="-12"/>
        </w:rPr>
        <w:t>113</w:t>
      </w:r>
      <w:r w:rsidRPr="001F52DE">
        <w:rPr>
          <w:rFonts w:hint="eastAsia"/>
          <w:spacing w:val="-12"/>
        </w:rPr>
        <w:t>年度特別補償基金辦理補償案件平均處理時效及結案情形表</w:t>
      </w:r>
    </w:p>
    <w:p w:rsidR="002632B6" w:rsidRPr="00E9634F" w:rsidRDefault="00D4182B" w:rsidP="00E9634F">
      <w:pPr>
        <w:pStyle w:val="afa"/>
      </w:pPr>
      <w:r w:rsidRPr="00E9634F">
        <w:rPr>
          <w:rFonts w:hint="eastAsia"/>
        </w:rPr>
        <w:t>單位：日；%</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01"/>
        <w:gridCol w:w="1701"/>
        <w:gridCol w:w="1701"/>
        <w:gridCol w:w="1701"/>
      </w:tblGrid>
      <w:tr w:rsidR="00E9634F" w:rsidRPr="007F5C8F" w:rsidTr="005E01D8">
        <w:trPr>
          <w:tblHeader/>
        </w:trPr>
        <w:tc>
          <w:tcPr>
            <w:tcW w:w="1701" w:type="dxa"/>
            <w:vMerge w:val="restart"/>
            <w:vAlign w:val="center"/>
          </w:tcPr>
          <w:p w:rsidR="00E9634F" w:rsidRPr="007F5C8F" w:rsidRDefault="00E9634F" w:rsidP="005E01D8">
            <w:pPr>
              <w:pStyle w:val="141"/>
              <w:ind w:left="647" w:hanging="647"/>
              <w:jc w:val="center"/>
              <w:rPr>
                <w:b/>
              </w:rPr>
            </w:pPr>
            <w:r>
              <w:rPr>
                <w:rFonts w:hint="eastAsia"/>
                <w:b/>
              </w:rPr>
              <w:t>年度</w:t>
            </w:r>
          </w:p>
        </w:tc>
        <w:tc>
          <w:tcPr>
            <w:tcW w:w="3402" w:type="dxa"/>
            <w:gridSpan w:val="2"/>
            <w:vAlign w:val="center"/>
          </w:tcPr>
          <w:p w:rsidR="00E9634F" w:rsidRPr="007F5C8F" w:rsidRDefault="00E9634F" w:rsidP="005E01D8">
            <w:pPr>
              <w:pStyle w:val="141"/>
              <w:jc w:val="center"/>
              <w:rPr>
                <w:b/>
              </w:rPr>
            </w:pPr>
            <w:r>
              <w:rPr>
                <w:rFonts w:hint="eastAsia"/>
                <w:b/>
              </w:rPr>
              <w:t>補償案件平均處理時效</w:t>
            </w:r>
          </w:p>
        </w:tc>
        <w:tc>
          <w:tcPr>
            <w:tcW w:w="3402" w:type="dxa"/>
            <w:gridSpan w:val="2"/>
            <w:vAlign w:val="center"/>
          </w:tcPr>
          <w:p w:rsidR="00E9634F" w:rsidRPr="007F5C8F" w:rsidRDefault="00E9634F" w:rsidP="005E01D8">
            <w:pPr>
              <w:pStyle w:val="141"/>
              <w:jc w:val="center"/>
              <w:rPr>
                <w:b/>
              </w:rPr>
            </w:pPr>
            <w:r>
              <w:rPr>
                <w:rFonts w:hint="eastAsia"/>
                <w:b/>
              </w:rPr>
              <w:t>申訴及訴訟案件勝訴比率</w:t>
            </w:r>
          </w:p>
        </w:tc>
      </w:tr>
      <w:tr w:rsidR="00E9634F" w:rsidRPr="007F5C8F" w:rsidTr="005E01D8">
        <w:trPr>
          <w:tblHeader/>
        </w:trPr>
        <w:tc>
          <w:tcPr>
            <w:tcW w:w="1701" w:type="dxa"/>
            <w:vMerge/>
            <w:vAlign w:val="center"/>
          </w:tcPr>
          <w:p w:rsidR="00E9634F" w:rsidRPr="007F5C8F" w:rsidRDefault="00E9634F" w:rsidP="005E01D8">
            <w:pPr>
              <w:pStyle w:val="141"/>
              <w:ind w:left="647" w:hanging="647"/>
              <w:jc w:val="center"/>
              <w:rPr>
                <w:b/>
              </w:rPr>
            </w:pPr>
          </w:p>
        </w:tc>
        <w:tc>
          <w:tcPr>
            <w:tcW w:w="1701" w:type="dxa"/>
            <w:vAlign w:val="center"/>
          </w:tcPr>
          <w:p w:rsidR="00E9634F" w:rsidRPr="007F5C8F" w:rsidRDefault="00E9634F" w:rsidP="005E01D8">
            <w:pPr>
              <w:pStyle w:val="141"/>
              <w:jc w:val="center"/>
              <w:rPr>
                <w:b/>
              </w:rPr>
            </w:pPr>
            <w:r>
              <w:rPr>
                <w:rFonts w:hint="eastAsia"/>
                <w:b/>
              </w:rPr>
              <w:t>目標值</w:t>
            </w:r>
          </w:p>
        </w:tc>
        <w:tc>
          <w:tcPr>
            <w:tcW w:w="1701" w:type="dxa"/>
            <w:vAlign w:val="center"/>
          </w:tcPr>
          <w:p w:rsidR="00E9634F" w:rsidRPr="007F5C8F" w:rsidRDefault="00E9634F" w:rsidP="005E01D8">
            <w:pPr>
              <w:pStyle w:val="141"/>
              <w:jc w:val="center"/>
              <w:rPr>
                <w:b/>
              </w:rPr>
            </w:pPr>
            <w:r>
              <w:rPr>
                <w:rFonts w:hint="eastAsia"/>
                <w:b/>
              </w:rPr>
              <w:t>實際值</w:t>
            </w:r>
          </w:p>
        </w:tc>
        <w:tc>
          <w:tcPr>
            <w:tcW w:w="1701" w:type="dxa"/>
            <w:vAlign w:val="center"/>
          </w:tcPr>
          <w:p w:rsidR="00E9634F" w:rsidRPr="007F5C8F" w:rsidRDefault="00E9634F" w:rsidP="005E01D8">
            <w:pPr>
              <w:pStyle w:val="141"/>
              <w:jc w:val="center"/>
              <w:rPr>
                <w:b/>
              </w:rPr>
            </w:pPr>
            <w:r>
              <w:rPr>
                <w:rFonts w:hint="eastAsia"/>
                <w:b/>
              </w:rPr>
              <w:t>目標值</w:t>
            </w:r>
          </w:p>
        </w:tc>
        <w:tc>
          <w:tcPr>
            <w:tcW w:w="1701" w:type="dxa"/>
            <w:vAlign w:val="center"/>
          </w:tcPr>
          <w:p w:rsidR="00E9634F" w:rsidRPr="007F5C8F" w:rsidRDefault="00E9634F" w:rsidP="005E01D8">
            <w:pPr>
              <w:pStyle w:val="141"/>
              <w:jc w:val="center"/>
              <w:rPr>
                <w:b/>
              </w:rPr>
            </w:pPr>
            <w:r>
              <w:rPr>
                <w:rFonts w:hint="eastAsia"/>
                <w:b/>
              </w:rPr>
              <w:t>實際值</w:t>
            </w:r>
          </w:p>
        </w:tc>
      </w:tr>
      <w:tr w:rsidR="008D37A5" w:rsidTr="00E9634F">
        <w:tc>
          <w:tcPr>
            <w:tcW w:w="1701" w:type="dxa"/>
            <w:vAlign w:val="center"/>
          </w:tcPr>
          <w:p w:rsidR="008D37A5" w:rsidRPr="007F5C8F" w:rsidRDefault="008D37A5" w:rsidP="008D37A5">
            <w:pPr>
              <w:pStyle w:val="141"/>
              <w:jc w:val="center"/>
            </w:pPr>
            <w:r>
              <w:rPr>
                <w:rFonts w:hint="eastAsia"/>
              </w:rPr>
              <w:t>109</w:t>
            </w:r>
          </w:p>
        </w:tc>
        <w:tc>
          <w:tcPr>
            <w:tcW w:w="1701" w:type="dxa"/>
            <w:vAlign w:val="center"/>
          </w:tcPr>
          <w:p w:rsidR="008D37A5" w:rsidRPr="007F5C8F" w:rsidRDefault="008D37A5" w:rsidP="008D37A5">
            <w:pPr>
              <w:pStyle w:val="141"/>
              <w:jc w:val="right"/>
            </w:pPr>
            <w:r>
              <w:rPr>
                <w:rFonts w:hint="eastAsia"/>
              </w:rPr>
              <w:t>17.52</w:t>
            </w:r>
          </w:p>
        </w:tc>
        <w:tc>
          <w:tcPr>
            <w:tcW w:w="1701" w:type="dxa"/>
            <w:vAlign w:val="center"/>
          </w:tcPr>
          <w:p w:rsidR="008D37A5" w:rsidRPr="007F5C8F" w:rsidRDefault="008D37A5" w:rsidP="008D37A5">
            <w:pPr>
              <w:pStyle w:val="141"/>
              <w:jc w:val="right"/>
            </w:pPr>
            <w:r>
              <w:rPr>
                <w:rFonts w:hint="eastAsia"/>
              </w:rPr>
              <w:t>10.12</w:t>
            </w:r>
          </w:p>
        </w:tc>
        <w:tc>
          <w:tcPr>
            <w:tcW w:w="1701" w:type="dxa"/>
            <w:vAlign w:val="center"/>
          </w:tcPr>
          <w:p w:rsidR="008D37A5" w:rsidRPr="007F5C8F" w:rsidRDefault="008D37A5" w:rsidP="008D37A5">
            <w:pPr>
              <w:pStyle w:val="141"/>
              <w:jc w:val="right"/>
            </w:pPr>
            <w:r>
              <w:rPr>
                <w:rFonts w:hint="eastAsia"/>
              </w:rPr>
              <w:t>96.91</w:t>
            </w:r>
          </w:p>
        </w:tc>
        <w:tc>
          <w:tcPr>
            <w:tcW w:w="1701" w:type="dxa"/>
            <w:vAlign w:val="center"/>
          </w:tcPr>
          <w:p w:rsidR="008D37A5" w:rsidRPr="007F5C8F" w:rsidRDefault="008D37A5" w:rsidP="008D37A5">
            <w:pPr>
              <w:pStyle w:val="141"/>
              <w:jc w:val="right"/>
            </w:pPr>
            <w:r w:rsidRPr="009A156F">
              <w:rPr>
                <w:rFonts w:hint="eastAsia"/>
                <w:shd w:val="pct15" w:color="auto" w:fill="FFFFFF"/>
              </w:rPr>
              <w:t>93.48</w:t>
            </w:r>
          </w:p>
        </w:tc>
      </w:tr>
      <w:tr w:rsidR="008D37A5" w:rsidTr="00E9634F">
        <w:tc>
          <w:tcPr>
            <w:tcW w:w="1701" w:type="dxa"/>
            <w:vAlign w:val="center"/>
          </w:tcPr>
          <w:p w:rsidR="008D37A5" w:rsidRPr="007F5C8F" w:rsidRDefault="008D37A5" w:rsidP="008D37A5">
            <w:pPr>
              <w:pStyle w:val="141"/>
              <w:jc w:val="center"/>
            </w:pPr>
            <w:r>
              <w:rPr>
                <w:rFonts w:hint="eastAsia"/>
              </w:rPr>
              <w:t>110</w:t>
            </w:r>
          </w:p>
        </w:tc>
        <w:tc>
          <w:tcPr>
            <w:tcW w:w="1701" w:type="dxa"/>
            <w:vAlign w:val="center"/>
          </w:tcPr>
          <w:p w:rsidR="008D37A5" w:rsidRPr="007F5C8F" w:rsidRDefault="008D37A5" w:rsidP="008D37A5">
            <w:pPr>
              <w:pStyle w:val="141"/>
              <w:jc w:val="right"/>
            </w:pPr>
            <w:r>
              <w:rPr>
                <w:rFonts w:hint="eastAsia"/>
              </w:rPr>
              <w:t>15.38</w:t>
            </w:r>
          </w:p>
        </w:tc>
        <w:tc>
          <w:tcPr>
            <w:tcW w:w="1701" w:type="dxa"/>
            <w:vAlign w:val="center"/>
          </w:tcPr>
          <w:p w:rsidR="008D37A5" w:rsidRPr="007F5C8F" w:rsidRDefault="008D37A5" w:rsidP="008D37A5">
            <w:pPr>
              <w:pStyle w:val="141"/>
              <w:jc w:val="right"/>
            </w:pPr>
            <w:r>
              <w:rPr>
                <w:rFonts w:hint="eastAsia"/>
              </w:rPr>
              <w:t>8.10</w:t>
            </w:r>
          </w:p>
        </w:tc>
        <w:tc>
          <w:tcPr>
            <w:tcW w:w="1701" w:type="dxa"/>
            <w:vAlign w:val="center"/>
          </w:tcPr>
          <w:p w:rsidR="008D37A5" w:rsidRPr="007F5C8F" w:rsidRDefault="008D37A5" w:rsidP="008D37A5">
            <w:pPr>
              <w:pStyle w:val="141"/>
              <w:jc w:val="right"/>
            </w:pPr>
            <w:r>
              <w:rPr>
                <w:rFonts w:hint="eastAsia"/>
              </w:rPr>
              <w:t>96.91</w:t>
            </w:r>
          </w:p>
        </w:tc>
        <w:tc>
          <w:tcPr>
            <w:tcW w:w="1701" w:type="dxa"/>
            <w:vAlign w:val="center"/>
          </w:tcPr>
          <w:p w:rsidR="008D37A5" w:rsidRPr="007F5C8F" w:rsidRDefault="008D37A5" w:rsidP="008D37A5">
            <w:pPr>
              <w:pStyle w:val="141"/>
              <w:jc w:val="right"/>
            </w:pPr>
            <w:r w:rsidRPr="009A156F">
              <w:rPr>
                <w:rFonts w:hint="eastAsia"/>
                <w:shd w:val="pct15" w:color="auto" w:fill="FFFFFF"/>
              </w:rPr>
              <w:t>91.43</w:t>
            </w:r>
          </w:p>
        </w:tc>
      </w:tr>
      <w:tr w:rsidR="008D37A5" w:rsidTr="00E9634F">
        <w:tc>
          <w:tcPr>
            <w:tcW w:w="1701" w:type="dxa"/>
            <w:vAlign w:val="center"/>
          </w:tcPr>
          <w:p w:rsidR="008D37A5" w:rsidRPr="007F5C8F" w:rsidRDefault="008D37A5" w:rsidP="008D37A5">
            <w:pPr>
              <w:pStyle w:val="141"/>
              <w:jc w:val="center"/>
            </w:pPr>
            <w:r>
              <w:rPr>
                <w:rFonts w:hint="eastAsia"/>
              </w:rPr>
              <w:t>111</w:t>
            </w:r>
          </w:p>
        </w:tc>
        <w:tc>
          <w:tcPr>
            <w:tcW w:w="1701" w:type="dxa"/>
            <w:vAlign w:val="center"/>
          </w:tcPr>
          <w:p w:rsidR="008D37A5" w:rsidRPr="007F5C8F" w:rsidRDefault="008D37A5" w:rsidP="008D37A5">
            <w:pPr>
              <w:pStyle w:val="141"/>
              <w:jc w:val="right"/>
            </w:pPr>
            <w:r>
              <w:rPr>
                <w:rFonts w:hint="eastAsia"/>
              </w:rPr>
              <w:t>6.69</w:t>
            </w:r>
          </w:p>
        </w:tc>
        <w:tc>
          <w:tcPr>
            <w:tcW w:w="1701" w:type="dxa"/>
            <w:vAlign w:val="center"/>
          </w:tcPr>
          <w:p w:rsidR="008D37A5" w:rsidRPr="007F5C8F" w:rsidRDefault="008D37A5" w:rsidP="008D37A5">
            <w:pPr>
              <w:pStyle w:val="141"/>
              <w:jc w:val="right"/>
            </w:pPr>
            <w:r>
              <w:rPr>
                <w:rFonts w:hint="eastAsia"/>
              </w:rPr>
              <w:t>5.42</w:t>
            </w:r>
          </w:p>
        </w:tc>
        <w:tc>
          <w:tcPr>
            <w:tcW w:w="1701" w:type="dxa"/>
            <w:vAlign w:val="center"/>
          </w:tcPr>
          <w:p w:rsidR="008D37A5" w:rsidRPr="007F5C8F" w:rsidRDefault="008D37A5" w:rsidP="008D37A5">
            <w:pPr>
              <w:pStyle w:val="141"/>
              <w:jc w:val="right"/>
            </w:pPr>
            <w:r>
              <w:rPr>
                <w:rFonts w:hint="eastAsia"/>
              </w:rPr>
              <w:t>96.91</w:t>
            </w:r>
          </w:p>
        </w:tc>
        <w:tc>
          <w:tcPr>
            <w:tcW w:w="1701" w:type="dxa"/>
            <w:vAlign w:val="center"/>
          </w:tcPr>
          <w:p w:rsidR="008D37A5" w:rsidRPr="007F5C8F" w:rsidRDefault="008D37A5" w:rsidP="008D37A5">
            <w:pPr>
              <w:pStyle w:val="141"/>
              <w:jc w:val="right"/>
            </w:pPr>
            <w:r>
              <w:rPr>
                <w:rFonts w:hint="eastAsia"/>
              </w:rPr>
              <w:t>100.00</w:t>
            </w:r>
          </w:p>
        </w:tc>
      </w:tr>
      <w:tr w:rsidR="008D37A5" w:rsidTr="00E9634F">
        <w:tc>
          <w:tcPr>
            <w:tcW w:w="1701" w:type="dxa"/>
            <w:vAlign w:val="center"/>
          </w:tcPr>
          <w:p w:rsidR="008D37A5" w:rsidRPr="007F5C8F" w:rsidRDefault="008D37A5" w:rsidP="008D37A5">
            <w:pPr>
              <w:pStyle w:val="141"/>
              <w:jc w:val="center"/>
            </w:pPr>
            <w:r>
              <w:rPr>
                <w:rFonts w:hint="eastAsia"/>
              </w:rPr>
              <w:t>112</w:t>
            </w:r>
          </w:p>
        </w:tc>
        <w:tc>
          <w:tcPr>
            <w:tcW w:w="1701" w:type="dxa"/>
            <w:vAlign w:val="center"/>
          </w:tcPr>
          <w:p w:rsidR="008D37A5" w:rsidRPr="007F5C8F" w:rsidRDefault="008D37A5" w:rsidP="008D37A5">
            <w:pPr>
              <w:pStyle w:val="141"/>
              <w:jc w:val="right"/>
            </w:pPr>
            <w:r>
              <w:rPr>
                <w:rFonts w:hint="eastAsia"/>
              </w:rPr>
              <w:t>4.84</w:t>
            </w:r>
          </w:p>
        </w:tc>
        <w:tc>
          <w:tcPr>
            <w:tcW w:w="1701" w:type="dxa"/>
            <w:vAlign w:val="center"/>
          </w:tcPr>
          <w:p w:rsidR="008D37A5" w:rsidRPr="007F5C8F" w:rsidRDefault="008D37A5" w:rsidP="008D37A5">
            <w:pPr>
              <w:pStyle w:val="141"/>
              <w:jc w:val="right"/>
            </w:pPr>
            <w:r w:rsidRPr="009A156F">
              <w:rPr>
                <w:rFonts w:hint="eastAsia"/>
                <w:shd w:val="pct15" w:color="auto" w:fill="FFFFFF"/>
              </w:rPr>
              <w:t>5.61</w:t>
            </w:r>
          </w:p>
        </w:tc>
        <w:tc>
          <w:tcPr>
            <w:tcW w:w="1701" w:type="dxa"/>
            <w:vAlign w:val="center"/>
          </w:tcPr>
          <w:p w:rsidR="008D37A5" w:rsidRPr="007F5C8F" w:rsidRDefault="008D37A5" w:rsidP="008D37A5">
            <w:pPr>
              <w:pStyle w:val="141"/>
              <w:jc w:val="right"/>
            </w:pPr>
            <w:r>
              <w:rPr>
                <w:rFonts w:hint="eastAsia"/>
              </w:rPr>
              <w:t>96.91</w:t>
            </w:r>
          </w:p>
        </w:tc>
        <w:tc>
          <w:tcPr>
            <w:tcW w:w="1701" w:type="dxa"/>
            <w:vAlign w:val="center"/>
          </w:tcPr>
          <w:p w:rsidR="008D37A5" w:rsidRPr="007F5C8F" w:rsidRDefault="008D37A5" w:rsidP="008D37A5">
            <w:pPr>
              <w:pStyle w:val="141"/>
              <w:jc w:val="right"/>
            </w:pPr>
            <w:r>
              <w:rPr>
                <w:rFonts w:hint="eastAsia"/>
              </w:rPr>
              <w:t>100.00</w:t>
            </w:r>
          </w:p>
        </w:tc>
      </w:tr>
      <w:tr w:rsidR="0060519E" w:rsidTr="00E9634F">
        <w:tc>
          <w:tcPr>
            <w:tcW w:w="1701" w:type="dxa"/>
            <w:vAlign w:val="center"/>
          </w:tcPr>
          <w:p w:rsidR="0060519E" w:rsidRDefault="0060519E" w:rsidP="008D37A5">
            <w:pPr>
              <w:pStyle w:val="141"/>
              <w:jc w:val="center"/>
            </w:pPr>
            <w:r>
              <w:rPr>
                <w:rFonts w:hint="eastAsia"/>
              </w:rPr>
              <w:t>1</w:t>
            </w:r>
            <w:r>
              <w:t>13</w:t>
            </w:r>
          </w:p>
        </w:tc>
        <w:tc>
          <w:tcPr>
            <w:tcW w:w="1701" w:type="dxa"/>
            <w:vAlign w:val="center"/>
          </w:tcPr>
          <w:p w:rsidR="0060519E" w:rsidRDefault="0060519E" w:rsidP="008D37A5">
            <w:pPr>
              <w:pStyle w:val="141"/>
              <w:jc w:val="right"/>
            </w:pPr>
            <w:r>
              <w:rPr>
                <w:rFonts w:hint="eastAsia"/>
              </w:rPr>
              <w:t>4</w:t>
            </w:r>
            <w:r>
              <w:t>.84</w:t>
            </w:r>
          </w:p>
        </w:tc>
        <w:tc>
          <w:tcPr>
            <w:tcW w:w="1701" w:type="dxa"/>
            <w:vAlign w:val="center"/>
          </w:tcPr>
          <w:p w:rsidR="0060519E" w:rsidRPr="009A156F" w:rsidRDefault="0060519E" w:rsidP="008D37A5">
            <w:pPr>
              <w:pStyle w:val="141"/>
              <w:jc w:val="right"/>
              <w:rPr>
                <w:shd w:val="pct15" w:color="auto" w:fill="FFFFFF"/>
              </w:rPr>
            </w:pPr>
            <w:r>
              <w:rPr>
                <w:rFonts w:hint="eastAsia"/>
                <w:shd w:val="pct15" w:color="auto" w:fill="FFFFFF"/>
              </w:rPr>
              <w:t>5</w:t>
            </w:r>
            <w:r>
              <w:rPr>
                <w:shd w:val="pct15" w:color="auto" w:fill="FFFFFF"/>
              </w:rPr>
              <w:t>.40</w:t>
            </w:r>
          </w:p>
        </w:tc>
        <w:tc>
          <w:tcPr>
            <w:tcW w:w="1701" w:type="dxa"/>
            <w:vAlign w:val="center"/>
          </w:tcPr>
          <w:p w:rsidR="0060519E" w:rsidRDefault="0060519E" w:rsidP="0060519E">
            <w:pPr>
              <w:pStyle w:val="141"/>
              <w:jc w:val="right"/>
            </w:pPr>
            <w:r>
              <w:rPr>
                <w:rFonts w:hint="eastAsia"/>
              </w:rPr>
              <w:t>9</w:t>
            </w:r>
            <w:r>
              <w:t>6.91</w:t>
            </w:r>
          </w:p>
        </w:tc>
        <w:tc>
          <w:tcPr>
            <w:tcW w:w="1701" w:type="dxa"/>
            <w:vAlign w:val="center"/>
          </w:tcPr>
          <w:p w:rsidR="0060519E" w:rsidRDefault="0060519E" w:rsidP="008D37A5">
            <w:pPr>
              <w:pStyle w:val="141"/>
              <w:jc w:val="right"/>
            </w:pPr>
            <w:r>
              <w:rPr>
                <w:rFonts w:hint="eastAsia"/>
              </w:rPr>
              <w:t>1</w:t>
            </w:r>
            <w:r>
              <w:t>00.00</w:t>
            </w:r>
          </w:p>
        </w:tc>
      </w:tr>
    </w:tbl>
    <w:p w:rsidR="002632B6" w:rsidRDefault="00B911FB" w:rsidP="00B911FB">
      <w:pPr>
        <w:pStyle w:val="afb"/>
      </w:pPr>
      <w:r>
        <w:rPr>
          <w:rFonts w:hint="eastAsia"/>
        </w:rPr>
        <w:t>資料來源：特別補償基金提供。</w:t>
      </w:r>
    </w:p>
    <w:sectPr w:rsidR="002632B6"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8A9" w:rsidRDefault="00B338A9" w:rsidP="009B732E">
      <w:pPr>
        <w:spacing w:line="240" w:lineRule="auto"/>
        <w:ind w:left="560" w:firstLine="560"/>
      </w:pPr>
      <w:r>
        <w:separator/>
      </w:r>
    </w:p>
  </w:endnote>
  <w:endnote w:type="continuationSeparator" w:id="0">
    <w:p w:rsidR="00B338A9" w:rsidRDefault="00B338A9"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383CE2" w:rsidP="00CF4C14">
    <w:pPr>
      <w:pStyle w:val="ae"/>
      <w:tabs>
        <w:tab w:val="clear" w:pos="4153"/>
        <w:tab w:val="clear" w:pos="8306"/>
      </w:tabs>
      <w:ind w:leftChars="0" w:left="566" w:firstLineChars="3" w:firstLine="6"/>
      <w:jc w:val="center"/>
    </w:pPr>
    <w:r w:rsidRPr="00383CE2">
      <w:t>48-</w:t>
    </w:r>
    <w:r w:rsidR="00C32F75">
      <w:fldChar w:fldCharType="begin"/>
    </w:r>
    <w:r w:rsidR="00C32F75">
      <w:instrText>PAGE   \* MERGEFORMAT</w:instrText>
    </w:r>
    <w:r w:rsidR="00C32F75">
      <w:fldChar w:fldCharType="separate"/>
    </w:r>
    <w:r w:rsidR="0008192A" w:rsidRPr="0008192A">
      <w:rPr>
        <w:noProof/>
        <w:lang w:val="zh-TW"/>
      </w:rPr>
      <w:t>2</w:t>
    </w:r>
    <w:r w:rsidR="00C32F7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8A9" w:rsidRDefault="00B338A9" w:rsidP="009B732E">
      <w:pPr>
        <w:spacing w:line="240" w:lineRule="auto"/>
        <w:ind w:left="560" w:firstLine="560"/>
      </w:pPr>
      <w:r>
        <w:separator/>
      </w:r>
    </w:p>
  </w:footnote>
  <w:footnote w:type="continuationSeparator" w:id="0">
    <w:p w:rsidR="00B338A9" w:rsidRDefault="00B338A9" w:rsidP="009B732E">
      <w:pPr>
        <w:spacing w:line="240" w:lineRule="auto"/>
        <w:ind w:left="560" w:firstLine="560"/>
      </w:pPr>
      <w:r>
        <w:continuationSeparator/>
      </w:r>
    </w:p>
  </w:footnote>
  <w:footnote w:id="1">
    <w:p w:rsidR="00ED5DD1" w:rsidRPr="000E7707" w:rsidRDefault="00ED5DD1" w:rsidP="00CE22A6">
      <w:pPr>
        <w:pStyle w:val="144"/>
        <w:wordWrap w:val="0"/>
        <w:ind w:left="182" w:hanging="182"/>
      </w:pPr>
      <w:r>
        <w:rPr>
          <w:rStyle w:val="af2"/>
        </w:rPr>
        <w:footnoteRef/>
      </w:r>
      <w:r w:rsidR="00CE22A6">
        <w:rPr>
          <w:rFonts w:hint="eastAsia"/>
        </w:rPr>
        <w:t xml:space="preserve"> </w:t>
      </w:r>
      <w:r w:rsidRPr="0085675C">
        <w:rPr>
          <w:rFonts w:hint="eastAsia"/>
        </w:rPr>
        <w:t>參據特別補償基金公開資訊網/業務介紹/補償業務</w:t>
      </w:r>
      <w:r w:rsidR="0085675C" w:rsidRPr="0085675C">
        <w:rPr>
          <w:rFonts w:hint="eastAsia"/>
        </w:rPr>
        <w:t>(</w:t>
      </w:r>
      <w:r w:rsidR="00CE22A6">
        <w:rPr>
          <w:rFonts w:hint="eastAsia"/>
        </w:rPr>
        <w:t>https://www.mvacf.org.tw/</w:t>
      </w:r>
      <w:r w:rsidRPr="0085675C">
        <w:rPr>
          <w:rFonts w:hint="eastAsia"/>
        </w:rPr>
        <w:t>Service</w:t>
      </w:r>
      <w:r w:rsidR="0085675C" w:rsidRPr="0085675C">
        <w:rPr>
          <w:rFonts w:hint="eastAsia"/>
        </w:rPr>
        <w:t>)</w:t>
      </w:r>
      <w:r w:rsidR="00B73AC1" w:rsidRPr="0085675C">
        <w:rPr>
          <w:rFonts w:hint="eastAsia"/>
        </w:rPr>
        <w:t>(最後瀏覽日：114年3月12日)</w:t>
      </w:r>
      <w:r w:rsidRPr="0085675C">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BB9"/>
    <w:rsid w:val="00003C22"/>
    <w:rsid w:val="00003DEC"/>
    <w:rsid w:val="00003F1C"/>
    <w:rsid w:val="000042BC"/>
    <w:rsid w:val="00004408"/>
    <w:rsid w:val="00004550"/>
    <w:rsid w:val="0000497D"/>
    <w:rsid w:val="00005871"/>
    <w:rsid w:val="00007558"/>
    <w:rsid w:val="000108C5"/>
    <w:rsid w:val="00011D76"/>
    <w:rsid w:val="0001208D"/>
    <w:rsid w:val="00012A8E"/>
    <w:rsid w:val="00013443"/>
    <w:rsid w:val="0001373A"/>
    <w:rsid w:val="00013E19"/>
    <w:rsid w:val="0001547F"/>
    <w:rsid w:val="00015886"/>
    <w:rsid w:val="000162F0"/>
    <w:rsid w:val="0001676D"/>
    <w:rsid w:val="00016DF2"/>
    <w:rsid w:val="00016F16"/>
    <w:rsid w:val="000205AC"/>
    <w:rsid w:val="00020F93"/>
    <w:rsid w:val="00021545"/>
    <w:rsid w:val="000216DC"/>
    <w:rsid w:val="000217D3"/>
    <w:rsid w:val="00022517"/>
    <w:rsid w:val="000225F3"/>
    <w:rsid w:val="0002296E"/>
    <w:rsid w:val="00023CBF"/>
    <w:rsid w:val="00023CF1"/>
    <w:rsid w:val="00023E96"/>
    <w:rsid w:val="00023F21"/>
    <w:rsid w:val="00024E97"/>
    <w:rsid w:val="000251EF"/>
    <w:rsid w:val="000254EA"/>
    <w:rsid w:val="0002605E"/>
    <w:rsid w:val="00026612"/>
    <w:rsid w:val="000269EF"/>
    <w:rsid w:val="000326AC"/>
    <w:rsid w:val="00032AA1"/>
    <w:rsid w:val="00032FFA"/>
    <w:rsid w:val="000339E6"/>
    <w:rsid w:val="00034155"/>
    <w:rsid w:val="00034180"/>
    <w:rsid w:val="00035C40"/>
    <w:rsid w:val="00035F6B"/>
    <w:rsid w:val="00036A65"/>
    <w:rsid w:val="00036E4A"/>
    <w:rsid w:val="000370FA"/>
    <w:rsid w:val="000375B3"/>
    <w:rsid w:val="000378E7"/>
    <w:rsid w:val="000379C9"/>
    <w:rsid w:val="00040072"/>
    <w:rsid w:val="0004023E"/>
    <w:rsid w:val="00040366"/>
    <w:rsid w:val="00040519"/>
    <w:rsid w:val="00040789"/>
    <w:rsid w:val="00040B6E"/>
    <w:rsid w:val="00040C85"/>
    <w:rsid w:val="00041D99"/>
    <w:rsid w:val="00042154"/>
    <w:rsid w:val="00042160"/>
    <w:rsid w:val="000423A1"/>
    <w:rsid w:val="0004292F"/>
    <w:rsid w:val="00042AEC"/>
    <w:rsid w:val="00042F9D"/>
    <w:rsid w:val="00043175"/>
    <w:rsid w:val="0004422D"/>
    <w:rsid w:val="0004435C"/>
    <w:rsid w:val="00044C98"/>
    <w:rsid w:val="00044FBF"/>
    <w:rsid w:val="00045856"/>
    <w:rsid w:val="00045912"/>
    <w:rsid w:val="0004595D"/>
    <w:rsid w:val="00045A23"/>
    <w:rsid w:val="000468F4"/>
    <w:rsid w:val="000479F5"/>
    <w:rsid w:val="0005054C"/>
    <w:rsid w:val="0005063E"/>
    <w:rsid w:val="00050740"/>
    <w:rsid w:val="00050878"/>
    <w:rsid w:val="00050DF0"/>
    <w:rsid w:val="00051E86"/>
    <w:rsid w:val="00052158"/>
    <w:rsid w:val="00053355"/>
    <w:rsid w:val="00053449"/>
    <w:rsid w:val="00053C1C"/>
    <w:rsid w:val="000542D5"/>
    <w:rsid w:val="000543F9"/>
    <w:rsid w:val="00054B04"/>
    <w:rsid w:val="00054BE2"/>
    <w:rsid w:val="00054C9E"/>
    <w:rsid w:val="0005594F"/>
    <w:rsid w:val="00055C15"/>
    <w:rsid w:val="0005714D"/>
    <w:rsid w:val="00057B2C"/>
    <w:rsid w:val="000605EA"/>
    <w:rsid w:val="00061DB8"/>
    <w:rsid w:val="00061F10"/>
    <w:rsid w:val="00062008"/>
    <w:rsid w:val="000620D0"/>
    <w:rsid w:val="000623EB"/>
    <w:rsid w:val="0006259D"/>
    <w:rsid w:val="00062C49"/>
    <w:rsid w:val="00062E40"/>
    <w:rsid w:val="000630D6"/>
    <w:rsid w:val="00063633"/>
    <w:rsid w:val="00063D51"/>
    <w:rsid w:val="00064586"/>
    <w:rsid w:val="00065861"/>
    <w:rsid w:val="00066965"/>
    <w:rsid w:val="00066E99"/>
    <w:rsid w:val="0006716C"/>
    <w:rsid w:val="00067A67"/>
    <w:rsid w:val="000703F8"/>
    <w:rsid w:val="00070694"/>
    <w:rsid w:val="000706E4"/>
    <w:rsid w:val="00071219"/>
    <w:rsid w:val="000713F8"/>
    <w:rsid w:val="000717E2"/>
    <w:rsid w:val="00071ABB"/>
    <w:rsid w:val="00071B56"/>
    <w:rsid w:val="00072049"/>
    <w:rsid w:val="00072835"/>
    <w:rsid w:val="00072923"/>
    <w:rsid w:val="000732B9"/>
    <w:rsid w:val="000735E0"/>
    <w:rsid w:val="000748B5"/>
    <w:rsid w:val="000749B9"/>
    <w:rsid w:val="00074A02"/>
    <w:rsid w:val="00074E3A"/>
    <w:rsid w:val="00074EE3"/>
    <w:rsid w:val="00075186"/>
    <w:rsid w:val="00075672"/>
    <w:rsid w:val="0007596F"/>
    <w:rsid w:val="00076264"/>
    <w:rsid w:val="0007665D"/>
    <w:rsid w:val="00076CE3"/>
    <w:rsid w:val="00076E8D"/>
    <w:rsid w:val="00076ED8"/>
    <w:rsid w:val="00077347"/>
    <w:rsid w:val="000778DE"/>
    <w:rsid w:val="00077ECC"/>
    <w:rsid w:val="00080314"/>
    <w:rsid w:val="0008038A"/>
    <w:rsid w:val="000805EB"/>
    <w:rsid w:val="000809D0"/>
    <w:rsid w:val="00080BAF"/>
    <w:rsid w:val="0008109F"/>
    <w:rsid w:val="00081294"/>
    <w:rsid w:val="000818C2"/>
    <w:rsid w:val="0008192A"/>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AE9"/>
    <w:rsid w:val="000A0F24"/>
    <w:rsid w:val="000A13FF"/>
    <w:rsid w:val="000A1EE9"/>
    <w:rsid w:val="000A2619"/>
    <w:rsid w:val="000A30B4"/>
    <w:rsid w:val="000A3218"/>
    <w:rsid w:val="000A331B"/>
    <w:rsid w:val="000A3F8C"/>
    <w:rsid w:val="000A43E1"/>
    <w:rsid w:val="000A45CC"/>
    <w:rsid w:val="000A4A11"/>
    <w:rsid w:val="000A4DC8"/>
    <w:rsid w:val="000A5831"/>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4EC4"/>
    <w:rsid w:val="000C5224"/>
    <w:rsid w:val="000C5751"/>
    <w:rsid w:val="000C5820"/>
    <w:rsid w:val="000C5AB9"/>
    <w:rsid w:val="000C6614"/>
    <w:rsid w:val="000C6BED"/>
    <w:rsid w:val="000C77C5"/>
    <w:rsid w:val="000C7B18"/>
    <w:rsid w:val="000C7EC8"/>
    <w:rsid w:val="000C7F40"/>
    <w:rsid w:val="000D125B"/>
    <w:rsid w:val="000D132D"/>
    <w:rsid w:val="000D18C7"/>
    <w:rsid w:val="000D233B"/>
    <w:rsid w:val="000D2444"/>
    <w:rsid w:val="000D25BC"/>
    <w:rsid w:val="000D2A28"/>
    <w:rsid w:val="000D2B15"/>
    <w:rsid w:val="000D2D3A"/>
    <w:rsid w:val="000D3532"/>
    <w:rsid w:val="000D3565"/>
    <w:rsid w:val="000D36DA"/>
    <w:rsid w:val="000D3F1F"/>
    <w:rsid w:val="000D46FA"/>
    <w:rsid w:val="000D486A"/>
    <w:rsid w:val="000D48C5"/>
    <w:rsid w:val="000D564B"/>
    <w:rsid w:val="000D584B"/>
    <w:rsid w:val="000D604F"/>
    <w:rsid w:val="000D6A40"/>
    <w:rsid w:val="000D6CE0"/>
    <w:rsid w:val="000D7467"/>
    <w:rsid w:val="000D760C"/>
    <w:rsid w:val="000D772E"/>
    <w:rsid w:val="000D7CB9"/>
    <w:rsid w:val="000E006A"/>
    <w:rsid w:val="000E1004"/>
    <w:rsid w:val="000E107D"/>
    <w:rsid w:val="000E1BC0"/>
    <w:rsid w:val="000E1D81"/>
    <w:rsid w:val="000E22BC"/>
    <w:rsid w:val="000E24B6"/>
    <w:rsid w:val="000E24E3"/>
    <w:rsid w:val="000E4515"/>
    <w:rsid w:val="000E5352"/>
    <w:rsid w:val="000E54D5"/>
    <w:rsid w:val="000E55CE"/>
    <w:rsid w:val="000E59F7"/>
    <w:rsid w:val="000E5AE3"/>
    <w:rsid w:val="000E6843"/>
    <w:rsid w:val="000E7087"/>
    <w:rsid w:val="000E7707"/>
    <w:rsid w:val="000E7887"/>
    <w:rsid w:val="000F01C7"/>
    <w:rsid w:val="000F0CFA"/>
    <w:rsid w:val="000F0EDE"/>
    <w:rsid w:val="000F1D17"/>
    <w:rsid w:val="000F1EAF"/>
    <w:rsid w:val="000F1F4A"/>
    <w:rsid w:val="000F3B7D"/>
    <w:rsid w:val="000F44FF"/>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C85"/>
    <w:rsid w:val="00111AEA"/>
    <w:rsid w:val="00112046"/>
    <w:rsid w:val="001121D7"/>
    <w:rsid w:val="00112AF0"/>
    <w:rsid w:val="00113700"/>
    <w:rsid w:val="0011473E"/>
    <w:rsid w:val="00115CB6"/>
    <w:rsid w:val="00115E0F"/>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4432"/>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5D4"/>
    <w:rsid w:val="00136795"/>
    <w:rsid w:val="00136E81"/>
    <w:rsid w:val="001372F1"/>
    <w:rsid w:val="00137B74"/>
    <w:rsid w:val="00140555"/>
    <w:rsid w:val="00140F73"/>
    <w:rsid w:val="00141132"/>
    <w:rsid w:val="00141381"/>
    <w:rsid w:val="001419EF"/>
    <w:rsid w:val="001421F5"/>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47CE0"/>
    <w:rsid w:val="00150231"/>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448"/>
    <w:rsid w:val="00156680"/>
    <w:rsid w:val="0015689E"/>
    <w:rsid w:val="001572EA"/>
    <w:rsid w:val="0015731C"/>
    <w:rsid w:val="0015776D"/>
    <w:rsid w:val="00157DC0"/>
    <w:rsid w:val="00160C70"/>
    <w:rsid w:val="00161034"/>
    <w:rsid w:val="001617E2"/>
    <w:rsid w:val="00161D13"/>
    <w:rsid w:val="001622B5"/>
    <w:rsid w:val="00162496"/>
    <w:rsid w:val="00162880"/>
    <w:rsid w:val="00163021"/>
    <w:rsid w:val="001631E8"/>
    <w:rsid w:val="00163B73"/>
    <w:rsid w:val="001645B0"/>
    <w:rsid w:val="00165160"/>
    <w:rsid w:val="001655B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6C7"/>
    <w:rsid w:val="00172887"/>
    <w:rsid w:val="00172A40"/>
    <w:rsid w:val="00172CE1"/>
    <w:rsid w:val="001731F9"/>
    <w:rsid w:val="001735AF"/>
    <w:rsid w:val="00173CE0"/>
    <w:rsid w:val="00174354"/>
    <w:rsid w:val="001744DD"/>
    <w:rsid w:val="001746CC"/>
    <w:rsid w:val="00174F86"/>
    <w:rsid w:val="001755FA"/>
    <w:rsid w:val="001759DE"/>
    <w:rsid w:val="00175D0D"/>
    <w:rsid w:val="00175DE2"/>
    <w:rsid w:val="00175F90"/>
    <w:rsid w:val="00177076"/>
    <w:rsid w:val="001771ED"/>
    <w:rsid w:val="00177624"/>
    <w:rsid w:val="001811CA"/>
    <w:rsid w:val="0018150C"/>
    <w:rsid w:val="00181941"/>
    <w:rsid w:val="001825E2"/>
    <w:rsid w:val="00182AE9"/>
    <w:rsid w:val="0018357F"/>
    <w:rsid w:val="00183B90"/>
    <w:rsid w:val="00183D81"/>
    <w:rsid w:val="0018480D"/>
    <w:rsid w:val="00184EB0"/>
    <w:rsid w:val="00184EC5"/>
    <w:rsid w:val="001852A0"/>
    <w:rsid w:val="0018585C"/>
    <w:rsid w:val="00185C81"/>
    <w:rsid w:val="00185C9F"/>
    <w:rsid w:val="00185EA2"/>
    <w:rsid w:val="00186B0D"/>
    <w:rsid w:val="00186B92"/>
    <w:rsid w:val="00187749"/>
    <w:rsid w:val="00187DA4"/>
    <w:rsid w:val="00190BD0"/>
    <w:rsid w:val="00190F68"/>
    <w:rsid w:val="00191508"/>
    <w:rsid w:val="0019175E"/>
    <w:rsid w:val="00193F59"/>
    <w:rsid w:val="0019409F"/>
    <w:rsid w:val="0019419F"/>
    <w:rsid w:val="00195335"/>
    <w:rsid w:val="00195563"/>
    <w:rsid w:val="0019611A"/>
    <w:rsid w:val="00196460"/>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690B"/>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29"/>
    <w:rsid w:val="001C2176"/>
    <w:rsid w:val="001C24BD"/>
    <w:rsid w:val="001C28D4"/>
    <w:rsid w:val="001C2B0F"/>
    <w:rsid w:val="001C31AA"/>
    <w:rsid w:val="001C3251"/>
    <w:rsid w:val="001C36C3"/>
    <w:rsid w:val="001C3F90"/>
    <w:rsid w:val="001C4AEA"/>
    <w:rsid w:val="001C4BB7"/>
    <w:rsid w:val="001C5319"/>
    <w:rsid w:val="001C5359"/>
    <w:rsid w:val="001C5C58"/>
    <w:rsid w:val="001C7041"/>
    <w:rsid w:val="001C72DD"/>
    <w:rsid w:val="001C74D0"/>
    <w:rsid w:val="001C769C"/>
    <w:rsid w:val="001C76D5"/>
    <w:rsid w:val="001C794F"/>
    <w:rsid w:val="001C7B64"/>
    <w:rsid w:val="001C7E4D"/>
    <w:rsid w:val="001D0F34"/>
    <w:rsid w:val="001D0FB4"/>
    <w:rsid w:val="001D131F"/>
    <w:rsid w:val="001D14D8"/>
    <w:rsid w:val="001D17A8"/>
    <w:rsid w:val="001D1B6F"/>
    <w:rsid w:val="001D26C9"/>
    <w:rsid w:val="001D2B40"/>
    <w:rsid w:val="001D305C"/>
    <w:rsid w:val="001D31DF"/>
    <w:rsid w:val="001D39ED"/>
    <w:rsid w:val="001D3AA3"/>
    <w:rsid w:val="001D3ADF"/>
    <w:rsid w:val="001D3C03"/>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362"/>
    <w:rsid w:val="001F3856"/>
    <w:rsid w:val="001F3CCE"/>
    <w:rsid w:val="001F3FBD"/>
    <w:rsid w:val="001F52DE"/>
    <w:rsid w:val="001F5565"/>
    <w:rsid w:val="001F5FCB"/>
    <w:rsid w:val="001F62DA"/>
    <w:rsid w:val="001F6682"/>
    <w:rsid w:val="001F69F3"/>
    <w:rsid w:val="001F7266"/>
    <w:rsid w:val="001F7980"/>
    <w:rsid w:val="0020039C"/>
    <w:rsid w:val="0020051F"/>
    <w:rsid w:val="002007EF"/>
    <w:rsid w:val="00200A0A"/>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1A02"/>
    <w:rsid w:val="00221EE7"/>
    <w:rsid w:val="00221FC8"/>
    <w:rsid w:val="002233DB"/>
    <w:rsid w:val="002234B4"/>
    <w:rsid w:val="00223681"/>
    <w:rsid w:val="002237D0"/>
    <w:rsid w:val="002239F7"/>
    <w:rsid w:val="00223B2D"/>
    <w:rsid w:val="00223CEB"/>
    <w:rsid w:val="002246C0"/>
    <w:rsid w:val="002246D4"/>
    <w:rsid w:val="00224AD9"/>
    <w:rsid w:val="00224C26"/>
    <w:rsid w:val="00224D9F"/>
    <w:rsid w:val="002251E8"/>
    <w:rsid w:val="00225850"/>
    <w:rsid w:val="00226AFB"/>
    <w:rsid w:val="00226D0B"/>
    <w:rsid w:val="0023017E"/>
    <w:rsid w:val="002304E8"/>
    <w:rsid w:val="002306AB"/>
    <w:rsid w:val="00230989"/>
    <w:rsid w:val="00230C57"/>
    <w:rsid w:val="00230DBA"/>
    <w:rsid w:val="00231719"/>
    <w:rsid w:val="00231B83"/>
    <w:rsid w:val="0023248D"/>
    <w:rsid w:val="00232FC2"/>
    <w:rsid w:val="00233207"/>
    <w:rsid w:val="00233787"/>
    <w:rsid w:val="002338D2"/>
    <w:rsid w:val="0023414C"/>
    <w:rsid w:val="0023457D"/>
    <w:rsid w:val="002347A2"/>
    <w:rsid w:val="0023536A"/>
    <w:rsid w:val="0023546D"/>
    <w:rsid w:val="002359CE"/>
    <w:rsid w:val="002368BA"/>
    <w:rsid w:val="0023691A"/>
    <w:rsid w:val="00236C77"/>
    <w:rsid w:val="0023701A"/>
    <w:rsid w:val="00237098"/>
    <w:rsid w:val="0023713D"/>
    <w:rsid w:val="00237347"/>
    <w:rsid w:val="00237D76"/>
    <w:rsid w:val="00240924"/>
    <w:rsid w:val="00241597"/>
    <w:rsid w:val="00242BC4"/>
    <w:rsid w:val="00242D01"/>
    <w:rsid w:val="00243AB0"/>
    <w:rsid w:val="00243E70"/>
    <w:rsid w:val="00244D12"/>
    <w:rsid w:val="00245018"/>
    <w:rsid w:val="00245572"/>
    <w:rsid w:val="002459AA"/>
    <w:rsid w:val="00245CE2"/>
    <w:rsid w:val="00245E20"/>
    <w:rsid w:val="00246FAC"/>
    <w:rsid w:val="00247556"/>
    <w:rsid w:val="00247703"/>
    <w:rsid w:val="002479CD"/>
    <w:rsid w:val="00250593"/>
    <w:rsid w:val="00250704"/>
    <w:rsid w:val="0025072C"/>
    <w:rsid w:val="00251221"/>
    <w:rsid w:val="002514C7"/>
    <w:rsid w:val="00251AE1"/>
    <w:rsid w:val="00252107"/>
    <w:rsid w:val="00252761"/>
    <w:rsid w:val="002538E6"/>
    <w:rsid w:val="002543BC"/>
    <w:rsid w:val="00254AB9"/>
    <w:rsid w:val="00254ABD"/>
    <w:rsid w:val="00254E81"/>
    <w:rsid w:val="002552F7"/>
    <w:rsid w:val="00255303"/>
    <w:rsid w:val="002557A3"/>
    <w:rsid w:val="0025594B"/>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2B6"/>
    <w:rsid w:val="00263B89"/>
    <w:rsid w:val="00263FDD"/>
    <w:rsid w:val="002650A8"/>
    <w:rsid w:val="00265104"/>
    <w:rsid w:val="002652B1"/>
    <w:rsid w:val="0026533D"/>
    <w:rsid w:val="002656DA"/>
    <w:rsid w:val="00265931"/>
    <w:rsid w:val="00265AA6"/>
    <w:rsid w:val="00265C87"/>
    <w:rsid w:val="00266B7C"/>
    <w:rsid w:val="00270D80"/>
    <w:rsid w:val="002712C7"/>
    <w:rsid w:val="00271516"/>
    <w:rsid w:val="00271A12"/>
    <w:rsid w:val="00271A70"/>
    <w:rsid w:val="00271B68"/>
    <w:rsid w:val="002720B4"/>
    <w:rsid w:val="0027222B"/>
    <w:rsid w:val="00272230"/>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1C6"/>
    <w:rsid w:val="00281346"/>
    <w:rsid w:val="00281F6B"/>
    <w:rsid w:val="00282AFA"/>
    <w:rsid w:val="00282B2E"/>
    <w:rsid w:val="00282B7B"/>
    <w:rsid w:val="00283474"/>
    <w:rsid w:val="00284BDA"/>
    <w:rsid w:val="00284EC8"/>
    <w:rsid w:val="00285730"/>
    <w:rsid w:val="002868B0"/>
    <w:rsid w:val="00287EF1"/>
    <w:rsid w:val="002907CC"/>
    <w:rsid w:val="00290FCA"/>
    <w:rsid w:val="002911C2"/>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844"/>
    <w:rsid w:val="002A0D8D"/>
    <w:rsid w:val="002A16BA"/>
    <w:rsid w:val="002A171E"/>
    <w:rsid w:val="002A193B"/>
    <w:rsid w:val="002A1C4C"/>
    <w:rsid w:val="002A1E7C"/>
    <w:rsid w:val="002A2945"/>
    <w:rsid w:val="002A2A49"/>
    <w:rsid w:val="002A2BB6"/>
    <w:rsid w:val="002A4536"/>
    <w:rsid w:val="002A4F13"/>
    <w:rsid w:val="002A5245"/>
    <w:rsid w:val="002A5308"/>
    <w:rsid w:val="002A589A"/>
    <w:rsid w:val="002A6541"/>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5A1"/>
    <w:rsid w:val="002B382B"/>
    <w:rsid w:val="002B3B75"/>
    <w:rsid w:val="002B3C86"/>
    <w:rsid w:val="002B3C8F"/>
    <w:rsid w:val="002B40BA"/>
    <w:rsid w:val="002B46EC"/>
    <w:rsid w:val="002B50E9"/>
    <w:rsid w:val="002B5776"/>
    <w:rsid w:val="002B57FF"/>
    <w:rsid w:val="002B5E75"/>
    <w:rsid w:val="002B601C"/>
    <w:rsid w:val="002B633D"/>
    <w:rsid w:val="002B68BF"/>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1BA"/>
    <w:rsid w:val="002C4776"/>
    <w:rsid w:val="002C48EB"/>
    <w:rsid w:val="002C4CBF"/>
    <w:rsid w:val="002C5298"/>
    <w:rsid w:val="002C53DD"/>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0FCE"/>
    <w:rsid w:val="002D1110"/>
    <w:rsid w:val="002D16BB"/>
    <w:rsid w:val="002D22CC"/>
    <w:rsid w:val="002D26E8"/>
    <w:rsid w:val="002D3097"/>
    <w:rsid w:val="002D3553"/>
    <w:rsid w:val="002D3C30"/>
    <w:rsid w:val="002D4101"/>
    <w:rsid w:val="002D4EE3"/>
    <w:rsid w:val="002D55E1"/>
    <w:rsid w:val="002D5A20"/>
    <w:rsid w:val="002D5AC4"/>
    <w:rsid w:val="002D6964"/>
    <w:rsid w:val="002D6A12"/>
    <w:rsid w:val="002D6BEB"/>
    <w:rsid w:val="002E0043"/>
    <w:rsid w:val="002E05FB"/>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3006A1"/>
    <w:rsid w:val="003006BB"/>
    <w:rsid w:val="00300D72"/>
    <w:rsid w:val="00300E9A"/>
    <w:rsid w:val="00300EA3"/>
    <w:rsid w:val="00301ADB"/>
    <w:rsid w:val="00302C28"/>
    <w:rsid w:val="00302EAF"/>
    <w:rsid w:val="00302F57"/>
    <w:rsid w:val="0030331C"/>
    <w:rsid w:val="00303E57"/>
    <w:rsid w:val="003040EB"/>
    <w:rsid w:val="00304704"/>
    <w:rsid w:val="00304D73"/>
    <w:rsid w:val="00304DE5"/>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3F04"/>
    <w:rsid w:val="00314558"/>
    <w:rsid w:val="003147B0"/>
    <w:rsid w:val="00314A8D"/>
    <w:rsid w:val="00316C1D"/>
    <w:rsid w:val="003179AD"/>
    <w:rsid w:val="00317CCE"/>
    <w:rsid w:val="00317D73"/>
    <w:rsid w:val="00317F24"/>
    <w:rsid w:val="00317FA5"/>
    <w:rsid w:val="00321841"/>
    <w:rsid w:val="00321A6B"/>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766"/>
    <w:rsid w:val="00342839"/>
    <w:rsid w:val="00343126"/>
    <w:rsid w:val="00343D4E"/>
    <w:rsid w:val="00343DF9"/>
    <w:rsid w:val="0034437A"/>
    <w:rsid w:val="00344E0A"/>
    <w:rsid w:val="003455BB"/>
    <w:rsid w:val="00345907"/>
    <w:rsid w:val="00345986"/>
    <w:rsid w:val="00345A9D"/>
    <w:rsid w:val="00346C55"/>
    <w:rsid w:val="00347280"/>
    <w:rsid w:val="00347BBC"/>
    <w:rsid w:val="00350FA5"/>
    <w:rsid w:val="00350FD4"/>
    <w:rsid w:val="00351749"/>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DFA"/>
    <w:rsid w:val="00361FA1"/>
    <w:rsid w:val="003622C2"/>
    <w:rsid w:val="003624BD"/>
    <w:rsid w:val="00362856"/>
    <w:rsid w:val="00362893"/>
    <w:rsid w:val="003638B0"/>
    <w:rsid w:val="00363D0B"/>
    <w:rsid w:val="00364953"/>
    <w:rsid w:val="00364F81"/>
    <w:rsid w:val="00364FDE"/>
    <w:rsid w:val="0036539C"/>
    <w:rsid w:val="00365433"/>
    <w:rsid w:val="003659E5"/>
    <w:rsid w:val="00365EFF"/>
    <w:rsid w:val="003668B7"/>
    <w:rsid w:val="00366A37"/>
    <w:rsid w:val="003670A3"/>
    <w:rsid w:val="003674A4"/>
    <w:rsid w:val="003678A9"/>
    <w:rsid w:val="00367D2F"/>
    <w:rsid w:val="0037025E"/>
    <w:rsid w:val="00370CA5"/>
    <w:rsid w:val="00370D7C"/>
    <w:rsid w:val="003713FA"/>
    <w:rsid w:val="00371950"/>
    <w:rsid w:val="00371E2B"/>
    <w:rsid w:val="003721E1"/>
    <w:rsid w:val="003728FE"/>
    <w:rsid w:val="00372EE8"/>
    <w:rsid w:val="003737F1"/>
    <w:rsid w:val="00374319"/>
    <w:rsid w:val="003759CF"/>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3CE2"/>
    <w:rsid w:val="003846DB"/>
    <w:rsid w:val="00384D40"/>
    <w:rsid w:val="00385779"/>
    <w:rsid w:val="003865CF"/>
    <w:rsid w:val="00386869"/>
    <w:rsid w:val="003868EF"/>
    <w:rsid w:val="0038752B"/>
    <w:rsid w:val="00387681"/>
    <w:rsid w:val="00390B36"/>
    <w:rsid w:val="00391D89"/>
    <w:rsid w:val="00391EA8"/>
    <w:rsid w:val="00392061"/>
    <w:rsid w:val="0039226B"/>
    <w:rsid w:val="003928A9"/>
    <w:rsid w:val="003934C9"/>
    <w:rsid w:val="003940ED"/>
    <w:rsid w:val="00394444"/>
    <w:rsid w:val="00394688"/>
    <w:rsid w:val="00394F45"/>
    <w:rsid w:val="00394F86"/>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795B"/>
    <w:rsid w:val="003A7AE8"/>
    <w:rsid w:val="003A7E21"/>
    <w:rsid w:val="003B0903"/>
    <w:rsid w:val="003B0E23"/>
    <w:rsid w:val="003B2228"/>
    <w:rsid w:val="003B2C75"/>
    <w:rsid w:val="003B379A"/>
    <w:rsid w:val="003B3B2A"/>
    <w:rsid w:val="003B40CC"/>
    <w:rsid w:val="003B44D9"/>
    <w:rsid w:val="003B46C1"/>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697D"/>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978"/>
    <w:rsid w:val="003D2A9F"/>
    <w:rsid w:val="003D2F8C"/>
    <w:rsid w:val="003D3261"/>
    <w:rsid w:val="003D3611"/>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FC8"/>
    <w:rsid w:val="003E2FD5"/>
    <w:rsid w:val="003E342D"/>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3D5"/>
    <w:rsid w:val="004128F1"/>
    <w:rsid w:val="0041342A"/>
    <w:rsid w:val="00413CF9"/>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89E"/>
    <w:rsid w:val="004245E0"/>
    <w:rsid w:val="0042467F"/>
    <w:rsid w:val="004248E7"/>
    <w:rsid w:val="00425149"/>
    <w:rsid w:val="00425644"/>
    <w:rsid w:val="0042585E"/>
    <w:rsid w:val="0042593A"/>
    <w:rsid w:val="0042653B"/>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2EA0"/>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3BC7"/>
    <w:rsid w:val="004548CD"/>
    <w:rsid w:val="00455564"/>
    <w:rsid w:val="00455589"/>
    <w:rsid w:val="0045595D"/>
    <w:rsid w:val="00457267"/>
    <w:rsid w:val="00457D37"/>
    <w:rsid w:val="004606D7"/>
    <w:rsid w:val="004610B1"/>
    <w:rsid w:val="004616E5"/>
    <w:rsid w:val="00462EBF"/>
    <w:rsid w:val="00463659"/>
    <w:rsid w:val="00463C64"/>
    <w:rsid w:val="00463DD0"/>
    <w:rsid w:val="00464574"/>
    <w:rsid w:val="00464620"/>
    <w:rsid w:val="004656F8"/>
    <w:rsid w:val="004659FA"/>
    <w:rsid w:val="00465AA9"/>
    <w:rsid w:val="00466099"/>
    <w:rsid w:val="004663E6"/>
    <w:rsid w:val="00466AAA"/>
    <w:rsid w:val="004670BE"/>
    <w:rsid w:val="00467E74"/>
    <w:rsid w:val="00470476"/>
    <w:rsid w:val="00470AB1"/>
    <w:rsid w:val="0047112A"/>
    <w:rsid w:val="004713E6"/>
    <w:rsid w:val="00471B60"/>
    <w:rsid w:val="00473731"/>
    <w:rsid w:val="0047463B"/>
    <w:rsid w:val="00474FF7"/>
    <w:rsid w:val="0047508A"/>
    <w:rsid w:val="00475535"/>
    <w:rsid w:val="0047686C"/>
    <w:rsid w:val="0047715F"/>
    <w:rsid w:val="004772D8"/>
    <w:rsid w:val="004778A6"/>
    <w:rsid w:val="00477905"/>
    <w:rsid w:val="004779C5"/>
    <w:rsid w:val="00477D2E"/>
    <w:rsid w:val="00480666"/>
    <w:rsid w:val="00480671"/>
    <w:rsid w:val="00480CA8"/>
    <w:rsid w:val="00480D2B"/>
    <w:rsid w:val="00480FB2"/>
    <w:rsid w:val="00482365"/>
    <w:rsid w:val="004823AD"/>
    <w:rsid w:val="00482457"/>
    <w:rsid w:val="004828AB"/>
    <w:rsid w:val="00482C39"/>
    <w:rsid w:val="00483134"/>
    <w:rsid w:val="004843D6"/>
    <w:rsid w:val="00484CC1"/>
    <w:rsid w:val="00485E5A"/>
    <w:rsid w:val="004861D4"/>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6FC"/>
    <w:rsid w:val="004A1AB4"/>
    <w:rsid w:val="004A2D09"/>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019"/>
    <w:rsid w:val="004A7905"/>
    <w:rsid w:val="004B0CBC"/>
    <w:rsid w:val="004B11C3"/>
    <w:rsid w:val="004B133D"/>
    <w:rsid w:val="004B165B"/>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490"/>
    <w:rsid w:val="004C5502"/>
    <w:rsid w:val="004C6EDD"/>
    <w:rsid w:val="004C7280"/>
    <w:rsid w:val="004C75BD"/>
    <w:rsid w:val="004C7A21"/>
    <w:rsid w:val="004C7CB9"/>
    <w:rsid w:val="004D114C"/>
    <w:rsid w:val="004D1777"/>
    <w:rsid w:val="004D1FA6"/>
    <w:rsid w:val="004D26E3"/>
    <w:rsid w:val="004D27E3"/>
    <w:rsid w:val="004D2B3C"/>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2D5"/>
    <w:rsid w:val="004E54FD"/>
    <w:rsid w:val="004E719B"/>
    <w:rsid w:val="004E7FE0"/>
    <w:rsid w:val="004F046E"/>
    <w:rsid w:val="004F0A81"/>
    <w:rsid w:val="004F0BE5"/>
    <w:rsid w:val="004F0FAA"/>
    <w:rsid w:val="004F1250"/>
    <w:rsid w:val="004F19A0"/>
    <w:rsid w:val="004F2E9C"/>
    <w:rsid w:val="004F4258"/>
    <w:rsid w:val="004F432A"/>
    <w:rsid w:val="004F48B9"/>
    <w:rsid w:val="004F4D5E"/>
    <w:rsid w:val="004F517C"/>
    <w:rsid w:val="004F59E6"/>
    <w:rsid w:val="004F5AB0"/>
    <w:rsid w:val="004F5AE2"/>
    <w:rsid w:val="004F5F40"/>
    <w:rsid w:val="004F6419"/>
    <w:rsid w:val="004F6525"/>
    <w:rsid w:val="004F70C3"/>
    <w:rsid w:val="004F7F4A"/>
    <w:rsid w:val="00500373"/>
    <w:rsid w:val="00500528"/>
    <w:rsid w:val="0050157F"/>
    <w:rsid w:val="00501D3F"/>
    <w:rsid w:val="00502261"/>
    <w:rsid w:val="0050250A"/>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51"/>
    <w:rsid w:val="00524C54"/>
    <w:rsid w:val="00525E40"/>
    <w:rsid w:val="0052648A"/>
    <w:rsid w:val="0052729A"/>
    <w:rsid w:val="00527317"/>
    <w:rsid w:val="00527689"/>
    <w:rsid w:val="0053008F"/>
    <w:rsid w:val="00530B9E"/>
    <w:rsid w:val="00531A60"/>
    <w:rsid w:val="00531DCF"/>
    <w:rsid w:val="00531DF7"/>
    <w:rsid w:val="00531E03"/>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810"/>
    <w:rsid w:val="00541B69"/>
    <w:rsid w:val="00542A76"/>
    <w:rsid w:val="005438E0"/>
    <w:rsid w:val="00543F30"/>
    <w:rsid w:val="00543FC9"/>
    <w:rsid w:val="005441EA"/>
    <w:rsid w:val="00544288"/>
    <w:rsid w:val="00544647"/>
    <w:rsid w:val="00544985"/>
    <w:rsid w:val="00545B5E"/>
    <w:rsid w:val="00545BA5"/>
    <w:rsid w:val="005461D7"/>
    <w:rsid w:val="00546A33"/>
    <w:rsid w:val="00546A4D"/>
    <w:rsid w:val="00546B69"/>
    <w:rsid w:val="00547064"/>
    <w:rsid w:val="00547246"/>
    <w:rsid w:val="00547471"/>
    <w:rsid w:val="0054748B"/>
    <w:rsid w:val="005478D5"/>
    <w:rsid w:val="00550819"/>
    <w:rsid w:val="00550A23"/>
    <w:rsid w:val="005517B7"/>
    <w:rsid w:val="00551CF0"/>
    <w:rsid w:val="0055287C"/>
    <w:rsid w:val="005529FB"/>
    <w:rsid w:val="0055306E"/>
    <w:rsid w:val="00554264"/>
    <w:rsid w:val="00554669"/>
    <w:rsid w:val="00554C39"/>
    <w:rsid w:val="00554E43"/>
    <w:rsid w:val="00555103"/>
    <w:rsid w:val="00555886"/>
    <w:rsid w:val="0055630A"/>
    <w:rsid w:val="00556BDC"/>
    <w:rsid w:val="0055725C"/>
    <w:rsid w:val="0055760B"/>
    <w:rsid w:val="0055764E"/>
    <w:rsid w:val="005612F3"/>
    <w:rsid w:val="00561512"/>
    <w:rsid w:val="00562646"/>
    <w:rsid w:val="0056284B"/>
    <w:rsid w:val="0056313A"/>
    <w:rsid w:val="005636EE"/>
    <w:rsid w:val="00564A83"/>
    <w:rsid w:val="00564F98"/>
    <w:rsid w:val="00565DD5"/>
    <w:rsid w:val="00566B56"/>
    <w:rsid w:val="00566C06"/>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54D9"/>
    <w:rsid w:val="0057584D"/>
    <w:rsid w:val="00575B1E"/>
    <w:rsid w:val="005763A2"/>
    <w:rsid w:val="00576AD0"/>
    <w:rsid w:val="005806BF"/>
    <w:rsid w:val="00580EEB"/>
    <w:rsid w:val="005813A3"/>
    <w:rsid w:val="00581B2D"/>
    <w:rsid w:val="00581C31"/>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9A9"/>
    <w:rsid w:val="00591DB8"/>
    <w:rsid w:val="005921C5"/>
    <w:rsid w:val="00592C9C"/>
    <w:rsid w:val="00592DAE"/>
    <w:rsid w:val="005933D4"/>
    <w:rsid w:val="005938B0"/>
    <w:rsid w:val="00594701"/>
    <w:rsid w:val="0059569B"/>
    <w:rsid w:val="005958C8"/>
    <w:rsid w:val="00595A04"/>
    <w:rsid w:val="005960AF"/>
    <w:rsid w:val="00596BF2"/>
    <w:rsid w:val="00597199"/>
    <w:rsid w:val="0059758E"/>
    <w:rsid w:val="00597C9A"/>
    <w:rsid w:val="005A0271"/>
    <w:rsid w:val="005A08CF"/>
    <w:rsid w:val="005A0D5B"/>
    <w:rsid w:val="005A0EE3"/>
    <w:rsid w:val="005A11D0"/>
    <w:rsid w:val="005A1DC8"/>
    <w:rsid w:val="005A296F"/>
    <w:rsid w:val="005A2A79"/>
    <w:rsid w:val="005A2B58"/>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305C"/>
    <w:rsid w:val="005B332D"/>
    <w:rsid w:val="005B39B0"/>
    <w:rsid w:val="005B403F"/>
    <w:rsid w:val="005B420F"/>
    <w:rsid w:val="005B4ABE"/>
    <w:rsid w:val="005B53A8"/>
    <w:rsid w:val="005B5844"/>
    <w:rsid w:val="005B5BB5"/>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7B6"/>
    <w:rsid w:val="005C5D0C"/>
    <w:rsid w:val="005C6A3F"/>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1D8"/>
    <w:rsid w:val="005E05AE"/>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127E"/>
    <w:rsid w:val="005F1BAF"/>
    <w:rsid w:val="005F2549"/>
    <w:rsid w:val="005F2F19"/>
    <w:rsid w:val="005F2F2B"/>
    <w:rsid w:val="005F30C2"/>
    <w:rsid w:val="005F3456"/>
    <w:rsid w:val="005F35AF"/>
    <w:rsid w:val="005F3C64"/>
    <w:rsid w:val="005F3D0D"/>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554"/>
    <w:rsid w:val="006016ED"/>
    <w:rsid w:val="0060224A"/>
    <w:rsid w:val="00602969"/>
    <w:rsid w:val="0060346C"/>
    <w:rsid w:val="006034BF"/>
    <w:rsid w:val="00604511"/>
    <w:rsid w:val="00604702"/>
    <w:rsid w:val="00604A85"/>
    <w:rsid w:val="0060519E"/>
    <w:rsid w:val="00605354"/>
    <w:rsid w:val="0060568B"/>
    <w:rsid w:val="0060593C"/>
    <w:rsid w:val="0060598B"/>
    <w:rsid w:val="00606114"/>
    <w:rsid w:val="006068E0"/>
    <w:rsid w:val="00606AC1"/>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FBF"/>
    <w:rsid w:val="00614150"/>
    <w:rsid w:val="00614402"/>
    <w:rsid w:val="00614841"/>
    <w:rsid w:val="006149AF"/>
    <w:rsid w:val="00614B76"/>
    <w:rsid w:val="006150E6"/>
    <w:rsid w:val="006155A6"/>
    <w:rsid w:val="00615C96"/>
    <w:rsid w:val="00615EEA"/>
    <w:rsid w:val="006170F4"/>
    <w:rsid w:val="0061760C"/>
    <w:rsid w:val="00617BC9"/>
    <w:rsid w:val="00617EAA"/>
    <w:rsid w:val="006212C2"/>
    <w:rsid w:val="00621AD2"/>
    <w:rsid w:val="00622139"/>
    <w:rsid w:val="006235B7"/>
    <w:rsid w:val="006235FF"/>
    <w:rsid w:val="00624006"/>
    <w:rsid w:val="00626B91"/>
    <w:rsid w:val="00626F52"/>
    <w:rsid w:val="0062708B"/>
    <w:rsid w:val="00627BDF"/>
    <w:rsid w:val="00627C15"/>
    <w:rsid w:val="00627C19"/>
    <w:rsid w:val="00631621"/>
    <w:rsid w:val="0063238F"/>
    <w:rsid w:val="006327DD"/>
    <w:rsid w:val="0063322A"/>
    <w:rsid w:val="00634235"/>
    <w:rsid w:val="00634674"/>
    <w:rsid w:val="0063470D"/>
    <w:rsid w:val="00634AE0"/>
    <w:rsid w:val="00634B3D"/>
    <w:rsid w:val="00634D28"/>
    <w:rsid w:val="00635828"/>
    <w:rsid w:val="00635953"/>
    <w:rsid w:val="00635E61"/>
    <w:rsid w:val="00636E6F"/>
    <w:rsid w:val="00637085"/>
    <w:rsid w:val="006372BF"/>
    <w:rsid w:val="00637F36"/>
    <w:rsid w:val="0064012A"/>
    <w:rsid w:val="00640E9D"/>
    <w:rsid w:val="006413C1"/>
    <w:rsid w:val="006417C1"/>
    <w:rsid w:val="0064194F"/>
    <w:rsid w:val="006423D4"/>
    <w:rsid w:val="00642472"/>
    <w:rsid w:val="006429CB"/>
    <w:rsid w:val="0064366C"/>
    <w:rsid w:val="0064368C"/>
    <w:rsid w:val="00644625"/>
    <w:rsid w:val="00644ACF"/>
    <w:rsid w:val="00644BAC"/>
    <w:rsid w:val="0064624B"/>
    <w:rsid w:val="00646555"/>
    <w:rsid w:val="00646A6F"/>
    <w:rsid w:val="00646D5D"/>
    <w:rsid w:val="006478C0"/>
    <w:rsid w:val="00647A3D"/>
    <w:rsid w:val="00647CC1"/>
    <w:rsid w:val="006502E5"/>
    <w:rsid w:val="0065039C"/>
    <w:rsid w:val="00650476"/>
    <w:rsid w:val="00650A41"/>
    <w:rsid w:val="00650ED3"/>
    <w:rsid w:val="00651046"/>
    <w:rsid w:val="006513F9"/>
    <w:rsid w:val="006514E4"/>
    <w:rsid w:val="00651567"/>
    <w:rsid w:val="006517DD"/>
    <w:rsid w:val="00652293"/>
    <w:rsid w:val="00652BCD"/>
    <w:rsid w:val="00652F0B"/>
    <w:rsid w:val="00653148"/>
    <w:rsid w:val="006539FA"/>
    <w:rsid w:val="00653C32"/>
    <w:rsid w:val="00654C24"/>
    <w:rsid w:val="00654DD5"/>
    <w:rsid w:val="00656861"/>
    <w:rsid w:val="00657098"/>
    <w:rsid w:val="00657125"/>
    <w:rsid w:val="006571D0"/>
    <w:rsid w:val="0065736A"/>
    <w:rsid w:val="00657D5A"/>
    <w:rsid w:val="006600E4"/>
    <w:rsid w:val="00660FD1"/>
    <w:rsid w:val="00660FF9"/>
    <w:rsid w:val="00661072"/>
    <w:rsid w:val="00662592"/>
    <w:rsid w:val="0066312F"/>
    <w:rsid w:val="0066361A"/>
    <w:rsid w:val="006638FA"/>
    <w:rsid w:val="00663D12"/>
    <w:rsid w:val="00663E7E"/>
    <w:rsid w:val="00663F5A"/>
    <w:rsid w:val="00663F63"/>
    <w:rsid w:val="00664097"/>
    <w:rsid w:val="00664507"/>
    <w:rsid w:val="006648BB"/>
    <w:rsid w:val="00664A1E"/>
    <w:rsid w:val="00665426"/>
    <w:rsid w:val="00665595"/>
    <w:rsid w:val="006655A4"/>
    <w:rsid w:val="006671AC"/>
    <w:rsid w:val="0066777E"/>
    <w:rsid w:val="00667C17"/>
    <w:rsid w:val="0067097D"/>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7F4"/>
    <w:rsid w:val="00676940"/>
    <w:rsid w:val="0067704A"/>
    <w:rsid w:val="00677407"/>
    <w:rsid w:val="00677594"/>
    <w:rsid w:val="00680961"/>
    <w:rsid w:val="006815C8"/>
    <w:rsid w:val="0068181B"/>
    <w:rsid w:val="00681917"/>
    <w:rsid w:val="00681D5B"/>
    <w:rsid w:val="006823FF"/>
    <w:rsid w:val="006827A5"/>
    <w:rsid w:val="006827A8"/>
    <w:rsid w:val="00682DC5"/>
    <w:rsid w:val="00683C04"/>
    <w:rsid w:val="00683D89"/>
    <w:rsid w:val="00683FAB"/>
    <w:rsid w:val="006848C9"/>
    <w:rsid w:val="00684B85"/>
    <w:rsid w:val="00684BAA"/>
    <w:rsid w:val="0068565F"/>
    <w:rsid w:val="00685CA4"/>
    <w:rsid w:val="00686365"/>
    <w:rsid w:val="00686A01"/>
    <w:rsid w:val="00686BB5"/>
    <w:rsid w:val="00686D36"/>
    <w:rsid w:val="00690381"/>
    <w:rsid w:val="0069107F"/>
    <w:rsid w:val="006915C4"/>
    <w:rsid w:val="00691744"/>
    <w:rsid w:val="0069210F"/>
    <w:rsid w:val="0069223A"/>
    <w:rsid w:val="006933EC"/>
    <w:rsid w:val="00693A26"/>
    <w:rsid w:val="00693B95"/>
    <w:rsid w:val="00693DC9"/>
    <w:rsid w:val="00693F0B"/>
    <w:rsid w:val="0069403C"/>
    <w:rsid w:val="00694692"/>
    <w:rsid w:val="00695ACD"/>
    <w:rsid w:val="00695EBF"/>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450"/>
    <w:rsid w:val="006A58C9"/>
    <w:rsid w:val="006A5CC2"/>
    <w:rsid w:val="006A6B1A"/>
    <w:rsid w:val="006A6D07"/>
    <w:rsid w:val="006A6F85"/>
    <w:rsid w:val="006A7789"/>
    <w:rsid w:val="006B056B"/>
    <w:rsid w:val="006B05F6"/>
    <w:rsid w:val="006B0A1A"/>
    <w:rsid w:val="006B0B7C"/>
    <w:rsid w:val="006B2417"/>
    <w:rsid w:val="006B265F"/>
    <w:rsid w:val="006B2952"/>
    <w:rsid w:val="006B2BC5"/>
    <w:rsid w:val="006B4439"/>
    <w:rsid w:val="006B55F2"/>
    <w:rsid w:val="006B5713"/>
    <w:rsid w:val="006B5A18"/>
    <w:rsid w:val="006B5BF4"/>
    <w:rsid w:val="006B65B3"/>
    <w:rsid w:val="006B66F7"/>
    <w:rsid w:val="006B6E45"/>
    <w:rsid w:val="006C10C9"/>
    <w:rsid w:val="006C1358"/>
    <w:rsid w:val="006C13A1"/>
    <w:rsid w:val="006C18F1"/>
    <w:rsid w:val="006C1DA2"/>
    <w:rsid w:val="006C2162"/>
    <w:rsid w:val="006C2C20"/>
    <w:rsid w:val="006C2E35"/>
    <w:rsid w:val="006C3142"/>
    <w:rsid w:val="006C32E4"/>
    <w:rsid w:val="006C334C"/>
    <w:rsid w:val="006C37C4"/>
    <w:rsid w:val="006C41D7"/>
    <w:rsid w:val="006C4619"/>
    <w:rsid w:val="006C4BB7"/>
    <w:rsid w:val="006C54BD"/>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4198"/>
    <w:rsid w:val="006D46E1"/>
    <w:rsid w:val="006D482C"/>
    <w:rsid w:val="006D4A09"/>
    <w:rsid w:val="006D4BFE"/>
    <w:rsid w:val="006D6977"/>
    <w:rsid w:val="006D6CD8"/>
    <w:rsid w:val="006D73EB"/>
    <w:rsid w:val="006D75CF"/>
    <w:rsid w:val="006D798C"/>
    <w:rsid w:val="006D7C8A"/>
    <w:rsid w:val="006D7F0E"/>
    <w:rsid w:val="006E035D"/>
    <w:rsid w:val="006E0926"/>
    <w:rsid w:val="006E0A66"/>
    <w:rsid w:val="006E0D8A"/>
    <w:rsid w:val="006E1561"/>
    <w:rsid w:val="006E198C"/>
    <w:rsid w:val="006E1EAC"/>
    <w:rsid w:val="006E21B7"/>
    <w:rsid w:val="006E27E1"/>
    <w:rsid w:val="006E399F"/>
    <w:rsid w:val="006E414D"/>
    <w:rsid w:val="006E454F"/>
    <w:rsid w:val="006E469B"/>
    <w:rsid w:val="006E475F"/>
    <w:rsid w:val="006E479F"/>
    <w:rsid w:val="006E4A02"/>
    <w:rsid w:val="006E4FF6"/>
    <w:rsid w:val="006E5738"/>
    <w:rsid w:val="006E6AFE"/>
    <w:rsid w:val="006E701F"/>
    <w:rsid w:val="006E7185"/>
    <w:rsid w:val="006E7D0D"/>
    <w:rsid w:val="006F0688"/>
    <w:rsid w:val="006F0A47"/>
    <w:rsid w:val="006F0A7C"/>
    <w:rsid w:val="006F0B5E"/>
    <w:rsid w:val="006F102B"/>
    <w:rsid w:val="006F107A"/>
    <w:rsid w:val="006F1125"/>
    <w:rsid w:val="006F1CA8"/>
    <w:rsid w:val="006F1CE7"/>
    <w:rsid w:val="006F239B"/>
    <w:rsid w:val="006F283F"/>
    <w:rsid w:val="006F28E2"/>
    <w:rsid w:val="006F298E"/>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741C"/>
    <w:rsid w:val="00707A2F"/>
    <w:rsid w:val="0071043A"/>
    <w:rsid w:val="00711360"/>
    <w:rsid w:val="007116D6"/>
    <w:rsid w:val="00711703"/>
    <w:rsid w:val="007131DC"/>
    <w:rsid w:val="00713878"/>
    <w:rsid w:val="00713C05"/>
    <w:rsid w:val="007144E5"/>
    <w:rsid w:val="00715051"/>
    <w:rsid w:val="00715A0D"/>
    <w:rsid w:val="00716579"/>
    <w:rsid w:val="00716AAB"/>
    <w:rsid w:val="00717A5A"/>
    <w:rsid w:val="00717BB1"/>
    <w:rsid w:val="007214AF"/>
    <w:rsid w:val="00721774"/>
    <w:rsid w:val="0072198D"/>
    <w:rsid w:val="00721ECD"/>
    <w:rsid w:val="0072200A"/>
    <w:rsid w:val="00722920"/>
    <w:rsid w:val="00723248"/>
    <w:rsid w:val="007237C2"/>
    <w:rsid w:val="00723DBB"/>
    <w:rsid w:val="0072530E"/>
    <w:rsid w:val="0072553C"/>
    <w:rsid w:val="0072578A"/>
    <w:rsid w:val="007259A2"/>
    <w:rsid w:val="007261F6"/>
    <w:rsid w:val="00726B71"/>
    <w:rsid w:val="00726D58"/>
    <w:rsid w:val="0072743B"/>
    <w:rsid w:val="00727440"/>
    <w:rsid w:val="00727711"/>
    <w:rsid w:val="00730E06"/>
    <w:rsid w:val="007313D8"/>
    <w:rsid w:val="0073153D"/>
    <w:rsid w:val="007317D2"/>
    <w:rsid w:val="007321DF"/>
    <w:rsid w:val="0073273A"/>
    <w:rsid w:val="00732A4D"/>
    <w:rsid w:val="00733129"/>
    <w:rsid w:val="007333E2"/>
    <w:rsid w:val="0073407F"/>
    <w:rsid w:val="00734183"/>
    <w:rsid w:val="007342BA"/>
    <w:rsid w:val="00734BF5"/>
    <w:rsid w:val="00734FCF"/>
    <w:rsid w:val="0073682D"/>
    <w:rsid w:val="007370AD"/>
    <w:rsid w:val="007371EB"/>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6F3"/>
    <w:rsid w:val="00745DF7"/>
    <w:rsid w:val="007464C5"/>
    <w:rsid w:val="007466E9"/>
    <w:rsid w:val="007475A1"/>
    <w:rsid w:val="007476B6"/>
    <w:rsid w:val="0074795B"/>
    <w:rsid w:val="00747A37"/>
    <w:rsid w:val="00747E0A"/>
    <w:rsid w:val="007504E5"/>
    <w:rsid w:val="00750BF2"/>
    <w:rsid w:val="00750FF7"/>
    <w:rsid w:val="0075136D"/>
    <w:rsid w:val="00752755"/>
    <w:rsid w:val="007527CE"/>
    <w:rsid w:val="007538D4"/>
    <w:rsid w:val="00753AAD"/>
    <w:rsid w:val="00753E34"/>
    <w:rsid w:val="0075431A"/>
    <w:rsid w:val="00754749"/>
    <w:rsid w:val="00754BF9"/>
    <w:rsid w:val="00755149"/>
    <w:rsid w:val="00755167"/>
    <w:rsid w:val="0075550B"/>
    <w:rsid w:val="00755AE8"/>
    <w:rsid w:val="00755B4F"/>
    <w:rsid w:val="00756339"/>
    <w:rsid w:val="007566D3"/>
    <w:rsid w:val="00756875"/>
    <w:rsid w:val="00756A2B"/>
    <w:rsid w:val="00756B31"/>
    <w:rsid w:val="00757F55"/>
    <w:rsid w:val="00760C3C"/>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1104"/>
    <w:rsid w:val="007720BF"/>
    <w:rsid w:val="0077211C"/>
    <w:rsid w:val="00772328"/>
    <w:rsid w:val="00772580"/>
    <w:rsid w:val="0077264B"/>
    <w:rsid w:val="0077266F"/>
    <w:rsid w:val="00772CEB"/>
    <w:rsid w:val="00772E2D"/>
    <w:rsid w:val="00772F32"/>
    <w:rsid w:val="007734D2"/>
    <w:rsid w:val="00773B6C"/>
    <w:rsid w:val="0077421C"/>
    <w:rsid w:val="007743D4"/>
    <w:rsid w:val="00774525"/>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1B22"/>
    <w:rsid w:val="007825B2"/>
    <w:rsid w:val="00782E56"/>
    <w:rsid w:val="00782F1F"/>
    <w:rsid w:val="007830B0"/>
    <w:rsid w:val="007834AC"/>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48DD"/>
    <w:rsid w:val="00795039"/>
    <w:rsid w:val="00795E89"/>
    <w:rsid w:val="0079690C"/>
    <w:rsid w:val="00797889"/>
    <w:rsid w:val="007A0590"/>
    <w:rsid w:val="007A10B4"/>
    <w:rsid w:val="007A26A0"/>
    <w:rsid w:val="007A2761"/>
    <w:rsid w:val="007A3743"/>
    <w:rsid w:val="007A3A48"/>
    <w:rsid w:val="007A3BCB"/>
    <w:rsid w:val="007A4238"/>
    <w:rsid w:val="007A4295"/>
    <w:rsid w:val="007A449E"/>
    <w:rsid w:val="007A44A7"/>
    <w:rsid w:val="007A46B7"/>
    <w:rsid w:val="007A4E64"/>
    <w:rsid w:val="007A5150"/>
    <w:rsid w:val="007A5226"/>
    <w:rsid w:val="007A5BB8"/>
    <w:rsid w:val="007A663E"/>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C015E"/>
    <w:rsid w:val="007C033B"/>
    <w:rsid w:val="007C05A9"/>
    <w:rsid w:val="007C1124"/>
    <w:rsid w:val="007C1749"/>
    <w:rsid w:val="007C1BAD"/>
    <w:rsid w:val="007C2B3E"/>
    <w:rsid w:val="007C306D"/>
    <w:rsid w:val="007C331F"/>
    <w:rsid w:val="007C4C9F"/>
    <w:rsid w:val="007C4D60"/>
    <w:rsid w:val="007C4F47"/>
    <w:rsid w:val="007C5C1D"/>
    <w:rsid w:val="007C5D33"/>
    <w:rsid w:val="007C623B"/>
    <w:rsid w:val="007C6952"/>
    <w:rsid w:val="007C6BCC"/>
    <w:rsid w:val="007C6BDA"/>
    <w:rsid w:val="007C718E"/>
    <w:rsid w:val="007C71CF"/>
    <w:rsid w:val="007C74BC"/>
    <w:rsid w:val="007C7521"/>
    <w:rsid w:val="007D0C85"/>
    <w:rsid w:val="007D1872"/>
    <w:rsid w:val="007D18DC"/>
    <w:rsid w:val="007D19E6"/>
    <w:rsid w:val="007D24CC"/>
    <w:rsid w:val="007D3478"/>
    <w:rsid w:val="007D4594"/>
    <w:rsid w:val="007D4D35"/>
    <w:rsid w:val="007D5888"/>
    <w:rsid w:val="007D687A"/>
    <w:rsid w:val="007D69C4"/>
    <w:rsid w:val="007D78C3"/>
    <w:rsid w:val="007D7E71"/>
    <w:rsid w:val="007E03AD"/>
    <w:rsid w:val="007E1089"/>
    <w:rsid w:val="007E14D8"/>
    <w:rsid w:val="007E1A05"/>
    <w:rsid w:val="007E1A79"/>
    <w:rsid w:val="007E1FF6"/>
    <w:rsid w:val="007E23D0"/>
    <w:rsid w:val="007E3A12"/>
    <w:rsid w:val="007E3B09"/>
    <w:rsid w:val="007E3B98"/>
    <w:rsid w:val="007E4DCD"/>
    <w:rsid w:val="007E4F84"/>
    <w:rsid w:val="007E544D"/>
    <w:rsid w:val="007E54C2"/>
    <w:rsid w:val="007E5781"/>
    <w:rsid w:val="007E5D26"/>
    <w:rsid w:val="007E5DBD"/>
    <w:rsid w:val="007E6670"/>
    <w:rsid w:val="007E6964"/>
    <w:rsid w:val="007E6C61"/>
    <w:rsid w:val="007E6ECD"/>
    <w:rsid w:val="007E6F07"/>
    <w:rsid w:val="007E6F1E"/>
    <w:rsid w:val="007E6F44"/>
    <w:rsid w:val="007E6F48"/>
    <w:rsid w:val="007E722B"/>
    <w:rsid w:val="007E76F9"/>
    <w:rsid w:val="007F0034"/>
    <w:rsid w:val="007F02EC"/>
    <w:rsid w:val="007F149F"/>
    <w:rsid w:val="007F3913"/>
    <w:rsid w:val="007F39A8"/>
    <w:rsid w:val="007F3C22"/>
    <w:rsid w:val="007F510A"/>
    <w:rsid w:val="007F5C8F"/>
    <w:rsid w:val="007F5E1F"/>
    <w:rsid w:val="007F6E7F"/>
    <w:rsid w:val="007F7021"/>
    <w:rsid w:val="007F77A6"/>
    <w:rsid w:val="007F7FA6"/>
    <w:rsid w:val="008003E9"/>
    <w:rsid w:val="00800555"/>
    <w:rsid w:val="00800809"/>
    <w:rsid w:val="00800981"/>
    <w:rsid w:val="00801778"/>
    <w:rsid w:val="00802273"/>
    <w:rsid w:val="00802A7E"/>
    <w:rsid w:val="00802AB2"/>
    <w:rsid w:val="008035D2"/>
    <w:rsid w:val="00803652"/>
    <w:rsid w:val="008037AA"/>
    <w:rsid w:val="008039AD"/>
    <w:rsid w:val="00803B26"/>
    <w:rsid w:val="00804740"/>
    <w:rsid w:val="00804A50"/>
    <w:rsid w:val="00804DFD"/>
    <w:rsid w:val="00805088"/>
    <w:rsid w:val="00805DAC"/>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4489"/>
    <w:rsid w:val="00815145"/>
    <w:rsid w:val="00815221"/>
    <w:rsid w:val="008168DE"/>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1829"/>
    <w:rsid w:val="008323A6"/>
    <w:rsid w:val="00832A74"/>
    <w:rsid w:val="00832FB5"/>
    <w:rsid w:val="0083359F"/>
    <w:rsid w:val="008336C3"/>
    <w:rsid w:val="00833CD1"/>
    <w:rsid w:val="00833EF9"/>
    <w:rsid w:val="008341B4"/>
    <w:rsid w:val="008346E1"/>
    <w:rsid w:val="00834C1E"/>
    <w:rsid w:val="00835688"/>
    <w:rsid w:val="00835F64"/>
    <w:rsid w:val="008371A9"/>
    <w:rsid w:val="008371AA"/>
    <w:rsid w:val="0083771B"/>
    <w:rsid w:val="00837D62"/>
    <w:rsid w:val="0084033B"/>
    <w:rsid w:val="008418B1"/>
    <w:rsid w:val="00841A50"/>
    <w:rsid w:val="00841D6F"/>
    <w:rsid w:val="00841ED7"/>
    <w:rsid w:val="00841FA7"/>
    <w:rsid w:val="00842135"/>
    <w:rsid w:val="00842B0D"/>
    <w:rsid w:val="00842CA1"/>
    <w:rsid w:val="00842F4E"/>
    <w:rsid w:val="00843160"/>
    <w:rsid w:val="00843C71"/>
    <w:rsid w:val="008440A4"/>
    <w:rsid w:val="008446C0"/>
    <w:rsid w:val="00844A0C"/>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675C"/>
    <w:rsid w:val="008574C0"/>
    <w:rsid w:val="008609BF"/>
    <w:rsid w:val="00861029"/>
    <w:rsid w:val="00861C84"/>
    <w:rsid w:val="0086216C"/>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BC7"/>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10B2"/>
    <w:rsid w:val="00881F4B"/>
    <w:rsid w:val="0088267E"/>
    <w:rsid w:val="00882A42"/>
    <w:rsid w:val="008830F6"/>
    <w:rsid w:val="00883125"/>
    <w:rsid w:val="00883299"/>
    <w:rsid w:val="008832C4"/>
    <w:rsid w:val="008839F2"/>
    <w:rsid w:val="00884377"/>
    <w:rsid w:val="00884742"/>
    <w:rsid w:val="00884996"/>
    <w:rsid w:val="00884A2E"/>
    <w:rsid w:val="0088501E"/>
    <w:rsid w:val="0088565B"/>
    <w:rsid w:val="0088586A"/>
    <w:rsid w:val="00886337"/>
    <w:rsid w:val="00886D08"/>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0F9E"/>
    <w:rsid w:val="008A1214"/>
    <w:rsid w:val="008A1795"/>
    <w:rsid w:val="008A1C9D"/>
    <w:rsid w:val="008A1E23"/>
    <w:rsid w:val="008A2D76"/>
    <w:rsid w:val="008A2FC7"/>
    <w:rsid w:val="008A3E4A"/>
    <w:rsid w:val="008A3E62"/>
    <w:rsid w:val="008A4573"/>
    <w:rsid w:val="008A48F1"/>
    <w:rsid w:val="008A496F"/>
    <w:rsid w:val="008A4C96"/>
    <w:rsid w:val="008A4F1E"/>
    <w:rsid w:val="008A606C"/>
    <w:rsid w:val="008A646A"/>
    <w:rsid w:val="008A757D"/>
    <w:rsid w:val="008A76AF"/>
    <w:rsid w:val="008B0CCC"/>
    <w:rsid w:val="008B10B9"/>
    <w:rsid w:val="008B1593"/>
    <w:rsid w:val="008B25EF"/>
    <w:rsid w:val="008B2B85"/>
    <w:rsid w:val="008B3BC5"/>
    <w:rsid w:val="008B4111"/>
    <w:rsid w:val="008B4272"/>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2E5F"/>
    <w:rsid w:val="008D30FB"/>
    <w:rsid w:val="008D32E2"/>
    <w:rsid w:val="008D37A5"/>
    <w:rsid w:val="008D38DC"/>
    <w:rsid w:val="008D465E"/>
    <w:rsid w:val="008D4693"/>
    <w:rsid w:val="008D4B3C"/>
    <w:rsid w:val="008D50B0"/>
    <w:rsid w:val="008D58D8"/>
    <w:rsid w:val="008D5BDF"/>
    <w:rsid w:val="008D6B11"/>
    <w:rsid w:val="008D6C52"/>
    <w:rsid w:val="008D73A0"/>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E7ACF"/>
    <w:rsid w:val="008F031B"/>
    <w:rsid w:val="008F0F19"/>
    <w:rsid w:val="008F125E"/>
    <w:rsid w:val="008F13D9"/>
    <w:rsid w:val="008F1912"/>
    <w:rsid w:val="008F25B1"/>
    <w:rsid w:val="008F3C07"/>
    <w:rsid w:val="008F428F"/>
    <w:rsid w:val="008F52BA"/>
    <w:rsid w:val="008F5B1C"/>
    <w:rsid w:val="008F6430"/>
    <w:rsid w:val="008F6B47"/>
    <w:rsid w:val="008F782B"/>
    <w:rsid w:val="008F7CB5"/>
    <w:rsid w:val="008F7EDE"/>
    <w:rsid w:val="00900218"/>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06"/>
    <w:rsid w:val="00910E31"/>
    <w:rsid w:val="00911568"/>
    <w:rsid w:val="009115F9"/>
    <w:rsid w:val="00911687"/>
    <w:rsid w:val="009120B4"/>
    <w:rsid w:val="00913F74"/>
    <w:rsid w:val="00914A35"/>
    <w:rsid w:val="00914A8D"/>
    <w:rsid w:val="00914AEB"/>
    <w:rsid w:val="00914BA6"/>
    <w:rsid w:val="00914C04"/>
    <w:rsid w:val="00915924"/>
    <w:rsid w:val="00915A1C"/>
    <w:rsid w:val="00915C36"/>
    <w:rsid w:val="00915F13"/>
    <w:rsid w:val="009163F1"/>
    <w:rsid w:val="0091650A"/>
    <w:rsid w:val="0092032C"/>
    <w:rsid w:val="00920522"/>
    <w:rsid w:val="00922AB2"/>
    <w:rsid w:val="00923354"/>
    <w:rsid w:val="00923DAC"/>
    <w:rsid w:val="00923F6F"/>
    <w:rsid w:val="00923FAC"/>
    <w:rsid w:val="0092433B"/>
    <w:rsid w:val="00924382"/>
    <w:rsid w:val="00924577"/>
    <w:rsid w:val="009247D8"/>
    <w:rsid w:val="00925177"/>
    <w:rsid w:val="00925241"/>
    <w:rsid w:val="009259F1"/>
    <w:rsid w:val="00925A18"/>
    <w:rsid w:val="009260BE"/>
    <w:rsid w:val="009275C3"/>
    <w:rsid w:val="00927C5D"/>
    <w:rsid w:val="00927FE9"/>
    <w:rsid w:val="009300E7"/>
    <w:rsid w:val="00930764"/>
    <w:rsid w:val="009311FC"/>
    <w:rsid w:val="0093175A"/>
    <w:rsid w:val="009325D9"/>
    <w:rsid w:val="00932B7E"/>
    <w:rsid w:val="00932F4A"/>
    <w:rsid w:val="00934309"/>
    <w:rsid w:val="009343D4"/>
    <w:rsid w:val="00934452"/>
    <w:rsid w:val="0093515A"/>
    <w:rsid w:val="0093524B"/>
    <w:rsid w:val="00935B3B"/>
    <w:rsid w:val="00936BB1"/>
    <w:rsid w:val="00936BBF"/>
    <w:rsid w:val="00936CC4"/>
    <w:rsid w:val="0093712F"/>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0B4"/>
    <w:rsid w:val="0095055E"/>
    <w:rsid w:val="00950636"/>
    <w:rsid w:val="00950A9A"/>
    <w:rsid w:val="00951F78"/>
    <w:rsid w:val="00951FBD"/>
    <w:rsid w:val="009523D1"/>
    <w:rsid w:val="0095264A"/>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176"/>
    <w:rsid w:val="009606F5"/>
    <w:rsid w:val="00961107"/>
    <w:rsid w:val="0096110F"/>
    <w:rsid w:val="0096159C"/>
    <w:rsid w:val="00962944"/>
    <w:rsid w:val="0096382F"/>
    <w:rsid w:val="00964498"/>
    <w:rsid w:val="0096461D"/>
    <w:rsid w:val="00964B11"/>
    <w:rsid w:val="0096515C"/>
    <w:rsid w:val="00965228"/>
    <w:rsid w:val="00965C55"/>
    <w:rsid w:val="00966067"/>
    <w:rsid w:val="00967D5D"/>
    <w:rsid w:val="0097012F"/>
    <w:rsid w:val="00970D87"/>
    <w:rsid w:val="00971171"/>
    <w:rsid w:val="00971245"/>
    <w:rsid w:val="0097145B"/>
    <w:rsid w:val="00971547"/>
    <w:rsid w:val="00971A6B"/>
    <w:rsid w:val="00971CA2"/>
    <w:rsid w:val="0097271D"/>
    <w:rsid w:val="00973EC9"/>
    <w:rsid w:val="0097455F"/>
    <w:rsid w:val="0097516B"/>
    <w:rsid w:val="009753B2"/>
    <w:rsid w:val="009755AE"/>
    <w:rsid w:val="009764F6"/>
    <w:rsid w:val="0098067B"/>
    <w:rsid w:val="00980B17"/>
    <w:rsid w:val="009813C9"/>
    <w:rsid w:val="00981567"/>
    <w:rsid w:val="00981F99"/>
    <w:rsid w:val="00982782"/>
    <w:rsid w:val="00982D18"/>
    <w:rsid w:val="00983E66"/>
    <w:rsid w:val="009843B7"/>
    <w:rsid w:val="00984D3F"/>
    <w:rsid w:val="00984FFD"/>
    <w:rsid w:val="009850E4"/>
    <w:rsid w:val="00985388"/>
    <w:rsid w:val="009858D6"/>
    <w:rsid w:val="009859DA"/>
    <w:rsid w:val="00985E43"/>
    <w:rsid w:val="0098622A"/>
    <w:rsid w:val="00986597"/>
    <w:rsid w:val="00986AF4"/>
    <w:rsid w:val="00986C5C"/>
    <w:rsid w:val="00986E8D"/>
    <w:rsid w:val="009875CF"/>
    <w:rsid w:val="00990759"/>
    <w:rsid w:val="009908CA"/>
    <w:rsid w:val="00990DAE"/>
    <w:rsid w:val="0099128F"/>
    <w:rsid w:val="00991AFE"/>
    <w:rsid w:val="00991D59"/>
    <w:rsid w:val="00992524"/>
    <w:rsid w:val="00992604"/>
    <w:rsid w:val="00992745"/>
    <w:rsid w:val="009936A2"/>
    <w:rsid w:val="0099399B"/>
    <w:rsid w:val="009939E6"/>
    <w:rsid w:val="00993B6D"/>
    <w:rsid w:val="00993EAD"/>
    <w:rsid w:val="00994664"/>
    <w:rsid w:val="00994B0E"/>
    <w:rsid w:val="00994C93"/>
    <w:rsid w:val="00994DAC"/>
    <w:rsid w:val="00994FB5"/>
    <w:rsid w:val="009951D1"/>
    <w:rsid w:val="00995F9D"/>
    <w:rsid w:val="009977C4"/>
    <w:rsid w:val="00997910"/>
    <w:rsid w:val="009979C0"/>
    <w:rsid w:val="009A0198"/>
    <w:rsid w:val="009A11AF"/>
    <w:rsid w:val="009A1346"/>
    <w:rsid w:val="009A156F"/>
    <w:rsid w:val="009A1830"/>
    <w:rsid w:val="009A1DE5"/>
    <w:rsid w:val="009A3902"/>
    <w:rsid w:val="009A3AFF"/>
    <w:rsid w:val="009A3F22"/>
    <w:rsid w:val="009A3F9C"/>
    <w:rsid w:val="009A4349"/>
    <w:rsid w:val="009A4AE9"/>
    <w:rsid w:val="009A5AFC"/>
    <w:rsid w:val="009A6BCD"/>
    <w:rsid w:val="009A7538"/>
    <w:rsid w:val="009A7601"/>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B83"/>
    <w:rsid w:val="009B6367"/>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6842"/>
    <w:rsid w:val="009C75AA"/>
    <w:rsid w:val="009C773E"/>
    <w:rsid w:val="009C7E63"/>
    <w:rsid w:val="009D09FF"/>
    <w:rsid w:val="009D0B29"/>
    <w:rsid w:val="009D0E05"/>
    <w:rsid w:val="009D0E9F"/>
    <w:rsid w:val="009D1D61"/>
    <w:rsid w:val="009D238D"/>
    <w:rsid w:val="009D2561"/>
    <w:rsid w:val="009D3C28"/>
    <w:rsid w:val="009D4967"/>
    <w:rsid w:val="009D636C"/>
    <w:rsid w:val="009D70A9"/>
    <w:rsid w:val="009D7511"/>
    <w:rsid w:val="009E0147"/>
    <w:rsid w:val="009E0444"/>
    <w:rsid w:val="009E09A5"/>
    <w:rsid w:val="009E0A14"/>
    <w:rsid w:val="009E0B3E"/>
    <w:rsid w:val="009E0B89"/>
    <w:rsid w:val="009E0BE3"/>
    <w:rsid w:val="009E100E"/>
    <w:rsid w:val="009E2461"/>
    <w:rsid w:val="009E2867"/>
    <w:rsid w:val="009E2937"/>
    <w:rsid w:val="009E3139"/>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19B6"/>
    <w:rsid w:val="009F222A"/>
    <w:rsid w:val="009F2CC6"/>
    <w:rsid w:val="009F32EF"/>
    <w:rsid w:val="009F3734"/>
    <w:rsid w:val="009F39DE"/>
    <w:rsid w:val="009F3A74"/>
    <w:rsid w:val="009F3BD9"/>
    <w:rsid w:val="009F451A"/>
    <w:rsid w:val="009F4988"/>
    <w:rsid w:val="009F4B35"/>
    <w:rsid w:val="009F4B7D"/>
    <w:rsid w:val="009F4F7B"/>
    <w:rsid w:val="009F4FEC"/>
    <w:rsid w:val="009F551A"/>
    <w:rsid w:val="009F5BAE"/>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C38"/>
    <w:rsid w:val="00A04CFE"/>
    <w:rsid w:val="00A05C12"/>
    <w:rsid w:val="00A06728"/>
    <w:rsid w:val="00A07EEB"/>
    <w:rsid w:val="00A11460"/>
    <w:rsid w:val="00A122FB"/>
    <w:rsid w:val="00A1245F"/>
    <w:rsid w:val="00A124FF"/>
    <w:rsid w:val="00A12DBD"/>
    <w:rsid w:val="00A1399E"/>
    <w:rsid w:val="00A141A3"/>
    <w:rsid w:val="00A1445F"/>
    <w:rsid w:val="00A1449E"/>
    <w:rsid w:val="00A1454A"/>
    <w:rsid w:val="00A147E1"/>
    <w:rsid w:val="00A14918"/>
    <w:rsid w:val="00A15F6C"/>
    <w:rsid w:val="00A16897"/>
    <w:rsid w:val="00A16C26"/>
    <w:rsid w:val="00A17B91"/>
    <w:rsid w:val="00A17FF5"/>
    <w:rsid w:val="00A20235"/>
    <w:rsid w:val="00A20254"/>
    <w:rsid w:val="00A2051E"/>
    <w:rsid w:val="00A20CF8"/>
    <w:rsid w:val="00A21972"/>
    <w:rsid w:val="00A21D82"/>
    <w:rsid w:val="00A22D44"/>
    <w:rsid w:val="00A22F33"/>
    <w:rsid w:val="00A2441E"/>
    <w:rsid w:val="00A24626"/>
    <w:rsid w:val="00A24AD5"/>
    <w:rsid w:val="00A24F58"/>
    <w:rsid w:val="00A2506B"/>
    <w:rsid w:val="00A25605"/>
    <w:rsid w:val="00A2577F"/>
    <w:rsid w:val="00A2585E"/>
    <w:rsid w:val="00A25BF7"/>
    <w:rsid w:val="00A25D10"/>
    <w:rsid w:val="00A26682"/>
    <w:rsid w:val="00A26F04"/>
    <w:rsid w:val="00A273D2"/>
    <w:rsid w:val="00A277DE"/>
    <w:rsid w:val="00A27D6F"/>
    <w:rsid w:val="00A27F82"/>
    <w:rsid w:val="00A30AB2"/>
    <w:rsid w:val="00A30E4C"/>
    <w:rsid w:val="00A30EC1"/>
    <w:rsid w:val="00A30FEC"/>
    <w:rsid w:val="00A315ED"/>
    <w:rsid w:val="00A324FD"/>
    <w:rsid w:val="00A32DD8"/>
    <w:rsid w:val="00A33220"/>
    <w:rsid w:val="00A33793"/>
    <w:rsid w:val="00A339E7"/>
    <w:rsid w:val="00A339F2"/>
    <w:rsid w:val="00A344F7"/>
    <w:rsid w:val="00A345A2"/>
    <w:rsid w:val="00A34CE8"/>
    <w:rsid w:val="00A353F2"/>
    <w:rsid w:val="00A3586B"/>
    <w:rsid w:val="00A35BED"/>
    <w:rsid w:val="00A35F0B"/>
    <w:rsid w:val="00A36E43"/>
    <w:rsid w:val="00A3717C"/>
    <w:rsid w:val="00A37380"/>
    <w:rsid w:val="00A37456"/>
    <w:rsid w:val="00A37866"/>
    <w:rsid w:val="00A37927"/>
    <w:rsid w:val="00A37EA3"/>
    <w:rsid w:val="00A4199B"/>
    <w:rsid w:val="00A42FC4"/>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368C"/>
    <w:rsid w:val="00A648E2"/>
    <w:rsid w:val="00A64E71"/>
    <w:rsid w:val="00A653BA"/>
    <w:rsid w:val="00A65BB9"/>
    <w:rsid w:val="00A65DE5"/>
    <w:rsid w:val="00A66624"/>
    <w:rsid w:val="00A669A1"/>
    <w:rsid w:val="00A66E78"/>
    <w:rsid w:val="00A672C5"/>
    <w:rsid w:val="00A67929"/>
    <w:rsid w:val="00A6797F"/>
    <w:rsid w:val="00A679C2"/>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30"/>
    <w:rsid w:val="00A75B75"/>
    <w:rsid w:val="00A7652B"/>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8F8"/>
    <w:rsid w:val="00A91A25"/>
    <w:rsid w:val="00A91A8B"/>
    <w:rsid w:val="00A9218D"/>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2704"/>
    <w:rsid w:val="00AA35B2"/>
    <w:rsid w:val="00AA439F"/>
    <w:rsid w:val="00AA4A59"/>
    <w:rsid w:val="00AA4E96"/>
    <w:rsid w:val="00AA50BB"/>
    <w:rsid w:val="00AA587F"/>
    <w:rsid w:val="00AA5880"/>
    <w:rsid w:val="00AA6706"/>
    <w:rsid w:val="00AA69E3"/>
    <w:rsid w:val="00AA6AF6"/>
    <w:rsid w:val="00AA6FC2"/>
    <w:rsid w:val="00AA7C6E"/>
    <w:rsid w:val="00AB0091"/>
    <w:rsid w:val="00AB03AF"/>
    <w:rsid w:val="00AB03C2"/>
    <w:rsid w:val="00AB19AC"/>
    <w:rsid w:val="00AB1AD5"/>
    <w:rsid w:val="00AB1BE5"/>
    <w:rsid w:val="00AB2712"/>
    <w:rsid w:val="00AB2A27"/>
    <w:rsid w:val="00AB2BB6"/>
    <w:rsid w:val="00AB3692"/>
    <w:rsid w:val="00AB50B5"/>
    <w:rsid w:val="00AB525C"/>
    <w:rsid w:val="00AB5590"/>
    <w:rsid w:val="00AB5CF8"/>
    <w:rsid w:val="00AB5FCC"/>
    <w:rsid w:val="00AB6724"/>
    <w:rsid w:val="00AB6C7E"/>
    <w:rsid w:val="00AB71E1"/>
    <w:rsid w:val="00AB73FB"/>
    <w:rsid w:val="00AB75FB"/>
    <w:rsid w:val="00AB79EB"/>
    <w:rsid w:val="00AB7D9A"/>
    <w:rsid w:val="00AC0302"/>
    <w:rsid w:val="00AC085D"/>
    <w:rsid w:val="00AC0D67"/>
    <w:rsid w:val="00AC150A"/>
    <w:rsid w:val="00AC16EB"/>
    <w:rsid w:val="00AC18D6"/>
    <w:rsid w:val="00AC1A60"/>
    <w:rsid w:val="00AC1D96"/>
    <w:rsid w:val="00AC2610"/>
    <w:rsid w:val="00AC2BF5"/>
    <w:rsid w:val="00AC2E7F"/>
    <w:rsid w:val="00AC2F77"/>
    <w:rsid w:val="00AC44CA"/>
    <w:rsid w:val="00AC4DFB"/>
    <w:rsid w:val="00AC58A2"/>
    <w:rsid w:val="00AC5EF0"/>
    <w:rsid w:val="00AC6F03"/>
    <w:rsid w:val="00AC7235"/>
    <w:rsid w:val="00AC776D"/>
    <w:rsid w:val="00AC7D83"/>
    <w:rsid w:val="00AD0507"/>
    <w:rsid w:val="00AD098E"/>
    <w:rsid w:val="00AD1256"/>
    <w:rsid w:val="00AD1B98"/>
    <w:rsid w:val="00AD20C8"/>
    <w:rsid w:val="00AD2FE3"/>
    <w:rsid w:val="00AD3FCF"/>
    <w:rsid w:val="00AD4126"/>
    <w:rsid w:val="00AD42F3"/>
    <w:rsid w:val="00AD4338"/>
    <w:rsid w:val="00AD447E"/>
    <w:rsid w:val="00AD4896"/>
    <w:rsid w:val="00AD4936"/>
    <w:rsid w:val="00AD505D"/>
    <w:rsid w:val="00AD509C"/>
    <w:rsid w:val="00AD660A"/>
    <w:rsid w:val="00AD6AB6"/>
    <w:rsid w:val="00AD711B"/>
    <w:rsid w:val="00AD7519"/>
    <w:rsid w:val="00AE01E7"/>
    <w:rsid w:val="00AE0744"/>
    <w:rsid w:val="00AE1154"/>
    <w:rsid w:val="00AE1512"/>
    <w:rsid w:val="00AE1A1B"/>
    <w:rsid w:val="00AE1D39"/>
    <w:rsid w:val="00AE20AB"/>
    <w:rsid w:val="00AE3792"/>
    <w:rsid w:val="00AE395B"/>
    <w:rsid w:val="00AE3976"/>
    <w:rsid w:val="00AE3EB6"/>
    <w:rsid w:val="00AE4AFB"/>
    <w:rsid w:val="00AE4DF9"/>
    <w:rsid w:val="00AE51FF"/>
    <w:rsid w:val="00AE526A"/>
    <w:rsid w:val="00AE5E54"/>
    <w:rsid w:val="00AE6378"/>
    <w:rsid w:val="00AE6ADB"/>
    <w:rsid w:val="00AE6B9E"/>
    <w:rsid w:val="00AE6C6D"/>
    <w:rsid w:val="00AE6D0F"/>
    <w:rsid w:val="00AE6D74"/>
    <w:rsid w:val="00AE6FAB"/>
    <w:rsid w:val="00AE71D7"/>
    <w:rsid w:val="00AE73CB"/>
    <w:rsid w:val="00AE7533"/>
    <w:rsid w:val="00AE7FA3"/>
    <w:rsid w:val="00AF013A"/>
    <w:rsid w:val="00AF02CA"/>
    <w:rsid w:val="00AF07C0"/>
    <w:rsid w:val="00AF0F7F"/>
    <w:rsid w:val="00AF1FEF"/>
    <w:rsid w:val="00AF24B7"/>
    <w:rsid w:val="00AF2693"/>
    <w:rsid w:val="00AF3449"/>
    <w:rsid w:val="00AF42BE"/>
    <w:rsid w:val="00AF4796"/>
    <w:rsid w:val="00AF5913"/>
    <w:rsid w:val="00AF5DC6"/>
    <w:rsid w:val="00AF6602"/>
    <w:rsid w:val="00AF679D"/>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B2D"/>
    <w:rsid w:val="00B06C1B"/>
    <w:rsid w:val="00B06F63"/>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C95"/>
    <w:rsid w:val="00B21DE5"/>
    <w:rsid w:val="00B222CD"/>
    <w:rsid w:val="00B22868"/>
    <w:rsid w:val="00B22A4B"/>
    <w:rsid w:val="00B238EB"/>
    <w:rsid w:val="00B23F6E"/>
    <w:rsid w:val="00B24374"/>
    <w:rsid w:val="00B24C34"/>
    <w:rsid w:val="00B2565D"/>
    <w:rsid w:val="00B25AC3"/>
    <w:rsid w:val="00B25F75"/>
    <w:rsid w:val="00B2616E"/>
    <w:rsid w:val="00B26381"/>
    <w:rsid w:val="00B26686"/>
    <w:rsid w:val="00B27120"/>
    <w:rsid w:val="00B2757A"/>
    <w:rsid w:val="00B27839"/>
    <w:rsid w:val="00B3042A"/>
    <w:rsid w:val="00B30CCF"/>
    <w:rsid w:val="00B3110A"/>
    <w:rsid w:val="00B31E3A"/>
    <w:rsid w:val="00B3227A"/>
    <w:rsid w:val="00B322B2"/>
    <w:rsid w:val="00B32832"/>
    <w:rsid w:val="00B32CC6"/>
    <w:rsid w:val="00B336C9"/>
    <w:rsid w:val="00B338A9"/>
    <w:rsid w:val="00B343BF"/>
    <w:rsid w:val="00B34DC7"/>
    <w:rsid w:val="00B34FBD"/>
    <w:rsid w:val="00B353B1"/>
    <w:rsid w:val="00B354AC"/>
    <w:rsid w:val="00B35756"/>
    <w:rsid w:val="00B360C9"/>
    <w:rsid w:val="00B370F5"/>
    <w:rsid w:val="00B37A74"/>
    <w:rsid w:val="00B37B60"/>
    <w:rsid w:val="00B404F5"/>
    <w:rsid w:val="00B407A0"/>
    <w:rsid w:val="00B40D19"/>
    <w:rsid w:val="00B40D84"/>
    <w:rsid w:val="00B40DE0"/>
    <w:rsid w:val="00B41731"/>
    <w:rsid w:val="00B42188"/>
    <w:rsid w:val="00B4250F"/>
    <w:rsid w:val="00B42E5F"/>
    <w:rsid w:val="00B42F5D"/>
    <w:rsid w:val="00B43037"/>
    <w:rsid w:val="00B43588"/>
    <w:rsid w:val="00B43696"/>
    <w:rsid w:val="00B44F6A"/>
    <w:rsid w:val="00B451A8"/>
    <w:rsid w:val="00B451E6"/>
    <w:rsid w:val="00B45B72"/>
    <w:rsid w:val="00B467C8"/>
    <w:rsid w:val="00B46D4B"/>
    <w:rsid w:val="00B4788D"/>
    <w:rsid w:val="00B47FDA"/>
    <w:rsid w:val="00B503B1"/>
    <w:rsid w:val="00B507A5"/>
    <w:rsid w:val="00B51733"/>
    <w:rsid w:val="00B5188D"/>
    <w:rsid w:val="00B51C2B"/>
    <w:rsid w:val="00B523D5"/>
    <w:rsid w:val="00B52B89"/>
    <w:rsid w:val="00B53BF6"/>
    <w:rsid w:val="00B53D81"/>
    <w:rsid w:val="00B53F75"/>
    <w:rsid w:val="00B54379"/>
    <w:rsid w:val="00B54A1C"/>
    <w:rsid w:val="00B54B35"/>
    <w:rsid w:val="00B553AC"/>
    <w:rsid w:val="00B5561A"/>
    <w:rsid w:val="00B55BA4"/>
    <w:rsid w:val="00B5694B"/>
    <w:rsid w:val="00B56D13"/>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6FDC"/>
    <w:rsid w:val="00B672DF"/>
    <w:rsid w:val="00B702D7"/>
    <w:rsid w:val="00B70363"/>
    <w:rsid w:val="00B705B0"/>
    <w:rsid w:val="00B70868"/>
    <w:rsid w:val="00B70999"/>
    <w:rsid w:val="00B70BFB"/>
    <w:rsid w:val="00B721FB"/>
    <w:rsid w:val="00B723D8"/>
    <w:rsid w:val="00B72795"/>
    <w:rsid w:val="00B72863"/>
    <w:rsid w:val="00B73582"/>
    <w:rsid w:val="00B73AC1"/>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7166"/>
    <w:rsid w:val="00B871B8"/>
    <w:rsid w:val="00B8747D"/>
    <w:rsid w:val="00B911FB"/>
    <w:rsid w:val="00B9128D"/>
    <w:rsid w:val="00B9141F"/>
    <w:rsid w:val="00B92325"/>
    <w:rsid w:val="00B923D8"/>
    <w:rsid w:val="00B927B1"/>
    <w:rsid w:val="00B933BA"/>
    <w:rsid w:val="00B938E0"/>
    <w:rsid w:val="00B939B9"/>
    <w:rsid w:val="00B94D56"/>
    <w:rsid w:val="00B94D78"/>
    <w:rsid w:val="00B95B08"/>
    <w:rsid w:val="00B97051"/>
    <w:rsid w:val="00B97144"/>
    <w:rsid w:val="00B97944"/>
    <w:rsid w:val="00B97C12"/>
    <w:rsid w:val="00BA0B8A"/>
    <w:rsid w:val="00BA16B5"/>
    <w:rsid w:val="00BA1C43"/>
    <w:rsid w:val="00BA29AA"/>
    <w:rsid w:val="00BA2A0F"/>
    <w:rsid w:val="00BA2E3E"/>
    <w:rsid w:val="00BA3447"/>
    <w:rsid w:val="00BA3D70"/>
    <w:rsid w:val="00BA6579"/>
    <w:rsid w:val="00BA6D96"/>
    <w:rsid w:val="00BA6E57"/>
    <w:rsid w:val="00BA6ED7"/>
    <w:rsid w:val="00BA6F31"/>
    <w:rsid w:val="00BA7C76"/>
    <w:rsid w:val="00BB0328"/>
    <w:rsid w:val="00BB0C36"/>
    <w:rsid w:val="00BB0D88"/>
    <w:rsid w:val="00BB1FA4"/>
    <w:rsid w:val="00BB2242"/>
    <w:rsid w:val="00BB27CB"/>
    <w:rsid w:val="00BB3023"/>
    <w:rsid w:val="00BB343B"/>
    <w:rsid w:val="00BB4A75"/>
    <w:rsid w:val="00BB5629"/>
    <w:rsid w:val="00BB5DE6"/>
    <w:rsid w:val="00BB5EF2"/>
    <w:rsid w:val="00BB6AB6"/>
    <w:rsid w:val="00BB6B11"/>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D39"/>
    <w:rsid w:val="00BC7360"/>
    <w:rsid w:val="00BC7E2F"/>
    <w:rsid w:val="00BD07B7"/>
    <w:rsid w:val="00BD0FC5"/>
    <w:rsid w:val="00BD15B5"/>
    <w:rsid w:val="00BD1D49"/>
    <w:rsid w:val="00BD1FFA"/>
    <w:rsid w:val="00BD2083"/>
    <w:rsid w:val="00BD2418"/>
    <w:rsid w:val="00BD2A61"/>
    <w:rsid w:val="00BD2AD2"/>
    <w:rsid w:val="00BD2F18"/>
    <w:rsid w:val="00BD2F27"/>
    <w:rsid w:val="00BD42E3"/>
    <w:rsid w:val="00BD4378"/>
    <w:rsid w:val="00BD4731"/>
    <w:rsid w:val="00BD4BE6"/>
    <w:rsid w:val="00BD5679"/>
    <w:rsid w:val="00BD56C5"/>
    <w:rsid w:val="00BD5C87"/>
    <w:rsid w:val="00BD5EA2"/>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265"/>
    <w:rsid w:val="00BE5B1A"/>
    <w:rsid w:val="00BE5B3B"/>
    <w:rsid w:val="00BE5C8D"/>
    <w:rsid w:val="00BE5DCF"/>
    <w:rsid w:val="00BE5FAF"/>
    <w:rsid w:val="00BE6B80"/>
    <w:rsid w:val="00BE7878"/>
    <w:rsid w:val="00BE79AD"/>
    <w:rsid w:val="00BF06C0"/>
    <w:rsid w:val="00BF07B9"/>
    <w:rsid w:val="00BF19B6"/>
    <w:rsid w:val="00BF1C82"/>
    <w:rsid w:val="00BF2254"/>
    <w:rsid w:val="00BF25BF"/>
    <w:rsid w:val="00BF27D3"/>
    <w:rsid w:val="00BF2958"/>
    <w:rsid w:val="00BF33F7"/>
    <w:rsid w:val="00BF3670"/>
    <w:rsid w:val="00BF3856"/>
    <w:rsid w:val="00BF38BC"/>
    <w:rsid w:val="00BF3FB4"/>
    <w:rsid w:val="00BF3FDE"/>
    <w:rsid w:val="00BF4402"/>
    <w:rsid w:val="00BF445A"/>
    <w:rsid w:val="00BF548A"/>
    <w:rsid w:val="00BF6158"/>
    <w:rsid w:val="00BF683F"/>
    <w:rsid w:val="00BF6842"/>
    <w:rsid w:val="00BF6CB5"/>
    <w:rsid w:val="00BF70FA"/>
    <w:rsid w:val="00BF7C3C"/>
    <w:rsid w:val="00C00E5D"/>
    <w:rsid w:val="00C0151D"/>
    <w:rsid w:val="00C01A9D"/>
    <w:rsid w:val="00C02067"/>
    <w:rsid w:val="00C0240E"/>
    <w:rsid w:val="00C026F8"/>
    <w:rsid w:val="00C02771"/>
    <w:rsid w:val="00C027F1"/>
    <w:rsid w:val="00C028BE"/>
    <w:rsid w:val="00C0296E"/>
    <w:rsid w:val="00C02DA7"/>
    <w:rsid w:val="00C030A2"/>
    <w:rsid w:val="00C03418"/>
    <w:rsid w:val="00C0384E"/>
    <w:rsid w:val="00C03C82"/>
    <w:rsid w:val="00C03D61"/>
    <w:rsid w:val="00C0457B"/>
    <w:rsid w:val="00C049E0"/>
    <w:rsid w:val="00C075C8"/>
    <w:rsid w:val="00C101F6"/>
    <w:rsid w:val="00C10F16"/>
    <w:rsid w:val="00C114F8"/>
    <w:rsid w:val="00C11D3D"/>
    <w:rsid w:val="00C11D80"/>
    <w:rsid w:val="00C137F6"/>
    <w:rsid w:val="00C13918"/>
    <w:rsid w:val="00C1394A"/>
    <w:rsid w:val="00C13F58"/>
    <w:rsid w:val="00C14459"/>
    <w:rsid w:val="00C1469F"/>
    <w:rsid w:val="00C1479B"/>
    <w:rsid w:val="00C158D2"/>
    <w:rsid w:val="00C16852"/>
    <w:rsid w:val="00C16C39"/>
    <w:rsid w:val="00C16C3E"/>
    <w:rsid w:val="00C16C78"/>
    <w:rsid w:val="00C1762A"/>
    <w:rsid w:val="00C17882"/>
    <w:rsid w:val="00C2047B"/>
    <w:rsid w:val="00C206C4"/>
    <w:rsid w:val="00C2111C"/>
    <w:rsid w:val="00C226CE"/>
    <w:rsid w:val="00C22785"/>
    <w:rsid w:val="00C22828"/>
    <w:rsid w:val="00C22F6D"/>
    <w:rsid w:val="00C2306C"/>
    <w:rsid w:val="00C2370F"/>
    <w:rsid w:val="00C237E2"/>
    <w:rsid w:val="00C2490C"/>
    <w:rsid w:val="00C24B17"/>
    <w:rsid w:val="00C24C9A"/>
    <w:rsid w:val="00C24DF2"/>
    <w:rsid w:val="00C24F3C"/>
    <w:rsid w:val="00C25095"/>
    <w:rsid w:val="00C262F0"/>
    <w:rsid w:val="00C26C6F"/>
    <w:rsid w:val="00C27A1B"/>
    <w:rsid w:val="00C31820"/>
    <w:rsid w:val="00C324A1"/>
    <w:rsid w:val="00C328D2"/>
    <w:rsid w:val="00C32F75"/>
    <w:rsid w:val="00C3332C"/>
    <w:rsid w:val="00C335F5"/>
    <w:rsid w:val="00C3389B"/>
    <w:rsid w:val="00C350E1"/>
    <w:rsid w:val="00C35BC5"/>
    <w:rsid w:val="00C35BD6"/>
    <w:rsid w:val="00C35DE3"/>
    <w:rsid w:val="00C35E65"/>
    <w:rsid w:val="00C36327"/>
    <w:rsid w:val="00C37487"/>
    <w:rsid w:val="00C3765C"/>
    <w:rsid w:val="00C406C6"/>
    <w:rsid w:val="00C41506"/>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5"/>
    <w:rsid w:val="00C52A89"/>
    <w:rsid w:val="00C52B72"/>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D6E"/>
    <w:rsid w:val="00C811B8"/>
    <w:rsid w:val="00C81B45"/>
    <w:rsid w:val="00C8327F"/>
    <w:rsid w:val="00C8344B"/>
    <w:rsid w:val="00C83CBA"/>
    <w:rsid w:val="00C83D40"/>
    <w:rsid w:val="00C83F2A"/>
    <w:rsid w:val="00C84249"/>
    <w:rsid w:val="00C84B82"/>
    <w:rsid w:val="00C85CEA"/>
    <w:rsid w:val="00C86038"/>
    <w:rsid w:val="00C86052"/>
    <w:rsid w:val="00C864C7"/>
    <w:rsid w:val="00C876D4"/>
    <w:rsid w:val="00C87961"/>
    <w:rsid w:val="00C87DF7"/>
    <w:rsid w:val="00C87EC5"/>
    <w:rsid w:val="00C9021D"/>
    <w:rsid w:val="00C9172A"/>
    <w:rsid w:val="00C9207A"/>
    <w:rsid w:val="00C92390"/>
    <w:rsid w:val="00C924D1"/>
    <w:rsid w:val="00C929FD"/>
    <w:rsid w:val="00C93657"/>
    <w:rsid w:val="00C93B3C"/>
    <w:rsid w:val="00C93F27"/>
    <w:rsid w:val="00C93FEA"/>
    <w:rsid w:val="00C94E9D"/>
    <w:rsid w:val="00C94EA8"/>
    <w:rsid w:val="00C95161"/>
    <w:rsid w:val="00C95736"/>
    <w:rsid w:val="00C95EAB"/>
    <w:rsid w:val="00C96CF6"/>
    <w:rsid w:val="00C96E49"/>
    <w:rsid w:val="00C97E34"/>
    <w:rsid w:val="00CA0155"/>
    <w:rsid w:val="00CA033A"/>
    <w:rsid w:val="00CA0A30"/>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09C"/>
    <w:rsid w:val="00CA612D"/>
    <w:rsid w:val="00CA6B98"/>
    <w:rsid w:val="00CA6CA2"/>
    <w:rsid w:val="00CA7F68"/>
    <w:rsid w:val="00CB033A"/>
    <w:rsid w:val="00CB1160"/>
    <w:rsid w:val="00CB1464"/>
    <w:rsid w:val="00CB1481"/>
    <w:rsid w:val="00CB1E8A"/>
    <w:rsid w:val="00CB2160"/>
    <w:rsid w:val="00CB222E"/>
    <w:rsid w:val="00CB26B6"/>
    <w:rsid w:val="00CB28A3"/>
    <w:rsid w:val="00CB2C12"/>
    <w:rsid w:val="00CB36E7"/>
    <w:rsid w:val="00CB4302"/>
    <w:rsid w:val="00CB47AB"/>
    <w:rsid w:val="00CB69A6"/>
    <w:rsid w:val="00CB6FDF"/>
    <w:rsid w:val="00CB70CC"/>
    <w:rsid w:val="00CB773F"/>
    <w:rsid w:val="00CB7DEA"/>
    <w:rsid w:val="00CB7F30"/>
    <w:rsid w:val="00CC03CD"/>
    <w:rsid w:val="00CC0549"/>
    <w:rsid w:val="00CC0F87"/>
    <w:rsid w:val="00CC1321"/>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6735"/>
    <w:rsid w:val="00CC70FC"/>
    <w:rsid w:val="00CC799D"/>
    <w:rsid w:val="00CD0124"/>
    <w:rsid w:val="00CD1361"/>
    <w:rsid w:val="00CD1EAB"/>
    <w:rsid w:val="00CD2E32"/>
    <w:rsid w:val="00CD3428"/>
    <w:rsid w:val="00CD364E"/>
    <w:rsid w:val="00CD41AA"/>
    <w:rsid w:val="00CD41E7"/>
    <w:rsid w:val="00CD4233"/>
    <w:rsid w:val="00CD4EE9"/>
    <w:rsid w:val="00CD4FD1"/>
    <w:rsid w:val="00CD5303"/>
    <w:rsid w:val="00CD5CE4"/>
    <w:rsid w:val="00CD6A3A"/>
    <w:rsid w:val="00CD6DCB"/>
    <w:rsid w:val="00CD7AE7"/>
    <w:rsid w:val="00CE0229"/>
    <w:rsid w:val="00CE11B3"/>
    <w:rsid w:val="00CE1337"/>
    <w:rsid w:val="00CE155B"/>
    <w:rsid w:val="00CE18B7"/>
    <w:rsid w:val="00CE1E13"/>
    <w:rsid w:val="00CE1F91"/>
    <w:rsid w:val="00CE22A6"/>
    <w:rsid w:val="00CE28BB"/>
    <w:rsid w:val="00CE294D"/>
    <w:rsid w:val="00CE2EC1"/>
    <w:rsid w:val="00CE43F0"/>
    <w:rsid w:val="00CE4510"/>
    <w:rsid w:val="00CE4866"/>
    <w:rsid w:val="00CE4F3C"/>
    <w:rsid w:val="00CE4F50"/>
    <w:rsid w:val="00CE577B"/>
    <w:rsid w:val="00CE5D0A"/>
    <w:rsid w:val="00CE622D"/>
    <w:rsid w:val="00CE6431"/>
    <w:rsid w:val="00CE650C"/>
    <w:rsid w:val="00CE6DB4"/>
    <w:rsid w:val="00CE7297"/>
    <w:rsid w:val="00CE73F9"/>
    <w:rsid w:val="00CE760E"/>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740"/>
    <w:rsid w:val="00D00A55"/>
    <w:rsid w:val="00D00E89"/>
    <w:rsid w:val="00D025FC"/>
    <w:rsid w:val="00D027EB"/>
    <w:rsid w:val="00D028B2"/>
    <w:rsid w:val="00D02ABF"/>
    <w:rsid w:val="00D03795"/>
    <w:rsid w:val="00D03895"/>
    <w:rsid w:val="00D04B26"/>
    <w:rsid w:val="00D04C3A"/>
    <w:rsid w:val="00D0626B"/>
    <w:rsid w:val="00D0646D"/>
    <w:rsid w:val="00D06FF1"/>
    <w:rsid w:val="00D070FA"/>
    <w:rsid w:val="00D073C2"/>
    <w:rsid w:val="00D100C5"/>
    <w:rsid w:val="00D101BA"/>
    <w:rsid w:val="00D10362"/>
    <w:rsid w:val="00D10672"/>
    <w:rsid w:val="00D10EA6"/>
    <w:rsid w:val="00D10F22"/>
    <w:rsid w:val="00D1139A"/>
    <w:rsid w:val="00D11488"/>
    <w:rsid w:val="00D11695"/>
    <w:rsid w:val="00D11C97"/>
    <w:rsid w:val="00D125C9"/>
    <w:rsid w:val="00D13EF8"/>
    <w:rsid w:val="00D14283"/>
    <w:rsid w:val="00D142CA"/>
    <w:rsid w:val="00D148AC"/>
    <w:rsid w:val="00D1520B"/>
    <w:rsid w:val="00D164AD"/>
    <w:rsid w:val="00D164E5"/>
    <w:rsid w:val="00D166ED"/>
    <w:rsid w:val="00D17D5A"/>
    <w:rsid w:val="00D17EE3"/>
    <w:rsid w:val="00D206F2"/>
    <w:rsid w:val="00D20A27"/>
    <w:rsid w:val="00D2114D"/>
    <w:rsid w:val="00D21441"/>
    <w:rsid w:val="00D222B5"/>
    <w:rsid w:val="00D223D2"/>
    <w:rsid w:val="00D223E1"/>
    <w:rsid w:val="00D22A31"/>
    <w:rsid w:val="00D22E65"/>
    <w:rsid w:val="00D2329D"/>
    <w:rsid w:val="00D23ACC"/>
    <w:rsid w:val="00D243AA"/>
    <w:rsid w:val="00D24DFD"/>
    <w:rsid w:val="00D250B8"/>
    <w:rsid w:val="00D25A47"/>
    <w:rsid w:val="00D25C89"/>
    <w:rsid w:val="00D25EA4"/>
    <w:rsid w:val="00D25F5A"/>
    <w:rsid w:val="00D263DC"/>
    <w:rsid w:val="00D26427"/>
    <w:rsid w:val="00D269FD"/>
    <w:rsid w:val="00D26C2E"/>
    <w:rsid w:val="00D302AE"/>
    <w:rsid w:val="00D30C97"/>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37B9F"/>
    <w:rsid w:val="00D40351"/>
    <w:rsid w:val="00D4060D"/>
    <w:rsid w:val="00D40635"/>
    <w:rsid w:val="00D40FF0"/>
    <w:rsid w:val="00D41566"/>
    <w:rsid w:val="00D41638"/>
    <w:rsid w:val="00D4182B"/>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744D"/>
    <w:rsid w:val="00D677C4"/>
    <w:rsid w:val="00D67E7B"/>
    <w:rsid w:val="00D702B1"/>
    <w:rsid w:val="00D704F2"/>
    <w:rsid w:val="00D70897"/>
    <w:rsid w:val="00D70B1D"/>
    <w:rsid w:val="00D70CD3"/>
    <w:rsid w:val="00D70F85"/>
    <w:rsid w:val="00D71BEE"/>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FE"/>
    <w:rsid w:val="00D80EC3"/>
    <w:rsid w:val="00D8144B"/>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954"/>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754"/>
    <w:rsid w:val="00D94A5D"/>
    <w:rsid w:val="00D94DE2"/>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E8E"/>
    <w:rsid w:val="00DA601A"/>
    <w:rsid w:val="00DA65B2"/>
    <w:rsid w:val="00DA6878"/>
    <w:rsid w:val="00DA6A25"/>
    <w:rsid w:val="00DA6CBA"/>
    <w:rsid w:val="00DA7161"/>
    <w:rsid w:val="00DA72C4"/>
    <w:rsid w:val="00DA7798"/>
    <w:rsid w:val="00DB04FC"/>
    <w:rsid w:val="00DB0C0F"/>
    <w:rsid w:val="00DB2ADB"/>
    <w:rsid w:val="00DB32B1"/>
    <w:rsid w:val="00DB36FC"/>
    <w:rsid w:val="00DB37C8"/>
    <w:rsid w:val="00DB3912"/>
    <w:rsid w:val="00DB3EFF"/>
    <w:rsid w:val="00DB45EA"/>
    <w:rsid w:val="00DB51E3"/>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2EE5"/>
    <w:rsid w:val="00DD304D"/>
    <w:rsid w:val="00DD3362"/>
    <w:rsid w:val="00DD36D7"/>
    <w:rsid w:val="00DD374D"/>
    <w:rsid w:val="00DD3E11"/>
    <w:rsid w:val="00DD3EED"/>
    <w:rsid w:val="00DD41CE"/>
    <w:rsid w:val="00DD4451"/>
    <w:rsid w:val="00DD476C"/>
    <w:rsid w:val="00DD53D8"/>
    <w:rsid w:val="00DD58CF"/>
    <w:rsid w:val="00DD664E"/>
    <w:rsid w:val="00DD66F1"/>
    <w:rsid w:val="00DD674D"/>
    <w:rsid w:val="00DD68BF"/>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B7"/>
    <w:rsid w:val="00E013F2"/>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A42"/>
    <w:rsid w:val="00E07FED"/>
    <w:rsid w:val="00E104A7"/>
    <w:rsid w:val="00E10B0D"/>
    <w:rsid w:val="00E10D83"/>
    <w:rsid w:val="00E11357"/>
    <w:rsid w:val="00E1189D"/>
    <w:rsid w:val="00E118FB"/>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78E6"/>
    <w:rsid w:val="00E3015E"/>
    <w:rsid w:val="00E302ED"/>
    <w:rsid w:val="00E30B51"/>
    <w:rsid w:val="00E30F65"/>
    <w:rsid w:val="00E31729"/>
    <w:rsid w:val="00E337BE"/>
    <w:rsid w:val="00E3383E"/>
    <w:rsid w:val="00E34FE7"/>
    <w:rsid w:val="00E3531F"/>
    <w:rsid w:val="00E3573D"/>
    <w:rsid w:val="00E35881"/>
    <w:rsid w:val="00E36202"/>
    <w:rsid w:val="00E367E6"/>
    <w:rsid w:val="00E36A1F"/>
    <w:rsid w:val="00E36F0B"/>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3A4"/>
    <w:rsid w:val="00E443C3"/>
    <w:rsid w:val="00E445CB"/>
    <w:rsid w:val="00E44870"/>
    <w:rsid w:val="00E458DA"/>
    <w:rsid w:val="00E46386"/>
    <w:rsid w:val="00E46E0A"/>
    <w:rsid w:val="00E46E12"/>
    <w:rsid w:val="00E47D59"/>
    <w:rsid w:val="00E5011B"/>
    <w:rsid w:val="00E50679"/>
    <w:rsid w:val="00E50915"/>
    <w:rsid w:val="00E50C3E"/>
    <w:rsid w:val="00E50ECF"/>
    <w:rsid w:val="00E51002"/>
    <w:rsid w:val="00E51540"/>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5FA9"/>
    <w:rsid w:val="00E563FB"/>
    <w:rsid w:val="00E569F3"/>
    <w:rsid w:val="00E56A88"/>
    <w:rsid w:val="00E56F90"/>
    <w:rsid w:val="00E56FE3"/>
    <w:rsid w:val="00E57005"/>
    <w:rsid w:val="00E576E4"/>
    <w:rsid w:val="00E57AC2"/>
    <w:rsid w:val="00E57E7D"/>
    <w:rsid w:val="00E57FDD"/>
    <w:rsid w:val="00E6031B"/>
    <w:rsid w:val="00E60EB6"/>
    <w:rsid w:val="00E61FA5"/>
    <w:rsid w:val="00E64218"/>
    <w:rsid w:val="00E65682"/>
    <w:rsid w:val="00E65CE0"/>
    <w:rsid w:val="00E662AB"/>
    <w:rsid w:val="00E666A2"/>
    <w:rsid w:val="00E672D3"/>
    <w:rsid w:val="00E677E8"/>
    <w:rsid w:val="00E6799F"/>
    <w:rsid w:val="00E7005D"/>
    <w:rsid w:val="00E70DEA"/>
    <w:rsid w:val="00E7192B"/>
    <w:rsid w:val="00E71ABB"/>
    <w:rsid w:val="00E7278A"/>
    <w:rsid w:val="00E72A14"/>
    <w:rsid w:val="00E72D3A"/>
    <w:rsid w:val="00E73F0C"/>
    <w:rsid w:val="00E73F98"/>
    <w:rsid w:val="00E744A5"/>
    <w:rsid w:val="00E74524"/>
    <w:rsid w:val="00E74E4D"/>
    <w:rsid w:val="00E74E64"/>
    <w:rsid w:val="00E7506C"/>
    <w:rsid w:val="00E755E2"/>
    <w:rsid w:val="00E76506"/>
    <w:rsid w:val="00E76560"/>
    <w:rsid w:val="00E768F9"/>
    <w:rsid w:val="00E76CCC"/>
    <w:rsid w:val="00E773E2"/>
    <w:rsid w:val="00E774E5"/>
    <w:rsid w:val="00E77756"/>
    <w:rsid w:val="00E777C6"/>
    <w:rsid w:val="00E779A7"/>
    <w:rsid w:val="00E779B2"/>
    <w:rsid w:val="00E77F21"/>
    <w:rsid w:val="00E8080A"/>
    <w:rsid w:val="00E80FB8"/>
    <w:rsid w:val="00E81430"/>
    <w:rsid w:val="00E814A2"/>
    <w:rsid w:val="00E81993"/>
    <w:rsid w:val="00E81D05"/>
    <w:rsid w:val="00E82631"/>
    <w:rsid w:val="00E8280A"/>
    <w:rsid w:val="00E82D94"/>
    <w:rsid w:val="00E83830"/>
    <w:rsid w:val="00E83E1E"/>
    <w:rsid w:val="00E842A8"/>
    <w:rsid w:val="00E84804"/>
    <w:rsid w:val="00E85265"/>
    <w:rsid w:val="00E86A12"/>
    <w:rsid w:val="00E86AC3"/>
    <w:rsid w:val="00E878F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F"/>
    <w:rsid w:val="00E9419F"/>
    <w:rsid w:val="00E958EB"/>
    <w:rsid w:val="00E95DA2"/>
    <w:rsid w:val="00E95F0A"/>
    <w:rsid w:val="00E9634F"/>
    <w:rsid w:val="00E96E5B"/>
    <w:rsid w:val="00E9711C"/>
    <w:rsid w:val="00E9727E"/>
    <w:rsid w:val="00E972EA"/>
    <w:rsid w:val="00E9742A"/>
    <w:rsid w:val="00E97995"/>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6AE"/>
    <w:rsid w:val="00EB0DE5"/>
    <w:rsid w:val="00EB11FC"/>
    <w:rsid w:val="00EB15D3"/>
    <w:rsid w:val="00EB1F84"/>
    <w:rsid w:val="00EB20D1"/>
    <w:rsid w:val="00EB224D"/>
    <w:rsid w:val="00EB2DD8"/>
    <w:rsid w:val="00EB3273"/>
    <w:rsid w:val="00EB3856"/>
    <w:rsid w:val="00EB4B5A"/>
    <w:rsid w:val="00EB4B61"/>
    <w:rsid w:val="00EB5430"/>
    <w:rsid w:val="00EB5F56"/>
    <w:rsid w:val="00EB6A9A"/>
    <w:rsid w:val="00EB6B64"/>
    <w:rsid w:val="00EB7B98"/>
    <w:rsid w:val="00EB7F79"/>
    <w:rsid w:val="00EC0963"/>
    <w:rsid w:val="00EC1122"/>
    <w:rsid w:val="00EC12E0"/>
    <w:rsid w:val="00EC152B"/>
    <w:rsid w:val="00EC2A9B"/>
    <w:rsid w:val="00EC3EC0"/>
    <w:rsid w:val="00EC3F82"/>
    <w:rsid w:val="00EC3FFD"/>
    <w:rsid w:val="00EC4272"/>
    <w:rsid w:val="00EC4490"/>
    <w:rsid w:val="00EC4D4C"/>
    <w:rsid w:val="00EC545A"/>
    <w:rsid w:val="00EC55DC"/>
    <w:rsid w:val="00EC5C1D"/>
    <w:rsid w:val="00EC5CE7"/>
    <w:rsid w:val="00EC6088"/>
    <w:rsid w:val="00EC6535"/>
    <w:rsid w:val="00ED05D5"/>
    <w:rsid w:val="00ED067C"/>
    <w:rsid w:val="00ED0AB8"/>
    <w:rsid w:val="00ED0AD2"/>
    <w:rsid w:val="00ED0C1C"/>
    <w:rsid w:val="00ED0FD0"/>
    <w:rsid w:val="00ED14BE"/>
    <w:rsid w:val="00ED1A57"/>
    <w:rsid w:val="00ED1A7B"/>
    <w:rsid w:val="00ED1D2C"/>
    <w:rsid w:val="00ED30B8"/>
    <w:rsid w:val="00ED3484"/>
    <w:rsid w:val="00ED39F3"/>
    <w:rsid w:val="00ED48E9"/>
    <w:rsid w:val="00ED4F50"/>
    <w:rsid w:val="00ED5423"/>
    <w:rsid w:val="00ED57E6"/>
    <w:rsid w:val="00ED5B7B"/>
    <w:rsid w:val="00ED5DD1"/>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A26"/>
    <w:rsid w:val="00EF1FA1"/>
    <w:rsid w:val="00EF3710"/>
    <w:rsid w:val="00EF4C99"/>
    <w:rsid w:val="00EF4FC1"/>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49A3"/>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D44"/>
    <w:rsid w:val="00F30D6C"/>
    <w:rsid w:val="00F30FB7"/>
    <w:rsid w:val="00F32014"/>
    <w:rsid w:val="00F320C2"/>
    <w:rsid w:val="00F32E44"/>
    <w:rsid w:val="00F32E65"/>
    <w:rsid w:val="00F33BD7"/>
    <w:rsid w:val="00F33D99"/>
    <w:rsid w:val="00F34359"/>
    <w:rsid w:val="00F343D8"/>
    <w:rsid w:val="00F34A00"/>
    <w:rsid w:val="00F34A44"/>
    <w:rsid w:val="00F34A9C"/>
    <w:rsid w:val="00F35010"/>
    <w:rsid w:val="00F35B9E"/>
    <w:rsid w:val="00F35BC3"/>
    <w:rsid w:val="00F368D4"/>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7EB"/>
    <w:rsid w:val="00F507BE"/>
    <w:rsid w:val="00F50A4B"/>
    <w:rsid w:val="00F50A5A"/>
    <w:rsid w:val="00F50C4E"/>
    <w:rsid w:val="00F50F00"/>
    <w:rsid w:val="00F50F32"/>
    <w:rsid w:val="00F518DE"/>
    <w:rsid w:val="00F52971"/>
    <w:rsid w:val="00F52B47"/>
    <w:rsid w:val="00F53F81"/>
    <w:rsid w:val="00F54380"/>
    <w:rsid w:val="00F5496E"/>
    <w:rsid w:val="00F54F60"/>
    <w:rsid w:val="00F55150"/>
    <w:rsid w:val="00F55310"/>
    <w:rsid w:val="00F56461"/>
    <w:rsid w:val="00F56DCF"/>
    <w:rsid w:val="00F571A2"/>
    <w:rsid w:val="00F57BF2"/>
    <w:rsid w:val="00F57C6B"/>
    <w:rsid w:val="00F57EE2"/>
    <w:rsid w:val="00F60A31"/>
    <w:rsid w:val="00F61683"/>
    <w:rsid w:val="00F6252E"/>
    <w:rsid w:val="00F62732"/>
    <w:rsid w:val="00F62DA3"/>
    <w:rsid w:val="00F62FDE"/>
    <w:rsid w:val="00F63375"/>
    <w:rsid w:val="00F63CBB"/>
    <w:rsid w:val="00F63CF4"/>
    <w:rsid w:val="00F6414B"/>
    <w:rsid w:val="00F64310"/>
    <w:rsid w:val="00F643ED"/>
    <w:rsid w:val="00F643EF"/>
    <w:rsid w:val="00F6480C"/>
    <w:rsid w:val="00F64F03"/>
    <w:rsid w:val="00F64FE4"/>
    <w:rsid w:val="00F65077"/>
    <w:rsid w:val="00F66113"/>
    <w:rsid w:val="00F6696B"/>
    <w:rsid w:val="00F66A56"/>
    <w:rsid w:val="00F67BFE"/>
    <w:rsid w:val="00F70CBC"/>
    <w:rsid w:val="00F70E79"/>
    <w:rsid w:val="00F70EA1"/>
    <w:rsid w:val="00F719CC"/>
    <w:rsid w:val="00F71DC5"/>
    <w:rsid w:val="00F71EE1"/>
    <w:rsid w:val="00F72944"/>
    <w:rsid w:val="00F73133"/>
    <w:rsid w:val="00F734A0"/>
    <w:rsid w:val="00F738FD"/>
    <w:rsid w:val="00F7390A"/>
    <w:rsid w:val="00F745F0"/>
    <w:rsid w:val="00F74638"/>
    <w:rsid w:val="00F75007"/>
    <w:rsid w:val="00F7542F"/>
    <w:rsid w:val="00F759A9"/>
    <w:rsid w:val="00F766A9"/>
    <w:rsid w:val="00F76EA0"/>
    <w:rsid w:val="00F806FB"/>
    <w:rsid w:val="00F81082"/>
    <w:rsid w:val="00F81458"/>
    <w:rsid w:val="00F8148C"/>
    <w:rsid w:val="00F81669"/>
    <w:rsid w:val="00F81926"/>
    <w:rsid w:val="00F81C05"/>
    <w:rsid w:val="00F820E6"/>
    <w:rsid w:val="00F822FC"/>
    <w:rsid w:val="00F82343"/>
    <w:rsid w:val="00F82454"/>
    <w:rsid w:val="00F839B2"/>
    <w:rsid w:val="00F84061"/>
    <w:rsid w:val="00F843D1"/>
    <w:rsid w:val="00F84573"/>
    <w:rsid w:val="00F84B49"/>
    <w:rsid w:val="00F85D9A"/>
    <w:rsid w:val="00F86D20"/>
    <w:rsid w:val="00F87D7A"/>
    <w:rsid w:val="00F902D2"/>
    <w:rsid w:val="00F90352"/>
    <w:rsid w:val="00F90468"/>
    <w:rsid w:val="00F90AA4"/>
    <w:rsid w:val="00F90AB5"/>
    <w:rsid w:val="00F90E49"/>
    <w:rsid w:val="00F91C4C"/>
    <w:rsid w:val="00F92952"/>
    <w:rsid w:val="00F92EE1"/>
    <w:rsid w:val="00F934D9"/>
    <w:rsid w:val="00F9369F"/>
    <w:rsid w:val="00F93F2F"/>
    <w:rsid w:val="00F94199"/>
    <w:rsid w:val="00F94DFE"/>
    <w:rsid w:val="00F95224"/>
    <w:rsid w:val="00F955BA"/>
    <w:rsid w:val="00F9566E"/>
    <w:rsid w:val="00F95785"/>
    <w:rsid w:val="00F96004"/>
    <w:rsid w:val="00F96E9A"/>
    <w:rsid w:val="00F97885"/>
    <w:rsid w:val="00F979EA"/>
    <w:rsid w:val="00F97DEA"/>
    <w:rsid w:val="00FA024C"/>
    <w:rsid w:val="00FA0EBF"/>
    <w:rsid w:val="00FA180D"/>
    <w:rsid w:val="00FA1CBB"/>
    <w:rsid w:val="00FA1D7B"/>
    <w:rsid w:val="00FA1EFC"/>
    <w:rsid w:val="00FA2032"/>
    <w:rsid w:val="00FA27E5"/>
    <w:rsid w:val="00FA28E6"/>
    <w:rsid w:val="00FA308D"/>
    <w:rsid w:val="00FA3A7B"/>
    <w:rsid w:val="00FA41E8"/>
    <w:rsid w:val="00FA46D1"/>
    <w:rsid w:val="00FA546B"/>
    <w:rsid w:val="00FA5942"/>
    <w:rsid w:val="00FA5F27"/>
    <w:rsid w:val="00FA6849"/>
    <w:rsid w:val="00FA6B64"/>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5C7"/>
    <w:rsid w:val="00FB4B34"/>
    <w:rsid w:val="00FB4F69"/>
    <w:rsid w:val="00FB52E6"/>
    <w:rsid w:val="00FB55B1"/>
    <w:rsid w:val="00FB55F6"/>
    <w:rsid w:val="00FB5B0E"/>
    <w:rsid w:val="00FB5B5D"/>
    <w:rsid w:val="00FB65EF"/>
    <w:rsid w:val="00FB6876"/>
    <w:rsid w:val="00FB6A67"/>
    <w:rsid w:val="00FB6C0D"/>
    <w:rsid w:val="00FB733C"/>
    <w:rsid w:val="00FC0313"/>
    <w:rsid w:val="00FC0DDF"/>
    <w:rsid w:val="00FC0DE5"/>
    <w:rsid w:val="00FC0E5D"/>
    <w:rsid w:val="00FC1864"/>
    <w:rsid w:val="00FC1F6E"/>
    <w:rsid w:val="00FC2170"/>
    <w:rsid w:val="00FC219B"/>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AF"/>
    <w:rsid w:val="00FD645C"/>
    <w:rsid w:val="00FD64C8"/>
    <w:rsid w:val="00FD6508"/>
    <w:rsid w:val="00FD6824"/>
    <w:rsid w:val="00FE09DF"/>
    <w:rsid w:val="00FE0A29"/>
    <w:rsid w:val="00FE16DF"/>
    <w:rsid w:val="00FE215F"/>
    <w:rsid w:val="00FE228A"/>
    <w:rsid w:val="00FE26FC"/>
    <w:rsid w:val="00FE3015"/>
    <w:rsid w:val="00FE3127"/>
    <w:rsid w:val="00FE3819"/>
    <w:rsid w:val="00FE400B"/>
    <w:rsid w:val="00FE4696"/>
    <w:rsid w:val="00FE48AE"/>
    <w:rsid w:val="00FE4D6D"/>
    <w:rsid w:val="00FE53A9"/>
    <w:rsid w:val="00FE594D"/>
    <w:rsid w:val="00FE599D"/>
    <w:rsid w:val="00FE5F38"/>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6F409-2788-412F-BADB-6772DD1FE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189</Words>
  <Characters>1079</Characters>
  <Application>Microsoft Office Word</Application>
  <DocSecurity>0</DocSecurity>
  <Lines>8</Lines>
  <Paragraphs>2</Paragraphs>
  <ScaleCrop>false</ScaleCrop>
  <Company>HOME</Company>
  <LinksUpToDate>false</LinksUpToDate>
  <CharactersWithSpaces>1266</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2025-04-24T06:19:00Z</dcterms:created>
  <dcterms:modified xsi:type="dcterms:W3CDTF">2025-04-24T06:19:00Z</dcterms:modified>
</cp:coreProperties>
</file>