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43047" w:rsidRDefault="00910E3C" w:rsidP="00E43047">
      <w:pPr>
        <w:pStyle w:val="a9"/>
      </w:pPr>
      <w:bookmarkStart w:id="0" w:name="_GoBack"/>
      <w:bookmarkEnd w:id="0"/>
      <w:r w:rsidRPr="00E43047">
        <w:rPr>
          <w:rFonts w:hint="eastAsia"/>
        </w:rPr>
        <w:t>財團法人住宅地震保險基金114年度預算評估報告</w:t>
      </w:r>
    </w:p>
    <w:p w:rsidR="00910E3C" w:rsidRPr="00910E3C" w:rsidRDefault="00910E3C" w:rsidP="00910E3C">
      <w:pPr>
        <w:pStyle w:val="a7"/>
        <w:ind w:firstLine="566"/>
      </w:pPr>
      <w:bookmarkStart w:id="1" w:name="_Toc110417727"/>
      <w:r w:rsidRPr="00910E3C">
        <w:rPr>
          <w:rFonts w:hint="eastAsia"/>
        </w:rPr>
        <w:t>為規劃建制住宅地震保險制度，90年7月9日保險法增訂第138條之1作為本保險制度之法源依據，嗣於91年1月經財政部核准設立財團法人住宅地震保險基金(以下稱住宅地震保險基金)，旨在普遍提供社會大眾住宅地震基本保障，幫助民眾於震災後得以迅速重建家園。該基金設立目的為承擔與分散財產保險業承保之住宅地震危險，並負責管理目的事業主管機關金融監督管理委員會(以下稱金管會)建立之危險分散機制，俾健全住宅地震保險制度。</w:t>
      </w:r>
    </w:p>
    <w:p w:rsidR="00350319" w:rsidRDefault="00910E3C" w:rsidP="00350319">
      <w:pPr>
        <w:pStyle w:val="a7"/>
        <w:ind w:firstLine="566"/>
      </w:pPr>
      <w:r w:rsidRPr="00350319">
        <w:rPr>
          <w:rFonts w:hint="eastAsia"/>
        </w:rPr>
        <w:t>住宅地震保險基金11</w:t>
      </w:r>
      <w:r w:rsidRPr="00350319">
        <w:t>4</w:t>
      </w:r>
      <w:r w:rsidRPr="00350319">
        <w:rPr>
          <w:rFonts w:hint="eastAsia"/>
        </w:rPr>
        <w:t>年度預算案編列收入5</w:t>
      </w:r>
      <w:r w:rsidRPr="00350319">
        <w:t>6</w:t>
      </w:r>
      <w:r w:rsidRPr="00350319">
        <w:rPr>
          <w:rFonts w:hint="eastAsia"/>
        </w:rPr>
        <w:t>億</w:t>
      </w:r>
      <w:r w:rsidRPr="00350319">
        <w:t>2,254</w:t>
      </w:r>
      <w:r w:rsidRPr="00350319">
        <w:rPr>
          <w:rFonts w:hint="eastAsia"/>
        </w:rPr>
        <w:t>萬</w:t>
      </w:r>
      <w:r w:rsidRPr="00350319">
        <w:t>4</w:t>
      </w:r>
      <w:r w:rsidRPr="00350319">
        <w:rPr>
          <w:rFonts w:hint="eastAsia"/>
        </w:rPr>
        <w:t>千元，較11</w:t>
      </w:r>
      <w:r w:rsidRPr="00350319">
        <w:t>3</w:t>
      </w:r>
      <w:r w:rsidRPr="00350319">
        <w:rPr>
          <w:rFonts w:hint="eastAsia"/>
        </w:rPr>
        <w:t>年度增加</w:t>
      </w:r>
      <w:r w:rsidRPr="00350319">
        <w:t>3</w:t>
      </w:r>
      <w:r w:rsidRPr="00350319">
        <w:rPr>
          <w:rFonts w:hint="eastAsia"/>
        </w:rPr>
        <w:t>億1,</w:t>
      </w:r>
      <w:r w:rsidRPr="00350319">
        <w:t>313</w:t>
      </w:r>
      <w:r w:rsidRPr="00350319">
        <w:rPr>
          <w:rFonts w:hint="eastAsia"/>
        </w:rPr>
        <w:t>萬</w:t>
      </w:r>
      <w:r w:rsidRPr="00350319">
        <w:t>9</w:t>
      </w:r>
      <w:r w:rsidRPr="00350319">
        <w:rPr>
          <w:rFonts w:hint="eastAsia"/>
        </w:rPr>
        <w:t>千元(增幅5.</w:t>
      </w:r>
      <w:r w:rsidRPr="00350319">
        <w:t>90</w:t>
      </w:r>
      <w:r w:rsidRPr="00350319">
        <w:rPr>
          <w:rFonts w:hint="eastAsia"/>
        </w:rPr>
        <w:t>%)；支出編列4</w:t>
      </w:r>
      <w:r w:rsidRPr="00350319">
        <w:t>9</w:t>
      </w:r>
      <w:r w:rsidRPr="00350319">
        <w:rPr>
          <w:rFonts w:hint="eastAsia"/>
        </w:rPr>
        <w:t>億3,</w:t>
      </w:r>
      <w:r w:rsidRPr="00350319">
        <w:t>720</w:t>
      </w:r>
      <w:r w:rsidRPr="00350319">
        <w:rPr>
          <w:rFonts w:hint="eastAsia"/>
        </w:rPr>
        <w:t>萬</w:t>
      </w:r>
      <w:r w:rsidRPr="00350319">
        <w:t>6</w:t>
      </w:r>
      <w:r w:rsidRPr="00350319">
        <w:rPr>
          <w:rFonts w:hint="eastAsia"/>
        </w:rPr>
        <w:t>千元，較11</w:t>
      </w:r>
      <w:r w:rsidRPr="00350319">
        <w:t>3</w:t>
      </w:r>
      <w:r w:rsidRPr="00350319">
        <w:rPr>
          <w:rFonts w:hint="eastAsia"/>
        </w:rPr>
        <w:t>年度增加</w:t>
      </w:r>
      <w:r w:rsidRPr="00350319">
        <w:t>2</w:t>
      </w:r>
      <w:r w:rsidRPr="00350319">
        <w:rPr>
          <w:rFonts w:hint="eastAsia"/>
        </w:rPr>
        <w:t>億</w:t>
      </w:r>
      <w:r w:rsidRPr="00350319">
        <w:t>1</w:t>
      </w:r>
      <w:r w:rsidRPr="00350319">
        <w:rPr>
          <w:rFonts w:hint="eastAsia"/>
        </w:rPr>
        <w:t>,7</w:t>
      </w:r>
      <w:r w:rsidRPr="00350319">
        <w:t>89</w:t>
      </w:r>
      <w:r w:rsidRPr="00350319">
        <w:rPr>
          <w:rFonts w:hint="eastAsia"/>
        </w:rPr>
        <w:t>萬</w:t>
      </w:r>
      <w:r w:rsidRPr="00350319">
        <w:t>8</w:t>
      </w:r>
      <w:r w:rsidRPr="00350319">
        <w:rPr>
          <w:rFonts w:hint="eastAsia"/>
        </w:rPr>
        <w:t>千元(增幅</w:t>
      </w:r>
      <w:r w:rsidRPr="00350319">
        <w:t>4</w:t>
      </w:r>
      <w:r w:rsidRPr="00350319">
        <w:rPr>
          <w:rFonts w:hint="eastAsia"/>
        </w:rPr>
        <w:t>.6</w:t>
      </w:r>
      <w:r w:rsidRPr="00350319">
        <w:t>2</w:t>
      </w:r>
      <w:r w:rsidRPr="00350319">
        <w:rPr>
          <w:rFonts w:hint="eastAsia"/>
        </w:rPr>
        <w:t>%)；收支相抵後預計賸餘</w:t>
      </w:r>
      <w:r w:rsidRPr="00350319">
        <w:t>6</w:t>
      </w:r>
      <w:r w:rsidRPr="00350319">
        <w:rPr>
          <w:rFonts w:hint="eastAsia"/>
        </w:rPr>
        <w:t>億8,</w:t>
      </w:r>
      <w:r w:rsidRPr="00350319">
        <w:t>533</w:t>
      </w:r>
      <w:r w:rsidRPr="00350319">
        <w:rPr>
          <w:rFonts w:hint="eastAsia"/>
        </w:rPr>
        <w:t>萬</w:t>
      </w:r>
      <w:r w:rsidRPr="00350319">
        <w:t>8</w:t>
      </w:r>
      <w:r w:rsidRPr="00350319">
        <w:rPr>
          <w:rFonts w:hint="eastAsia"/>
        </w:rPr>
        <w:t>千元，較11</w:t>
      </w:r>
      <w:r w:rsidRPr="00350319">
        <w:t>3</w:t>
      </w:r>
      <w:r w:rsidRPr="00350319">
        <w:rPr>
          <w:rFonts w:hint="eastAsia"/>
        </w:rPr>
        <w:t>年度預算賸餘增加9,</w:t>
      </w:r>
      <w:r w:rsidRPr="00350319">
        <w:t>524</w:t>
      </w:r>
      <w:r w:rsidRPr="00350319">
        <w:rPr>
          <w:rFonts w:hint="eastAsia"/>
        </w:rPr>
        <w:t>萬</w:t>
      </w:r>
      <w:r w:rsidRPr="00350319">
        <w:t>1</w:t>
      </w:r>
      <w:r w:rsidRPr="00350319">
        <w:rPr>
          <w:rFonts w:hint="eastAsia"/>
        </w:rPr>
        <w:t>千元(增幅1</w:t>
      </w:r>
      <w:r w:rsidRPr="00350319">
        <w:t>6</w:t>
      </w:r>
      <w:r w:rsidRPr="00350319">
        <w:rPr>
          <w:rFonts w:hint="eastAsia"/>
        </w:rPr>
        <w:t>.</w:t>
      </w:r>
      <w:r w:rsidRPr="00350319">
        <w:t>14</w:t>
      </w:r>
      <w:r w:rsidRPr="00350319">
        <w:rPr>
          <w:rFonts w:hint="eastAsia"/>
        </w:rPr>
        <w:t>%)。謹就住宅地震保險基金11</w:t>
      </w:r>
      <w:r w:rsidRPr="00350319">
        <w:t>4</w:t>
      </w:r>
      <w:r w:rsidR="00350319">
        <w:rPr>
          <w:rFonts w:hint="eastAsia"/>
        </w:rPr>
        <w:t>年度預算案評估如下：</w:t>
      </w:r>
    </w:p>
    <w:p w:rsidR="006C4727" w:rsidRDefault="006C4727" w:rsidP="006C4727">
      <w:pPr>
        <w:pStyle w:val="14"/>
        <w:ind w:left="567" w:hanging="567"/>
      </w:pPr>
      <w:bookmarkStart w:id="2" w:name="_Toc195171426"/>
      <w:bookmarkEnd w:id="1"/>
      <w:r>
        <w:rPr>
          <w:rFonts w:hint="eastAsia"/>
        </w:rPr>
        <w:t>四、</w:t>
      </w:r>
      <w:r w:rsidR="003D7155">
        <w:rPr>
          <w:rFonts w:hint="eastAsia"/>
        </w:rPr>
        <w:t>住宅地震保險之複保險比率自111年度起逐年</w:t>
      </w:r>
      <w:r w:rsidR="00CA7BA1">
        <w:rPr>
          <w:rFonts w:hint="eastAsia"/>
        </w:rPr>
        <w:t>增加，</w:t>
      </w:r>
      <w:r w:rsidR="00CA7BA1" w:rsidRPr="00CA7BA1">
        <w:rPr>
          <w:rFonts w:hint="eastAsia"/>
        </w:rPr>
        <w:t>為減緩複保險漸增現象</w:t>
      </w:r>
      <w:r w:rsidR="00CA7BA1">
        <w:rPr>
          <w:rFonts w:hint="eastAsia"/>
        </w:rPr>
        <w:t>，允宜積極</w:t>
      </w:r>
      <w:r w:rsidRPr="006C4727">
        <w:rPr>
          <w:rFonts w:hint="eastAsia"/>
        </w:rPr>
        <w:t>強</w:t>
      </w:r>
      <w:r w:rsidR="00CA7BA1">
        <w:rPr>
          <w:rFonts w:hint="eastAsia"/>
        </w:rPr>
        <w:t>化</w:t>
      </w:r>
      <w:r w:rsidRPr="006C4727">
        <w:rPr>
          <w:rFonts w:hint="eastAsia"/>
        </w:rPr>
        <w:t>複保險減量處理與控管機制</w:t>
      </w:r>
      <w:bookmarkEnd w:id="2"/>
    </w:p>
    <w:p w:rsidR="006C4727" w:rsidRDefault="006C4727" w:rsidP="006C4727">
      <w:pPr>
        <w:ind w:left="566" w:firstLine="566"/>
      </w:pPr>
      <w:r w:rsidRPr="006C4727">
        <w:rPr>
          <w:rFonts w:hint="eastAsia"/>
        </w:rPr>
        <w:t>為減少住宅地震基本保險複保險之發生並有效改善複保險比率，住宅地震保險基金</w:t>
      </w:r>
      <w:r>
        <w:rPr>
          <w:rFonts w:hint="eastAsia"/>
        </w:rPr>
        <w:t>114</w:t>
      </w:r>
      <w:r w:rsidRPr="006C4727">
        <w:rPr>
          <w:rFonts w:hint="eastAsia"/>
        </w:rPr>
        <w:t>年度之目標值為傳輸件數複保險比率</w:t>
      </w:r>
      <w:r>
        <w:rPr>
          <w:rStyle w:val="af2"/>
        </w:rPr>
        <w:footnoteReference w:id="1"/>
      </w:r>
      <w:r w:rsidRPr="006C4727">
        <w:rPr>
          <w:rFonts w:hint="eastAsia"/>
        </w:rPr>
        <w:t>低於0.5%、有效保單複保險比率</w:t>
      </w:r>
      <w:r>
        <w:rPr>
          <w:rStyle w:val="af2"/>
        </w:rPr>
        <w:footnoteReference w:id="2"/>
      </w:r>
      <w:r w:rsidRPr="006C4727">
        <w:rPr>
          <w:rFonts w:hint="eastAsia"/>
        </w:rPr>
        <w:t>低於0.14%。經查：</w:t>
      </w:r>
    </w:p>
    <w:p w:rsidR="006C4727" w:rsidRPr="00834911" w:rsidRDefault="006C4727" w:rsidP="00834911">
      <w:pPr>
        <w:pStyle w:val="a4"/>
        <w:ind w:left="849" w:hanging="283"/>
        <w:rPr>
          <w:b/>
        </w:rPr>
      </w:pPr>
      <w:r w:rsidRPr="00834911">
        <w:rPr>
          <w:rFonts w:hint="eastAsia"/>
          <w:b/>
        </w:rPr>
        <w:t>(一)住宅地震基本保險禁止複保險原則</w:t>
      </w:r>
    </w:p>
    <w:p w:rsidR="006C4727" w:rsidRDefault="006C4727" w:rsidP="006C4727">
      <w:pPr>
        <w:pStyle w:val="21"/>
        <w:ind w:left="850" w:firstLine="566"/>
      </w:pPr>
      <w:r w:rsidRPr="006C4727">
        <w:rPr>
          <w:rFonts w:hint="eastAsia"/>
        </w:rPr>
        <w:t>依保險法第35條規定：「</w:t>
      </w:r>
      <w:r w:rsidR="00D821DC" w:rsidRPr="00D821DC">
        <w:rPr>
          <w:rFonts w:hint="eastAsia"/>
        </w:rPr>
        <w:t>複保險，謂要保人對於同一保險</w:t>
      </w:r>
      <w:r w:rsidR="00D821DC" w:rsidRPr="00D821DC">
        <w:rPr>
          <w:rFonts w:hint="eastAsia"/>
        </w:rPr>
        <w:lastRenderedPageBreak/>
        <w:t>利益，同一保險事故，與數保險人分別訂立數個保險之契約行為。</w:t>
      </w:r>
      <w:r w:rsidRPr="006C4727">
        <w:rPr>
          <w:rFonts w:hint="eastAsia"/>
        </w:rPr>
        <w:t>」次依</w:t>
      </w:r>
      <w:r w:rsidR="00D20859">
        <w:rPr>
          <w:rFonts w:hint="eastAsia"/>
        </w:rPr>
        <w:t>「</w:t>
      </w:r>
      <w:r w:rsidRPr="006C4727">
        <w:rPr>
          <w:rFonts w:hint="eastAsia"/>
        </w:rPr>
        <w:t>住宅地震保險承保理賠作業處理要點</w:t>
      </w:r>
      <w:r w:rsidR="00D20859">
        <w:rPr>
          <w:rFonts w:hint="eastAsia"/>
        </w:rPr>
        <w:t>」</w:t>
      </w:r>
      <w:r w:rsidRPr="006C4727">
        <w:rPr>
          <w:rFonts w:hint="eastAsia"/>
        </w:rPr>
        <w:t>第5點規定：「每一住宅建築物以投保一張保單為限，每一門牌號碼推定為一住宅建築物。</w:t>
      </w:r>
      <w:r w:rsidR="00D20859" w:rsidRPr="00783D84">
        <w:rPr>
          <w:rFonts w:hAnsi="標楷體"/>
        </w:rPr>
        <w:t>…</w:t>
      </w:r>
      <w:r w:rsidR="00D20859">
        <w:rPr>
          <w:rFonts w:hint="eastAsia"/>
        </w:rPr>
        <w:t>。</w:t>
      </w:r>
      <w:r w:rsidR="00B3074B">
        <w:rPr>
          <w:rFonts w:hint="eastAsia"/>
        </w:rPr>
        <w:t>」</w:t>
      </w:r>
      <w:r w:rsidRPr="006C4727">
        <w:rPr>
          <w:rFonts w:hint="eastAsia"/>
        </w:rPr>
        <w:t>同要點第7點規定：「簽單公司於出單前應使用本保險複保險查詢平台，確認該住宅建築物非本保險標的物後再行出單；如查詢結果顯示，該住宅建築物已為本保險標的物者，則不應再行承保本保險。」基此，前述法規規範複保險之</w:t>
      </w:r>
      <w:r w:rsidR="00B3074B">
        <w:rPr>
          <w:rFonts w:hint="eastAsia"/>
        </w:rPr>
        <w:t>立法意旨，主要係防止利用保險圖利，而違反保險制度之損害填補原則；</w:t>
      </w:r>
      <w:r w:rsidRPr="006C4727">
        <w:rPr>
          <w:rFonts w:hint="eastAsia"/>
        </w:rPr>
        <w:t>又</w:t>
      </w:r>
      <w:r w:rsidR="00B27A58">
        <w:rPr>
          <w:rFonts w:hint="eastAsia"/>
        </w:rPr>
        <w:t>為避免複保險情事，</w:t>
      </w:r>
      <w:r w:rsidRPr="006C4727">
        <w:rPr>
          <w:rFonts w:hint="eastAsia"/>
        </w:rPr>
        <w:t>住宅地震保</w:t>
      </w:r>
      <w:r w:rsidR="00B27A58">
        <w:rPr>
          <w:rFonts w:hint="eastAsia"/>
        </w:rPr>
        <w:t>險基金</w:t>
      </w:r>
      <w:r w:rsidRPr="006C4727">
        <w:rPr>
          <w:rFonts w:hint="eastAsia"/>
        </w:rPr>
        <w:t>建置住宅地震</w:t>
      </w:r>
      <w:r w:rsidR="00B27A58">
        <w:rPr>
          <w:rFonts w:hint="eastAsia"/>
        </w:rPr>
        <w:t>保險複保險查詢平台，供簽單公司於出單前查詢</w:t>
      </w:r>
      <w:r w:rsidRPr="006C4727">
        <w:rPr>
          <w:rFonts w:hint="eastAsia"/>
        </w:rPr>
        <w:t>。</w:t>
      </w:r>
    </w:p>
    <w:p w:rsidR="006C4727" w:rsidRPr="00BF3BEB" w:rsidRDefault="006C4727" w:rsidP="006C4727">
      <w:pPr>
        <w:pStyle w:val="a4"/>
        <w:ind w:left="849" w:hanging="283"/>
        <w:rPr>
          <w:b/>
        </w:rPr>
      </w:pPr>
      <w:r w:rsidRPr="00BF3BEB">
        <w:rPr>
          <w:rFonts w:hint="eastAsia"/>
          <w:b/>
        </w:rPr>
        <w:t>(二)傳輸件數複保險比率及有效保單複保險比率</w:t>
      </w:r>
      <w:r w:rsidR="00BF3BEB" w:rsidRPr="00BF3BEB">
        <w:rPr>
          <w:rFonts w:hint="eastAsia"/>
          <w:b/>
        </w:rPr>
        <w:t>連年增加，</w:t>
      </w:r>
      <w:r w:rsidRPr="00BF3BEB">
        <w:rPr>
          <w:rFonts w:hint="eastAsia"/>
          <w:b/>
        </w:rPr>
        <w:t>允宜</w:t>
      </w:r>
      <w:r w:rsidR="00C81CBC">
        <w:rPr>
          <w:rFonts w:hint="eastAsia"/>
          <w:b/>
        </w:rPr>
        <w:t>研謀善策以減少複保險情事</w:t>
      </w:r>
    </w:p>
    <w:p w:rsidR="006C4727" w:rsidRDefault="00F51B4D" w:rsidP="006C4727">
      <w:pPr>
        <w:pStyle w:val="21"/>
        <w:ind w:left="850" w:firstLine="566"/>
      </w:pPr>
      <w:r>
        <w:rPr>
          <w:rFonts w:hint="eastAsia"/>
        </w:rPr>
        <w:t>揆近年該基金辦理住宅地震基本保險承保業務情形</w:t>
      </w:r>
      <w:r w:rsidR="00BF3BEB" w:rsidRPr="00BF3BEB">
        <w:rPr>
          <w:rFonts w:hint="eastAsia"/>
        </w:rPr>
        <w:t>，</w:t>
      </w:r>
      <w:r w:rsidR="00D131BF">
        <w:rPr>
          <w:rFonts w:hint="eastAsia"/>
        </w:rPr>
        <w:t>109</w:t>
      </w:r>
      <w:r w:rsidR="00BF3BEB" w:rsidRPr="00BF3BEB">
        <w:rPr>
          <w:rFonts w:hint="eastAsia"/>
        </w:rPr>
        <w:t>至</w:t>
      </w:r>
      <w:r w:rsidR="00D131BF">
        <w:rPr>
          <w:rFonts w:hint="eastAsia"/>
        </w:rPr>
        <w:t>113</w:t>
      </w:r>
      <w:r w:rsidR="00A473ED">
        <w:rPr>
          <w:rFonts w:hint="eastAsia"/>
        </w:rPr>
        <w:t>年度傳輸保單件數與有效保單件數均呈</w:t>
      </w:r>
      <w:r w:rsidR="005E3407">
        <w:rPr>
          <w:rFonts w:hint="eastAsia"/>
        </w:rPr>
        <w:t>成長</w:t>
      </w:r>
      <w:r w:rsidR="00A473ED">
        <w:rPr>
          <w:rFonts w:hint="eastAsia"/>
        </w:rPr>
        <w:t>趨勢</w:t>
      </w:r>
      <w:r w:rsidR="00BF3BEB" w:rsidRPr="00BF3BEB">
        <w:rPr>
          <w:rFonts w:hint="eastAsia"/>
        </w:rPr>
        <w:t>，惟複保險減量之執行成果未盡理想，其中傳輸件數複保險比率110年度</w:t>
      </w:r>
      <w:r w:rsidR="000336F6">
        <w:rPr>
          <w:rFonts w:hint="eastAsia"/>
        </w:rPr>
        <w:t>雖降至</w:t>
      </w:r>
      <w:r w:rsidR="00BF3BEB" w:rsidRPr="00BF3BEB">
        <w:rPr>
          <w:rFonts w:hint="eastAsia"/>
        </w:rPr>
        <w:t>0.56%，惟</w:t>
      </w:r>
      <w:r w:rsidR="00BF3BEB">
        <w:rPr>
          <w:rFonts w:hint="eastAsia"/>
        </w:rPr>
        <w:t>自</w:t>
      </w:r>
      <w:r w:rsidR="00BF3BEB" w:rsidRPr="00BF3BEB">
        <w:rPr>
          <w:rFonts w:hint="eastAsia"/>
        </w:rPr>
        <w:t>111年度</w:t>
      </w:r>
      <w:r w:rsidR="00BF3BEB">
        <w:rPr>
          <w:rFonts w:hint="eastAsia"/>
        </w:rPr>
        <w:t>起逐年增加，分別為111年度</w:t>
      </w:r>
      <w:r w:rsidR="00BF3BEB" w:rsidRPr="00BF3BEB">
        <w:rPr>
          <w:rFonts w:hint="eastAsia"/>
        </w:rPr>
        <w:t>0.67%</w:t>
      </w:r>
      <w:r w:rsidR="00BF3BEB">
        <w:rPr>
          <w:rFonts w:hint="eastAsia"/>
        </w:rPr>
        <w:t>、112年度0.79%、113</w:t>
      </w:r>
      <w:r w:rsidR="005E3407">
        <w:rPr>
          <w:rFonts w:hint="eastAsia"/>
        </w:rPr>
        <w:t>年</w:t>
      </w:r>
      <w:r w:rsidR="00D131BF">
        <w:rPr>
          <w:rFonts w:hint="eastAsia"/>
        </w:rPr>
        <w:t>度0.93</w:t>
      </w:r>
      <w:r w:rsidR="00BF3BEB">
        <w:rPr>
          <w:rFonts w:hint="eastAsia"/>
        </w:rPr>
        <w:t>%</w:t>
      </w:r>
      <w:r w:rsidR="00AD0040">
        <w:rPr>
          <w:rFonts w:hint="eastAsia"/>
        </w:rPr>
        <w:t>(詳表1)</w:t>
      </w:r>
      <w:r w:rsidR="00BF3BEB">
        <w:rPr>
          <w:rFonts w:hint="eastAsia"/>
        </w:rPr>
        <w:t>。至</w:t>
      </w:r>
      <w:r w:rsidR="00BF3BEB" w:rsidRPr="00BF3BEB">
        <w:rPr>
          <w:rFonts w:hint="eastAsia"/>
        </w:rPr>
        <w:t>有效保單複保險比率</w:t>
      </w:r>
      <w:r w:rsidR="00D131BF">
        <w:rPr>
          <w:rFonts w:hint="eastAsia"/>
        </w:rPr>
        <w:t>110</w:t>
      </w:r>
      <w:r w:rsidR="00BF3BEB" w:rsidRPr="00BF3BEB">
        <w:rPr>
          <w:rFonts w:hint="eastAsia"/>
        </w:rPr>
        <w:t>年度</w:t>
      </w:r>
      <w:r w:rsidR="000336F6">
        <w:rPr>
          <w:rFonts w:hint="eastAsia"/>
        </w:rPr>
        <w:t>雖降至</w:t>
      </w:r>
      <w:r w:rsidR="00BF3BEB" w:rsidRPr="00BF3BEB">
        <w:rPr>
          <w:rFonts w:hint="eastAsia"/>
        </w:rPr>
        <w:t>0.38%，惟</w:t>
      </w:r>
      <w:r w:rsidR="000336F6">
        <w:rPr>
          <w:rFonts w:hint="eastAsia"/>
        </w:rPr>
        <w:t>亦</w:t>
      </w:r>
      <w:r w:rsidR="00BF3BEB" w:rsidRPr="00BF3BEB">
        <w:rPr>
          <w:rFonts w:hint="eastAsia"/>
        </w:rPr>
        <w:t>自111年度起逐年增加，分別為111年度</w:t>
      </w:r>
      <w:r w:rsidR="00BF3BEB">
        <w:rPr>
          <w:rFonts w:hint="eastAsia"/>
        </w:rPr>
        <w:t>0.45</w:t>
      </w:r>
      <w:r w:rsidR="00BF3BEB" w:rsidRPr="00BF3BEB">
        <w:rPr>
          <w:rFonts w:hint="eastAsia"/>
        </w:rPr>
        <w:t>%、112年度</w:t>
      </w:r>
      <w:r w:rsidR="00BF3BEB">
        <w:rPr>
          <w:rFonts w:hint="eastAsia"/>
        </w:rPr>
        <w:t>0.52</w:t>
      </w:r>
      <w:r w:rsidR="00BF3BEB" w:rsidRPr="00BF3BEB">
        <w:rPr>
          <w:rFonts w:hint="eastAsia"/>
        </w:rPr>
        <w:t>%、113</w:t>
      </w:r>
      <w:r w:rsidR="00C8312E">
        <w:rPr>
          <w:rFonts w:hint="eastAsia"/>
        </w:rPr>
        <w:t>年</w:t>
      </w:r>
      <w:r w:rsidR="00D131BF">
        <w:rPr>
          <w:rFonts w:hint="eastAsia"/>
        </w:rPr>
        <w:t>度0.53</w:t>
      </w:r>
      <w:r w:rsidR="00BF3BEB" w:rsidRPr="00BF3BEB">
        <w:rPr>
          <w:rFonts w:hint="eastAsia"/>
        </w:rPr>
        <w:t>%(詳表2)</w:t>
      </w:r>
      <w:r w:rsidR="000336F6">
        <w:rPr>
          <w:rFonts w:hint="eastAsia"/>
        </w:rPr>
        <w:t>。以上，</w:t>
      </w:r>
      <w:r w:rsidR="00C8312E">
        <w:rPr>
          <w:rFonts w:hint="eastAsia"/>
        </w:rPr>
        <w:t>近年傳輸件數與有效保單之</w:t>
      </w:r>
      <w:r w:rsidR="00BF3BEB">
        <w:rPr>
          <w:rFonts w:hint="eastAsia"/>
        </w:rPr>
        <w:t>複保險</w:t>
      </w:r>
      <w:r w:rsidR="00C8312E">
        <w:rPr>
          <w:rFonts w:hint="eastAsia"/>
        </w:rPr>
        <w:t>比率</w:t>
      </w:r>
      <w:r w:rsidR="00BF3BEB" w:rsidRPr="00BF3BEB">
        <w:rPr>
          <w:rFonts w:hint="eastAsia"/>
        </w:rPr>
        <w:t>均未達年度目標值，且</w:t>
      </w:r>
      <w:r w:rsidR="00BF3BEB">
        <w:rPr>
          <w:rFonts w:hint="eastAsia"/>
        </w:rPr>
        <w:t>已連續3年(111至113</w:t>
      </w:r>
      <w:r w:rsidR="00C8312E">
        <w:rPr>
          <w:rFonts w:hint="eastAsia"/>
        </w:rPr>
        <w:t>年</w:t>
      </w:r>
      <w:r w:rsidR="00D131BF">
        <w:rPr>
          <w:rFonts w:hint="eastAsia"/>
        </w:rPr>
        <w:t>度</w:t>
      </w:r>
      <w:r w:rsidR="00BF3BEB">
        <w:rPr>
          <w:rFonts w:hint="eastAsia"/>
        </w:rPr>
        <w:t>)增加，容待檢討改善</w:t>
      </w:r>
      <w:r w:rsidR="00BF3BEB" w:rsidRPr="00BF3BEB">
        <w:rPr>
          <w:rFonts w:hint="eastAsia"/>
        </w:rPr>
        <w:t>。</w:t>
      </w:r>
    </w:p>
    <w:p w:rsidR="006C4727" w:rsidRPr="00E64C74" w:rsidRDefault="006C4727" w:rsidP="00BD3748">
      <w:pPr>
        <w:pStyle w:val="afc"/>
        <w:ind w:left="850" w:hanging="850"/>
      </w:pPr>
      <w:r w:rsidRPr="00E64C74">
        <w:rPr>
          <w:rFonts w:hint="eastAsia"/>
        </w:rPr>
        <w:t xml:space="preserve">表1  </w:t>
      </w:r>
      <w:r w:rsidR="00D33B64">
        <w:rPr>
          <w:rFonts w:hint="eastAsia"/>
        </w:rPr>
        <w:t>109</w:t>
      </w:r>
      <w:r w:rsidR="00E00D86">
        <w:rPr>
          <w:rFonts w:hint="eastAsia"/>
        </w:rPr>
        <w:t>至113</w:t>
      </w:r>
      <w:r w:rsidR="00E64C74" w:rsidRPr="00E64C74">
        <w:rPr>
          <w:rFonts w:hint="eastAsia"/>
        </w:rPr>
        <w:t>年度</w:t>
      </w:r>
      <w:r w:rsidRPr="00E64C74">
        <w:rPr>
          <w:rFonts w:hint="eastAsia"/>
        </w:rPr>
        <w:t>住宅地震保險基金傳輸保單情形表</w:t>
      </w:r>
      <w:r w:rsidR="00351E97">
        <w:rPr>
          <w:rFonts w:hint="eastAsia"/>
        </w:rPr>
        <w:t xml:space="preserve">  </w:t>
      </w:r>
      <w:r w:rsidRPr="00351E97">
        <w:rPr>
          <w:rFonts w:hint="eastAsia"/>
          <w:b w:val="0"/>
          <w:sz w:val="24"/>
          <w:szCs w:val="24"/>
        </w:rPr>
        <w:t>單位：件</w:t>
      </w:r>
      <w:r w:rsidR="00E64C74" w:rsidRPr="00351E97">
        <w:rPr>
          <w:rFonts w:hint="eastAsia"/>
          <w:b w:val="0"/>
          <w:sz w:val="24"/>
          <w:szCs w:val="24"/>
        </w:rPr>
        <w:t>；%</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701"/>
        <w:gridCol w:w="1701"/>
        <w:gridCol w:w="1701"/>
        <w:gridCol w:w="1701"/>
        <w:gridCol w:w="1701"/>
      </w:tblGrid>
      <w:tr w:rsidR="00B52589" w:rsidRPr="007E2A9C" w:rsidTr="006B0EFE">
        <w:trPr>
          <w:tblHeader/>
        </w:trPr>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年度</w:t>
            </w:r>
          </w:p>
        </w:tc>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傳輸保單</w:t>
            </w:r>
          </w:p>
          <w:p w:rsidR="00B52589" w:rsidRPr="007E2A9C" w:rsidRDefault="00B52589" w:rsidP="007E2A9C">
            <w:pPr>
              <w:pStyle w:val="141"/>
              <w:jc w:val="center"/>
              <w:rPr>
                <w:b/>
              </w:rPr>
            </w:pPr>
            <w:r w:rsidRPr="007E2A9C">
              <w:rPr>
                <w:rFonts w:hint="eastAsia"/>
                <w:b/>
              </w:rPr>
              <w:t>件數</w:t>
            </w:r>
          </w:p>
        </w:tc>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傳輸保單</w:t>
            </w:r>
          </w:p>
          <w:p w:rsidR="00B52589" w:rsidRPr="007E2A9C" w:rsidRDefault="00B52589" w:rsidP="007E2A9C">
            <w:pPr>
              <w:pStyle w:val="141"/>
              <w:jc w:val="center"/>
              <w:rPr>
                <w:b/>
              </w:rPr>
            </w:pPr>
            <w:r w:rsidRPr="007E2A9C">
              <w:rPr>
                <w:rFonts w:hint="eastAsia"/>
                <w:b/>
              </w:rPr>
              <w:t>複保險件數</w:t>
            </w:r>
          </w:p>
        </w:tc>
        <w:tc>
          <w:tcPr>
            <w:tcW w:w="3402" w:type="dxa"/>
            <w:gridSpan w:val="2"/>
            <w:shd w:val="clear" w:color="auto" w:fill="auto"/>
            <w:vAlign w:val="center"/>
          </w:tcPr>
          <w:p w:rsidR="00B52589" w:rsidRPr="007E2A9C" w:rsidRDefault="00B52589" w:rsidP="007E2A9C">
            <w:pPr>
              <w:pStyle w:val="141"/>
              <w:jc w:val="center"/>
              <w:rPr>
                <w:b/>
              </w:rPr>
            </w:pPr>
            <w:r w:rsidRPr="007E2A9C">
              <w:rPr>
                <w:rFonts w:hint="eastAsia"/>
                <w:b/>
              </w:rPr>
              <w:t>傳輸件數複保險比率</w:t>
            </w:r>
          </w:p>
        </w:tc>
      </w:tr>
      <w:tr w:rsidR="006C4727" w:rsidRPr="007E2A9C" w:rsidTr="00E64C74">
        <w:trPr>
          <w:tblHeader/>
        </w:trPr>
        <w:tc>
          <w:tcPr>
            <w:tcW w:w="1701" w:type="dxa"/>
            <w:vMerge/>
            <w:shd w:val="clear" w:color="auto" w:fill="auto"/>
            <w:vAlign w:val="center"/>
          </w:tcPr>
          <w:p w:rsidR="006C4727" w:rsidRPr="007E2A9C" w:rsidRDefault="006C4727" w:rsidP="007E2A9C">
            <w:pPr>
              <w:pStyle w:val="141"/>
              <w:jc w:val="center"/>
              <w:rPr>
                <w:b/>
              </w:rPr>
            </w:pPr>
          </w:p>
        </w:tc>
        <w:tc>
          <w:tcPr>
            <w:tcW w:w="1701" w:type="dxa"/>
            <w:vMerge/>
            <w:shd w:val="clear" w:color="auto" w:fill="auto"/>
            <w:vAlign w:val="center"/>
          </w:tcPr>
          <w:p w:rsidR="006C4727" w:rsidRPr="007E2A9C" w:rsidRDefault="006C4727" w:rsidP="007E2A9C">
            <w:pPr>
              <w:pStyle w:val="141"/>
              <w:jc w:val="center"/>
              <w:rPr>
                <w:b/>
              </w:rPr>
            </w:pPr>
          </w:p>
        </w:tc>
        <w:tc>
          <w:tcPr>
            <w:tcW w:w="1701" w:type="dxa"/>
            <w:vMerge/>
            <w:shd w:val="clear" w:color="auto" w:fill="auto"/>
            <w:vAlign w:val="center"/>
          </w:tcPr>
          <w:p w:rsidR="006C4727" w:rsidRPr="007E2A9C" w:rsidRDefault="006C4727" w:rsidP="007E2A9C">
            <w:pPr>
              <w:pStyle w:val="141"/>
              <w:jc w:val="center"/>
              <w:rPr>
                <w:b/>
              </w:rPr>
            </w:pPr>
          </w:p>
        </w:tc>
        <w:tc>
          <w:tcPr>
            <w:tcW w:w="1701" w:type="dxa"/>
            <w:shd w:val="clear" w:color="auto" w:fill="auto"/>
            <w:vAlign w:val="center"/>
          </w:tcPr>
          <w:p w:rsidR="006C4727" w:rsidRPr="007E2A9C" w:rsidRDefault="006C4727" w:rsidP="007E2A9C">
            <w:pPr>
              <w:pStyle w:val="141"/>
              <w:jc w:val="center"/>
              <w:rPr>
                <w:b/>
              </w:rPr>
            </w:pPr>
            <w:r w:rsidRPr="007E2A9C">
              <w:rPr>
                <w:rFonts w:hint="eastAsia"/>
                <w:b/>
              </w:rPr>
              <w:t>目標值</w:t>
            </w:r>
          </w:p>
        </w:tc>
        <w:tc>
          <w:tcPr>
            <w:tcW w:w="1701" w:type="dxa"/>
            <w:shd w:val="clear" w:color="auto" w:fill="auto"/>
            <w:vAlign w:val="center"/>
          </w:tcPr>
          <w:p w:rsidR="006C4727" w:rsidRPr="007E2A9C" w:rsidRDefault="006C4727" w:rsidP="007E2A9C">
            <w:pPr>
              <w:pStyle w:val="141"/>
              <w:jc w:val="center"/>
              <w:rPr>
                <w:b/>
              </w:rPr>
            </w:pPr>
            <w:r w:rsidRPr="007E2A9C">
              <w:rPr>
                <w:rFonts w:hint="eastAsia"/>
                <w:b/>
              </w:rPr>
              <w:t>實際值</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109</w:t>
            </w:r>
          </w:p>
        </w:tc>
        <w:tc>
          <w:tcPr>
            <w:tcW w:w="1701" w:type="dxa"/>
            <w:vAlign w:val="center"/>
          </w:tcPr>
          <w:p w:rsidR="006C4727" w:rsidRPr="006C4727" w:rsidRDefault="006C4727" w:rsidP="007E2A9C">
            <w:pPr>
              <w:pStyle w:val="141"/>
              <w:jc w:val="right"/>
            </w:pPr>
            <w:r w:rsidRPr="006C4727">
              <w:rPr>
                <w:rFonts w:hint="eastAsia"/>
              </w:rPr>
              <w:t>3,375,107</w:t>
            </w:r>
          </w:p>
        </w:tc>
        <w:tc>
          <w:tcPr>
            <w:tcW w:w="1701" w:type="dxa"/>
            <w:vAlign w:val="center"/>
          </w:tcPr>
          <w:p w:rsidR="006C4727" w:rsidRPr="006C4727" w:rsidRDefault="006C4727" w:rsidP="007E2A9C">
            <w:pPr>
              <w:pStyle w:val="141"/>
              <w:jc w:val="right"/>
            </w:pPr>
            <w:r w:rsidRPr="006C4727">
              <w:rPr>
                <w:rFonts w:hint="eastAsia"/>
              </w:rPr>
              <w:t>24,046</w:t>
            </w:r>
          </w:p>
        </w:tc>
        <w:tc>
          <w:tcPr>
            <w:tcW w:w="1701" w:type="dxa"/>
            <w:vAlign w:val="center"/>
          </w:tcPr>
          <w:p w:rsidR="006C4727" w:rsidRPr="006C4727" w:rsidRDefault="006C4727" w:rsidP="007E2A9C">
            <w:pPr>
              <w:pStyle w:val="141"/>
              <w:jc w:val="right"/>
            </w:pPr>
            <w:r w:rsidRPr="006C4727">
              <w:rPr>
                <w:rFonts w:hint="eastAsia"/>
              </w:rPr>
              <w:t>0.5</w:t>
            </w:r>
          </w:p>
        </w:tc>
        <w:tc>
          <w:tcPr>
            <w:tcW w:w="1701" w:type="dxa"/>
            <w:vAlign w:val="center"/>
          </w:tcPr>
          <w:p w:rsidR="006C4727" w:rsidRPr="006C4727" w:rsidRDefault="006C4727" w:rsidP="007E2A9C">
            <w:pPr>
              <w:pStyle w:val="141"/>
              <w:jc w:val="right"/>
            </w:pPr>
            <w:r w:rsidRPr="006C4727">
              <w:t>0</w:t>
            </w:r>
            <w:r w:rsidRPr="006C4727">
              <w:rPr>
                <w:rFonts w:hint="eastAsia"/>
              </w:rPr>
              <w:t>.71</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w:t>
            </w:r>
            <w:r w:rsidRPr="006C4727">
              <w:t>10</w:t>
            </w:r>
          </w:p>
        </w:tc>
        <w:tc>
          <w:tcPr>
            <w:tcW w:w="1701" w:type="dxa"/>
            <w:vAlign w:val="center"/>
          </w:tcPr>
          <w:p w:rsidR="006C4727" w:rsidRPr="006C4727" w:rsidRDefault="006C4727" w:rsidP="007E2A9C">
            <w:pPr>
              <w:pStyle w:val="141"/>
              <w:jc w:val="right"/>
            </w:pPr>
            <w:r w:rsidRPr="006C4727">
              <w:rPr>
                <w:rFonts w:hint="eastAsia"/>
              </w:rPr>
              <w:t>3</w:t>
            </w:r>
            <w:r w:rsidRPr="006C4727">
              <w:t>,474,048</w:t>
            </w:r>
          </w:p>
        </w:tc>
        <w:tc>
          <w:tcPr>
            <w:tcW w:w="1701" w:type="dxa"/>
            <w:vAlign w:val="center"/>
          </w:tcPr>
          <w:p w:rsidR="006C4727" w:rsidRPr="006C4727" w:rsidRDefault="006C4727" w:rsidP="007E2A9C">
            <w:pPr>
              <w:pStyle w:val="141"/>
              <w:jc w:val="right"/>
            </w:pPr>
            <w:r w:rsidRPr="006C4727">
              <w:rPr>
                <w:rFonts w:hint="eastAsia"/>
              </w:rPr>
              <w:t>1</w:t>
            </w:r>
            <w:r w:rsidRPr="006C4727">
              <w:t>9,460</w:t>
            </w:r>
          </w:p>
        </w:tc>
        <w:tc>
          <w:tcPr>
            <w:tcW w:w="1701" w:type="dxa"/>
            <w:vAlign w:val="center"/>
          </w:tcPr>
          <w:p w:rsidR="006C4727" w:rsidRPr="006C4727" w:rsidRDefault="006C4727" w:rsidP="007E2A9C">
            <w:pPr>
              <w:pStyle w:val="141"/>
              <w:jc w:val="right"/>
            </w:pPr>
            <w:r w:rsidRPr="006C4727">
              <w:rPr>
                <w:rFonts w:hint="eastAsia"/>
              </w:rPr>
              <w:t>0</w:t>
            </w:r>
            <w:r w:rsidRPr="006C4727">
              <w:t>.5</w:t>
            </w:r>
          </w:p>
        </w:tc>
        <w:tc>
          <w:tcPr>
            <w:tcW w:w="1701" w:type="dxa"/>
            <w:vAlign w:val="center"/>
          </w:tcPr>
          <w:p w:rsidR="006C4727" w:rsidRPr="006C4727" w:rsidRDefault="006C4727" w:rsidP="007E2A9C">
            <w:pPr>
              <w:pStyle w:val="141"/>
              <w:jc w:val="right"/>
            </w:pPr>
            <w:r w:rsidRPr="006C4727">
              <w:t>0.56</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w:t>
            </w:r>
            <w:r w:rsidRPr="006C4727">
              <w:t>11</w:t>
            </w:r>
          </w:p>
        </w:tc>
        <w:tc>
          <w:tcPr>
            <w:tcW w:w="1701" w:type="dxa"/>
            <w:vAlign w:val="center"/>
          </w:tcPr>
          <w:p w:rsidR="006C4727" w:rsidRPr="006C4727" w:rsidRDefault="006C4727" w:rsidP="007E2A9C">
            <w:pPr>
              <w:pStyle w:val="141"/>
              <w:jc w:val="right"/>
            </w:pPr>
            <w:r w:rsidRPr="006C4727">
              <w:rPr>
                <w:rFonts w:hint="eastAsia"/>
              </w:rPr>
              <w:t>3</w:t>
            </w:r>
            <w:r w:rsidRPr="006C4727">
              <w:t>,570,601</w:t>
            </w:r>
          </w:p>
        </w:tc>
        <w:tc>
          <w:tcPr>
            <w:tcW w:w="1701" w:type="dxa"/>
            <w:vAlign w:val="center"/>
          </w:tcPr>
          <w:p w:rsidR="006C4727" w:rsidRPr="006C4727" w:rsidRDefault="006C4727" w:rsidP="007E2A9C">
            <w:pPr>
              <w:pStyle w:val="141"/>
              <w:jc w:val="right"/>
            </w:pPr>
            <w:r w:rsidRPr="006C4727">
              <w:rPr>
                <w:rFonts w:hint="eastAsia"/>
              </w:rPr>
              <w:t>2</w:t>
            </w:r>
            <w:r w:rsidRPr="006C4727">
              <w:t>3,851</w:t>
            </w:r>
          </w:p>
        </w:tc>
        <w:tc>
          <w:tcPr>
            <w:tcW w:w="1701" w:type="dxa"/>
            <w:vAlign w:val="center"/>
          </w:tcPr>
          <w:p w:rsidR="006C4727" w:rsidRPr="006C4727" w:rsidRDefault="006C4727" w:rsidP="007E2A9C">
            <w:pPr>
              <w:pStyle w:val="141"/>
              <w:jc w:val="right"/>
            </w:pPr>
            <w:r w:rsidRPr="006C4727">
              <w:rPr>
                <w:rFonts w:hint="eastAsia"/>
              </w:rPr>
              <w:t>0</w:t>
            </w:r>
            <w:r w:rsidRPr="006C4727">
              <w:t>.5</w:t>
            </w:r>
          </w:p>
        </w:tc>
        <w:tc>
          <w:tcPr>
            <w:tcW w:w="1701" w:type="dxa"/>
            <w:vAlign w:val="center"/>
          </w:tcPr>
          <w:p w:rsidR="006C4727" w:rsidRPr="006C4727" w:rsidRDefault="006C4727" w:rsidP="007E2A9C">
            <w:pPr>
              <w:pStyle w:val="141"/>
              <w:jc w:val="right"/>
            </w:pPr>
            <w:r w:rsidRPr="006C4727">
              <w:rPr>
                <w:rFonts w:hint="eastAsia"/>
              </w:rPr>
              <w:t>0</w:t>
            </w:r>
            <w:r w:rsidRPr="006C4727">
              <w:t>.67</w:t>
            </w:r>
          </w:p>
        </w:tc>
      </w:tr>
      <w:tr w:rsidR="009934F0" w:rsidRPr="006C4727" w:rsidTr="00E64C74">
        <w:tc>
          <w:tcPr>
            <w:tcW w:w="1701" w:type="dxa"/>
            <w:vAlign w:val="center"/>
          </w:tcPr>
          <w:p w:rsidR="009934F0" w:rsidRPr="006C4727" w:rsidRDefault="009934F0" w:rsidP="007E2A9C">
            <w:pPr>
              <w:pStyle w:val="141"/>
              <w:jc w:val="center"/>
            </w:pPr>
            <w:r>
              <w:rPr>
                <w:rFonts w:hint="eastAsia"/>
              </w:rPr>
              <w:t>112</w:t>
            </w:r>
          </w:p>
        </w:tc>
        <w:tc>
          <w:tcPr>
            <w:tcW w:w="1701" w:type="dxa"/>
            <w:vAlign w:val="center"/>
          </w:tcPr>
          <w:p w:rsidR="009934F0" w:rsidRPr="006C4727" w:rsidRDefault="00C0565E" w:rsidP="007E2A9C">
            <w:pPr>
              <w:pStyle w:val="141"/>
              <w:jc w:val="right"/>
            </w:pPr>
            <w:r>
              <w:rPr>
                <w:rFonts w:hint="eastAsia"/>
              </w:rPr>
              <w:t>3,</w:t>
            </w:r>
            <w:r>
              <w:t>613,513</w:t>
            </w:r>
          </w:p>
        </w:tc>
        <w:tc>
          <w:tcPr>
            <w:tcW w:w="1701" w:type="dxa"/>
            <w:vAlign w:val="center"/>
          </w:tcPr>
          <w:p w:rsidR="009934F0" w:rsidRPr="006C4727" w:rsidRDefault="00C0565E" w:rsidP="007E2A9C">
            <w:pPr>
              <w:pStyle w:val="141"/>
              <w:jc w:val="right"/>
            </w:pPr>
            <w:r>
              <w:rPr>
                <w:rFonts w:hint="eastAsia"/>
              </w:rPr>
              <w:t>2</w:t>
            </w:r>
            <w:r>
              <w:t>8,671</w:t>
            </w:r>
          </w:p>
        </w:tc>
        <w:tc>
          <w:tcPr>
            <w:tcW w:w="1701" w:type="dxa"/>
            <w:vAlign w:val="center"/>
          </w:tcPr>
          <w:p w:rsidR="009934F0" w:rsidRPr="006C4727" w:rsidRDefault="00C0565E" w:rsidP="007E2A9C">
            <w:pPr>
              <w:pStyle w:val="141"/>
              <w:jc w:val="right"/>
            </w:pPr>
            <w:r>
              <w:rPr>
                <w:rFonts w:hint="eastAsia"/>
              </w:rPr>
              <w:t>0</w:t>
            </w:r>
            <w:r>
              <w:t>.5</w:t>
            </w:r>
          </w:p>
        </w:tc>
        <w:tc>
          <w:tcPr>
            <w:tcW w:w="1701" w:type="dxa"/>
            <w:vAlign w:val="center"/>
          </w:tcPr>
          <w:p w:rsidR="009934F0" w:rsidRPr="006C4727" w:rsidRDefault="00C0565E" w:rsidP="007E2A9C">
            <w:pPr>
              <w:pStyle w:val="141"/>
              <w:jc w:val="right"/>
            </w:pPr>
            <w:r>
              <w:rPr>
                <w:rFonts w:hint="eastAsia"/>
              </w:rPr>
              <w:t>0</w:t>
            </w:r>
            <w:r>
              <w:t>.79</w:t>
            </w:r>
          </w:p>
        </w:tc>
      </w:tr>
      <w:tr w:rsidR="009934F0" w:rsidRPr="006C4727" w:rsidTr="00E64C74">
        <w:tc>
          <w:tcPr>
            <w:tcW w:w="1701" w:type="dxa"/>
            <w:vAlign w:val="center"/>
          </w:tcPr>
          <w:p w:rsidR="009934F0" w:rsidRDefault="009934F0" w:rsidP="00E00D86">
            <w:pPr>
              <w:pStyle w:val="141"/>
              <w:jc w:val="center"/>
            </w:pPr>
            <w:r>
              <w:rPr>
                <w:rFonts w:hint="eastAsia"/>
              </w:rPr>
              <w:t>113</w:t>
            </w:r>
          </w:p>
        </w:tc>
        <w:tc>
          <w:tcPr>
            <w:tcW w:w="1701" w:type="dxa"/>
            <w:vAlign w:val="center"/>
          </w:tcPr>
          <w:p w:rsidR="009934F0" w:rsidRPr="006C4727" w:rsidRDefault="00E00D86" w:rsidP="007E2A9C">
            <w:pPr>
              <w:pStyle w:val="141"/>
              <w:jc w:val="right"/>
            </w:pPr>
            <w:r>
              <w:rPr>
                <w:rFonts w:hint="eastAsia"/>
              </w:rPr>
              <w:t>3</w:t>
            </w:r>
            <w:r>
              <w:t>,</w:t>
            </w:r>
            <w:r>
              <w:rPr>
                <w:rFonts w:hint="eastAsia"/>
              </w:rPr>
              <w:t>787</w:t>
            </w:r>
            <w:r>
              <w:t>,</w:t>
            </w:r>
            <w:r>
              <w:rPr>
                <w:rFonts w:hint="eastAsia"/>
              </w:rPr>
              <w:t>529</w:t>
            </w:r>
          </w:p>
        </w:tc>
        <w:tc>
          <w:tcPr>
            <w:tcW w:w="1701" w:type="dxa"/>
            <w:vAlign w:val="center"/>
          </w:tcPr>
          <w:p w:rsidR="009934F0" w:rsidRPr="006C4727" w:rsidRDefault="00E00D86" w:rsidP="007E2A9C">
            <w:pPr>
              <w:pStyle w:val="141"/>
              <w:jc w:val="right"/>
            </w:pPr>
            <w:r>
              <w:rPr>
                <w:rFonts w:hint="eastAsia"/>
              </w:rPr>
              <w:t>35</w:t>
            </w:r>
            <w:r>
              <w:t>,</w:t>
            </w:r>
            <w:r>
              <w:rPr>
                <w:rFonts w:hint="eastAsia"/>
              </w:rPr>
              <w:t>283</w:t>
            </w:r>
          </w:p>
        </w:tc>
        <w:tc>
          <w:tcPr>
            <w:tcW w:w="1701" w:type="dxa"/>
            <w:vAlign w:val="center"/>
          </w:tcPr>
          <w:p w:rsidR="009934F0" w:rsidRPr="006C4727" w:rsidRDefault="00C0565E" w:rsidP="007E2A9C">
            <w:pPr>
              <w:pStyle w:val="141"/>
              <w:jc w:val="right"/>
            </w:pPr>
            <w:r>
              <w:rPr>
                <w:rFonts w:hint="eastAsia"/>
              </w:rPr>
              <w:t>0</w:t>
            </w:r>
            <w:r>
              <w:t>.5</w:t>
            </w:r>
          </w:p>
        </w:tc>
        <w:tc>
          <w:tcPr>
            <w:tcW w:w="1701" w:type="dxa"/>
            <w:vAlign w:val="center"/>
          </w:tcPr>
          <w:p w:rsidR="009934F0" w:rsidRPr="006C4727" w:rsidRDefault="00E00D86" w:rsidP="007E2A9C">
            <w:pPr>
              <w:pStyle w:val="141"/>
              <w:jc w:val="right"/>
            </w:pPr>
            <w:r>
              <w:rPr>
                <w:rFonts w:hint="eastAsia"/>
              </w:rPr>
              <w:t>0.93</w:t>
            </w:r>
          </w:p>
        </w:tc>
      </w:tr>
    </w:tbl>
    <w:p w:rsidR="007E2A9C" w:rsidRDefault="006C4727" w:rsidP="007E2A9C">
      <w:pPr>
        <w:pStyle w:val="12"/>
      </w:pPr>
      <w:r w:rsidRPr="007E2A9C">
        <w:rPr>
          <w:rFonts w:hint="eastAsia"/>
        </w:rPr>
        <w:t>說    明：1.傳輸件數複保險比率=該年度傳輸保單複保險件數/該年度傳輸保單</w:t>
      </w:r>
      <w:r w:rsidRPr="007E2A9C">
        <w:rPr>
          <w:rFonts w:hint="eastAsia"/>
        </w:rPr>
        <w:lastRenderedPageBreak/>
        <w:t>件數。</w:t>
      </w:r>
    </w:p>
    <w:p w:rsidR="006C4727" w:rsidRPr="00D33B64" w:rsidRDefault="006C4727" w:rsidP="007E2A9C">
      <w:pPr>
        <w:pStyle w:val="23"/>
        <w:rPr>
          <w:color w:val="000000" w:themeColor="text1"/>
        </w:rPr>
      </w:pPr>
      <w:r w:rsidRPr="00D33B64">
        <w:rPr>
          <w:rFonts w:hint="eastAsia"/>
          <w:color w:val="000000" w:themeColor="text1"/>
        </w:rPr>
        <w:t>2.表內</w:t>
      </w:r>
      <w:r w:rsidR="00C0565E" w:rsidRPr="00D33B64">
        <w:rPr>
          <w:rFonts w:hint="eastAsia"/>
          <w:color w:val="000000" w:themeColor="text1"/>
        </w:rPr>
        <w:t>11</w:t>
      </w:r>
      <w:r w:rsidR="00D131BF" w:rsidRPr="00D33B64">
        <w:rPr>
          <w:rFonts w:hint="eastAsia"/>
          <w:color w:val="000000" w:themeColor="text1"/>
        </w:rPr>
        <w:t>3</w:t>
      </w:r>
      <w:r w:rsidR="00C0565E" w:rsidRPr="00D33B64">
        <w:rPr>
          <w:rFonts w:hint="eastAsia"/>
          <w:color w:val="000000" w:themeColor="text1"/>
        </w:rPr>
        <w:t>年</w:t>
      </w:r>
      <w:r w:rsidRPr="00D33B64">
        <w:rPr>
          <w:rFonts w:hint="eastAsia"/>
          <w:color w:val="000000" w:themeColor="text1"/>
        </w:rPr>
        <w:t>度相關數據為該基金自結決算數。</w:t>
      </w:r>
    </w:p>
    <w:p w:rsidR="006C4727" w:rsidRPr="001C5451" w:rsidRDefault="006C4727" w:rsidP="001C5451">
      <w:pPr>
        <w:pStyle w:val="afb"/>
      </w:pPr>
      <w:r w:rsidRPr="001C5451">
        <w:rPr>
          <w:rFonts w:hint="eastAsia"/>
        </w:rPr>
        <w:t>資料來源：住宅地震保險基金</w:t>
      </w:r>
      <w:r w:rsidR="00C0565E" w:rsidRPr="001C5451">
        <w:rPr>
          <w:rFonts w:hint="eastAsia"/>
        </w:rPr>
        <w:t>提供</w:t>
      </w:r>
      <w:r w:rsidRPr="001C5451">
        <w:rPr>
          <w:rFonts w:hint="eastAsia"/>
        </w:rPr>
        <w:t>。</w:t>
      </w:r>
    </w:p>
    <w:p w:rsidR="006C4727" w:rsidRPr="001C5451" w:rsidRDefault="006C4727" w:rsidP="00BD3748">
      <w:pPr>
        <w:pStyle w:val="afc"/>
        <w:ind w:left="850" w:hanging="850"/>
      </w:pPr>
      <w:r w:rsidRPr="001C5451">
        <w:rPr>
          <w:rFonts w:hint="eastAsia"/>
        </w:rPr>
        <w:t xml:space="preserve">表2  </w:t>
      </w:r>
      <w:r w:rsidR="00D33B64">
        <w:rPr>
          <w:rFonts w:hint="eastAsia"/>
        </w:rPr>
        <w:t>109</w:t>
      </w:r>
      <w:r w:rsidR="00E00D86">
        <w:rPr>
          <w:rFonts w:hint="eastAsia"/>
        </w:rPr>
        <w:t>至113</w:t>
      </w:r>
      <w:r w:rsidR="001C5451" w:rsidRPr="001C5451">
        <w:rPr>
          <w:rFonts w:hint="eastAsia"/>
        </w:rPr>
        <w:t>年度</w:t>
      </w:r>
      <w:r w:rsidRPr="001C5451">
        <w:rPr>
          <w:rFonts w:hint="eastAsia"/>
        </w:rPr>
        <w:t>住宅地震保險基金有效保單情形表</w:t>
      </w:r>
      <w:r w:rsidR="006C2733">
        <w:rPr>
          <w:rFonts w:hint="eastAsia"/>
        </w:rPr>
        <w:t xml:space="preserve"> </w:t>
      </w:r>
      <w:r w:rsidRPr="006C2733">
        <w:rPr>
          <w:rFonts w:hint="eastAsia"/>
          <w:b w:val="0"/>
          <w:sz w:val="24"/>
          <w:szCs w:val="24"/>
        </w:rPr>
        <w:t>單位：件</w:t>
      </w:r>
      <w:r w:rsidR="001C5451" w:rsidRPr="006C2733">
        <w:rPr>
          <w:rFonts w:hint="eastAsia"/>
          <w:b w:val="0"/>
          <w:sz w:val="24"/>
          <w:szCs w:val="24"/>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690"/>
        <w:gridCol w:w="1690"/>
        <w:gridCol w:w="1691"/>
        <w:gridCol w:w="1690"/>
        <w:gridCol w:w="1691"/>
      </w:tblGrid>
      <w:tr w:rsidR="00B52589" w:rsidRPr="007E2A9C" w:rsidTr="006B0EFE">
        <w:trPr>
          <w:tblHeader/>
        </w:trPr>
        <w:tc>
          <w:tcPr>
            <w:tcW w:w="1690" w:type="dxa"/>
            <w:vMerge w:val="restart"/>
            <w:shd w:val="clear" w:color="auto" w:fill="auto"/>
            <w:vAlign w:val="center"/>
          </w:tcPr>
          <w:p w:rsidR="00B52589" w:rsidRPr="007E2A9C" w:rsidRDefault="00B52589" w:rsidP="007E2A9C">
            <w:pPr>
              <w:pStyle w:val="141"/>
              <w:jc w:val="center"/>
              <w:rPr>
                <w:b/>
              </w:rPr>
            </w:pPr>
            <w:r w:rsidRPr="007E2A9C">
              <w:rPr>
                <w:rFonts w:hint="eastAsia"/>
                <w:b/>
              </w:rPr>
              <w:t>年度</w:t>
            </w:r>
          </w:p>
        </w:tc>
        <w:tc>
          <w:tcPr>
            <w:tcW w:w="1690" w:type="dxa"/>
            <w:vMerge w:val="restart"/>
            <w:shd w:val="clear" w:color="auto" w:fill="auto"/>
            <w:vAlign w:val="center"/>
          </w:tcPr>
          <w:p w:rsidR="00B52589" w:rsidRPr="007E2A9C" w:rsidRDefault="00B52589" w:rsidP="007E2A9C">
            <w:pPr>
              <w:pStyle w:val="141"/>
              <w:jc w:val="center"/>
              <w:rPr>
                <w:b/>
              </w:rPr>
            </w:pPr>
            <w:r w:rsidRPr="007E2A9C">
              <w:rPr>
                <w:rFonts w:hint="eastAsia"/>
                <w:b/>
              </w:rPr>
              <w:t>有效保單</w:t>
            </w:r>
          </w:p>
          <w:p w:rsidR="00B52589" w:rsidRPr="007E2A9C" w:rsidRDefault="00B52589" w:rsidP="007E2A9C">
            <w:pPr>
              <w:pStyle w:val="141"/>
              <w:jc w:val="center"/>
              <w:rPr>
                <w:b/>
              </w:rPr>
            </w:pPr>
            <w:r w:rsidRPr="007E2A9C">
              <w:rPr>
                <w:rFonts w:hint="eastAsia"/>
                <w:b/>
              </w:rPr>
              <w:t>件數</w:t>
            </w:r>
          </w:p>
        </w:tc>
        <w:tc>
          <w:tcPr>
            <w:tcW w:w="1691" w:type="dxa"/>
            <w:vMerge w:val="restart"/>
            <w:shd w:val="clear" w:color="auto" w:fill="auto"/>
            <w:vAlign w:val="center"/>
          </w:tcPr>
          <w:p w:rsidR="00B52589" w:rsidRPr="007E2A9C" w:rsidRDefault="00B52589" w:rsidP="007E2A9C">
            <w:pPr>
              <w:pStyle w:val="141"/>
              <w:jc w:val="center"/>
              <w:rPr>
                <w:b/>
              </w:rPr>
            </w:pPr>
            <w:r w:rsidRPr="007E2A9C">
              <w:rPr>
                <w:rFonts w:hint="eastAsia"/>
                <w:b/>
              </w:rPr>
              <w:t>有效保單</w:t>
            </w:r>
          </w:p>
          <w:p w:rsidR="00B52589" w:rsidRPr="007E2A9C" w:rsidRDefault="00B52589" w:rsidP="007E2A9C">
            <w:pPr>
              <w:pStyle w:val="141"/>
              <w:jc w:val="center"/>
              <w:rPr>
                <w:b/>
              </w:rPr>
            </w:pPr>
            <w:r w:rsidRPr="007E2A9C">
              <w:rPr>
                <w:rFonts w:hint="eastAsia"/>
                <w:b/>
              </w:rPr>
              <w:t>複保險件數</w:t>
            </w:r>
          </w:p>
        </w:tc>
        <w:tc>
          <w:tcPr>
            <w:tcW w:w="3381" w:type="dxa"/>
            <w:gridSpan w:val="2"/>
            <w:shd w:val="clear" w:color="auto" w:fill="auto"/>
            <w:vAlign w:val="center"/>
          </w:tcPr>
          <w:p w:rsidR="00B52589" w:rsidRPr="007E2A9C" w:rsidRDefault="00B52589" w:rsidP="007E2A9C">
            <w:pPr>
              <w:pStyle w:val="141"/>
              <w:jc w:val="center"/>
              <w:rPr>
                <w:b/>
              </w:rPr>
            </w:pPr>
            <w:r w:rsidRPr="007E2A9C">
              <w:rPr>
                <w:rFonts w:hint="eastAsia"/>
                <w:b/>
              </w:rPr>
              <w:t>有效保單複保險比率</w:t>
            </w:r>
          </w:p>
        </w:tc>
      </w:tr>
      <w:tr w:rsidR="006C4727" w:rsidRPr="007E2A9C" w:rsidTr="00D1429D">
        <w:trPr>
          <w:tblHeader/>
        </w:trPr>
        <w:tc>
          <w:tcPr>
            <w:tcW w:w="1690" w:type="dxa"/>
            <w:vMerge/>
            <w:shd w:val="clear" w:color="auto" w:fill="auto"/>
            <w:vAlign w:val="center"/>
          </w:tcPr>
          <w:p w:rsidR="006C4727" w:rsidRPr="007E2A9C" w:rsidRDefault="006C4727" w:rsidP="007E2A9C">
            <w:pPr>
              <w:pStyle w:val="141"/>
              <w:jc w:val="center"/>
              <w:rPr>
                <w:b/>
              </w:rPr>
            </w:pPr>
          </w:p>
        </w:tc>
        <w:tc>
          <w:tcPr>
            <w:tcW w:w="1690" w:type="dxa"/>
            <w:vMerge/>
            <w:shd w:val="clear" w:color="auto" w:fill="auto"/>
            <w:vAlign w:val="center"/>
          </w:tcPr>
          <w:p w:rsidR="006C4727" w:rsidRPr="007E2A9C" w:rsidRDefault="006C4727" w:rsidP="007E2A9C">
            <w:pPr>
              <w:pStyle w:val="141"/>
              <w:jc w:val="center"/>
              <w:rPr>
                <w:b/>
              </w:rPr>
            </w:pPr>
          </w:p>
        </w:tc>
        <w:tc>
          <w:tcPr>
            <w:tcW w:w="1691" w:type="dxa"/>
            <w:vMerge/>
            <w:shd w:val="clear" w:color="auto" w:fill="auto"/>
            <w:vAlign w:val="center"/>
          </w:tcPr>
          <w:p w:rsidR="006C4727" w:rsidRPr="007E2A9C" w:rsidRDefault="006C4727" w:rsidP="007E2A9C">
            <w:pPr>
              <w:pStyle w:val="141"/>
              <w:jc w:val="center"/>
              <w:rPr>
                <w:b/>
              </w:rPr>
            </w:pPr>
          </w:p>
        </w:tc>
        <w:tc>
          <w:tcPr>
            <w:tcW w:w="1690" w:type="dxa"/>
            <w:shd w:val="clear" w:color="auto" w:fill="auto"/>
            <w:vAlign w:val="center"/>
          </w:tcPr>
          <w:p w:rsidR="006C4727" w:rsidRPr="007E2A9C" w:rsidRDefault="006C4727" w:rsidP="007E2A9C">
            <w:pPr>
              <w:pStyle w:val="141"/>
              <w:jc w:val="center"/>
              <w:rPr>
                <w:b/>
              </w:rPr>
            </w:pPr>
            <w:r w:rsidRPr="007E2A9C">
              <w:rPr>
                <w:rFonts w:hint="eastAsia"/>
                <w:b/>
              </w:rPr>
              <w:t>目標值</w:t>
            </w:r>
          </w:p>
        </w:tc>
        <w:tc>
          <w:tcPr>
            <w:tcW w:w="1691" w:type="dxa"/>
            <w:shd w:val="clear" w:color="auto" w:fill="auto"/>
            <w:vAlign w:val="center"/>
          </w:tcPr>
          <w:p w:rsidR="006C4727" w:rsidRPr="007E2A9C" w:rsidRDefault="006C4727" w:rsidP="007E2A9C">
            <w:pPr>
              <w:pStyle w:val="141"/>
              <w:jc w:val="center"/>
              <w:rPr>
                <w:b/>
              </w:rPr>
            </w:pPr>
            <w:r w:rsidRPr="007E2A9C">
              <w:rPr>
                <w:rFonts w:hint="eastAsia"/>
                <w:b/>
              </w:rPr>
              <w:t>實際值</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109</w:t>
            </w:r>
          </w:p>
        </w:tc>
        <w:tc>
          <w:tcPr>
            <w:tcW w:w="1690" w:type="dxa"/>
            <w:vAlign w:val="center"/>
          </w:tcPr>
          <w:p w:rsidR="006C4727" w:rsidRPr="007E2A9C" w:rsidRDefault="006C4727" w:rsidP="007E2A9C">
            <w:pPr>
              <w:pStyle w:val="141"/>
              <w:jc w:val="right"/>
            </w:pPr>
            <w:r w:rsidRPr="007E2A9C">
              <w:rPr>
                <w:rFonts w:hint="eastAsia"/>
              </w:rPr>
              <w:t>3,225,006</w:t>
            </w:r>
          </w:p>
        </w:tc>
        <w:tc>
          <w:tcPr>
            <w:tcW w:w="1691" w:type="dxa"/>
            <w:vAlign w:val="center"/>
          </w:tcPr>
          <w:p w:rsidR="006C4727" w:rsidRPr="007E2A9C" w:rsidRDefault="006C4727" w:rsidP="007E2A9C">
            <w:pPr>
              <w:pStyle w:val="141"/>
              <w:jc w:val="right"/>
            </w:pPr>
            <w:r w:rsidRPr="007E2A9C">
              <w:rPr>
                <w:rFonts w:hint="eastAsia"/>
              </w:rPr>
              <w:t>12,890</w:t>
            </w:r>
          </w:p>
        </w:tc>
        <w:tc>
          <w:tcPr>
            <w:tcW w:w="1690" w:type="dxa"/>
            <w:vAlign w:val="center"/>
          </w:tcPr>
          <w:p w:rsidR="006C4727" w:rsidRPr="007E2A9C" w:rsidRDefault="006C4727" w:rsidP="007E2A9C">
            <w:pPr>
              <w:pStyle w:val="141"/>
              <w:jc w:val="right"/>
            </w:pPr>
            <w:r w:rsidRPr="007E2A9C">
              <w:rPr>
                <w:rFonts w:hint="eastAsia"/>
              </w:rPr>
              <w:t>0.14</w:t>
            </w:r>
          </w:p>
        </w:tc>
        <w:tc>
          <w:tcPr>
            <w:tcW w:w="1691" w:type="dxa"/>
            <w:vAlign w:val="center"/>
          </w:tcPr>
          <w:p w:rsidR="006C4727" w:rsidRPr="007E2A9C" w:rsidRDefault="006C4727" w:rsidP="007E2A9C">
            <w:pPr>
              <w:pStyle w:val="141"/>
              <w:jc w:val="right"/>
            </w:pPr>
            <w:r w:rsidRPr="007E2A9C">
              <w:rPr>
                <w:rFonts w:hint="eastAsia"/>
              </w:rPr>
              <w:t>0.</w:t>
            </w:r>
            <w:r w:rsidRPr="007E2A9C">
              <w:t>4</w:t>
            </w:r>
            <w:r w:rsidRPr="007E2A9C">
              <w:rPr>
                <w:rFonts w:hint="eastAsia"/>
              </w:rPr>
              <w:t>0</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110</w:t>
            </w:r>
          </w:p>
        </w:tc>
        <w:tc>
          <w:tcPr>
            <w:tcW w:w="1690" w:type="dxa"/>
            <w:vAlign w:val="center"/>
          </w:tcPr>
          <w:p w:rsidR="006C4727" w:rsidRPr="007E2A9C" w:rsidRDefault="006C4727" w:rsidP="007E2A9C">
            <w:pPr>
              <w:pStyle w:val="141"/>
              <w:jc w:val="right"/>
            </w:pPr>
            <w:r w:rsidRPr="007E2A9C">
              <w:rPr>
                <w:rFonts w:hint="eastAsia"/>
              </w:rPr>
              <w:t>3</w:t>
            </w:r>
            <w:r w:rsidRPr="007E2A9C">
              <w:t>,337,681</w:t>
            </w:r>
          </w:p>
        </w:tc>
        <w:tc>
          <w:tcPr>
            <w:tcW w:w="1691" w:type="dxa"/>
            <w:vAlign w:val="center"/>
          </w:tcPr>
          <w:p w:rsidR="006C4727" w:rsidRPr="007E2A9C" w:rsidRDefault="006C4727" w:rsidP="007E2A9C">
            <w:pPr>
              <w:pStyle w:val="141"/>
              <w:jc w:val="right"/>
            </w:pPr>
            <w:r w:rsidRPr="007E2A9C">
              <w:rPr>
                <w:rFonts w:hint="eastAsia"/>
              </w:rPr>
              <w:t>1</w:t>
            </w:r>
            <w:r w:rsidRPr="007E2A9C">
              <w:t>2,729</w:t>
            </w:r>
          </w:p>
        </w:tc>
        <w:tc>
          <w:tcPr>
            <w:tcW w:w="1690" w:type="dxa"/>
            <w:vAlign w:val="center"/>
          </w:tcPr>
          <w:p w:rsidR="006C4727" w:rsidRPr="007E2A9C" w:rsidRDefault="006C4727" w:rsidP="007E2A9C">
            <w:pPr>
              <w:pStyle w:val="141"/>
              <w:jc w:val="right"/>
            </w:pPr>
            <w:r w:rsidRPr="007E2A9C">
              <w:rPr>
                <w:rFonts w:hint="eastAsia"/>
              </w:rPr>
              <w:t>0</w:t>
            </w:r>
            <w:r w:rsidRPr="007E2A9C">
              <w:t>.14</w:t>
            </w:r>
          </w:p>
        </w:tc>
        <w:tc>
          <w:tcPr>
            <w:tcW w:w="1691" w:type="dxa"/>
            <w:vAlign w:val="center"/>
          </w:tcPr>
          <w:p w:rsidR="006C4727" w:rsidRPr="007E2A9C" w:rsidRDefault="006C4727" w:rsidP="007E2A9C">
            <w:pPr>
              <w:pStyle w:val="141"/>
              <w:jc w:val="right"/>
            </w:pPr>
            <w:r w:rsidRPr="007E2A9C">
              <w:rPr>
                <w:rFonts w:hint="eastAsia"/>
              </w:rPr>
              <w:t>0</w:t>
            </w:r>
            <w:r w:rsidRPr="007E2A9C">
              <w:t>.38</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111</w:t>
            </w:r>
          </w:p>
        </w:tc>
        <w:tc>
          <w:tcPr>
            <w:tcW w:w="1690" w:type="dxa"/>
            <w:vAlign w:val="center"/>
          </w:tcPr>
          <w:p w:rsidR="006C4727" w:rsidRPr="007E2A9C" w:rsidRDefault="006C4727" w:rsidP="007E2A9C">
            <w:pPr>
              <w:pStyle w:val="141"/>
              <w:jc w:val="right"/>
            </w:pPr>
            <w:r w:rsidRPr="007E2A9C">
              <w:rPr>
                <w:rFonts w:hint="eastAsia"/>
              </w:rPr>
              <w:t>3</w:t>
            </w:r>
            <w:r w:rsidRPr="007E2A9C">
              <w:t>,428,855</w:t>
            </w:r>
          </w:p>
        </w:tc>
        <w:tc>
          <w:tcPr>
            <w:tcW w:w="1691" w:type="dxa"/>
            <w:vAlign w:val="center"/>
          </w:tcPr>
          <w:p w:rsidR="006C4727" w:rsidRPr="007E2A9C" w:rsidRDefault="006C4727" w:rsidP="007E2A9C">
            <w:pPr>
              <w:pStyle w:val="141"/>
              <w:jc w:val="right"/>
            </w:pPr>
            <w:r w:rsidRPr="007E2A9C">
              <w:rPr>
                <w:rFonts w:hint="eastAsia"/>
              </w:rPr>
              <w:t>1</w:t>
            </w:r>
            <w:r w:rsidRPr="007E2A9C">
              <w:t>5,339</w:t>
            </w:r>
          </w:p>
        </w:tc>
        <w:tc>
          <w:tcPr>
            <w:tcW w:w="1690" w:type="dxa"/>
            <w:vAlign w:val="center"/>
          </w:tcPr>
          <w:p w:rsidR="006C4727" w:rsidRPr="007E2A9C" w:rsidRDefault="006C4727" w:rsidP="007E2A9C">
            <w:pPr>
              <w:pStyle w:val="141"/>
              <w:jc w:val="right"/>
            </w:pPr>
            <w:r w:rsidRPr="007E2A9C">
              <w:rPr>
                <w:rFonts w:hint="eastAsia"/>
              </w:rPr>
              <w:t>0</w:t>
            </w:r>
            <w:r w:rsidRPr="007E2A9C">
              <w:t>.14</w:t>
            </w:r>
          </w:p>
        </w:tc>
        <w:tc>
          <w:tcPr>
            <w:tcW w:w="1691" w:type="dxa"/>
            <w:vAlign w:val="center"/>
          </w:tcPr>
          <w:p w:rsidR="006C4727" w:rsidRPr="007E2A9C" w:rsidRDefault="006C4727" w:rsidP="007E2A9C">
            <w:pPr>
              <w:pStyle w:val="141"/>
              <w:jc w:val="right"/>
            </w:pPr>
            <w:r w:rsidRPr="007E2A9C">
              <w:rPr>
                <w:rFonts w:hint="eastAsia"/>
              </w:rPr>
              <w:t>0</w:t>
            </w:r>
            <w:r w:rsidRPr="007E2A9C">
              <w:t>.45</w:t>
            </w:r>
          </w:p>
        </w:tc>
      </w:tr>
      <w:tr w:rsidR="009934F0" w:rsidRPr="007E2A9C" w:rsidTr="00D1429D">
        <w:tc>
          <w:tcPr>
            <w:tcW w:w="1690" w:type="dxa"/>
            <w:shd w:val="clear" w:color="auto" w:fill="auto"/>
            <w:vAlign w:val="center"/>
          </w:tcPr>
          <w:p w:rsidR="009934F0" w:rsidRPr="007E2A9C" w:rsidRDefault="009934F0" w:rsidP="007E2A9C">
            <w:pPr>
              <w:pStyle w:val="141"/>
              <w:jc w:val="center"/>
            </w:pPr>
            <w:r>
              <w:rPr>
                <w:rFonts w:hint="eastAsia"/>
              </w:rPr>
              <w:t>112</w:t>
            </w:r>
          </w:p>
        </w:tc>
        <w:tc>
          <w:tcPr>
            <w:tcW w:w="1690" w:type="dxa"/>
            <w:vAlign w:val="center"/>
          </w:tcPr>
          <w:p w:rsidR="009934F0" w:rsidRPr="007E2A9C" w:rsidRDefault="00C0565E" w:rsidP="007E2A9C">
            <w:pPr>
              <w:pStyle w:val="141"/>
              <w:jc w:val="right"/>
            </w:pPr>
            <w:r>
              <w:rPr>
                <w:rFonts w:hint="eastAsia"/>
              </w:rPr>
              <w:t>3</w:t>
            </w:r>
            <w:r>
              <w:t>,504,007</w:t>
            </w:r>
          </w:p>
        </w:tc>
        <w:tc>
          <w:tcPr>
            <w:tcW w:w="1691" w:type="dxa"/>
            <w:vAlign w:val="center"/>
          </w:tcPr>
          <w:p w:rsidR="009934F0" w:rsidRPr="007E2A9C" w:rsidRDefault="00C0565E" w:rsidP="007E2A9C">
            <w:pPr>
              <w:pStyle w:val="141"/>
              <w:jc w:val="right"/>
            </w:pPr>
            <w:r>
              <w:rPr>
                <w:rFonts w:hint="eastAsia"/>
              </w:rPr>
              <w:t>1</w:t>
            </w:r>
            <w:r>
              <w:t>8,115</w:t>
            </w:r>
          </w:p>
        </w:tc>
        <w:tc>
          <w:tcPr>
            <w:tcW w:w="1690" w:type="dxa"/>
            <w:vAlign w:val="center"/>
          </w:tcPr>
          <w:p w:rsidR="009934F0" w:rsidRPr="007E2A9C" w:rsidRDefault="00C0565E" w:rsidP="007E2A9C">
            <w:pPr>
              <w:pStyle w:val="141"/>
              <w:jc w:val="right"/>
            </w:pPr>
            <w:r>
              <w:rPr>
                <w:rFonts w:hint="eastAsia"/>
              </w:rPr>
              <w:t>0</w:t>
            </w:r>
            <w:r>
              <w:t>.14</w:t>
            </w:r>
          </w:p>
        </w:tc>
        <w:tc>
          <w:tcPr>
            <w:tcW w:w="1691" w:type="dxa"/>
            <w:vAlign w:val="center"/>
          </w:tcPr>
          <w:p w:rsidR="009934F0" w:rsidRPr="007E2A9C" w:rsidRDefault="00C0565E" w:rsidP="007E2A9C">
            <w:pPr>
              <w:pStyle w:val="141"/>
              <w:jc w:val="right"/>
            </w:pPr>
            <w:r>
              <w:rPr>
                <w:rFonts w:hint="eastAsia"/>
              </w:rPr>
              <w:t>0</w:t>
            </w:r>
            <w:r>
              <w:t>.52</w:t>
            </w:r>
          </w:p>
        </w:tc>
      </w:tr>
      <w:tr w:rsidR="009934F0" w:rsidRPr="007E2A9C" w:rsidTr="00D1429D">
        <w:tc>
          <w:tcPr>
            <w:tcW w:w="1690" w:type="dxa"/>
            <w:shd w:val="clear" w:color="auto" w:fill="auto"/>
            <w:vAlign w:val="center"/>
          </w:tcPr>
          <w:p w:rsidR="009934F0" w:rsidRDefault="009934F0" w:rsidP="00E00D86">
            <w:pPr>
              <w:pStyle w:val="141"/>
              <w:jc w:val="center"/>
            </w:pPr>
            <w:r>
              <w:rPr>
                <w:rFonts w:hint="eastAsia"/>
              </w:rPr>
              <w:t>113</w:t>
            </w:r>
          </w:p>
        </w:tc>
        <w:tc>
          <w:tcPr>
            <w:tcW w:w="1690" w:type="dxa"/>
            <w:vAlign w:val="center"/>
          </w:tcPr>
          <w:p w:rsidR="009934F0" w:rsidRPr="007E2A9C" w:rsidRDefault="00C0565E" w:rsidP="007E2A9C">
            <w:pPr>
              <w:pStyle w:val="141"/>
              <w:jc w:val="right"/>
            </w:pPr>
            <w:r>
              <w:rPr>
                <w:rFonts w:hint="eastAsia"/>
              </w:rPr>
              <w:t>3</w:t>
            </w:r>
            <w:r w:rsidR="008B4605">
              <w:t>,6</w:t>
            </w:r>
            <w:r w:rsidR="008B4605">
              <w:rPr>
                <w:rFonts w:hint="eastAsia"/>
              </w:rPr>
              <w:t>42</w:t>
            </w:r>
            <w:r w:rsidR="008B4605">
              <w:t>,</w:t>
            </w:r>
            <w:r w:rsidR="008B4605">
              <w:rPr>
                <w:rFonts w:hint="eastAsia"/>
              </w:rPr>
              <w:t>854</w:t>
            </w:r>
          </w:p>
        </w:tc>
        <w:tc>
          <w:tcPr>
            <w:tcW w:w="1691" w:type="dxa"/>
            <w:vAlign w:val="center"/>
          </w:tcPr>
          <w:p w:rsidR="009934F0" w:rsidRPr="007E2A9C" w:rsidRDefault="008B4605" w:rsidP="007E2A9C">
            <w:pPr>
              <w:pStyle w:val="141"/>
              <w:jc w:val="right"/>
            </w:pPr>
            <w:r>
              <w:rPr>
                <w:rFonts w:hint="eastAsia"/>
              </w:rPr>
              <w:t>19</w:t>
            </w:r>
            <w:r>
              <w:t>,</w:t>
            </w:r>
            <w:r>
              <w:rPr>
                <w:rFonts w:hint="eastAsia"/>
              </w:rPr>
              <w:t>125</w:t>
            </w:r>
          </w:p>
        </w:tc>
        <w:tc>
          <w:tcPr>
            <w:tcW w:w="1690" w:type="dxa"/>
            <w:vAlign w:val="center"/>
          </w:tcPr>
          <w:p w:rsidR="009934F0" w:rsidRPr="007E2A9C" w:rsidRDefault="00C0565E" w:rsidP="007E2A9C">
            <w:pPr>
              <w:pStyle w:val="141"/>
              <w:jc w:val="right"/>
            </w:pPr>
            <w:r>
              <w:rPr>
                <w:rFonts w:hint="eastAsia"/>
              </w:rPr>
              <w:t>0</w:t>
            </w:r>
            <w:r>
              <w:t>.14</w:t>
            </w:r>
          </w:p>
        </w:tc>
        <w:tc>
          <w:tcPr>
            <w:tcW w:w="1691" w:type="dxa"/>
            <w:vAlign w:val="center"/>
          </w:tcPr>
          <w:p w:rsidR="009934F0" w:rsidRPr="007E2A9C" w:rsidRDefault="00C0565E" w:rsidP="007E2A9C">
            <w:pPr>
              <w:pStyle w:val="141"/>
              <w:jc w:val="right"/>
            </w:pPr>
            <w:r>
              <w:rPr>
                <w:rFonts w:hint="eastAsia"/>
              </w:rPr>
              <w:t>0</w:t>
            </w:r>
            <w:r w:rsidR="008B4605">
              <w:t>.</w:t>
            </w:r>
            <w:r w:rsidR="008B4605">
              <w:rPr>
                <w:rFonts w:hint="eastAsia"/>
              </w:rPr>
              <w:t>53</w:t>
            </w:r>
          </w:p>
        </w:tc>
      </w:tr>
    </w:tbl>
    <w:p w:rsidR="006C4727" w:rsidRPr="007E2A9C" w:rsidRDefault="006C4727" w:rsidP="007E2A9C">
      <w:pPr>
        <w:pStyle w:val="12"/>
      </w:pPr>
      <w:r w:rsidRPr="007E2A9C">
        <w:rPr>
          <w:rFonts w:hint="eastAsia"/>
        </w:rPr>
        <w:t>說    明：1.有效保單複保險比率=該年度有效保單複保險件數/該年度有效保單件數。</w:t>
      </w:r>
    </w:p>
    <w:p w:rsidR="007E2A9C" w:rsidRPr="007E2A9C" w:rsidRDefault="006C4727" w:rsidP="007E2A9C">
      <w:pPr>
        <w:pStyle w:val="23"/>
      </w:pPr>
      <w:r w:rsidRPr="007E2A9C">
        <w:rPr>
          <w:rFonts w:hint="eastAsia"/>
        </w:rPr>
        <w:t>2.有效保單係指於統計時間點已生效且保單期間未屆滿之保單。</w:t>
      </w:r>
    </w:p>
    <w:p w:rsidR="006C4727" w:rsidRPr="00D33B64" w:rsidRDefault="006C4727" w:rsidP="007E2A9C">
      <w:pPr>
        <w:pStyle w:val="23"/>
        <w:rPr>
          <w:color w:val="000000" w:themeColor="text1"/>
        </w:rPr>
      </w:pPr>
      <w:r w:rsidRPr="00D33B64">
        <w:rPr>
          <w:rFonts w:hint="eastAsia"/>
          <w:color w:val="000000" w:themeColor="text1"/>
        </w:rPr>
        <w:t>3.表內</w:t>
      </w:r>
      <w:r w:rsidR="00D131BF" w:rsidRPr="00D33B64">
        <w:rPr>
          <w:rFonts w:hint="eastAsia"/>
          <w:color w:val="000000" w:themeColor="text1"/>
        </w:rPr>
        <w:t>113</w:t>
      </w:r>
      <w:r w:rsidRPr="00D33B64">
        <w:rPr>
          <w:rFonts w:hint="eastAsia"/>
          <w:color w:val="000000" w:themeColor="text1"/>
        </w:rPr>
        <w:t>年度相關數據為該基金自結決算數。</w:t>
      </w:r>
    </w:p>
    <w:p w:rsidR="006C4727" w:rsidRDefault="006C4727" w:rsidP="007E2A9C">
      <w:pPr>
        <w:pStyle w:val="afb"/>
      </w:pPr>
      <w:r w:rsidRPr="007E2A9C">
        <w:rPr>
          <w:rFonts w:hint="eastAsia"/>
        </w:rPr>
        <w:t>資料來源：住宅地震保險基金</w:t>
      </w:r>
      <w:r w:rsidR="00C0565E">
        <w:rPr>
          <w:rFonts w:hint="eastAsia"/>
        </w:rPr>
        <w:t>提供</w:t>
      </w:r>
      <w:r w:rsidRPr="007E2A9C">
        <w:rPr>
          <w:rFonts w:hint="eastAsia"/>
        </w:rPr>
        <w:t>。</w:t>
      </w:r>
    </w:p>
    <w:p w:rsidR="00416D1F" w:rsidRDefault="003E2BF4" w:rsidP="005B2D3B">
      <w:pPr>
        <w:ind w:left="566" w:firstLine="566"/>
      </w:pPr>
      <w:r w:rsidRPr="003E2BF4">
        <w:rPr>
          <w:rFonts w:hint="eastAsia"/>
        </w:rPr>
        <w:t>綜上，</w:t>
      </w:r>
      <w:r w:rsidR="00D131BF">
        <w:rPr>
          <w:rFonts w:hint="eastAsia"/>
        </w:rPr>
        <w:t>109至113年度</w:t>
      </w:r>
      <w:r w:rsidR="00110AE9">
        <w:rPr>
          <w:rFonts w:hint="eastAsia"/>
        </w:rPr>
        <w:t>各該年度</w:t>
      </w:r>
      <w:r w:rsidR="00110AE9" w:rsidRPr="00110AE9">
        <w:rPr>
          <w:rFonts w:hint="eastAsia"/>
        </w:rPr>
        <w:t>傳輸件數與有效保單之複保險比率均未達年度目標值，且已連續3年(111</w:t>
      </w:r>
      <w:r w:rsidR="00D131BF">
        <w:rPr>
          <w:rFonts w:hint="eastAsia"/>
        </w:rPr>
        <w:t>至113年度</w:t>
      </w:r>
      <w:r w:rsidR="00110AE9" w:rsidRPr="00110AE9">
        <w:rPr>
          <w:rFonts w:hint="eastAsia"/>
        </w:rPr>
        <w:t>)增加，</w:t>
      </w:r>
      <w:r w:rsidR="00E26F74">
        <w:rPr>
          <w:rFonts w:hint="eastAsia"/>
        </w:rPr>
        <w:t>為減緩複保險漸增現象</w:t>
      </w:r>
      <w:r>
        <w:rPr>
          <w:rFonts w:hint="eastAsia"/>
        </w:rPr>
        <w:t>，</w:t>
      </w:r>
      <w:r w:rsidR="00E26F74">
        <w:rPr>
          <w:rFonts w:hint="eastAsia"/>
        </w:rPr>
        <w:t>允宜積極強化控管重複保險機制</w:t>
      </w:r>
      <w:r w:rsidR="006D5683">
        <w:rPr>
          <w:rFonts w:hint="eastAsia"/>
        </w:rPr>
        <w:t>。</w:t>
      </w:r>
    </w:p>
    <w:p w:rsidR="00D33B64" w:rsidRPr="007E2A9C" w:rsidRDefault="00D33B64" w:rsidP="00D33B64">
      <w:pPr>
        <w:pStyle w:val="aa"/>
      </w:pPr>
      <w:r>
        <w:rPr>
          <w:rFonts w:hint="eastAsia"/>
        </w:rPr>
        <w:t>(分機：1941 方淑玄)</w:t>
      </w:r>
    </w:p>
    <w:sectPr w:rsidR="00D33B64" w:rsidRPr="007E2A9C"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2CE" w:rsidRDefault="009F02CE" w:rsidP="009B732E">
      <w:pPr>
        <w:spacing w:line="240" w:lineRule="auto"/>
        <w:ind w:left="560" w:firstLine="560"/>
      </w:pPr>
      <w:r>
        <w:separator/>
      </w:r>
    </w:p>
  </w:endnote>
  <w:endnote w:type="continuationSeparator" w:id="0">
    <w:p w:rsidR="009F02CE" w:rsidRDefault="009F02CE"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362369" w:rsidP="00CF4C14">
    <w:pPr>
      <w:pStyle w:val="ae"/>
      <w:tabs>
        <w:tab w:val="clear" w:pos="4153"/>
        <w:tab w:val="clear" w:pos="8306"/>
      </w:tabs>
      <w:ind w:leftChars="0" w:left="566" w:firstLineChars="3" w:firstLine="6"/>
      <w:jc w:val="center"/>
    </w:pPr>
    <w:r w:rsidRPr="00362369">
      <w:t>49-</w:t>
    </w:r>
    <w:r w:rsidR="006B0EFE">
      <w:fldChar w:fldCharType="begin"/>
    </w:r>
    <w:r w:rsidR="006B0EFE">
      <w:instrText>PAGE   \* MERGEFORMAT</w:instrText>
    </w:r>
    <w:r w:rsidR="006B0EFE">
      <w:fldChar w:fldCharType="separate"/>
    </w:r>
    <w:r w:rsidR="001B0425" w:rsidRPr="001B0425">
      <w:rPr>
        <w:noProof/>
        <w:lang w:val="zh-TW"/>
      </w:rPr>
      <w:t>3</w:t>
    </w:r>
    <w:r w:rsidR="006B0EF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2CE" w:rsidRDefault="009F02CE" w:rsidP="009B732E">
      <w:pPr>
        <w:spacing w:line="240" w:lineRule="auto"/>
        <w:ind w:left="560" w:firstLine="560"/>
      </w:pPr>
      <w:r>
        <w:separator/>
      </w:r>
    </w:p>
  </w:footnote>
  <w:footnote w:type="continuationSeparator" w:id="0">
    <w:p w:rsidR="009F02CE" w:rsidRDefault="009F02CE" w:rsidP="009B732E">
      <w:pPr>
        <w:spacing w:line="240" w:lineRule="auto"/>
        <w:ind w:left="560" w:firstLine="560"/>
      </w:pPr>
      <w:r>
        <w:continuationSeparator/>
      </w:r>
    </w:p>
  </w:footnote>
  <w:footnote w:id="1">
    <w:p w:rsidR="006B0EFE" w:rsidRDefault="006B0EFE" w:rsidP="006C4727">
      <w:pPr>
        <w:pStyle w:val="144"/>
        <w:ind w:left="182" w:hanging="182"/>
      </w:pPr>
      <w:r>
        <w:rPr>
          <w:rStyle w:val="af2"/>
        </w:rPr>
        <w:footnoteRef/>
      </w:r>
      <w:r>
        <w:t xml:space="preserve"> </w:t>
      </w:r>
      <w:r w:rsidR="00052B08">
        <w:rPr>
          <w:rFonts w:hint="eastAsia"/>
        </w:rPr>
        <w:t>依「</w:t>
      </w:r>
      <w:r w:rsidRPr="006C4727">
        <w:rPr>
          <w:rFonts w:hint="eastAsia"/>
        </w:rPr>
        <w:t>住宅地震保險再保險作業規範</w:t>
      </w:r>
      <w:r w:rsidR="00052B08">
        <w:rPr>
          <w:rFonts w:hint="eastAsia"/>
        </w:rPr>
        <w:t>」</w:t>
      </w:r>
      <w:r w:rsidRPr="006C4727">
        <w:rPr>
          <w:rFonts w:hint="eastAsia"/>
        </w:rPr>
        <w:t>第7點規定：「本保險承保資料傳輸作業以下列方式為之：(一)簽單公司應於出單前使用本保險複保險查詢平台，並於查詢日起</w:t>
      </w:r>
      <w:r w:rsidR="00052B08">
        <w:rPr>
          <w:rFonts w:hint="eastAsia"/>
        </w:rPr>
        <w:t>十</w:t>
      </w:r>
      <w:r w:rsidRPr="006C4727">
        <w:rPr>
          <w:rFonts w:hint="eastAsia"/>
        </w:rPr>
        <w:t>日內簽發保單。如未於</w:t>
      </w:r>
      <w:r w:rsidR="00052B08">
        <w:rPr>
          <w:rFonts w:hint="eastAsia"/>
        </w:rPr>
        <w:t>十</w:t>
      </w:r>
      <w:r w:rsidRPr="006C4727">
        <w:rPr>
          <w:rFonts w:hint="eastAsia"/>
        </w:rPr>
        <w:t>日內簽發保單，應重新查詢。(二)簽單公司應於保單、批單簽單日之下一個工作日將住宅地震基本保險之保、批單，透過網際網路，以批次方式傳輸至地震保險基金。……。」爰本保險之傳輸件數複保險比率為傳輸保單複保險件數除以傳輸保單件數。</w:t>
      </w:r>
    </w:p>
  </w:footnote>
  <w:footnote w:id="2">
    <w:p w:rsidR="006B0EFE" w:rsidRDefault="006B0EFE" w:rsidP="006C4727">
      <w:pPr>
        <w:pStyle w:val="144"/>
        <w:ind w:left="182" w:hanging="182"/>
      </w:pPr>
      <w:r>
        <w:rPr>
          <w:rStyle w:val="af2"/>
        </w:rPr>
        <w:footnoteRef/>
      </w:r>
      <w:r>
        <w:t xml:space="preserve"> </w:t>
      </w:r>
      <w:r w:rsidRPr="006C4727">
        <w:rPr>
          <w:rFonts w:hint="eastAsia"/>
        </w:rPr>
        <w:t>有效保單係指於統計時間點已生效且保單期間未屆滿之保單；而有效保單複保險比率，係以該年度之有效保單複保險件數除以該年度有效保單件數。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91B"/>
    <w:rsid w:val="00003BB9"/>
    <w:rsid w:val="00003C22"/>
    <w:rsid w:val="00003DEC"/>
    <w:rsid w:val="00003F1C"/>
    <w:rsid w:val="000042BC"/>
    <w:rsid w:val="00004408"/>
    <w:rsid w:val="00004550"/>
    <w:rsid w:val="0000497D"/>
    <w:rsid w:val="00005871"/>
    <w:rsid w:val="00007558"/>
    <w:rsid w:val="000108C5"/>
    <w:rsid w:val="00011D76"/>
    <w:rsid w:val="0001208D"/>
    <w:rsid w:val="00012720"/>
    <w:rsid w:val="00012A8E"/>
    <w:rsid w:val="00013347"/>
    <w:rsid w:val="00013443"/>
    <w:rsid w:val="0001373A"/>
    <w:rsid w:val="00013E19"/>
    <w:rsid w:val="0001547F"/>
    <w:rsid w:val="00015886"/>
    <w:rsid w:val="0001676D"/>
    <w:rsid w:val="00016DF2"/>
    <w:rsid w:val="00016F16"/>
    <w:rsid w:val="00017310"/>
    <w:rsid w:val="000205AC"/>
    <w:rsid w:val="00020F32"/>
    <w:rsid w:val="00020F93"/>
    <w:rsid w:val="00021545"/>
    <w:rsid w:val="000216DC"/>
    <w:rsid w:val="000217D3"/>
    <w:rsid w:val="00022517"/>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6F6"/>
    <w:rsid w:val="000339E6"/>
    <w:rsid w:val="00034155"/>
    <w:rsid w:val="00034180"/>
    <w:rsid w:val="00035C40"/>
    <w:rsid w:val="00035F6B"/>
    <w:rsid w:val="00036A65"/>
    <w:rsid w:val="00036E4A"/>
    <w:rsid w:val="000370FA"/>
    <w:rsid w:val="000375B3"/>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4FBF"/>
    <w:rsid w:val="00045912"/>
    <w:rsid w:val="0004595D"/>
    <w:rsid w:val="00045A23"/>
    <w:rsid w:val="000468F4"/>
    <w:rsid w:val="000479F5"/>
    <w:rsid w:val="0005054C"/>
    <w:rsid w:val="0005063E"/>
    <w:rsid w:val="00050740"/>
    <w:rsid w:val="00050878"/>
    <w:rsid w:val="00050DF0"/>
    <w:rsid w:val="00051E86"/>
    <w:rsid w:val="00052158"/>
    <w:rsid w:val="00052B0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DD"/>
    <w:rsid w:val="000713F8"/>
    <w:rsid w:val="000717E2"/>
    <w:rsid w:val="00071ABB"/>
    <w:rsid w:val="00071B56"/>
    <w:rsid w:val="00072049"/>
    <w:rsid w:val="00072835"/>
    <w:rsid w:val="00072923"/>
    <w:rsid w:val="000732B9"/>
    <w:rsid w:val="000735E0"/>
    <w:rsid w:val="000748B5"/>
    <w:rsid w:val="000749B9"/>
    <w:rsid w:val="00074A02"/>
    <w:rsid w:val="00074C83"/>
    <w:rsid w:val="00074E3A"/>
    <w:rsid w:val="00074EE3"/>
    <w:rsid w:val="00075186"/>
    <w:rsid w:val="00075477"/>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6F85"/>
    <w:rsid w:val="00087303"/>
    <w:rsid w:val="0008769A"/>
    <w:rsid w:val="00090348"/>
    <w:rsid w:val="0009094E"/>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6AE"/>
    <w:rsid w:val="000A1EE9"/>
    <w:rsid w:val="000A2619"/>
    <w:rsid w:val="000A30B4"/>
    <w:rsid w:val="000A3218"/>
    <w:rsid w:val="000A331B"/>
    <w:rsid w:val="000A3F8C"/>
    <w:rsid w:val="000A43E1"/>
    <w:rsid w:val="000A45CC"/>
    <w:rsid w:val="000A4A11"/>
    <w:rsid w:val="000A4DC8"/>
    <w:rsid w:val="000A5831"/>
    <w:rsid w:val="000A5BE9"/>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01"/>
    <w:rsid w:val="000C5AB9"/>
    <w:rsid w:val="000C6BED"/>
    <w:rsid w:val="000C77C5"/>
    <w:rsid w:val="000C7B18"/>
    <w:rsid w:val="000C7EC8"/>
    <w:rsid w:val="000C7F40"/>
    <w:rsid w:val="000D125B"/>
    <w:rsid w:val="000D132D"/>
    <w:rsid w:val="000D18C7"/>
    <w:rsid w:val="000D233B"/>
    <w:rsid w:val="000D2444"/>
    <w:rsid w:val="000D25BC"/>
    <w:rsid w:val="000D2A28"/>
    <w:rsid w:val="000D2B0F"/>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044"/>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AE9"/>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6BF"/>
    <w:rsid w:val="00160C70"/>
    <w:rsid w:val="00161034"/>
    <w:rsid w:val="001617E2"/>
    <w:rsid w:val="00161AAB"/>
    <w:rsid w:val="00161D13"/>
    <w:rsid w:val="001622B5"/>
    <w:rsid w:val="00162496"/>
    <w:rsid w:val="00162880"/>
    <w:rsid w:val="001631E8"/>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88E"/>
    <w:rsid w:val="00182AE9"/>
    <w:rsid w:val="0018357F"/>
    <w:rsid w:val="00183B90"/>
    <w:rsid w:val="00183C77"/>
    <w:rsid w:val="00183D81"/>
    <w:rsid w:val="0018480D"/>
    <w:rsid w:val="00184EB0"/>
    <w:rsid w:val="00184EC5"/>
    <w:rsid w:val="001852A0"/>
    <w:rsid w:val="00185C81"/>
    <w:rsid w:val="00185C9F"/>
    <w:rsid w:val="00185EA2"/>
    <w:rsid w:val="00186B0D"/>
    <w:rsid w:val="00186B92"/>
    <w:rsid w:val="00187535"/>
    <w:rsid w:val="00187DA4"/>
    <w:rsid w:val="00190791"/>
    <w:rsid w:val="00190BD0"/>
    <w:rsid w:val="00190C01"/>
    <w:rsid w:val="00190F68"/>
    <w:rsid w:val="00191508"/>
    <w:rsid w:val="0019175E"/>
    <w:rsid w:val="00193F59"/>
    <w:rsid w:val="0019409F"/>
    <w:rsid w:val="00195335"/>
    <w:rsid w:val="00195563"/>
    <w:rsid w:val="0019611A"/>
    <w:rsid w:val="00196460"/>
    <w:rsid w:val="00196972"/>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425"/>
    <w:rsid w:val="001B08A6"/>
    <w:rsid w:val="001B1021"/>
    <w:rsid w:val="001B1521"/>
    <w:rsid w:val="001B20C1"/>
    <w:rsid w:val="001B35AE"/>
    <w:rsid w:val="001B4203"/>
    <w:rsid w:val="001B4296"/>
    <w:rsid w:val="001B42A5"/>
    <w:rsid w:val="001B4C16"/>
    <w:rsid w:val="001B4DEF"/>
    <w:rsid w:val="001B4E03"/>
    <w:rsid w:val="001B4FCD"/>
    <w:rsid w:val="001B53F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451"/>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2FB7"/>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B5"/>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46A"/>
    <w:rsid w:val="001F3856"/>
    <w:rsid w:val="001F3CCE"/>
    <w:rsid w:val="001F3FBD"/>
    <w:rsid w:val="001F5565"/>
    <w:rsid w:val="001F62DA"/>
    <w:rsid w:val="001F6682"/>
    <w:rsid w:val="001F69F3"/>
    <w:rsid w:val="001F7266"/>
    <w:rsid w:val="001F7980"/>
    <w:rsid w:val="0020039C"/>
    <w:rsid w:val="0020051F"/>
    <w:rsid w:val="002007EF"/>
    <w:rsid w:val="00200B03"/>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0CC7"/>
    <w:rsid w:val="00221A02"/>
    <w:rsid w:val="00221EE7"/>
    <w:rsid w:val="00221FC8"/>
    <w:rsid w:val="00222C60"/>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1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09F"/>
    <w:rsid w:val="00246FAC"/>
    <w:rsid w:val="00247556"/>
    <w:rsid w:val="00247703"/>
    <w:rsid w:val="002479CD"/>
    <w:rsid w:val="00247FBD"/>
    <w:rsid w:val="00250593"/>
    <w:rsid w:val="00250704"/>
    <w:rsid w:val="0025072C"/>
    <w:rsid w:val="00251221"/>
    <w:rsid w:val="002514C7"/>
    <w:rsid w:val="00251AE1"/>
    <w:rsid w:val="00252107"/>
    <w:rsid w:val="00252761"/>
    <w:rsid w:val="00252A1D"/>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DAA"/>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1A9E"/>
    <w:rsid w:val="002D22CC"/>
    <w:rsid w:val="002D26E8"/>
    <w:rsid w:val="002D3097"/>
    <w:rsid w:val="002D3553"/>
    <w:rsid w:val="002D4101"/>
    <w:rsid w:val="002D4EE3"/>
    <w:rsid w:val="002D55E1"/>
    <w:rsid w:val="002D5A20"/>
    <w:rsid w:val="002D5AC4"/>
    <w:rsid w:val="002D6964"/>
    <w:rsid w:val="002D6BEB"/>
    <w:rsid w:val="002E0043"/>
    <w:rsid w:val="002E030E"/>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38A"/>
    <w:rsid w:val="002F1510"/>
    <w:rsid w:val="002F2A25"/>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7FC"/>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3DE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B5C"/>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2FBF"/>
    <w:rsid w:val="00343126"/>
    <w:rsid w:val="00343D4E"/>
    <w:rsid w:val="00343DF9"/>
    <w:rsid w:val="0034437A"/>
    <w:rsid w:val="00344E0A"/>
    <w:rsid w:val="003455BB"/>
    <w:rsid w:val="00345907"/>
    <w:rsid w:val="00345986"/>
    <w:rsid w:val="00345A9D"/>
    <w:rsid w:val="00346C55"/>
    <w:rsid w:val="00346FDD"/>
    <w:rsid w:val="00347280"/>
    <w:rsid w:val="00347BBC"/>
    <w:rsid w:val="00350319"/>
    <w:rsid w:val="00350FA5"/>
    <w:rsid w:val="00350FD4"/>
    <w:rsid w:val="00351749"/>
    <w:rsid w:val="00351E97"/>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618"/>
    <w:rsid w:val="00361DFA"/>
    <w:rsid w:val="00361FA1"/>
    <w:rsid w:val="003622C2"/>
    <w:rsid w:val="00362369"/>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A8A"/>
    <w:rsid w:val="00367D2F"/>
    <w:rsid w:val="0037025E"/>
    <w:rsid w:val="00370CA5"/>
    <w:rsid w:val="00370D7C"/>
    <w:rsid w:val="003713FA"/>
    <w:rsid w:val="00371E2B"/>
    <w:rsid w:val="003721E1"/>
    <w:rsid w:val="003728FE"/>
    <w:rsid w:val="00372EE8"/>
    <w:rsid w:val="003737F1"/>
    <w:rsid w:val="00374319"/>
    <w:rsid w:val="003759CF"/>
    <w:rsid w:val="00375AD1"/>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87DA1"/>
    <w:rsid w:val="00390B36"/>
    <w:rsid w:val="00391EA8"/>
    <w:rsid w:val="00392061"/>
    <w:rsid w:val="0039226B"/>
    <w:rsid w:val="003928A9"/>
    <w:rsid w:val="00393454"/>
    <w:rsid w:val="003934C9"/>
    <w:rsid w:val="00393874"/>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094"/>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3B"/>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10"/>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261"/>
    <w:rsid w:val="003D3611"/>
    <w:rsid w:val="003D43D7"/>
    <w:rsid w:val="003D47C4"/>
    <w:rsid w:val="003D481E"/>
    <w:rsid w:val="003D49B7"/>
    <w:rsid w:val="003D53A3"/>
    <w:rsid w:val="003D5D09"/>
    <w:rsid w:val="003D65DB"/>
    <w:rsid w:val="003D67D5"/>
    <w:rsid w:val="003D715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BF4"/>
    <w:rsid w:val="003E2FC8"/>
    <w:rsid w:val="003E342D"/>
    <w:rsid w:val="003E3C4A"/>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5FB6"/>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903"/>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6D1F"/>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C2"/>
    <w:rsid w:val="004268CC"/>
    <w:rsid w:val="004270B4"/>
    <w:rsid w:val="0042716B"/>
    <w:rsid w:val="00427372"/>
    <w:rsid w:val="004274A9"/>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5DC5"/>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B92"/>
    <w:rsid w:val="00457D37"/>
    <w:rsid w:val="004606D7"/>
    <w:rsid w:val="004610B1"/>
    <w:rsid w:val="004616E5"/>
    <w:rsid w:val="00462EBF"/>
    <w:rsid w:val="00463659"/>
    <w:rsid w:val="00463C64"/>
    <w:rsid w:val="00463DD0"/>
    <w:rsid w:val="00464574"/>
    <w:rsid w:val="00464A55"/>
    <w:rsid w:val="004656F8"/>
    <w:rsid w:val="004659FA"/>
    <w:rsid w:val="00465AA9"/>
    <w:rsid w:val="00466099"/>
    <w:rsid w:val="004663E6"/>
    <w:rsid w:val="00466AAA"/>
    <w:rsid w:val="004670BE"/>
    <w:rsid w:val="00467E74"/>
    <w:rsid w:val="00470476"/>
    <w:rsid w:val="0047112A"/>
    <w:rsid w:val="004713E6"/>
    <w:rsid w:val="00471B60"/>
    <w:rsid w:val="00472B8C"/>
    <w:rsid w:val="0047351B"/>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66F7"/>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CE"/>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18D"/>
    <w:rsid w:val="004B3EF8"/>
    <w:rsid w:val="004B3FC9"/>
    <w:rsid w:val="004B46EA"/>
    <w:rsid w:val="004B484F"/>
    <w:rsid w:val="004B5B1C"/>
    <w:rsid w:val="004B5B97"/>
    <w:rsid w:val="004B6287"/>
    <w:rsid w:val="004B7F9A"/>
    <w:rsid w:val="004B7FE2"/>
    <w:rsid w:val="004C00A4"/>
    <w:rsid w:val="004C00A9"/>
    <w:rsid w:val="004C0D4A"/>
    <w:rsid w:val="004C0E88"/>
    <w:rsid w:val="004C0E98"/>
    <w:rsid w:val="004C1506"/>
    <w:rsid w:val="004C1690"/>
    <w:rsid w:val="004C1B7F"/>
    <w:rsid w:val="004C1E6A"/>
    <w:rsid w:val="004C21FB"/>
    <w:rsid w:val="004C25F9"/>
    <w:rsid w:val="004C2EB0"/>
    <w:rsid w:val="004C2F79"/>
    <w:rsid w:val="004C3169"/>
    <w:rsid w:val="004C39CC"/>
    <w:rsid w:val="004C42AA"/>
    <w:rsid w:val="004C4392"/>
    <w:rsid w:val="004C5190"/>
    <w:rsid w:val="004C5490"/>
    <w:rsid w:val="004C5502"/>
    <w:rsid w:val="004C6EDD"/>
    <w:rsid w:val="004C7280"/>
    <w:rsid w:val="004C75BD"/>
    <w:rsid w:val="004C7A21"/>
    <w:rsid w:val="004C7CB9"/>
    <w:rsid w:val="004D0736"/>
    <w:rsid w:val="004D114C"/>
    <w:rsid w:val="004D1777"/>
    <w:rsid w:val="004D1FA6"/>
    <w:rsid w:val="004D26E3"/>
    <w:rsid w:val="004D27E3"/>
    <w:rsid w:val="004D2B3C"/>
    <w:rsid w:val="004D3390"/>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1B7"/>
    <w:rsid w:val="004E52D5"/>
    <w:rsid w:val="004E54FD"/>
    <w:rsid w:val="004E719B"/>
    <w:rsid w:val="004E7FE0"/>
    <w:rsid w:val="004F046E"/>
    <w:rsid w:val="004F0A81"/>
    <w:rsid w:val="004F0FAA"/>
    <w:rsid w:val="004F1250"/>
    <w:rsid w:val="004F19A0"/>
    <w:rsid w:val="004F2886"/>
    <w:rsid w:val="004F2E9C"/>
    <w:rsid w:val="004F2ECF"/>
    <w:rsid w:val="004F4258"/>
    <w:rsid w:val="004F432A"/>
    <w:rsid w:val="004F48B9"/>
    <w:rsid w:val="004F4C0D"/>
    <w:rsid w:val="004F4D5E"/>
    <w:rsid w:val="004F517C"/>
    <w:rsid w:val="004F56A2"/>
    <w:rsid w:val="004F59E6"/>
    <w:rsid w:val="004F5AB0"/>
    <w:rsid w:val="004F5AE2"/>
    <w:rsid w:val="004F5DDB"/>
    <w:rsid w:val="004F5E02"/>
    <w:rsid w:val="004F5F40"/>
    <w:rsid w:val="004F6419"/>
    <w:rsid w:val="004F6525"/>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57B9"/>
    <w:rsid w:val="00525E40"/>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373"/>
    <w:rsid w:val="005406F1"/>
    <w:rsid w:val="0054120C"/>
    <w:rsid w:val="00541810"/>
    <w:rsid w:val="00541B69"/>
    <w:rsid w:val="00542A76"/>
    <w:rsid w:val="005438E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17B7"/>
    <w:rsid w:val="00551CF0"/>
    <w:rsid w:val="0055287C"/>
    <w:rsid w:val="00552BF8"/>
    <w:rsid w:val="0055306E"/>
    <w:rsid w:val="00553E85"/>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3E0E"/>
    <w:rsid w:val="00564A83"/>
    <w:rsid w:val="00564F98"/>
    <w:rsid w:val="00565DD5"/>
    <w:rsid w:val="00566B56"/>
    <w:rsid w:val="00566C06"/>
    <w:rsid w:val="0056728C"/>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4D11"/>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4CFB"/>
    <w:rsid w:val="0059569B"/>
    <w:rsid w:val="005958C8"/>
    <w:rsid w:val="00595A04"/>
    <w:rsid w:val="005960AF"/>
    <w:rsid w:val="00596BF2"/>
    <w:rsid w:val="00597199"/>
    <w:rsid w:val="0059758E"/>
    <w:rsid w:val="00597C4D"/>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2D3B"/>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129"/>
    <w:rsid w:val="005C1274"/>
    <w:rsid w:val="005C21E1"/>
    <w:rsid w:val="005C27F9"/>
    <w:rsid w:val="005C2834"/>
    <w:rsid w:val="005C3001"/>
    <w:rsid w:val="005C323F"/>
    <w:rsid w:val="005C373D"/>
    <w:rsid w:val="005C3EDD"/>
    <w:rsid w:val="005C3FC7"/>
    <w:rsid w:val="005C4C9C"/>
    <w:rsid w:val="005C57B6"/>
    <w:rsid w:val="005C58FE"/>
    <w:rsid w:val="005C5D0C"/>
    <w:rsid w:val="005C6A3F"/>
    <w:rsid w:val="005C7342"/>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E6F"/>
    <w:rsid w:val="005E301E"/>
    <w:rsid w:val="005E3320"/>
    <w:rsid w:val="005E3407"/>
    <w:rsid w:val="005E34F8"/>
    <w:rsid w:val="005E3570"/>
    <w:rsid w:val="005E4467"/>
    <w:rsid w:val="005E482D"/>
    <w:rsid w:val="005E4D9E"/>
    <w:rsid w:val="005E50E0"/>
    <w:rsid w:val="005E528E"/>
    <w:rsid w:val="005E5311"/>
    <w:rsid w:val="005E5434"/>
    <w:rsid w:val="005E54C8"/>
    <w:rsid w:val="005E5711"/>
    <w:rsid w:val="005E5B10"/>
    <w:rsid w:val="005E61EA"/>
    <w:rsid w:val="005E647B"/>
    <w:rsid w:val="005E664B"/>
    <w:rsid w:val="005E671E"/>
    <w:rsid w:val="005E6832"/>
    <w:rsid w:val="005E6949"/>
    <w:rsid w:val="005E78DF"/>
    <w:rsid w:val="005E7C35"/>
    <w:rsid w:val="005E7C9A"/>
    <w:rsid w:val="005F0BE9"/>
    <w:rsid w:val="005F0D1F"/>
    <w:rsid w:val="005F127E"/>
    <w:rsid w:val="005F1BAF"/>
    <w:rsid w:val="005F2549"/>
    <w:rsid w:val="005F2F19"/>
    <w:rsid w:val="005F2F2B"/>
    <w:rsid w:val="005F30C2"/>
    <w:rsid w:val="005F35AF"/>
    <w:rsid w:val="005F3C64"/>
    <w:rsid w:val="005F3D0D"/>
    <w:rsid w:val="005F4429"/>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DFD"/>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2FC5"/>
    <w:rsid w:val="006235B7"/>
    <w:rsid w:val="006235FF"/>
    <w:rsid w:val="00624006"/>
    <w:rsid w:val="00626B91"/>
    <w:rsid w:val="00626F52"/>
    <w:rsid w:val="0062708B"/>
    <w:rsid w:val="00627BDF"/>
    <w:rsid w:val="00627C15"/>
    <w:rsid w:val="00627C19"/>
    <w:rsid w:val="006311FB"/>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0F5C"/>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681"/>
    <w:rsid w:val="006478C0"/>
    <w:rsid w:val="00647A3D"/>
    <w:rsid w:val="00647CC1"/>
    <w:rsid w:val="006502E5"/>
    <w:rsid w:val="0065039C"/>
    <w:rsid w:val="00650476"/>
    <w:rsid w:val="00650A41"/>
    <w:rsid w:val="00650ED3"/>
    <w:rsid w:val="00651046"/>
    <w:rsid w:val="006513F9"/>
    <w:rsid w:val="006514E4"/>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7D4"/>
    <w:rsid w:val="00657D5A"/>
    <w:rsid w:val="006600E4"/>
    <w:rsid w:val="00660FD1"/>
    <w:rsid w:val="00660FF9"/>
    <w:rsid w:val="00661072"/>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6DB"/>
    <w:rsid w:val="006767F4"/>
    <w:rsid w:val="00676940"/>
    <w:rsid w:val="0067704A"/>
    <w:rsid w:val="00677407"/>
    <w:rsid w:val="00677594"/>
    <w:rsid w:val="00680961"/>
    <w:rsid w:val="00680E18"/>
    <w:rsid w:val="006815C8"/>
    <w:rsid w:val="0068181B"/>
    <w:rsid w:val="00681917"/>
    <w:rsid w:val="00681CF8"/>
    <w:rsid w:val="00681D5B"/>
    <w:rsid w:val="006823FF"/>
    <w:rsid w:val="006827A5"/>
    <w:rsid w:val="006827A8"/>
    <w:rsid w:val="00682DC5"/>
    <w:rsid w:val="00683C04"/>
    <w:rsid w:val="00683D89"/>
    <w:rsid w:val="00683FAB"/>
    <w:rsid w:val="006848C9"/>
    <w:rsid w:val="00684B85"/>
    <w:rsid w:val="00684BAA"/>
    <w:rsid w:val="0068565F"/>
    <w:rsid w:val="00685CA4"/>
    <w:rsid w:val="00686A01"/>
    <w:rsid w:val="00686BB5"/>
    <w:rsid w:val="00690381"/>
    <w:rsid w:val="0069107F"/>
    <w:rsid w:val="006915C4"/>
    <w:rsid w:val="00691744"/>
    <w:rsid w:val="0069210F"/>
    <w:rsid w:val="0069223A"/>
    <w:rsid w:val="006933EC"/>
    <w:rsid w:val="00693A26"/>
    <w:rsid w:val="00693B95"/>
    <w:rsid w:val="00693DC9"/>
    <w:rsid w:val="00693F0B"/>
    <w:rsid w:val="0069403C"/>
    <w:rsid w:val="0069437B"/>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60D"/>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0EFE"/>
    <w:rsid w:val="006B2417"/>
    <w:rsid w:val="006B265F"/>
    <w:rsid w:val="006B2952"/>
    <w:rsid w:val="006B2BC5"/>
    <w:rsid w:val="006B3EEC"/>
    <w:rsid w:val="006B4439"/>
    <w:rsid w:val="006B535A"/>
    <w:rsid w:val="006B55F2"/>
    <w:rsid w:val="006B5713"/>
    <w:rsid w:val="006B5A18"/>
    <w:rsid w:val="006B5BF4"/>
    <w:rsid w:val="006B65B3"/>
    <w:rsid w:val="006B66F7"/>
    <w:rsid w:val="006B6E45"/>
    <w:rsid w:val="006B7CA6"/>
    <w:rsid w:val="006C10C9"/>
    <w:rsid w:val="006C1358"/>
    <w:rsid w:val="006C13A1"/>
    <w:rsid w:val="006C18F1"/>
    <w:rsid w:val="006C1DA2"/>
    <w:rsid w:val="006C2162"/>
    <w:rsid w:val="006C2733"/>
    <w:rsid w:val="006C2C20"/>
    <w:rsid w:val="006C2E35"/>
    <w:rsid w:val="006C3142"/>
    <w:rsid w:val="006C32E4"/>
    <w:rsid w:val="006C334C"/>
    <w:rsid w:val="006C37C4"/>
    <w:rsid w:val="006C39A1"/>
    <w:rsid w:val="006C41D7"/>
    <w:rsid w:val="006C4446"/>
    <w:rsid w:val="006C4619"/>
    <w:rsid w:val="006C4727"/>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73F"/>
    <w:rsid w:val="006D4198"/>
    <w:rsid w:val="006D46E1"/>
    <w:rsid w:val="006D482C"/>
    <w:rsid w:val="006D4A09"/>
    <w:rsid w:val="006D4BFE"/>
    <w:rsid w:val="006D5683"/>
    <w:rsid w:val="006D6977"/>
    <w:rsid w:val="006D6CD8"/>
    <w:rsid w:val="006D73EB"/>
    <w:rsid w:val="006D75CF"/>
    <w:rsid w:val="006D798C"/>
    <w:rsid w:val="006D7C8A"/>
    <w:rsid w:val="006D7F0E"/>
    <w:rsid w:val="006E0926"/>
    <w:rsid w:val="006E0A66"/>
    <w:rsid w:val="006E0D8A"/>
    <w:rsid w:val="006E1257"/>
    <w:rsid w:val="006E1561"/>
    <w:rsid w:val="006E198C"/>
    <w:rsid w:val="006E1EAC"/>
    <w:rsid w:val="006E21B7"/>
    <w:rsid w:val="006E27E1"/>
    <w:rsid w:val="006E399F"/>
    <w:rsid w:val="006E3A0D"/>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A7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31DC"/>
    <w:rsid w:val="00713878"/>
    <w:rsid w:val="00713C05"/>
    <w:rsid w:val="00715051"/>
    <w:rsid w:val="00715A0D"/>
    <w:rsid w:val="00716579"/>
    <w:rsid w:val="0071684E"/>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5173"/>
    <w:rsid w:val="007356B3"/>
    <w:rsid w:val="0073682D"/>
    <w:rsid w:val="007370AD"/>
    <w:rsid w:val="0074050A"/>
    <w:rsid w:val="0074079F"/>
    <w:rsid w:val="0074118F"/>
    <w:rsid w:val="00741452"/>
    <w:rsid w:val="00741925"/>
    <w:rsid w:val="0074199C"/>
    <w:rsid w:val="00741B0A"/>
    <w:rsid w:val="00741C35"/>
    <w:rsid w:val="00741CF3"/>
    <w:rsid w:val="00741DAF"/>
    <w:rsid w:val="007421FA"/>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60C3C"/>
    <w:rsid w:val="00761136"/>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20BF"/>
    <w:rsid w:val="0077211C"/>
    <w:rsid w:val="00772328"/>
    <w:rsid w:val="00772580"/>
    <w:rsid w:val="0077264B"/>
    <w:rsid w:val="0077266F"/>
    <w:rsid w:val="007729DC"/>
    <w:rsid w:val="00772E2D"/>
    <w:rsid w:val="00772F32"/>
    <w:rsid w:val="007734D2"/>
    <w:rsid w:val="00773B6C"/>
    <w:rsid w:val="0077421C"/>
    <w:rsid w:val="007743D4"/>
    <w:rsid w:val="00774525"/>
    <w:rsid w:val="007746AA"/>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3CAA"/>
    <w:rsid w:val="00783D84"/>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889"/>
    <w:rsid w:val="007A0590"/>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5BF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B7D06"/>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3D9"/>
    <w:rsid w:val="007D0C85"/>
    <w:rsid w:val="007D1872"/>
    <w:rsid w:val="007D18DC"/>
    <w:rsid w:val="007D19E6"/>
    <w:rsid w:val="007D24CC"/>
    <w:rsid w:val="007D3478"/>
    <w:rsid w:val="007D4594"/>
    <w:rsid w:val="007D4D35"/>
    <w:rsid w:val="007D5888"/>
    <w:rsid w:val="007D687A"/>
    <w:rsid w:val="007D69C4"/>
    <w:rsid w:val="007D7864"/>
    <w:rsid w:val="007D78C3"/>
    <w:rsid w:val="007D7E71"/>
    <w:rsid w:val="007E03AD"/>
    <w:rsid w:val="007E1089"/>
    <w:rsid w:val="007E14D8"/>
    <w:rsid w:val="007E1A05"/>
    <w:rsid w:val="007E1A79"/>
    <w:rsid w:val="007E1FF6"/>
    <w:rsid w:val="007E23D0"/>
    <w:rsid w:val="007E2A9C"/>
    <w:rsid w:val="007E3A12"/>
    <w:rsid w:val="007E3B09"/>
    <w:rsid w:val="007E3B98"/>
    <w:rsid w:val="007E4DCD"/>
    <w:rsid w:val="007E4F84"/>
    <w:rsid w:val="007E5012"/>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149F"/>
    <w:rsid w:val="007F3913"/>
    <w:rsid w:val="007F39A8"/>
    <w:rsid w:val="007F44A2"/>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2D94"/>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48E"/>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8B9"/>
    <w:rsid w:val="00834911"/>
    <w:rsid w:val="00834C1E"/>
    <w:rsid w:val="00835688"/>
    <w:rsid w:val="00835B19"/>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9DD"/>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87E"/>
    <w:rsid w:val="008574C0"/>
    <w:rsid w:val="008609BF"/>
    <w:rsid w:val="00861029"/>
    <w:rsid w:val="00861C84"/>
    <w:rsid w:val="008620A8"/>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1EC"/>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5F5"/>
    <w:rsid w:val="008978D8"/>
    <w:rsid w:val="00897AAE"/>
    <w:rsid w:val="008A08A9"/>
    <w:rsid w:val="008A1214"/>
    <w:rsid w:val="008A1795"/>
    <w:rsid w:val="008A1E23"/>
    <w:rsid w:val="008A2D76"/>
    <w:rsid w:val="008A32A7"/>
    <w:rsid w:val="008A3E4A"/>
    <w:rsid w:val="008A3E62"/>
    <w:rsid w:val="008A4573"/>
    <w:rsid w:val="008A48F1"/>
    <w:rsid w:val="008A496F"/>
    <w:rsid w:val="008A4C96"/>
    <w:rsid w:val="008A4F1E"/>
    <w:rsid w:val="008A500B"/>
    <w:rsid w:val="008A606C"/>
    <w:rsid w:val="008A646A"/>
    <w:rsid w:val="008A70E3"/>
    <w:rsid w:val="008A757D"/>
    <w:rsid w:val="008A76AF"/>
    <w:rsid w:val="008B0769"/>
    <w:rsid w:val="008B0CCC"/>
    <w:rsid w:val="008B10B9"/>
    <w:rsid w:val="008B1593"/>
    <w:rsid w:val="008B25EF"/>
    <w:rsid w:val="008B2B85"/>
    <w:rsid w:val="008B3BC5"/>
    <w:rsid w:val="008B4272"/>
    <w:rsid w:val="008B4381"/>
    <w:rsid w:val="008B446F"/>
    <w:rsid w:val="008B4564"/>
    <w:rsid w:val="008B4605"/>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4662"/>
    <w:rsid w:val="008F52BA"/>
    <w:rsid w:val="008F5B1C"/>
    <w:rsid w:val="008F6430"/>
    <w:rsid w:val="008F6B47"/>
    <w:rsid w:val="008F782B"/>
    <w:rsid w:val="008F7CB5"/>
    <w:rsid w:val="008F7EDE"/>
    <w:rsid w:val="00900218"/>
    <w:rsid w:val="00900404"/>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0E3C"/>
    <w:rsid w:val="00911568"/>
    <w:rsid w:val="009115F9"/>
    <w:rsid w:val="00911687"/>
    <w:rsid w:val="009120B4"/>
    <w:rsid w:val="0091284C"/>
    <w:rsid w:val="00913F74"/>
    <w:rsid w:val="00914A35"/>
    <w:rsid w:val="00914A8D"/>
    <w:rsid w:val="00914AEB"/>
    <w:rsid w:val="00914BA6"/>
    <w:rsid w:val="00914C04"/>
    <w:rsid w:val="009150ED"/>
    <w:rsid w:val="00915924"/>
    <w:rsid w:val="00915A1C"/>
    <w:rsid w:val="00915C36"/>
    <w:rsid w:val="00915F13"/>
    <w:rsid w:val="009163F1"/>
    <w:rsid w:val="0091650A"/>
    <w:rsid w:val="0092032C"/>
    <w:rsid w:val="00920522"/>
    <w:rsid w:val="009227B3"/>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28F"/>
    <w:rsid w:val="009325D9"/>
    <w:rsid w:val="00932B7E"/>
    <w:rsid w:val="00932F4A"/>
    <w:rsid w:val="00933E1C"/>
    <w:rsid w:val="00934309"/>
    <w:rsid w:val="009343D4"/>
    <w:rsid w:val="00934452"/>
    <w:rsid w:val="0093515A"/>
    <w:rsid w:val="0093524B"/>
    <w:rsid w:val="00935B3B"/>
    <w:rsid w:val="00936BB1"/>
    <w:rsid w:val="00936BBF"/>
    <w:rsid w:val="00936CC4"/>
    <w:rsid w:val="0093712F"/>
    <w:rsid w:val="00937627"/>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298"/>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0F"/>
    <w:rsid w:val="0098067B"/>
    <w:rsid w:val="00980B17"/>
    <w:rsid w:val="009813C9"/>
    <w:rsid w:val="00981567"/>
    <w:rsid w:val="00981F99"/>
    <w:rsid w:val="00982782"/>
    <w:rsid w:val="00982D18"/>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87685"/>
    <w:rsid w:val="00990759"/>
    <w:rsid w:val="009908CA"/>
    <w:rsid w:val="00990DAE"/>
    <w:rsid w:val="00991AFE"/>
    <w:rsid w:val="00991D59"/>
    <w:rsid w:val="00992604"/>
    <w:rsid w:val="00992745"/>
    <w:rsid w:val="0099280D"/>
    <w:rsid w:val="009934F0"/>
    <w:rsid w:val="009936A2"/>
    <w:rsid w:val="0099397F"/>
    <w:rsid w:val="0099399B"/>
    <w:rsid w:val="009939E6"/>
    <w:rsid w:val="00993B6D"/>
    <w:rsid w:val="00993EAD"/>
    <w:rsid w:val="00994664"/>
    <w:rsid w:val="00994B0E"/>
    <w:rsid w:val="00994C93"/>
    <w:rsid w:val="00994DAC"/>
    <w:rsid w:val="00994FB5"/>
    <w:rsid w:val="009951D1"/>
    <w:rsid w:val="00995F9D"/>
    <w:rsid w:val="009977C4"/>
    <w:rsid w:val="00997910"/>
    <w:rsid w:val="009A026A"/>
    <w:rsid w:val="009A059D"/>
    <w:rsid w:val="009A0CA5"/>
    <w:rsid w:val="009A11AF"/>
    <w:rsid w:val="009A1346"/>
    <w:rsid w:val="009A1830"/>
    <w:rsid w:val="009A1DE5"/>
    <w:rsid w:val="009A2022"/>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948"/>
    <w:rsid w:val="009B5B83"/>
    <w:rsid w:val="009B6367"/>
    <w:rsid w:val="009B65E9"/>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02CE"/>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B1B"/>
    <w:rsid w:val="00A04C38"/>
    <w:rsid w:val="00A04CFE"/>
    <w:rsid w:val="00A05C12"/>
    <w:rsid w:val="00A06728"/>
    <w:rsid w:val="00A07EEB"/>
    <w:rsid w:val="00A11460"/>
    <w:rsid w:val="00A122FB"/>
    <w:rsid w:val="00A1245F"/>
    <w:rsid w:val="00A124FF"/>
    <w:rsid w:val="00A12DBD"/>
    <w:rsid w:val="00A1399E"/>
    <w:rsid w:val="00A14184"/>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289"/>
    <w:rsid w:val="00A2441E"/>
    <w:rsid w:val="00A24626"/>
    <w:rsid w:val="00A24AD5"/>
    <w:rsid w:val="00A24F58"/>
    <w:rsid w:val="00A2506B"/>
    <w:rsid w:val="00A25605"/>
    <w:rsid w:val="00A2577F"/>
    <w:rsid w:val="00A2585E"/>
    <w:rsid w:val="00A25BF7"/>
    <w:rsid w:val="00A25D10"/>
    <w:rsid w:val="00A26682"/>
    <w:rsid w:val="00A26F04"/>
    <w:rsid w:val="00A26FE3"/>
    <w:rsid w:val="00A273D2"/>
    <w:rsid w:val="00A277DE"/>
    <w:rsid w:val="00A27D6F"/>
    <w:rsid w:val="00A27F82"/>
    <w:rsid w:val="00A30AB2"/>
    <w:rsid w:val="00A30E4C"/>
    <w:rsid w:val="00A30EC1"/>
    <w:rsid w:val="00A30FEC"/>
    <w:rsid w:val="00A315ED"/>
    <w:rsid w:val="00A324FD"/>
    <w:rsid w:val="00A32DD8"/>
    <w:rsid w:val="00A33220"/>
    <w:rsid w:val="00A33793"/>
    <w:rsid w:val="00A33866"/>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0A08"/>
    <w:rsid w:val="00A4199B"/>
    <w:rsid w:val="00A42FC4"/>
    <w:rsid w:val="00A43775"/>
    <w:rsid w:val="00A44A84"/>
    <w:rsid w:val="00A44AB6"/>
    <w:rsid w:val="00A44C52"/>
    <w:rsid w:val="00A44CBF"/>
    <w:rsid w:val="00A455F0"/>
    <w:rsid w:val="00A45DE9"/>
    <w:rsid w:val="00A4656F"/>
    <w:rsid w:val="00A467EB"/>
    <w:rsid w:val="00A46B44"/>
    <w:rsid w:val="00A46FBA"/>
    <w:rsid w:val="00A47089"/>
    <w:rsid w:val="00A47222"/>
    <w:rsid w:val="00A473ED"/>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5BF0"/>
    <w:rsid w:val="00A967D6"/>
    <w:rsid w:val="00A96BDF"/>
    <w:rsid w:val="00A96CD5"/>
    <w:rsid w:val="00A96CE4"/>
    <w:rsid w:val="00A977CD"/>
    <w:rsid w:val="00A97B0D"/>
    <w:rsid w:val="00AA0122"/>
    <w:rsid w:val="00AA017F"/>
    <w:rsid w:val="00AA0BC1"/>
    <w:rsid w:val="00AA1223"/>
    <w:rsid w:val="00AA2704"/>
    <w:rsid w:val="00AA35B2"/>
    <w:rsid w:val="00AA3E99"/>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3F43"/>
    <w:rsid w:val="00AC44CA"/>
    <w:rsid w:val="00AC4DFB"/>
    <w:rsid w:val="00AC58A2"/>
    <w:rsid w:val="00AC5EF0"/>
    <w:rsid w:val="00AC6F03"/>
    <w:rsid w:val="00AC776D"/>
    <w:rsid w:val="00AC7CBF"/>
    <w:rsid w:val="00AC7D83"/>
    <w:rsid w:val="00AD0040"/>
    <w:rsid w:val="00AD0507"/>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D7519"/>
    <w:rsid w:val="00AE01E7"/>
    <w:rsid w:val="00AE0744"/>
    <w:rsid w:val="00AE1154"/>
    <w:rsid w:val="00AE1512"/>
    <w:rsid w:val="00AE18ED"/>
    <w:rsid w:val="00AE1A1B"/>
    <w:rsid w:val="00AE1D39"/>
    <w:rsid w:val="00AE20AB"/>
    <w:rsid w:val="00AE3792"/>
    <w:rsid w:val="00AE395B"/>
    <w:rsid w:val="00AE3976"/>
    <w:rsid w:val="00AE3EB6"/>
    <w:rsid w:val="00AE4AFB"/>
    <w:rsid w:val="00AE4DF9"/>
    <w:rsid w:val="00AE526A"/>
    <w:rsid w:val="00AE5E54"/>
    <w:rsid w:val="00AE6378"/>
    <w:rsid w:val="00AE6ADB"/>
    <w:rsid w:val="00AE6AE6"/>
    <w:rsid w:val="00AE6C6D"/>
    <w:rsid w:val="00AE6D0F"/>
    <w:rsid w:val="00AE6D74"/>
    <w:rsid w:val="00AE6FAB"/>
    <w:rsid w:val="00AE71D7"/>
    <w:rsid w:val="00AE73CB"/>
    <w:rsid w:val="00AE7533"/>
    <w:rsid w:val="00AE7FA3"/>
    <w:rsid w:val="00AF013A"/>
    <w:rsid w:val="00AF02CA"/>
    <w:rsid w:val="00AF07C0"/>
    <w:rsid w:val="00AF0A0D"/>
    <w:rsid w:val="00AF0F7F"/>
    <w:rsid w:val="00AF1FEF"/>
    <w:rsid w:val="00AF24B7"/>
    <w:rsid w:val="00AF2693"/>
    <w:rsid w:val="00AF3449"/>
    <w:rsid w:val="00AF3952"/>
    <w:rsid w:val="00AF42BE"/>
    <w:rsid w:val="00AF5913"/>
    <w:rsid w:val="00AF5D5A"/>
    <w:rsid w:val="00AF5DC6"/>
    <w:rsid w:val="00AF6161"/>
    <w:rsid w:val="00AF6602"/>
    <w:rsid w:val="00AF679D"/>
    <w:rsid w:val="00AF699F"/>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38EB"/>
    <w:rsid w:val="00B23F6E"/>
    <w:rsid w:val="00B24374"/>
    <w:rsid w:val="00B24C34"/>
    <w:rsid w:val="00B2565D"/>
    <w:rsid w:val="00B25AC3"/>
    <w:rsid w:val="00B25F75"/>
    <w:rsid w:val="00B2616E"/>
    <w:rsid w:val="00B26381"/>
    <w:rsid w:val="00B26686"/>
    <w:rsid w:val="00B27120"/>
    <w:rsid w:val="00B2757A"/>
    <w:rsid w:val="00B27839"/>
    <w:rsid w:val="00B27A58"/>
    <w:rsid w:val="00B3042A"/>
    <w:rsid w:val="00B3074B"/>
    <w:rsid w:val="00B30CCF"/>
    <w:rsid w:val="00B3110A"/>
    <w:rsid w:val="00B3134D"/>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F5"/>
    <w:rsid w:val="00B407A0"/>
    <w:rsid w:val="00B40C09"/>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8CE"/>
    <w:rsid w:val="00B47FDA"/>
    <w:rsid w:val="00B503B1"/>
    <w:rsid w:val="00B507A5"/>
    <w:rsid w:val="00B51733"/>
    <w:rsid w:val="00B5188D"/>
    <w:rsid w:val="00B51C2B"/>
    <w:rsid w:val="00B523D5"/>
    <w:rsid w:val="00B52589"/>
    <w:rsid w:val="00B52B89"/>
    <w:rsid w:val="00B53BF6"/>
    <w:rsid w:val="00B53D81"/>
    <w:rsid w:val="00B53F75"/>
    <w:rsid w:val="00B54379"/>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10"/>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61A1"/>
    <w:rsid w:val="00B87166"/>
    <w:rsid w:val="00B871B8"/>
    <w:rsid w:val="00B871D3"/>
    <w:rsid w:val="00B8747D"/>
    <w:rsid w:val="00B9128D"/>
    <w:rsid w:val="00B9141F"/>
    <w:rsid w:val="00B92325"/>
    <w:rsid w:val="00B923D8"/>
    <w:rsid w:val="00B927B1"/>
    <w:rsid w:val="00B933BA"/>
    <w:rsid w:val="00B938E0"/>
    <w:rsid w:val="00B939B9"/>
    <w:rsid w:val="00B94D56"/>
    <w:rsid w:val="00B94D78"/>
    <w:rsid w:val="00B95B08"/>
    <w:rsid w:val="00B97051"/>
    <w:rsid w:val="00B970FD"/>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3B3"/>
    <w:rsid w:val="00BB343B"/>
    <w:rsid w:val="00BB4454"/>
    <w:rsid w:val="00BB4A75"/>
    <w:rsid w:val="00BB5629"/>
    <w:rsid w:val="00BB5DE6"/>
    <w:rsid w:val="00BB5EF2"/>
    <w:rsid w:val="00BB5F3E"/>
    <w:rsid w:val="00BB5F5F"/>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994"/>
    <w:rsid w:val="00BC5D39"/>
    <w:rsid w:val="00BC7360"/>
    <w:rsid w:val="00BC7E2F"/>
    <w:rsid w:val="00BD07B7"/>
    <w:rsid w:val="00BD0FC5"/>
    <w:rsid w:val="00BD15B5"/>
    <w:rsid w:val="00BD1D49"/>
    <w:rsid w:val="00BD1FFA"/>
    <w:rsid w:val="00BD2083"/>
    <w:rsid w:val="00BD2418"/>
    <w:rsid w:val="00BD2AD2"/>
    <w:rsid w:val="00BD2F18"/>
    <w:rsid w:val="00BD2F27"/>
    <w:rsid w:val="00BD3748"/>
    <w:rsid w:val="00BD42E3"/>
    <w:rsid w:val="00BD4378"/>
    <w:rsid w:val="00BD4731"/>
    <w:rsid w:val="00BD4BE6"/>
    <w:rsid w:val="00BD5679"/>
    <w:rsid w:val="00BD56C5"/>
    <w:rsid w:val="00BD5C80"/>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D4"/>
    <w:rsid w:val="00BE5B1A"/>
    <w:rsid w:val="00BE5B3B"/>
    <w:rsid w:val="00BE5C8D"/>
    <w:rsid w:val="00BE5DCF"/>
    <w:rsid w:val="00BE5F8C"/>
    <w:rsid w:val="00BE5FAF"/>
    <w:rsid w:val="00BE6B80"/>
    <w:rsid w:val="00BE7878"/>
    <w:rsid w:val="00BE79AD"/>
    <w:rsid w:val="00BF07B9"/>
    <w:rsid w:val="00BF14DC"/>
    <w:rsid w:val="00BF19B6"/>
    <w:rsid w:val="00BF1C82"/>
    <w:rsid w:val="00BF2254"/>
    <w:rsid w:val="00BF27D3"/>
    <w:rsid w:val="00BF2958"/>
    <w:rsid w:val="00BF33F7"/>
    <w:rsid w:val="00BF3670"/>
    <w:rsid w:val="00BF3856"/>
    <w:rsid w:val="00BF38BC"/>
    <w:rsid w:val="00BF3BEB"/>
    <w:rsid w:val="00BF3FB4"/>
    <w:rsid w:val="00BF3FDE"/>
    <w:rsid w:val="00BF4402"/>
    <w:rsid w:val="00BF445A"/>
    <w:rsid w:val="00BF548A"/>
    <w:rsid w:val="00BF6158"/>
    <w:rsid w:val="00BF683F"/>
    <w:rsid w:val="00BF6842"/>
    <w:rsid w:val="00BF6CB5"/>
    <w:rsid w:val="00BF70FA"/>
    <w:rsid w:val="00BF7562"/>
    <w:rsid w:val="00BF7717"/>
    <w:rsid w:val="00BF7C3C"/>
    <w:rsid w:val="00C00413"/>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565E"/>
    <w:rsid w:val="00C05DB4"/>
    <w:rsid w:val="00C075C8"/>
    <w:rsid w:val="00C101F6"/>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1795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F75"/>
    <w:rsid w:val="00C3332C"/>
    <w:rsid w:val="00C335F5"/>
    <w:rsid w:val="00C35657"/>
    <w:rsid w:val="00C35BC5"/>
    <w:rsid w:val="00C35BD6"/>
    <w:rsid w:val="00C35DE3"/>
    <w:rsid w:val="00C35E65"/>
    <w:rsid w:val="00C36327"/>
    <w:rsid w:val="00C37487"/>
    <w:rsid w:val="00C3765C"/>
    <w:rsid w:val="00C406C6"/>
    <w:rsid w:val="00C41506"/>
    <w:rsid w:val="00C415D9"/>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2D9B"/>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530"/>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9F9"/>
    <w:rsid w:val="00C80D6E"/>
    <w:rsid w:val="00C811B8"/>
    <w:rsid w:val="00C81B45"/>
    <w:rsid w:val="00C81CBC"/>
    <w:rsid w:val="00C8312E"/>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4FF"/>
    <w:rsid w:val="00C929FD"/>
    <w:rsid w:val="00C93657"/>
    <w:rsid w:val="00C93B3C"/>
    <w:rsid w:val="00C93F27"/>
    <w:rsid w:val="00C93FEA"/>
    <w:rsid w:val="00C94E9D"/>
    <w:rsid w:val="00C94EA8"/>
    <w:rsid w:val="00C9511A"/>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BA1"/>
    <w:rsid w:val="00CA7F68"/>
    <w:rsid w:val="00CB033A"/>
    <w:rsid w:val="00CB1160"/>
    <w:rsid w:val="00CB1464"/>
    <w:rsid w:val="00CB1481"/>
    <w:rsid w:val="00CB1E8A"/>
    <w:rsid w:val="00CB2160"/>
    <w:rsid w:val="00CB222E"/>
    <w:rsid w:val="00CB26B6"/>
    <w:rsid w:val="00CB28A3"/>
    <w:rsid w:val="00CB2C12"/>
    <w:rsid w:val="00CB36E7"/>
    <w:rsid w:val="00CB3BBB"/>
    <w:rsid w:val="00CB4302"/>
    <w:rsid w:val="00CB47AB"/>
    <w:rsid w:val="00CB69A6"/>
    <w:rsid w:val="00CB6FDF"/>
    <w:rsid w:val="00CB70CC"/>
    <w:rsid w:val="00CB773F"/>
    <w:rsid w:val="00CB7DEA"/>
    <w:rsid w:val="00CB7F30"/>
    <w:rsid w:val="00CC03CD"/>
    <w:rsid w:val="00CC0549"/>
    <w:rsid w:val="00CC072E"/>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0F54"/>
    <w:rsid w:val="00CD1361"/>
    <w:rsid w:val="00CD1429"/>
    <w:rsid w:val="00CD1EAB"/>
    <w:rsid w:val="00CD2E32"/>
    <w:rsid w:val="00CD3428"/>
    <w:rsid w:val="00CD364E"/>
    <w:rsid w:val="00CD41AA"/>
    <w:rsid w:val="00CD41E7"/>
    <w:rsid w:val="00CD4233"/>
    <w:rsid w:val="00CD4EE9"/>
    <w:rsid w:val="00CD4FD1"/>
    <w:rsid w:val="00CD5303"/>
    <w:rsid w:val="00CD5CE4"/>
    <w:rsid w:val="00CD6A3A"/>
    <w:rsid w:val="00CD6ACB"/>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704"/>
    <w:rsid w:val="00D06FF1"/>
    <w:rsid w:val="00D070FA"/>
    <w:rsid w:val="00D073C2"/>
    <w:rsid w:val="00D100C5"/>
    <w:rsid w:val="00D101BA"/>
    <w:rsid w:val="00D10672"/>
    <w:rsid w:val="00D10EA6"/>
    <w:rsid w:val="00D10F22"/>
    <w:rsid w:val="00D1139A"/>
    <w:rsid w:val="00D11488"/>
    <w:rsid w:val="00D11695"/>
    <w:rsid w:val="00D11C97"/>
    <w:rsid w:val="00D125C9"/>
    <w:rsid w:val="00D131BF"/>
    <w:rsid w:val="00D13EF8"/>
    <w:rsid w:val="00D1429D"/>
    <w:rsid w:val="00D142CA"/>
    <w:rsid w:val="00D148AC"/>
    <w:rsid w:val="00D1520B"/>
    <w:rsid w:val="00D164AD"/>
    <w:rsid w:val="00D164E5"/>
    <w:rsid w:val="00D166ED"/>
    <w:rsid w:val="00D17D5A"/>
    <w:rsid w:val="00D17EE3"/>
    <w:rsid w:val="00D20859"/>
    <w:rsid w:val="00D20A27"/>
    <w:rsid w:val="00D2114D"/>
    <w:rsid w:val="00D21441"/>
    <w:rsid w:val="00D222B5"/>
    <w:rsid w:val="00D223D2"/>
    <w:rsid w:val="00D223E1"/>
    <w:rsid w:val="00D22A31"/>
    <w:rsid w:val="00D22E65"/>
    <w:rsid w:val="00D23ACC"/>
    <w:rsid w:val="00D243AA"/>
    <w:rsid w:val="00D24B88"/>
    <w:rsid w:val="00D24DFD"/>
    <w:rsid w:val="00D250B8"/>
    <w:rsid w:val="00D25A47"/>
    <w:rsid w:val="00D25C89"/>
    <w:rsid w:val="00D25EA4"/>
    <w:rsid w:val="00D25F5A"/>
    <w:rsid w:val="00D263DC"/>
    <w:rsid w:val="00D26427"/>
    <w:rsid w:val="00D269FD"/>
    <w:rsid w:val="00D26C2E"/>
    <w:rsid w:val="00D27FC3"/>
    <w:rsid w:val="00D302AE"/>
    <w:rsid w:val="00D30C97"/>
    <w:rsid w:val="00D3102C"/>
    <w:rsid w:val="00D31351"/>
    <w:rsid w:val="00D31D29"/>
    <w:rsid w:val="00D31F7A"/>
    <w:rsid w:val="00D32CDB"/>
    <w:rsid w:val="00D33557"/>
    <w:rsid w:val="00D335DF"/>
    <w:rsid w:val="00D336DC"/>
    <w:rsid w:val="00D33983"/>
    <w:rsid w:val="00D33B64"/>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B97"/>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6E70"/>
    <w:rsid w:val="00D6744D"/>
    <w:rsid w:val="00D67E7B"/>
    <w:rsid w:val="00D702B1"/>
    <w:rsid w:val="00D704F2"/>
    <w:rsid w:val="00D70897"/>
    <w:rsid w:val="00D70B1D"/>
    <w:rsid w:val="00D70CD3"/>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D5"/>
    <w:rsid w:val="00D80DFE"/>
    <w:rsid w:val="00D80EC3"/>
    <w:rsid w:val="00D80F05"/>
    <w:rsid w:val="00D81885"/>
    <w:rsid w:val="00D81906"/>
    <w:rsid w:val="00D81E57"/>
    <w:rsid w:val="00D820E0"/>
    <w:rsid w:val="00D821DC"/>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5BE"/>
    <w:rsid w:val="00D91A00"/>
    <w:rsid w:val="00D91A68"/>
    <w:rsid w:val="00D9208F"/>
    <w:rsid w:val="00D92245"/>
    <w:rsid w:val="00D922FD"/>
    <w:rsid w:val="00D92815"/>
    <w:rsid w:val="00D93101"/>
    <w:rsid w:val="00D931F8"/>
    <w:rsid w:val="00D93B08"/>
    <w:rsid w:val="00D93FA6"/>
    <w:rsid w:val="00D940E6"/>
    <w:rsid w:val="00D94A5D"/>
    <w:rsid w:val="00D94DE2"/>
    <w:rsid w:val="00D94F6E"/>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206"/>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DDE"/>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7E"/>
    <w:rsid w:val="00DF34E1"/>
    <w:rsid w:val="00DF3C3F"/>
    <w:rsid w:val="00DF4911"/>
    <w:rsid w:val="00DF4E07"/>
    <w:rsid w:val="00DF4F6B"/>
    <w:rsid w:val="00DF4F86"/>
    <w:rsid w:val="00DF5503"/>
    <w:rsid w:val="00DF69B6"/>
    <w:rsid w:val="00DF6E62"/>
    <w:rsid w:val="00DF768A"/>
    <w:rsid w:val="00DF7E14"/>
    <w:rsid w:val="00E0029A"/>
    <w:rsid w:val="00E006B0"/>
    <w:rsid w:val="00E00C81"/>
    <w:rsid w:val="00E00D86"/>
    <w:rsid w:val="00E0123F"/>
    <w:rsid w:val="00E013B7"/>
    <w:rsid w:val="00E013F2"/>
    <w:rsid w:val="00E0159E"/>
    <w:rsid w:val="00E0162F"/>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74"/>
    <w:rsid w:val="00E278E6"/>
    <w:rsid w:val="00E3015E"/>
    <w:rsid w:val="00E302ED"/>
    <w:rsid w:val="00E31729"/>
    <w:rsid w:val="00E337BE"/>
    <w:rsid w:val="00E3383E"/>
    <w:rsid w:val="00E34FE7"/>
    <w:rsid w:val="00E3531F"/>
    <w:rsid w:val="00E3573D"/>
    <w:rsid w:val="00E35881"/>
    <w:rsid w:val="00E35B9C"/>
    <w:rsid w:val="00E367E6"/>
    <w:rsid w:val="00E36A1F"/>
    <w:rsid w:val="00E36F0B"/>
    <w:rsid w:val="00E37AA1"/>
    <w:rsid w:val="00E37AC6"/>
    <w:rsid w:val="00E37D34"/>
    <w:rsid w:val="00E40005"/>
    <w:rsid w:val="00E4045F"/>
    <w:rsid w:val="00E406D1"/>
    <w:rsid w:val="00E406DF"/>
    <w:rsid w:val="00E40C65"/>
    <w:rsid w:val="00E42131"/>
    <w:rsid w:val="00E42470"/>
    <w:rsid w:val="00E42EA1"/>
    <w:rsid w:val="00E43047"/>
    <w:rsid w:val="00E4321B"/>
    <w:rsid w:val="00E433C2"/>
    <w:rsid w:val="00E4377D"/>
    <w:rsid w:val="00E43EED"/>
    <w:rsid w:val="00E4404B"/>
    <w:rsid w:val="00E443A4"/>
    <w:rsid w:val="00E443C3"/>
    <w:rsid w:val="00E445CB"/>
    <w:rsid w:val="00E44870"/>
    <w:rsid w:val="00E458DA"/>
    <w:rsid w:val="00E46386"/>
    <w:rsid w:val="00E46E0A"/>
    <w:rsid w:val="00E46E12"/>
    <w:rsid w:val="00E4718F"/>
    <w:rsid w:val="00E47D59"/>
    <w:rsid w:val="00E5011B"/>
    <w:rsid w:val="00E50679"/>
    <w:rsid w:val="00E50915"/>
    <w:rsid w:val="00E50C3E"/>
    <w:rsid w:val="00E50ECF"/>
    <w:rsid w:val="00E51002"/>
    <w:rsid w:val="00E51540"/>
    <w:rsid w:val="00E51A4B"/>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243"/>
    <w:rsid w:val="00E576E4"/>
    <w:rsid w:val="00E57AC2"/>
    <w:rsid w:val="00E57E7D"/>
    <w:rsid w:val="00E57FDD"/>
    <w:rsid w:val="00E6031B"/>
    <w:rsid w:val="00E60EB6"/>
    <w:rsid w:val="00E60EE3"/>
    <w:rsid w:val="00E61FA5"/>
    <w:rsid w:val="00E64218"/>
    <w:rsid w:val="00E64C74"/>
    <w:rsid w:val="00E65682"/>
    <w:rsid w:val="00E65728"/>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B8B"/>
    <w:rsid w:val="00E81D05"/>
    <w:rsid w:val="00E82631"/>
    <w:rsid w:val="00E8280A"/>
    <w:rsid w:val="00E82D94"/>
    <w:rsid w:val="00E8302E"/>
    <w:rsid w:val="00E83830"/>
    <w:rsid w:val="00E83D5E"/>
    <w:rsid w:val="00E83E1E"/>
    <w:rsid w:val="00E842A8"/>
    <w:rsid w:val="00E84804"/>
    <w:rsid w:val="00E85265"/>
    <w:rsid w:val="00E86AC3"/>
    <w:rsid w:val="00E878F7"/>
    <w:rsid w:val="00E87AB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3E3F"/>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D4C"/>
    <w:rsid w:val="00EC545A"/>
    <w:rsid w:val="00EC55DC"/>
    <w:rsid w:val="00EC5C1D"/>
    <w:rsid w:val="00EC5CE7"/>
    <w:rsid w:val="00EC6088"/>
    <w:rsid w:val="00EC6535"/>
    <w:rsid w:val="00EC7429"/>
    <w:rsid w:val="00ED05D5"/>
    <w:rsid w:val="00ED067C"/>
    <w:rsid w:val="00ED0AB8"/>
    <w:rsid w:val="00ED0AD2"/>
    <w:rsid w:val="00ED0C1C"/>
    <w:rsid w:val="00ED0FD0"/>
    <w:rsid w:val="00ED14BE"/>
    <w:rsid w:val="00ED1A57"/>
    <w:rsid w:val="00ED1A7B"/>
    <w:rsid w:val="00ED1D2C"/>
    <w:rsid w:val="00ED30B8"/>
    <w:rsid w:val="00ED3484"/>
    <w:rsid w:val="00ED37F7"/>
    <w:rsid w:val="00ED48E9"/>
    <w:rsid w:val="00ED4F50"/>
    <w:rsid w:val="00ED5215"/>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3DA7"/>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877"/>
    <w:rsid w:val="00EF1A26"/>
    <w:rsid w:val="00EF1FA1"/>
    <w:rsid w:val="00EF4C99"/>
    <w:rsid w:val="00EF4FC1"/>
    <w:rsid w:val="00EF5F19"/>
    <w:rsid w:val="00EF61A9"/>
    <w:rsid w:val="00EF62E1"/>
    <w:rsid w:val="00EF6440"/>
    <w:rsid w:val="00EF64E5"/>
    <w:rsid w:val="00EF78C8"/>
    <w:rsid w:val="00F00249"/>
    <w:rsid w:val="00F005B6"/>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0E3"/>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4AB"/>
    <w:rsid w:val="00F30D44"/>
    <w:rsid w:val="00F30D6C"/>
    <w:rsid w:val="00F32014"/>
    <w:rsid w:val="00F320C2"/>
    <w:rsid w:val="00F32E44"/>
    <w:rsid w:val="00F32E65"/>
    <w:rsid w:val="00F33BD7"/>
    <w:rsid w:val="00F33D99"/>
    <w:rsid w:val="00F34359"/>
    <w:rsid w:val="00F34A00"/>
    <w:rsid w:val="00F34A44"/>
    <w:rsid w:val="00F34A9C"/>
    <w:rsid w:val="00F35010"/>
    <w:rsid w:val="00F35B9E"/>
    <w:rsid w:val="00F35BC3"/>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25E"/>
    <w:rsid w:val="00F467EB"/>
    <w:rsid w:val="00F507BE"/>
    <w:rsid w:val="00F50A4B"/>
    <w:rsid w:val="00F50A5A"/>
    <w:rsid w:val="00F50C4E"/>
    <w:rsid w:val="00F50F00"/>
    <w:rsid w:val="00F50F32"/>
    <w:rsid w:val="00F518DE"/>
    <w:rsid w:val="00F51B4D"/>
    <w:rsid w:val="00F52815"/>
    <w:rsid w:val="00F52971"/>
    <w:rsid w:val="00F52B47"/>
    <w:rsid w:val="00F53F81"/>
    <w:rsid w:val="00F54380"/>
    <w:rsid w:val="00F5496E"/>
    <w:rsid w:val="00F55150"/>
    <w:rsid w:val="00F55310"/>
    <w:rsid w:val="00F56461"/>
    <w:rsid w:val="00F56DCF"/>
    <w:rsid w:val="00F571A2"/>
    <w:rsid w:val="00F57BF2"/>
    <w:rsid w:val="00F57C6B"/>
    <w:rsid w:val="00F57EE2"/>
    <w:rsid w:val="00F60750"/>
    <w:rsid w:val="00F60A31"/>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6113"/>
    <w:rsid w:val="00F6696B"/>
    <w:rsid w:val="00F66A56"/>
    <w:rsid w:val="00F671D4"/>
    <w:rsid w:val="00F67BFE"/>
    <w:rsid w:val="00F70CBC"/>
    <w:rsid w:val="00F70E79"/>
    <w:rsid w:val="00F719CC"/>
    <w:rsid w:val="00F71DC5"/>
    <w:rsid w:val="00F71EE1"/>
    <w:rsid w:val="00F72944"/>
    <w:rsid w:val="00F73133"/>
    <w:rsid w:val="00F7327E"/>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352"/>
    <w:rsid w:val="00F90468"/>
    <w:rsid w:val="00F90AA4"/>
    <w:rsid w:val="00F90AB5"/>
    <w:rsid w:val="00F90E49"/>
    <w:rsid w:val="00F916B3"/>
    <w:rsid w:val="00F91C4C"/>
    <w:rsid w:val="00F92952"/>
    <w:rsid w:val="00F92EE1"/>
    <w:rsid w:val="00F934D9"/>
    <w:rsid w:val="00F9369F"/>
    <w:rsid w:val="00F93F2F"/>
    <w:rsid w:val="00F94199"/>
    <w:rsid w:val="00F94DFE"/>
    <w:rsid w:val="00F95224"/>
    <w:rsid w:val="00F955BA"/>
    <w:rsid w:val="00F9566E"/>
    <w:rsid w:val="00F95785"/>
    <w:rsid w:val="00F95B81"/>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8E"/>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94D"/>
    <w:rsid w:val="00FE599D"/>
    <w:rsid w:val="00FE5F38"/>
    <w:rsid w:val="00FE68EF"/>
    <w:rsid w:val="00FE6D21"/>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9C"/>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C675C-5377-4236-9614-E929C5BE7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294</Words>
  <Characters>1681</Characters>
  <Application>Microsoft Office Word</Application>
  <DocSecurity>0</DocSecurity>
  <Lines>14</Lines>
  <Paragraphs>3</Paragraphs>
  <ScaleCrop>false</ScaleCrop>
  <Company>HOME</Company>
  <LinksUpToDate>false</LinksUpToDate>
  <CharactersWithSpaces>1972</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2025-04-24T06:20:00Z</dcterms:created>
  <dcterms:modified xsi:type="dcterms:W3CDTF">2025-04-24T06:20:00Z</dcterms:modified>
</cp:coreProperties>
</file>