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5EB" w:rsidRPr="00E765C6" w:rsidRDefault="00DF73BF" w:rsidP="00DF73BF">
      <w:pPr>
        <w:pStyle w:val="aa"/>
        <w:tabs>
          <w:tab w:val="left" w:pos="8505"/>
        </w:tabs>
        <w:rPr>
          <w:rFonts w:hAnsi="標楷體"/>
          <w:color w:val="000000"/>
        </w:rPr>
      </w:pPr>
      <w:bookmarkStart w:id="0" w:name="_GoBack"/>
      <w:bookmarkEnd w:id="0"/>
      <w:r w:rsidRPr="00E765C6">
        <w:rPr>
          <w:rFonts w:hAnsi="標楷體"/>
          <w:color w:val="000000"/>
          <w:spacing w:val="-20"/>
        </w:rPr>
        <w:t>財團法人</w:t>
      </w:r>
      <w:r w:rsidRPr="00E765C6">
        <w:rPr>
          <w:rFonts w:hAnsi="標楷體"/>
          <w:color w:val="000000"/>
        </w:rPr>
        <w:t>金屬工業研究發展中心</w:t>
      </w:r>
      <w:r w:rsidR="00BB691A" w:rsidRPr="00E765C6">
        <w:rPr>
          <w:rFonts w:hAnsi="標楷體"/>
          <w:color w:val="000000"/>
        </w:rPr>
        <w:t>11</w:t>
      </w:r>
      <w:r w:rsidR="0017294A" w:rsidRPr="00E765C6">
        <w:rPr>
          <w:rFonts w:hAnsi="標楷體"/>
          <w:color w:val="000000"/>
        </w:rPr>
        <w:t>4</w:t>
      </w:r>
      <w:r w:rsidR="003145EB" w:rsidRPr="00E765C6">
        <w:rPr>
          <w:rFonts w:hAnsi="標楷體" w:hint="eastAsia"/>
          <w:color w:val="000000"/>
        </w:rPr>
        <w:t>年度預算評估報告</w:t>
      </w:r>
      <w:r w:rsidR="004C0B06" w:rsidRPr="00E765C6">
        <w:rPr>
          <w:rFonts w:hAnsi="標楷體" w:hint="eastAsia"/>
          <w:color w:val="000000"/>
        </w:rPr>
        <w:t>目錄</w:t>
      </w:r>
      <w:r w:rsidR="00E7290D" w:rsidRPr="00E765C6">
        <w:rPr>
          <w:rFonts w:hAnsi="標楷體" w:hint="eastAsia"/>
          <w:color w:val="000000"/>
        </w:rPr>
        <w:t xml:space="preserve">                                    </w:t>
      </w:r>
      <w:r w:rsidR="00DC5B50" w:rsidRPr="00E765C6">
        <w:rPr>
          <w:rFonts w:hAnsi="標楷體" w:hint="eastAsia"/>
          <w:color w:val="000000"/>
        </w:rPr>
        <w:t xml:space="preserve">   </w:t>
      </w:r>
      <w:r w:rsidR="00E7290D" w:rsidRPr="00E765C6">
        <w:rPr>
          <w:rFonts w:hAnsi="標楷體" w:hint="eastAsia"/>
          <w:color w:val="000000"/>
        </w:rPr>
        <w:t xml:space="preserve"> </w:t>
      </w:r>
      <w:r w:rsidR="000E1053" w:rsidRPr="00E765C6">
        <w:rPr>
          <w:rFonts w:hAnsi="標楷體" w:hint="eastAsia"/>
          <w:color w:val="000000"/>
          <w:sz w:val="24"/>
          <w:szCs w:val="24"/>
        </w:rPr>
        <w:t>頁次</w:t>
      </w:r>
    </w:p>
    <w:p w:rsidR="00F5392A" w:rsidRPr="00E765C6" w:rsidRDefault="003145EB">
      <w:pPr>
        <w:pStyle w:val="11"/>
        <w:rPr>
          <w:rFonts w:hAnsi="標楷體"/>
          <w:noProof/>
          <w:snapToGrid/>
          <w:color w:val="000000"/>
          <w:szCs w:val="22"/>
        </w:rPr>
      </w:pPr>
      <w:r w:rsidRPr="00E765C6">
        <w:rPr>
          <w:rFonts w:hAnsi="標楷體"/>
          <w:color w:val="000000"/>
        </w:rPr>
        <w:fldChar w:fldCharType="begin"/>
      </w:r>
      <w:r w:rsidRPr="00E765C6">
        <w:rPr>
          <w:rFonts w:hAnsi="標楷體"/>
          <w:color w:val="000000"/>
        </w:rPr>
        <w:instrText xml:space="preserve"> TOC </w:instrText>
      </w:r>
      <w:r w:rsidRPr="00E765C6">
        <w:rPr>
          <w:rFonts w:hAnsi="標楷體" w:hint="eastAsia"/>
          <w:color w:val="000000"/>
        </w:rPr>
        <w:instrText>\o "1-1" \h \z \t "第二層(14號字),1"</w:instrText>
      </w:r>
      <w:r w:rsidRPr="00E765C6">
        <w:rPr>
          <w:rFonts w:hAnsi="標楷體"/>
          <w:color w:val="000000"/>
        </w:rPr>
        <w:instrText xml:space="preserve"> </w:instrText>
      </w:r>
      <w:r w:rsidRPr="00E765C6">
        <w:rPr>
          <w:rFonts w:hAnsi="標楷體"/>
          <w:color w:val="000000"/>
        </w:rPr>
        <w:fldChar w:fldCharType="separate"/>
      </w:r>
      <w:hyperlink w:anchor="_Toc195717725" w:history="1">
        <w:r w:rsidR="00F5392A" w:rsidRPr="00E765C6">
          <w:rPr>
            <w:rStyle w:val="af"/>
            <w:rFonts w:hAnsi="標楷體" w:hint="eastAsia"/>
            <w:noProof/>
            <w:color w:val="000000"/>
          </w:rPr>
          <w:t>一、</w:t>
        </w:r>
        <w:r w:rsidR="00F5392A" w:rsidRPr="00E765C6">
          <w:rPr>
            <w:rStyle w:val="af"/>
            <w:rFonts w:hAnsi="標楷體"/>
            <w:noProof/>
            <w:color w:val="000000"/>
          </w:rPr>
          <w:t>113</w:t>
        </w:r>
        <w:r w:rsidR="00F5392A" w:rsidRPr="00E765C6">
          <w:rPr>
            <w:rStyle w:val="af"/>
            <w:rFonts w:hAnsi="標楷體" w:hint="eastAsia"/>
            <w:noProof/>
            <w:color w:val="000000"/>
          </w:rPr>
          <w:t>年度逾期應收帳款金額為近年新高，允宜改善業務部門協助催收之工作進度並加強辦理債權處理，俾降低呆帳損失機率</w:t>
        </w:r>
        <w:r w:rsidR="00F5392A" w:rsidRPr="00E765C6">
          <w:rPr>
            <w:rFonts w:hAnsi="標楷體"/>
            <w:noProof/>
            <w:webHidden/>
            <w:color w:val="000000"/>
          </w:rPr>
          <w:tab/>
          <w:t>64-</w:t>
        </w:r>
        <w:r w:rsidR="00F5392A" w:rsidRPr="00E765C6">
          <w:rPr>
            <w:rFonts w:hAnsi="標楷體"/>
            <w:noProof/>
            <w:webHidden/>
            <w:color w:val="000000"/>
          </w:rPr>
          <w:fldChar w:fldCharType="begin"/>
        </w:r>
        <w:r w:rsidR="00F5392A" w:rsidRPr="00E765C6">
          <w:rPr>
            <w:rFonts w:hAnsi="標楷體"/>
            <w:noProof/>
            <w:webHidden/>
            <w:color w:val="000000"/>
          </w:rPr>
          <w:instrText xml:space="preserve"> PAGEREF _Toc195717725 \h </w:instrText>
        </w:r>
        <w:r w:rsidR="00F5392A" w:rsidRPr="00E765C6">
          <w:rPr>
            <w:rFonts w:hAnsi="標楷體"/>
            <w:noProof/>
            <w:webHidden/>
            <w:color w:val="000000"/>
          </w:rPr>
        </w:r>
        <w:r w:rsidR="00F5392A" w:rsidRPr="00E765C6">
          <w:rPr>
            <w:rFonts w:hAnsi="標楷體"/>
            <w:noProof/>
            <w:webHidden/>
            <w:color w:val="000000"/>
          </w:rPr>
          <w:fldChar w:fldCharType="separate"/>
        </w:r>
        <w:r w:rsidR="009F1F50">
          <w:rPr>
            <w:rFonts w:hAnsi="標楷體"/>
            <w:noProof/>
            <w:webHidden/>
            <w:color w:val="000000"/>
          </w:rPr>
          <w:t>1</w:t>
        </w:r>
        <w:r w:rsidR="00F5392A" w:rsidRPr="00E765C6">
          <w:rPr>
            <w:rFonts w:hAnsi="標楷體"/>
            <w:noProof/>
            <w:webHidden/>
            <w:color w:val="000000"/>
          </w:rPr>
          <w:fldChar w:fldCharType="end"/>
        </w:r>
      </w:hyperlink>
    </w:p>
    <w:p w:rsidR="00F5392A" w:rsidRPr="00E765C6" w:rsidRDefault="00F5392A">
      <w:pPr>
        <w:pStyle w:val="11"/>
        <w:rPr>
          <w:rFonts w:hAnsi="標楷體"/>
          <w:noProof/>
          <w:snapToGrid/>
          <w:color w:val="000000"/>
          <w:szCs w:val="22"/>
        </w:rPr>
      </w:pPr>
      <w:hyperlink w:anchor="_Toc195717726" w:history="1">
        <w:r w:rsidRPr="00E765C6">
          <w:rPr>
            <w:rStyle w:val="af"/>
            <w:rFonts w:hAnsi="標楷體" w:hint="eastAsia"/>
            <w:noProof/>
            <w:color w:val="000000"/>
          </w:rPr>
          <w:t>二、近年員工實際人數均大於預算數，允宜優化人力需求之估算流程，以精進預算編製之準確性，俾提升財務配置效能</w:t>
        </w:r>
        <w:r w:rsidRPr="00E765C6">
          <w:rPr>
            <w:rFonts w:hAnsi="標楷體"/>
            <w:noProof/>
            <w:webHidden/>
            <w:color w:val="000000"/>
          </w:rPr>
          <w:tab/>
          <w:t>64-</w:t>
        </w:r>
        <w:r w:rsidRPr="00E765C6">
          <w:rPr>
            <w:rFonts w:hAnsi="標楷體"/>
            <w:noProof/>
            <w:webHidden/>
            <w:color w:val="000000"/>
          </w:rPr>
          <w:fldChar w:fldCharType="begin"/>
        </w:r>
        <w:r w:rsidRPr="00E765C6">
          <w:rPr>
            <w:rFonts w:hAnsi="標楷體"/>
            <w:noProof/>
            <w:webHidden/>
            <w:color w:val="000000"/>
          </w:rPr>
          <w:instrText xml:space="preserve"> PAGEREF _Toc195717726 \h </w:instrText>
        </w:r>
        <w:r w:rsidRPr="00E765C6">
          <w:rPr>
            <w:rFonts w:hAnsi="標楷體"/>
            <w:noProof/>
            <w:webHidden/>
            <w:color w:val="000000"/>
          </w:rPr>
        </w:r>
        <w:r w:rsidRPr="00E765C6">
          <w:rPr>
            <w:rFonts w:hAnsi="標楷體"/>
            <w:noProof/>
            <w:webHidden/>
            <w:color w:val="000000"/>
          </w:rPr>
          <w:fldChar w:fldCharType="separate"/>
        </w:r>
        <w:r w:rsidR="009F1F50">
          <w:rPr>
            <w:rFonts w:hAnsi="標楷體"/>
            <w:noProof/>
            <w:webHidden/>
            <w:color w:val="000000"/>
          </w:rPr>
          <w:t>3</w:t>
        </w:r>
        <w:r w:rsidRPr="00E765C6">
          <w:rPr>
            <w:rFonts w:hAnsi="標楷體"/>
            <w:noProof/>
            <w:webHidden/>
            <w:color w:val="000000"/>
          </w:rPr>
          <w:fldChar w:fldCharType="end"/>
        </w:r>
      </w:hyperlink>
    </w:p>
    <w:p w:rsidR="00F5392A" w:rsidRPr="00E765C6" w:rsidRDefault="00F5392A">
      <w:pPr>
        <w:pStyle w:val="11"/>
        <w:rPr>
          <w:rFonts w:hAnsi="標楷體"/>
          <w:noProof/>
          <w:snapToGrid/>
          <w:color w:val="000000"/>
          <w:szCs w:val="22"/>
        </w:rPr>
      </w:pPr>
      <w:hyperlink w:anchor="_Toc195717727" w:history="1">
        <w:r w:rsidRPr="00E765C6">
          <w:rPr>
            <w:rStyle w:val="af"/>
            <w:rFonts w:hAnsi="標楷體" w:hint="eastAsia"/>
            <w:noProof/>
            <w:color w:val="000000"/>
          </w:rPr>
          <w:t>三、經多次組織調整，民間業務收入仍低於政府補助及委辦計畫收入，允宜強化業務拓展，以提升財務自主性</w:t>
        </w:r>
        <w:r w:rsidRPr="00E765C6">
          <w:rPr>
            <w:rFonts w:hAnsi="標楷體"/>
            <w:noProof/>
            <w:webHidden/>
            <w:color w:val="000000"/>
          </w:rPr>
          <w:tab/>
          <w:t>64-</w:t>
        </w:r>
        <w:r w:rsidRPr="00E765C6">
          <w:rPr>
            <w:rFonts w:hAnsi="標楷體"/>
            <w:noProof/>
            <w:webHidden/>
            <w:color w:val="000000"/>
          </w:rPr>
          <w:fldChar w:fldCharType="begin"/>
        </w:r>
        <w:r w:rsidRPr="00E765C6">
          <w:rPr>
            <w:rFonts w:hAnsi="標楷體"/>
            <w:noProof/>
            <w:webHidden/>
            <w:color w:val="000000"/>
          </w:rPr>
          <w:instrText xml:space="preserve"> PAGEREF _Toc195717727 \h </w:instrText>
        </w:r>
        <w:r w:rsidRPr="00E765C6">
          <w:rPr>
            <w:rFonts w:hAnsi="標楷體"/>
            <w:noProof/>
            <w:webHidden/>
            <w:color w:val="000000"/>
          </w:rPr>
        </w:r>
        <w:r w:rsidRPr="00E765C6">
          <w:rPr>
            <w:rFonts w:hAnsi="標楷體"/>
            <w:noProof/>
            <w:webHidden/>
            <w:color w:val="000000"/>
          </w:rPr>
          <w:fldChar w:fldCharType="separate"/>
        </w:r>
        <w:r w:rsidR="009F1F50">
          <w:rPr>
            <w:rFonts w:hAnsi="標楷體"/>
            <w:noProof/>
            <w:webHidden/>
            <w:color w:val="000000"/>
          </w:rPr>
          <w:t>5</w:t>
        </w:r>
        <w:r w:rsidRPr="00E765C6">
          <w:rPr>
            <w:rFonts w:hAnsi="標楷體"/>
            <w:noProof/>
            <w:webHidden/>
            <w:color w:val="000000"/>
          </w:rPr>
          <w:fldChar w:fldCharType="end"/>
        </w:r>
      </w:hyperlink>
    </w:p>
    <w:p w:rsidR="00F5392A" w:rsidRPr="00E765C6" w:rsidRDefault="00F5392A">
      <w:pPr>
        <w:pStyle w:val="11"/>
        <w:rPr>
          <w:rFonts w:hAnsi="標楷體"/>
          <w:noProof/>
          <w:snapToGrid/>
          <w:color w:val="000000"/>
          <w:szCs w:val="22"/>
        </w:rPr>
      </w:pPr>
      <w:hyperlink w:anchor="_Toc195717728" w:history="1">
        <w:r w:rsidRPr="00E765C6">
          <w:rPr>
            <w:rStyle w:val="af"/>
            <w:rFonts w:hAnsi="標楷體" w:hint="eastAsia"/>
            <w:noProof/>
            <w:color w:val="000000"/>
          </w:rPr>
          <w:t>四、</w:t>
        </w:r>
        <w:r w:rsidRPr="00E765C6">
          <w:rPr>
            <w:rStyle w:val="af"/>
            <w:rFonts w:hAnsi="標楷體"/>
            <w:noProof/>
            <w:color w:val="000000"/>
          </w:rPr>
          <w:t>114</w:t>
        </w:r>
        <w:r w:rsidRPr="00E765C6">
          <w:rPr>
            <w:rStyle w:val="af"/>
            <w:rFonts w:hAnsi="標楷體" w:hint="eastAsia"/>
            <w:noProof/>
            <w:color w:val="000000"/>
          </w:rPr>
          <w:t>年度所設定之工作計畫績效指標目標值概低於往年實際執行情形，允宜參考產業成長性設定合理之目標值</w:t>
        </w:r>
        <w:r w:rsidRPr="00E765C6">
          <w:rPr>
            <w:rFonts w:hAnsi="標楷體"/>
            <w:noProof/>
            <w:webHidden/>
            <w:color w:val="000000"/>
          </w:rPr>
          <w:tab/>
          <w:t>64-</w:t>
        </w:r>
        <w:r w:rsidRPr="00E765C6">
          <w:rPr>
            <w:rFonts w:hAnsi="標楷體"/>
            <w:noProof/>
            <w:webHidden/>
            <w:color w:val="000000"/>
          </w:rPr>
          <w:fldChar w:fldCharType="begin"/>
        </w:r>
        <w:r w:rsidRPr="00E765C6">
          <w:rPr>
            <w:rFonts w:hAnsi="標楷體"/>
            <w:noProof/>
            <w:webHidden/>
            <w:color w:val="000000"/>
          </w:rPr>
          <w:instrText xml:space="preserve"> PAGEREF _Toc195717728 \h </w:instrText>
        </w:r>
        <w:r w:rsidRPr="00E765C6">
          <w:rPr>
            <w:rFonts w:hAnsi="標楷體"/>
            <w:noProof/>
            <w:webHidden/>
            <w:color w:val="000000"/>
          </w:rPr>
        </w:r>
        <w:r w:rsidRPr="00E765C6">
          <w:rPr>
            <w:rFonts w:hAnsi="標楷體"/>
            <w:noProof/>
            <w:webHidden/>
            <w:color w:val="000000"/>
          </w:rPr>
          <w:fldChar w:fldCharType="separate"/>
        </w:r>
        <w:r w:rsidR="009F1F50">
          <w:rPr>
            <w:rFonts w:hAnsi="標楷體"/>
            <w:noProof/>
            <w:webHidden/>
            <w:color w:val="000000"/>
          </w:rPr>
          <w:t>6</w:t>
        </w:r>
        <w:r w:rsidRPr="00E765C6">
          <w:rPr>
            <w:rFonts w:hAnsi="標楷體"/>
            <w:noProof/>
            <w:webHidden/>
            <w:color w:val="000000"/>
          </w:rPr>
          <w:fldChar w:fldCharType="end"/>
        </w:r>
      </w:hyperlink>
    </w:p>
    <w:p w:rsidR="00F5392A" w:rsidRPr="00E765C6" w:rsidRDefault="00F5392A">
      <w:pPr>
        <w:pStyle w:val="11"/>
        <w:rPr>
          <w:rFonts w:hAnsi="標楷體"/>
          <w:noProof/>
          <w:snapToGrid/>
          <w:color w:val="000000"/>
          <w:szCs w:val="22"/>
        </w:rPr>
      </w:pPr>
      <w:hyperlink w:anchor="_Toc195717729" w:history="1">
        <w:r w:rsidRPr="00E765C6">
          <w:rPr>
            <w:rStyle w:val="af"/>
            <w:rFonts w:hAnsi="標楷體" w:hint="eastAsia"/>
            <w:noProof/>
            <w:color w:val="000000"/>
          </w:rPr>
          <w:t>五、鑑於轉投資事業連年虧損，允宜加強營運輔導，督促其積極拓展業務強化市場布局，以提升經營效益</w:t>
        </w:r>
        <w:r w:rsidRPr="00E765C6">
          <w:rPr>
            <w:rFonts w:hAnsi="標楷體"/>
            <w:noProof/>
            <w:webHidden/>
            <w:color w:val="000000"/>
          </w:rPr>
          <w:tab/>
          <w:t>64-</w:t>
        </w:r>
        <w:r w:rsidRPr="00E765C6">
          <w:rPr>
            <w:rFonts w:hAnsi="標楷體"/>
            <w:noProof/>
            <w:webHidden/>
            <w:color w:val="000000"/>
          </w:rPr>
          <w:fldChar w:fldCharType="begin"/>
        </w:r>
        <w:r w:rsidRPr="00E765C6">
          <w:rPr>
            <w:rFonts w:hAnsi="標楷體"/>
            <w:noProof/>
            <w:webHidden/>
            <w:color w:val="000000"/>
          </w:rPr>
          <w:instrText xml:space="preserve"> PAGEREF _Toc195717729 \h </w:instrText>
        </w:r>
        <w:r w:rsidRPr="00E765C6">
          <w:rPr>
            <w:rFonts w:hAnsi="標楷體"/>
            <w:noProof/>
            <w:webHidden/>
            <w:color w:val="000000"/>
          </w:rPr>
        </w:r>
        <w:r w:rsidRPr="00E765C6">
          <w:rPr>
            <w:rFonts w:hAnsi="標楷體"/>
            <w:noProof/>
            <w:webHidden/>
            <w:color w:val="000000"/>
          </w:rPr>
          <w:fldChar w:fldCharType="separate"/>
        </w:r>
        <w:r w:rsidR="009F1F50">
          <w:rPr>
            <w:rFonts w:hAnsi="標楷體"/>
            <w:noProof/>
            <w:webHidden/>
            <w:color w:val="000000"/>
          </w:rPr>
          <w:t>8</w:t>
        </w:r>
        <w:r w:rsidRPr="00E765C6">
          <w:rPr>
            <w:rFonts w:hAnsi="標楷體"/>
            <w:noProof/>
            <w:webHidden/>
            <w:color w:val="000000"/>
          </w:rPr>
          <w:fldChar w:fldCharType="end"/>
        </w:r>
      </w:hyperlink>
    </w:p>
    <w:p w:rsidR="003145EB" w:rsidRPr="00E765C6" w:rsidRDefault="003145EB" w:rsidP="00A313D4">
      <w:pPr>
        <w:pStyle w:val="aa"/>
        <w:tabs>
          <w:tab w:val="right" w:leader="hyphen" w:pos="8455"/>
          <w:tab w:val="right" w:leader="hyphen" w:pos="8539"/>
          <w:tab w:val="right" w:leader="hyphen" w:pos="8567"/>
        </w:tabs>
        <w:ind w:rightChars="136" w:right="385"/>
        <w:rPr>
          <w:rFonts w:hAnsi="標楷體"/>
          <w:color w:val="000000"/>
        </w:rPr>
        <w:sectPr w:rsidR="003145EB" w:rsidRPr="00E765C6" w:rsidSect="001B199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701" w:bottom="1701" w:left="1701" w:header="0" w:footer="1134" w:gutter="0"/>
          <w:pgNumType w:start="1"/>
          <w:cols w:space="425"/>
          <w:docGrid w:type="linesAndChars" w:linePitch="500" w:charSpace="658"/>
        </w:sectPr>
      </w:pPr>
      <w:r w:rsidRPr="00E765C6">
        <w:rPr>
          <w:rFonts w:hAnsi="標楷體"/>
          <w:color w:val="000000"/>
          <w:sz w:val="24"/>
          <w:szCs w:val="24"/>
        </w:rPr>
        <w:fldChar w:fldCharType="end"/>
      </w:r>
    </w:p>
    <w:p w:rsidR="007015A1" w:rsidRPr="00E765C6" w:rsidRDefault="00014129" w:rsidP="001E3738">
      <w:pPr>
        <w:pStyle w:val="aa"/>
        <w:rPr>
          <w:rFonts w:hAnsi="標楷體"/>
          <w:color w:val="000000"/>
          <w:spacing w:val="-8"/>
        </w:rPr>
      </w:pPr>
      <w:r w:rsidRPr="00E765C6">
        <w:rPr>
          <w:rFonts w:hAnsi="標楷體"/>
          <w:color w:val="000000"/>
          <w:spacing w:val="-8"/>
        </w:rPr>
        <w:lastRenderedPageBreak/>
        <w:t>財團法人金屬工業研究發展中心</w:t>
      </w:r>
      <w:r w:rsidR="00BB691A" w:rsidRPr="00E765C6">
        <w:rPr>
          <w:rFonts w:hAnsi="標楷體"/>
          <w:color w:val="000000"/>
          <w:spacing w:val="-8"/>
        </w:rPr>
        <w:t>11</w:t>
      </w:r>
      <w:r w:rsidR="0017294A" w:rsidRPr="00E765C6">
        <w:rPr>
          <w:rFonts w:hAnsi="標楷體"/>
          <w:color w:val="000000"/>
          <w:spacing w:val="-8"/>
        </w:rPr>
        <w:t>4</w:t>
      </w:r>
      <w:r w:rsidR="00541C00" w:rsidRPr="00E765C6">
        <w:rPr>
          <w:rFonts w:hAnsi="標楷體" w:hint="eastAsia"/>
          <w:color w:val="000000"/>
          <w:spacing w:val="-8"/>
        </w:rPr>
        <w:t>年度</w:t>
      </w:r>
      <w:r w:rsidR="001E3738" w:rsidRPr="00E765C6">
        <w:rPr>
          <w:rFonts w:hAnsi="標楷體" w:hint="eastAsia"/>
          <w:color w:val="000000"/>
          <w:spacing w:val="-8"/>
        </w:rPr>
        <w:t>預算評估報告</w:t>
      </w:r>
    </w:p>
    <w:p w:rsidR="00014129" w:rsidRPr="00E765C6" w:rsidRDefault="00014129" w:rsidP="00014129">
      <w:pPr>
        <w:pStyle w:val="a8"/>
        <w:ind w:firstLine="566"/>
        <w:rPr>
          <w:rFonts w:hAnsi="標楷體"/>
          <w:color w:val="000000"/>
        </w:rPr>
      </w:pPr>
      <w:r w:rsidRPr="00E765C6">
        <w:rPr>
          <w:rFonts w:hAnsi="標楷體"/>
          <w:color w:val="000000"/>
        </w:rPr>
        <w:t>財團法人金屬工業研究發展中心(以下簡稱金屬中心)從事金屬及其應用產業所需生產與管理技術之研究發展與推廣，旨在促進國內金屬及其相關應用產業升級，使其具備國際市場良好之競爭能力。金屬中心創立基金為4,234萬4,600元，分別由經濟部捐助1,860萬8,600元及前國際經濟合作發展委員會(現為組改後之國家發展委員會)捐助2,373萬6千元，於52年10月25日依中華民國政府會同聯合國特別基金會及國際勞工局訂立之「金屬工業發展執行計畫」所成立，為政府百分之百捐助設立之財團法人。</w:t>
      </w:r>
    </w:p>
    <w:p w:rsidR="00014129" w:rsidRPr="00E765C6" w:rsidRDefault="00014129" w:rsidP="00BB691A">
      <w:pPr>
        <w:pStyle w:val="a8"/>
        <w:ind w:firstLine="566"/>
        <w:rPr>
          <w:rFonts w:hAnsi="標楷體" w:hint="eastAsia"/>
          <w:color w:val="000000"/>
        </w:rPr>
      </w:pPr>
      <w:r w:rsidRPr="00E765C6">
        <w:rPr>
          <w:rFonts w:hAnsi="標楷體"/>
          <w:color w:val="000000"/>
        </w:rPr>
        <w:t>金屬中心114年度預算案編列收入35億元，較113年度預算數33億5‚000萬元，增加1億5,000萬元(增幅4.48%)；支出34億5,200萬元，較113年度預算數33億500萬元，增加1億4,700萬元(增幅4.45%)；收支相抵後，</w:t>
      </w:r>
      <w:r w:rsidR="009414AC" w:rsidRPr="00E765C6">
        <w:rPr>
          <w:rFonts w:hAnsi="標楷體" w:hint="eastAsia"/>
          <w:color w:val="000000"/>
        </w:rPr>
        <w:t>預計</w:t>
      </w:r>
      <w:r w:rsidRPr="00E765C6">
        <w:rPr>
          <w:rFonts w:hAnsi="標楷體"/>
          <w:color w:val="000000"/>
        </w:rPr>
        <w:t>本期賸餘4,800萬元，較113年度預算數4‚500萬元，增加300萬元(增幅6.67%)。謹就該中心114年度預算案相關問題評估如下：</w:t>
      </w:r>
    </w:p>
    <w:p w:rsidR="00BB691A" w:rsidRPr="00E765C6" w:rsidRDefault="00BB691A" w:rsidP="00BB691A">
      <w:pPr>
        <w:pStyle w:val="14"/>
        <w:ind w:left="567" w:hanging="567"/>
        <w:rPr>
          <w:rFonts w:hAnsi="標楷體"/>
          <w:color w:val="000000"/>
        </w:rPr>
      </w:pPr>
      <w:bookmarkStart w:id="1" w:name="_Toc115337435"/>
      <w:bookmarkStart w:id="2" w:name="_Toc195717725"/>
      <w:r w:rsidRPr="00E765C6">
        <w:rPr>
          <w:rFonts w:hAnsi="標楷體" w:hint="eastAsia"/>
          <w:color w:val="000000"/>
        </w:rPr>
        <w:t>一、</w:t>
      </w:r>
      <w:bookmarkEnd w:id="1"/>
      <w:r w:rsidR="00014129" w:rsidRPr="00E765C6">
        <w:rPr>
          <w:rFonts w:hAnsi="標楷體" w:hint="eastAsia"/>
          <w:color w:val="000000"/>
        </w:rPr>
        <w:t>113年</w:t>
      </w:r>
      <w:r w:rsidR="009414AC" w:rsidRPr="00E765C6">
        <w:rPr>
          <w:rFonts w:hAnsi="標楷體" w:hint="eastAsia"/>
          <w:color w:val="000000"/>
        </w:rPr>
        <w:t>度</w:t>
      </w:r>
      <w:r w:rsidR="00014129" w:rsidRPr="00E765C6">
        <w:rPr>
          <w:rFonts w:hAnsi="標楷體" w:hint="eastAsia"/>
          <w:color w:val="000000"/>
        </w:rPr>
        <w:t>逾期應收帳款金額為近年新高，允宜改善業務部門</w:t>
      </w:r>
      <w:r w:rsidR="009414AC" w:rsidRPr="00E765C6">
        <w:rPr>
          <w:rFonts w:hAnsi="標楷體" w:hint="eastAsia"/>
          <w:color w:val="000000"/>
        </w:rPr>
        <w:t>協助催收之</w:t>
      </w:r>
      <w:r w:rsidR="00014129" w:rsidRPr="00E765C6">
        <w:rPr>
          <w:rFonts w:hAnsi="標楷體" w:hint="eastAsia"/>
          <w:color w:val="000000"/>
        </w:rPr>
        <w:t>工作進度並加強辦理債權處理</w:t>
      </w:r>
      <w:r w:rsidR="009414AC" w:rsidRPr="00E765C6">
        <w:rPr>
          <w:rFonts w:hAnsi="標楷體" w:hint="eastAsia"/>
          <w:color w:val="000000"/>
        </w:rPr>
        <w:t>，俾降低呆帳損失機率</w:t>
      </w:r>
      <w:bookmarkEnd w:id="2"/>
    </w:p>
    <w:p w:rsidR="00014129" w:rsidRPr="00E765C6" w:rsidRDefault="00014129" w:rsidP="00BB691A">
      <w:pPr>
        <w:ind w:left="566" w:firstLine="566"/>
        <w:rPr>
          <w:rFonts w:hAnsi="標楷體" w:hint="eastAsia"/>
          <w:color w:val="000000"/>
        </w:rPr>
      </w:pPr>
      <w:r w:rsidRPr="00E765C6">
        <w:rPr>
          <w:rFonts w:hAnsi="標楷體"/>
          <w:color w:val="000000"/>
        </w:rPr>
        <w:t>金屬中心114年度預算案資產負債預計表</w:t>
      </w:r>
      <w:r w:rsidR="009414AC" w:rsidRPr="00E765C6">
        <w:rPr>
          <w:rFonts w:hAnsi="標楷體" w:hint="eastAsia"/>
          <w:color w:val="000000"/>
        </w:rPr>
        <w:t>中</w:t>
      </w:r>
      <w:r w:rsidR="009414AC" w:rsidRPr="00E765C6">
        <w:rPr>
          <w:rFonts w:hAnsi="標楷體"/>
          <w:color w:val="000000"/>
        </w:rPr>
        <w:t>資產項下之「應收帳款-淨額」科目</w:t>
      </w:r>
      <w:r w:rsidR="009414AC" w:rsidRPr="00E765C6">
        <w:rPr>
          <w:rFonts w:hAnsi="標楷體" w:hint="eastAsia"/>
          <w:color w:val="000000"/>
        </w:rPr>
        <w:t>，預計</w:t>
      </w:r>
      <w:r w:rsidR="003E0057" w:rsidRPr="00E765C6">
        <w:rPr>
          <w:rFonts w:hAnsi="標楷體" w:hint="eastAsia"/>
          <w:color w:val="000000"/>
        </w:rPr>
        <w:t>1</w:t>
      </w:r>
      <w:r w:rsidR="003E0057" w:rsidRPr="00E765C6">
        <w:rPr>
          <w:rFonts w:hAnsi="標楷體"/>
          <w:color w:val="000000"/>
        </w:rPr>
        <w:t>14</w:t>
      </w:r>
      <w:r w:rsidR="003E0057" w:rsidRPr="00E765C6">
        <w:rPr>
          <w:rFonts w:hAnsi="標楷體" w:hint="eastAsia"/>
          <w:color w:val="000000"/>
        </w:rPr>
        <w:t>年1</w:t>
      </w:r>
      <w:r w:rsidR="003E0057" w:rsidRPr="00E765C6">
        <w:rPr>
          <w:rFonts w:hAnsi="標楷體"/>
          <w:color w:val="000000"/>
        </w:rPr>
        <w:t>2</w:t>
      </w:r>
      <w:r w:rsidR="003E0057" w:rsidRPr="00E765C6">
        <w:rPr>
          <w:rFonts w:hAnsi="標楷體" w:hint="eastAsia"/>
          <w:color w:val="000000"/>
        </w:rPr>
        <w:t>月3</w:t>
      </w:r>
      <w:r w:rsidR="003E0057" w:rsidRPr="00E765C6">
        <w:rPr>
          <w:rFonts w:hAnsi="標楷體"/>
          <w:color w:val="000000"/>
        </w:rPr>
        <w:t>1</w:t>
      </w:r>
      <w:r w:rsidR="003E0057" w:rsidRPr="00E765C6">
        <w:rPr>
          <w:rFonts w:hAnsi="標楷體" w:hint="eastAsia"/>
          <w:color w:val="000000"/>
        </w:rPr>
        <w:t>日</w:t>
      </w:r>
      <w:r w:rsidR="009414AC" w:rsidRPr="00E765C6">
        <w:rPr>
          <w:rFonts w:hAnsi="標楷體" w:hint="eastAsia"/>
          <w:color w:val="000000"/>
        </w:rPr>
        <w:t>為</w:t>
      </w:r>
      <w:r w:rsidRPr="00E765C6">
        <w:rPr>
          <w:rFonts w:hAnsi="標楷體"/>
          <w:color w:val="000000"/>
        </w:rPr>
        <w:t>4億4,746萬9千元，</w:t>
      </w:r>
      <w:r w:rsidR="003E0057" w:rsidRPr="00E765C6">
        <w:rPr>
          <w:rFonts w:hAnsi="標楷體" w:hint="eastAsia"/>
          <w:color w:val="000000"/>
        </w:rPr>
        <w:t>較1</w:t>
      </w:r>
      <w:r w:rsidR="003E0057" w:rsidRPr="00E765C6">
        <w:rPr>
          <w:rFonts w:hAnsi="標楷體"/>
          <w:color w:val="000000"/>
        </w:rPr>
        <w:t>13</w:t>
      </w:r>
      <w:r w:rsidR="003E0057" w:rsidRPr="00E765C6">
        <w:rPr>
          <w:rFonts w:hAnsi="標楷體" w:hint="eastAsia"/>
          <w:color w:val="000000"/>
        </w:rPr>
        <w:t>年1</w:t>
      </w:r>
      <w:r w:rsidR="003E0057" w:rsidRPr="00E765C6">
        <w:rPr>
          <w:rFonts w:hAnsi="標楷體"/>
          <w:color w:val="000000"/>
        </w:rPr>
        <w:t>2</w:t>
      </w:r>
      <w:r w:rsidR="003E0057" w:rsidRPr="00E765C6">
        <w:rPr>
          <w:rFonts w:hAnsi="標楷體" w:hint="eastAsia"/>
          <w:color w:val="000000"/>
        </w:rPr>
        <w:t>月3</w:t>
      </w:r>
      <w:r w:rsidR="003E0057" w:rsidRPr="00E765C6">
        <w:rPr>
          <w:rFonts w:hAnsi="標楷體"/>
          <w:color w:val="000000"/>
        </w:rPr>
        <w:t>1</w:t>
      </w:r>
      <w:r w:rsidR="003E0057" w:rsidRPr="00E765C6">
        <w:rPr>
          <w:rFonts w:hAnsi="標楷體" w:hint="eastAsia"/>
          <w:color w:val="000000"/>
        </w:rPr>
        <w:t>日</w:t>
      </w:r>
      <w:r w:rsidR="00D84A4A" w:rsidRPr="00E765C6">
        <w:rPr>
          <w:rFonts w:hAnsi="標楷體" w:hint="eastAsia"/>
          <w:color w:val="000000"/>
        </w:rPr>
        <w:t>預</w:t>
      </w:r>
      <w:r w:rsidR="000A18DF" w:rsidRPr="00E765C6">
        <w:rPr>
          <w:rFonts w:hAnsi="標楷體" w:hint="eastAsia"/>
          <w:color w:val="000000"/>
        </w:rPr>
        <w:t>計</w:t>
      </w:r>
      <w:r w:rsidR="003E0057" w:rsidRPr="00E765C6">
        <w:rPr>
          <w:rFonts w:hAnsi="標楷體" w:hint="eastAsia"/>
          <w:color w:val="000000"/>
        </w:rPr>
        <w:t>數</w:t>
      </w:r>
      <w:r w:rsidR="003E0057" w:rsidRPr="00E765C6">
        <w:rPr>
          <w:rFonts w:hAnsi="標楷體"/>
          <w:color w:val="000000"/>
        </w:rPr>
        <w:t>4億2,145萬8千元，</w:t>
      </w:r>
      <w:r w:rsidR="003E0057" w:rsidRPr="00E765C6">
        <w:rPr>
          <w:rFonts w:hAnsi="標楷體" w:hint="eastAsia"/>
          <w:color w:val="000000"/>
        </w:rPr>
        <w:t>增加</w:t>
      </w:r>
      <w:r w:rsidR="003E0057" w:rsidRPr="00E765C6">
        <w:rPr>
          <w:rFonts w:hAnsi="標楷體"/>
          <w:color w:val="000000"/>
        </w:rPr>
        <w:t>2,601萬1千元</w:t>
      </w:r>
      <w:r w:rsidRPr="00E765C6">
        <w:rPr>
          <w:rFonts w:hAnsi="標楷體"/>
          <w:color w:val="000000"/>
        </w:rPr>
        <w:t>。經查：</w:t>
      </w:r>
    </w:p>
    <w:p w:rsidR="00BB691A" w:rsidRPr="00E765C6" w:rsidRDefault="00BB691A" w:rsidP="00014129">
      <w:pPr>
        <w:pStyle w:val="a4"/>
        <w:ind w:left="849" w:hanging="283"/>
        <w:rPr>
          <w:rFonts w:hAnsi="標楷體"/>
          <w:b/>
          <w:color w:val="000000"/>
        </w:rPr>
      </w:pPr>
      <w:r w:rsidRPr="00E765C6">
        <w:rPr>
          <w:rFonts w:hAnsi="標楷體" w:hint="eastAsia"/>
          <w:b/>
          <w:color w:val="000000"/>
        </w:rPr>
        <w:t>(一)</w:t>
      </w:r>
      <w:r w:rsidR="00014129" w:rsidRPr="00E765C6">
        <w:rPr>
          <w:rFonts w:hAnsi="標楷體"/>
          <w:b/>
          <w:color w:val="000000"/>
        </w:rPr>
        <w:t>依據金屬工業研究發展中心出納會計事務處理作業規定，逾60天之應收帳款應追蹤管制</w:t>
      </w:r>
    </w:p>
    <w:p w:rsidR="00014129" w:rsidRPr="00E765C6" w:rsidRDefault="00014129" w:rsidP="00014129">
      <w:pPr>
        <w:pStyle w:val="2"/>
        <w:ind w:left="850" w:firstLine="566"/>
        <w:rPr>
          <w:rFonts w:hAnsi="標楷體"/>
          <w:bCs/>
          <w:color w:val="000000"/>
        </w:rPr>
      </w:pPr>
      <w:r w:rsidRPr="00E765C6">
        <w:rPr>
          <w:rFonts w:hAnsi="標楷體"/>
          <w:bCs/>
          <w:color w:val="000000"/>
        </w:rPr>
        <w:t>應收帳款</w:t>
      </w:r>
      <w:r w:rsidR="009414AC" w:rsidRPr="00E765C6">
        <w:rPr>
          <w:rFonts w:hAnsi="標楷體"/>
          <w:bCs/>
          <w:color w:val="000000"/>
        </w:rPr>
        <w:t>之</w:t>
      </w:r>
      <w:r w:rsidRPr="00E765C6">
        <w:rPr>
          <w:rFonts w:hAnsi="標楷體"/>
          <w:bCs/>
          <w:color w:val="000000"/>
        </w:rPr>
        <w:t>產生源於業務收入，應收帳款</w:t>
      </w:r>
      <w:r w:rsidR="009414AC" w:rsidRPr="00E765C6">
        <w:rPr>
          <w:rFonts w:hAnsi="標楷體"/>
          <w:bCs/>
          <w:color w:val="000000"/>
        </w:rPr>
        <w:t>之</w:t>
      </w:r>
      <w:r w:rsidRPr="00E765C6">
        <w:rPr>
          <w:rFonts w:hAnsi="標楷體"/>
          <w:bCs/>
          <w:color w:val="000000"/>
        </w:rPr>
        <w:t>收現屬於債權</w:t>
      </w:r>
      <w:r w:rsidR="009414AC" w:rsidRPr="00E765C6">
        <w:rPr>
          <w:rFonts w:hAnsi="標楷體"/>
          <w:bCs/>
          <w:color w:val="000000"/>
        </w:rPr>
        <w:t>之</w:t>
      </w:r>
      <w:r w:rsidRPr="00E765C6">
        <w:rPr>
          <w:rFonts w:hAnsi="標楷體"/>
          <w:bCs/>
          <w:color w:val="000000"/>
        </w:rPr>
        <w:t>實現，不影響損益。然而，當應收帳款無法收回，需要認列呆帳損失時</w:t>
      </w:r>
      <w:r w:rsidR="009414AC" w:rsidRPr="00E765C6">
        <w:rPr>
          <w:rFonts w:hAnsi="標楷體" w:hint="eastAsia"/>
          <w:bCs/>
          <w:color w:val="000000"/>
        </w:rPr>
        <w:t>，</w:t>
      </w:r>
      <w:r w:rsidRPr="00E765C6">
        <w:rPr>
          <w:rFonts w:hAnsi="標楷體"/>
          <w:bCs/>
          <w:color w:val="000000"/>
        </w:rPr>
        <w:t>將致營業費用增加進而影響損益。</w:t>
      </w:r>
    </w:p>
    <w:p w:rsidR="00014129" w:rsidRPr="00E765C6" w:rsidRDefault="00014129" w:rsidP="00BB691A">
      <w:pPr>
        <w:pStyle w:val="2"/>
        <w:ind w:left="850" w:firstLine="566"/>
        <w:rPr>
          <w:rFonts w:hAnsi="標楷體" w:hint="eastAsia"/>
          <w:color w:val="000000"/>
        </w:rPr>
      </w:pPr>
      <w:r w:rsidRPr="00E765C6">
        <w:rPr>
          <w:rFonts w:hAnsi="標楷體"/>
          <w:color w:val="000000"/>
        </w:rPr>
        <w:lastRenderedPageBreak/>
        <w:t>依據該中心出納會計事務處理作業規定</w:t>
      </w:r>
      <w:r w:rsidR="00717572" w:rsidRPr="00E765C6">
        <w:rPr>
          <w:rFonts w:hAnsi="標楷體" w:hint="eastAsia"/>
          <w:color w:val="000000"/>
        </w:rPr>
        <w:t>第3</w:t>
      </w:r>
      <w:r w:rsidR="00717572" w:rsidRPr="00E765C6">
        <w:rPr>
          <w:rFonts w:hAnsi="標楷體"/>
          <w:color w:val="000000"/>
        </w:rPr>
        <w:t>0</w:t>
      </w:r>
      <w:r w:rsidR="00717572" w:rsidRPr="00E765C6">
        <w:rPr>
          <w:rFonts w:hAnsi="標楷體" w:hint="eastAsia"/>
          <w:color w:val="000000"/>
        </w:rPr>
        <w:t>條</w:t>
      </w:r>
      <w:r w:rsidRPr="00E765C6">
        <w:rPr>
          <w:rFonts w:hAnsi="標楷體"/>
          <w:color w:val="000000"/>
        </w:rPr>
        <w:t>略以，逾60天之應收帳款列表通知業務部門協助催收，其中屬第一期款者另通知業務部門檢</w:t>
      </w:r>
      <w:r w:rsidR="0034256B" w:rsidRPr="00E765C6">
        <w:rPr>
          <w:rFonts w:hAnsi="標楷體" w:hint="eastAsia"/>
          <w:color w:val="000000"/>
        </w:rPr>
        <w:t>討</w:t>
      </w:r>
      <w:r w:rsidRPr="00E765C6">
        <w:rPr>
          <w:rFonts w:hAnsi="標楷體"/>
          <w:color w:val="000000"/>
        </w:rPr>
        <w:t>原因呈核並追蹤管制，逾90天寄發催款函催款。債權逾2年經催收後無法收取，或客戶因倒閉等宣告，帳款催收無門者，得以呆帳處理。</w:t>
      </w:r>
    </w:p>
    <w:p w:rsidR="00BB691A" w:rsidRPr="00E765C6" w:rsidRDefault="00BB691A" w:rsidP="00BB691A">
      <w:pPr>
        <w:pStyle w:val="a4"/>
        <w:ind w:left="849" w:hanging="283"/>
        <w:rPr>
          <w:rFonts w:hAnsi="標楷體"/>
          <w:b/>
          <w:color w:val="000000"/>
        </w:rPr>
      </w:pPr>
      <w:r w:rsidRPr="00E765C6">
        <w:rPr>
          <w:rFonts w:hAnsi="標楷體" w:hint="eastAsia"/>
          <w:b/>
          <w:color w:val="000000"/>
        </w:rPr>
        <w:t>(二)</w:t>
      </w:r>
      <w:r w:rsidR="009414AC" w:rsidRPr="00E765C6">
        <w:rPr>
          <w:rFonts w:hAnsi="標楷體" w:hint="eastAsia"/>
          <w:b/>
          <w:color w:val="000000"/>
        </w:rPr>
        <w:t>1</w:t>
      </w:r>
      <w:r w:rsidR="009414AC" w:rsidRPr="00E765C6">
        <w:rPr>
          <w:rFonts w:hAnsi="標楷體"/>
          <w:b/>
          <w:color w:val="000000"/>
        </w:rPr>
        <w:t>12</w:t>
      </w:r>
      <w:r w:rsidR="009414AC" w:rsidRPr="00E765C6">
        <w:rPr>
          <w:rFonts w:hAnsi="標楷體" w:hint="eastAsia"/>
          <w:b/>
          <w:color w:val="000000"/>
        </w:rPr>
        <w:t>及1</w:t>
      </w:r>
      <w:r w:rsidR="009414AC" w:rsidRPr="00E765C6">
        <w:rPr>
          <w:rFonts w:hAnsi="標楷體"/>
          <w:b/>
          <w:color w:val="000000"/>
        </w:rPr>
        <w:t>13</w:t>
      </w:r>
      <w:r w:rsidR="009414AC" w:rsidRPr="00E765C6">
        <w:rPr>
          <w:rFonts w:hAnsi="標楷體" w:hint="eastAsia"/>
          <w:b/>
          <w:color w:val="000000"/>
        </w:rPr>
        <w:t>年度</w:t>
      </w:r>
      <w:r w:rsidR="00014129" w:rsidRPr="00E765C6">
        <w:rPr>
          <w:rFonts w:hAnsi="標楷體" w:hint="eastAsia"/>
          <w:b/>
          <w:color w:val="000000"/>
        </w:rPr>
        <w:t>逾60天以上應收帳款金額</w:t>
      </w:r>
      <w:r w:rsidR="009414AC" w:rsidRPr="00E765C6">
        <w:rPr>
          <w:rFonts w:hAnsi="標楷體" w:hint="eastAsia"/>
          <w:b/>
          <w:color w:val="000000"/>
        </w:rPr>
        <w:t>較往</w:t>
      </w:r>
      <w:r w:rsidR="00014129" w:rsidRPr="00E765C6">
        <w:rPr>
          <w:rFonts w:hAnsi="標楷體" w:hint="eastAsia"/>
          <w:b/>
          <w:color w:val="000000"/>
        </w:rPr>
        <w:t>年增加</w:t>
      </w:r>
    </w:p>
    <w:p w:rsidR="00014129" w:rsidRPr="00E765C6" w:rsidRDefault="00014129" w:rsidP="00014129">
      <w:pPr>
        <w:pStyle w:val="2"/>
        <w:ind w:left="850" w:firstLine="566"/>
        <w:rPr>
          <w:rFonts w:hAnsi="標楷體"/>
          <w:bCs/>
          <w:color w:val="000000"/>
        </w:rPr>
      </w:pPr>
      <w:r w:rsidRPr="00E765C6">
        <w:rPr>
          <w:rFonts w:hAnsi="標楷體"/>
          <w:bCs/>
          <w:color w:val="000000"/>
        </w:rPr>
        <w:t>查該中心應收帳款帳齡分析，109年底逾60天以上應收款金額2</w:t>
      </w:r>
      <w:r w:rsidR="000F2E48" w:rsidRPr="00E765C6">
        <w:rPr>
          <w:rFonts w:hAnsi="標楷體"/>
          <w:bCs/>
          <w:color w:val="000000"/>
        </w:rPr>
        <w:t>,</w:t>
      </w:r>
      <w:r w:rsidRPr="00E765C6">
        <w:rPr>
          <w:rFonts w:hAnsi="標楷體"/>
          <w:bCs/>
          <w:color w:val="000000"/>
        </w:rPr>
        <w:t>532</w:t>
      </w:r>
      <w:r w:rsidR="000F2E48" w:rsidRPr="00E765C6">
        <w:rPr>
          <w:rFonts w:hAnsi="標楷體" w:hint="eastAsia"/>
          <w:bCs/>
          <w:color w:val="000000"/>
        </w:rPr>
        <w:t>萬</w:t>
      </w:r>
      <w:r w:rsidRPr="00E765C6">
        <w:rPr>
          <w:rFonts w:hAnsi="標楷體"/>
          <w:bCs/>
          <w:color w:val="000000"/>
        </w:rPr>
        <w:t>元，占應收帳款</w:t>
      </w:r>
      <w:r w:rsidR="000F2E48" w:rsidRPr="00E765C6">
        <w:rPr>
          <w:rFonts w:hAnsi="標楷體" w:hint="eastAsia"/>
          <w:bCs/>
          <w:color w:val="000000"/>
        </w:rPr>
        <w:t>4億2</w:t>
      </w:r>
      <w:r w:rsidR="000F2E48" w:rsidRPr="00E765C6">
        <w:rPr>
          <w:rFonts w:hAnsi="標楷體"/>
          <w:bCs/>
          <w:color w:val="000000"/>
        </w:rPr>
        <w:t>,923</w:t>
      </w:r>
      <w:r w:rsidR="000F2E48" w:rsidRPr="00E765C6">
        <w:rPr>
          <w:rFonts w:hAnsi="標楷體" w:hint="eastAsia"/>
          <w:bCs/>
          <w:color w:val="000000"/>
        </w:rPr>
        <w:t>萬6</w:t>
      </w:r>
      <w:r w:rsidR="000F2E48" w:rsidRPr="00E765C6">
        <w:rPr>
          <w:rFonts w:hAnsi="標楷體"/>
          <w:bCs/>
          <w:color w:val="000000"/>
        </w:rPr>
        <w:t>千元</w:t>
      </w:r>
      <w:r w:rsidRPr="00E765C6">
        <w:rPr>
          <w:rFonts w:hAnsi="標楷體"/>
          <w:bCs/>
          <w:color w:val="000000"/>
        </w:rPr>
        <w:t>比率5.9%，</w:t>
      </w:r>
      <w:r w:rsidR="000F2E48" w:rsidRPr="00E765C6" w:rsidDel="000F2E48">
        <w:rPr>
          <w:rFonts w:hAnsi="標楷體"/>
          <w:bCs/>
          <w:color w:val="000000"/>
        </w:rPr>
        <w:t xml:space="preserve"> </w:t>
      </w:r>
      <w:r w:rsidRPr="00E765C6">
        <w:rPr>
          <w:rFonts w:hAnsi="標楷體"/>
          <w:bCs/>
          <w:color w:val="000000"/>
        </w:rPr>
        <w:t>111年底逾60天以上應收款金額</w:t>
      </w:r>
      <w:r w:rsidR="000F2E48" w:rsidRPr="00E765C6">
        <w:rPr>
          <w:rFonts w:hAnsi="標楷體" w:hint="eastAsia"/>
          <w:bCs/>
          <w:color w:val="000000"/>
        </w:rPr>
        <w:t>降為</w:t>
      </w:r>
      <w:r w:rsidRPr="00E765C6">
        <w:rPr>
          <w:rFonts w:hAnsi="標楷體"/>
          <w:bCs/>
          <w:color w:val="000000"/>
        </w:rPr>
        <w:t>2</w:t>
      </w:r>
      <w:r w:rsidR="000F2E48" w:rsidRPr="00E765C6">
        <w:rPr>
          <w:rFonts w:hAnsi="標楷體"/>
          <w:bCs/>
          <w:color w:val="000000"/>
        </w:rPr>
        <w:t>,</w:t>
      </w:r>
      <w:r w:rsidRPr="00E765C6">
        <w:rPr>
          <w:rFonts w:hAnsi="標楷體"/>
          <w:bCs/>
          <w:color w:val="000000"/>
        </w:rPr>
        <w:t>062</w:t>
      </w:r>
      <w:r w:rsidR="000F2E48" w:rsidRPr="00E765C6">
        <w:rPr>
          <w:rFonts w:hAnsi="標楷體" w:hint="eastAsia"/>
          <w:bCs/>
          <w:color w:val="000000"/>
        </w:rPr>
        <w:t>萬</w:t>
      </w:r>
      <w:r w:rsidR="00BA6926" w:rsidRPr="00E765C6">
        <w:rPr>
          <w:rFonts w:hAnsi="標楷體"/>
          <w:bCs/>
          <w:color w:val="000000"/>
        </w:rPr>
        <w:t>8</w:t>
      </w:r>
      <w:r w:rsidRPr="00E765C6">
        <w:rPr>
          <w:rFonts w:hAnsi="標楷體"/>
          <w:bCs/>
          <w:color w:val="000000"/>
        </w:rPr>
        <w:t>千元，占應收帳款比率4.4%，</w:t>
      </w:r>
      <w:r w:rsidR="000F2E48" w:rsidRPr="00E765C6">
        <w:rPr>
          <w:rFonts w:hAnsi="標楷體" w:hint="eastAsia"/>
          <w:bCs/>
          <w:color w:val="000000"/>
        </w:rPr>
        <w:t>為近5年(</w:t>
      </w:r>
      <w:r w:rsidR="000F2E48" w:rsidRPr="00E765C6">
        <w:rPr>
          <w:rFonts w:hAnsi="標楷體"/>
          <w:bCs/>
          <w:color w:val="000000"/>
        </w:rPr>
        <w:t>109</w:t>
      </w:r>
      <w:r w:rsidR="00A32770" w:rsidRPr="00E765C6">
        <w:rPr>
          <w:rFonts w:hAnsi="標楷體" w:hint="eastAsia"/>
          <w:bCs/>
          <w:color w:val="000000"/>
        </w:rPr>
        <w:t>至1</w:t>
      </w:r>
      <w:r w:rsidR="000F2E48" w:rsidRPr="00E765C6">
        <w:rPr>
          <w:rFonts w:hAnsi="標楷體" w:hint="eastAsia"/>
          <w:bCs/>
          <w:color w:val="000000"/>
        </w:rPr>
        <w:t>1</w:t>
      </w:r>
      <w:r w:rsidR="000F2E48" w:rsidRPr="00E765C6">
        <w:rPr>
          <w:rFonts w:hAnsi="標楷體"/>
          <w:bCs/>
          <w:color w:val="000000"/>
        </w:rPr>
        <w:t>3</w:t>
      </w:r>
      <w:r w:rsidR="000F2E48" w:rsidRPr="00E765C6">
        <w:rPr>
          <w:rFonts w:hAnsi="標楷體" w:hint="eastAsia"/>
          <w:bCs/>
          <w:color w:val="000000"/>
        </w:rPr>
        <w:t>年度</w:t>
      </w:r>
      <w:r w:rsidR="000F2E48" w:rsidRPr="00E765C6">
        <w:rPr>
          <w:rFonts w:hAnsi="標楷體"/>
          <w:bCs/>
          <w:color w:val="000000"/>
        </w:rPr>
        <w:t>)</w:t>
      </w:r>
      <w:r w:rsidR="000F2E48" w:rsidRPr="00E765C6">
        <w:rPr>
          <w:rFonts w:hAnsi="標楷體" w:hint="eastAsia"/>
          <w:bCs/>
          <w:color w:val="000000"/>
        </w:rPr>
        <w:t>最低，惟</w:t>
      </w:r>
      <w:r w:rsidRPr="00E765C6">
        <w:rPr>
          <w:rFonts w:hAnsi="標楷體"/>
          <w:bCs/>
          <w:color w:val="000000"/>
        </w:rPr>
        <w:t>112年底逾60天以上應收款金額4</w:t>
      </w:r>
      <w:r w:rsidR="000F2E48" w:rsidRPr="00E765C6">
        <w:rPr>
          <w:rFonts w:hAnsi="標楷體"/>
          <w:bCs/>
          <w:color w:val="000000"/>
        </w:rPr>
        <w:t>,</w:t>
      </w:r>
      <w:r w:rsidRPr="00E765C6">
        <w:rPr>
          <w:rFonts w:hAnsi="標楷體"/>
          <w:bCs/>
          <w:color w:val="000000"/>
        </w:rPr>
        <w:t>172</w:t>
      </w:r>
      <w:r w:rsidR="000F2E48" w:rsidRPr="00E765C6">
        <w:rPr>
          <w:rFonts w:hAnsi="標楷體" w:hint="eastAsia"/>
          <w:bCs/>
          <w:color w:val="000000"/>
        </w:rPr>
        <w:t>萬</w:t>
      </w:r>
      <w:r w:rsidR="003E0057" w:rsidRPr="00E765C6">
        <w:rPr>
          <w:rFonts w:hAnsi="標楷體"/>
          <w:bCs/>
          <w:color w:val="000000"/>
        </w:rPr>
        <w:t>7</w:t>
      </w:r>
      <w:r w:rsidRPr="00E765C6">
        <w:rPr>
          <w:rFonts w:hAnsi="標楷體"/>
          <w:bCs/>
          <w:color w:val="000000"/>
        </w:rPr>
        <w:t>千元，占應收帳款比率9.5</w:t>
      </w:r>
      <w:r w:rsidR="003E0057" w:rsidRPr="00E765C6">
        <w:rPr>
          <w:rFonts w:hAnsi="標楷體"/>
          <w:bCs/>
          <w:color w:val="000000"/>
        </w:rPr>
        <w:t>5</w:t>
      </w:r>
      <w:r w:rsidRPr="00E765C6">
        <w:rPr>
          <w:rFonts w:hAnsi="標楷體"/>
          <w:bCs/>
          <w:color w:val="000000"/>
        </w:rPr>
        <w:t>%，</w:t>
      </w:r>
      <w:r w:rsidR="000F2E48" w:rsidRPr="00E765C6">
        <w:rPr>
          <w:rFonts w:hAnsi="標楷體" w:hint="eastAsia"/>
          <w:bCs/>
          <w:color w:val="000000"/>
        </w:rPr>
        <w:t>及</w:t>
      </w:r>
      <w:r w:rsidRPr="00E765C6">
        <w:rPr>
          <w:rFonts w:hAnsi="標楷體"/>
          <w:bCs/>
          <w:color w:val="000000"/>
        </w:rPr>
        <w:t>113年</w:t>
      </w:r>
      <w:r w:rsidR="000F2E48" w:rsidRPr="00E765C6">
        <w:rPr>
          <w:rFonts w:hAnsi="標楷體" w:hint="eastAsia"/>
          <w:bCs/>
          <w:color w:val="000000"/>
        </w:rPr>
        <w:t>底</w:t>
      </w:r>
      <w:r w:rsidRPr="00E765C6">
        <w:rPr>
          <w:rFonts w:hAnsi="標楷體"/>
          <w:bCs/>
          <w:color w:val="000000"/>
        </w:rPr>
        <w:t>逾60天以上應收款金額4</w:t>
      </w:r>
      <w:r w:rsidR="000F2E48" w:rsidRPr="00E765C6">
        <w:rPr>
          <w:rFonts w:hAnsi="標楷體"/>
          <w:bCs/>
          <w:color w:val="000000"/>
        </w:rPr>
        <w:t>,</w:t>
      </w:r>
      <w:r w:rsidRPr="00E765C6">
        <w:rPr>
          <w:rFonts w:hAnsi="標楷體"/>
          <w:bCs/>
          <w:color w:val="000000"/>
        </w:rPr>
        <w:t>217</w:t>
      </w:r>
      <w:r w:rsidR="000F2E48" w:rsidRPr="00E765C6">
        <w:rPr>
          <w:rFonts w:hAnsi="標楷體" w:hint="eastAsia"/>
          <w:bCs/>
          <w:color w:val="000000"/>
        </w:rPr>
        <w:t>萬</w:t>
      </w:r>
      <w:r w:rsidR="00491B75" w:rsidRPr="00E765C6">
        <w:rPr>
          <w:rFonts w:hAnsi="標楷體"/>
          <w:bCs/>
          <w:color w:val="000000"/>
        </w:rPr>
        <w:t>4</w:t>
      </w:r>
      <w:r w:rsidRPr="00E765C6">
        <w:rPr>
          <w:rFonts w:hAnsi="標楷體"/>
          <w:bCs/>
          <w:color w:val="000000"/>
        </w:rPr>
        <w:t>千元，占該年底應收帳款比率7.08%，</w:t>
      </w:r>
      <w:r w:rsidR="000F2E48" w:rsidRPr="00E765C6">
        <w:rPr>
          <w:rFonts w:hAnsi="標楷體" w:hint="eastAsia"/>
          <w:bCs/>
          <w:color w:val="000000"/>
        </w:rPr>
        <w:t>金額及占比均較往年增加，</w:t>
      </w:r>
      <w:r w:rsidRPr="00E765C6">
        <w:rPr>
          <w:rFonts w:hAnsi="標楷體"/>
          <w:bCs/>
          <w:color w:val="000000"/>
        </w:rPr>
        <w:t>其中113年底逾1年以上未收款核有1,744萬9千元，占比達2.93%</w:t>
      </w:r>
      <w:r w:rsidR="000F2E48" w:rsidRPr="00E765C6">
        <w:rPr>
          <w:rFonts w:hAnsi="標楷體"/>
          <w:bCs/>
          <w:color w:val="000000"/>
        </w:rPr>
        <w:t>(</w:t>
      </w:r>
      <w:r w:rsidR="000F2E48" w:rsidRPr="00E765C6">
        <w:rPr>
          <w:rFonts w:hAnsi="標楷體" w:hint="eastAsia"/>
          <w:bCs/>
          <w:color w:val="000000"/>
        </w:rPr>
        <w:t>詳表1</w:t>
      </w:r>
      <w:r w:rsidR="000F2E48" w:rsidRPr="00E765C6">
        <w:rPr>
          <w:rFonts w:hAnsi="標楷體"/>
          <w:bCs/>
          <w:color w:val="000000"/>
        </w:rPr>
        <w:t>)</w:t>
      </w:r>
      <w:r w:rsidRPr="00E765C6">
        <w:rPr>
          <w:rFonts w:hAnsi="標楷體"/>
          <w:bCs/>
          <w:color w:val="000000"/>
        </w:rPr>
        <w:t>，金額</w:t>
      </w:r>
      <w:r w:rsidR="000F2E48" w:rsidRPr="00E765C6">
        <w:rPr>
          <w:rFonts w:hAnsi="標楷體" w:hint="eastAsia"/>
          <w:bCs/>
          <w:color w:val="000000"/>
        </w:rPr>
        <w:t>較1</w:t>
      </w:r>
      <w:r w:rsidR="000F2E48" w:rsidRPr="00E765C6">
        <w:rPr>
          <w:rFonts w:hAnsi="標楷體"/>
          <w:bCs/>
          <w:color w:val="000000"/>
        </w:rPr>
        <w:t>09</w:t>
      </w:r>
      <w:r w:rsidR="000F2E48" w:rsidRPr="00E765C6">
        <w:rPr>
          <w:rFonts w:hAnsi="標楷體" w:hint="eastAsia"/>
          <w:bCs/>
          <w:color w:val="000000"/>
        </w:rPr>
        <w:t>年度</w:t>
      </w:r>
      <w:r w:rsidRPr="00E765C6">
        <w:rPr>
          <w:rFonts w:hAnsi="標楷體"/>
          <w:bCs/>
          <w:color w:val="000000"/>
        </w:rPr>
        <w:t>高出</w:t>
      </w:r>
      <w:r w:rsidR="000F2E48" w:rsidRPr="00E765C6">
        <w:rPr>
          <w:rFonts w:hAnsi="標楷體" w:hint="eastAsia"/>
          <w:bCs/>
          <w:color w:val="000000"/>
        </w:rPr>
        <w:t>1</w:t>
      </w:r>
      <w:r w:rsidR="000F2E48" w:rsidRPr="00E765C6">
        <w:rPr>
          <w:rFonts w:hAnsi="標楷體"/>
          <w:bCs/>
          <w:color w:val="000000"/>
        </w:rPr>
        <w:t>.93</w:t>
      </w:r>
      <w:r w:rsidRPr="00E765C6">
        <w:rPr>
          <w:rFonts w:hAnsi="標楷體"/>
          <w:bCs/>
          <w:color w:val="000000"/>
        </w:rPr>
        <w:t>倍。</w:t>
      </w:r>
    </w:p>
    <w:p w:rsidR="00014129" w:rsidRPr="00E765C6" w:rsidRDefault="00014129" w:rsidP="000D1CF5">
      <w:pPr>
        <w:widowControl/>
        <w:spacing w:beforeLines="50" w:before="250" w:line="440" w:lineRule="exact"/>
        <w:ind w:leftChars="50" w:left="142" w:rightChars="-100" w:right="-283" w:firstLineChars="0" w:firstLine="0"/>
        <w:jc w:val="left"/>
        <w:rPr>
          <w:rFonts w:hAnsi="標楷體"/>
          <w:bCs/>
          <w:snapToGrid/>
          <w:color w:val="000000"/>
          <w:kern w:val="52"/>
          <w:sz w:val="24"/>
          <w:szCs w:val="24"/>
        </w:rPr>
      </w:pPr>
      <w:bookmarkStart w:id="3" w:name="_Hlk185259681"/>
      <w:r w:rsidRPr="00E765C6">
        <w:rPr>
          <w:rFonts w:hAnsi="標楷體"/>
          <w:b/>
          <w:bCs/>
          <w:snapToGrid/>
          <w:color w:val="000000"/>
          <w:kern w:val="52"/>
        </w:rPr>
        <w:t>表1 金屬中心109至113年應收帳款帳齡分析</w:t>
      </w:r>
      <w:r w:rsidR="00B14792" w:rsidRPr="00E765C6">
        <w:rPr>
          <w:rFonts w:hAnsi="標楷體" w:hint="eastAsia"/>
          <w:b/>
          <w:bCs/>
          <w:snapToGrid/>
          <w:color w:val="000000"/>
          <w:kern w:val="52"/>
        </w:rPr>
        <w:t xml:space="preserve"> </w:t>
      </w:r>
      <w:r w:rsidR="00B14792" w:rsidRPr="00E765C6">
        <w:rPr>
          <w:rFonts w:hAnsi="標楷體"/>
          <w:b/>
          <w:bCs/>
          <w:snapToGrid/>
          <w:color w:val="000000"/>
          <w:kern w:val="52"/>
        </w:rPr>
        <w:t xml:space="preserve">    </w:t>
      </w:r>
      <w:r w:rsidR="00B14792" w:rsidRPr="00E765C6">
        <w:rPr>
          <w:rFonts w:hAnsi="標楷體"/>
          <w:bCs/>
          <w:snapToGrid/>
          <w:color w:val="000000"/>
          <w:kern w:val="52"/>
          <w:sz w:val="24"/>
          <w:szCs w:val="24"/>
        </w:rPr>
        <w:t>單位:</w:t>
      </w:r>
      <w:r w:rsidR="00B14792" w:rsidRPr="00E765C6">
        <w:rPr>
          <w:rFonts w:hAnsi="標楷體" w:hint="eastAsia"/>
          <w:bCs/>
          <w:snapToGrid/>
          <w:color w:val="000000"/>
          <w:kern w:val="52"/>
          <w:sz w:val="24"/>
          <w:szCs w:val="24"/>
        </w:rPr>
        <w:t>新臺幣</w:t>
      </w:r>
      <w:r w:rsidR="00B14792" w:rsidRPr="00E765C6">
        <w:rPr>
          <w:rFonts w:hAnsi="標楷體"/>
          <w:bCs/>
          <w:snapToGrid/>
          <w:color w:val="000000"/>
          <w:kern w:val="52"/>
          <w:sz w:val="24"/>
          <w:szCs w:val="24"/>
        </w:rPr>
        <w:t>千元</w:t>
      </w:r>
      <w:r w:rsidR="00A01A38" w:rsidRPr="00E765C6">
        <w:rPr>
          <w:rFonts w:hAnsi="標楷體" w:hint="eastAsia"/>
          <w:bCs/>
          <w:snapToGrid/>
          <w:color w:val="000000"/>
          <w:kern w:val="52"/>
          <w:sz w:val="24"/>
          <w:szCs w:val="24"/>
        </w:rPr>
        <w:t>；</w:t>
      </w:r>
      <w:r w:rsidR="00FF0644" w:rsidRPr="00E765C6">
        <w:rPr>
          <w:rFonts w:hAnsi="標楷體"/>
          <w:bCs/>
          <w:snapToGrid/>
          <w:color w:val="000000"/>
          <w:kern w:val="52"/>
          <w:sz w:val="24"/>
          <w:szCs w:val="24"/>
        </w:rPr>
        <w:t>%</w:t>
      </w:r>
      <w:r w:rsidRPr="00E765C6">
        <w:rPr>
          <w:rFonts w:hAnsi="標楷體"/>
          <w:b/>
          <w:bCs/>
          <w:snapToGrid/>
          <w:color w:val="000000"/>
          <w:kern w:val="52"/>
          <w:sz w:val="24"/>
          <w:szCs w:val="24"/>
        </w:rPr>
        <w:t xml:space="preserve">              </w:t>
      </w:r>
      <w:r w:rsidR="00B14792" w:rsidRPr="00E765C6">
        <w:rPr>
          <w:rFonts w:hAnsi="標楷體"/>
          <w:b/>
          <w:bCs/>
          <w:snapToGrid/>
          <w:color w:val="000000"/>
          <w:kern w:val="52"/>
          <w:sz w:val="24"/>
          <w:szCs w:val="24"/>
        </w:rPr>
        <w:t xml:space="preserve">                           </w:t>
      </w:r>
    </w:p>
    <w:tbl>
      <w:tblPr>
        <w:tblW w:w="881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14"/>
        <w:gridCol w:w="851"/>
        <w:gridCol w:w="712"/>
        <w:gridCol w:w="844"/>
        <w:gridCol w:w="7"/>
        <w:gridCol w:w="709"/>
        <w:gridCol w:w="850"/>
        <w:gridCol w:w="709"/>
        <w:gridCol w:w="851"/>
        <w:gridCol w:w="708"/>
        <w:gridCol w:w="851"/>
        <w:gridCol w:w="708"/>
      </w:tblGrid>
      <w:tr w:rsidR="00521EF1" w:rsidRPr="00E765C6" w:rsidTr="00F5392A">
        <w:trPr>
          <w:trHeight w:val="283"/>
          <w:tblHeader/>
        </w:trPr>
        <w:tc>
          <w:tcPr>
            <w:tcW w:w="1014" w:type="dxa"/>
            <w:tcBorders>
              <w:top w:val="single" w:sz="12" w:space="0" w:color="auto"/>
              <w:left w:val="single" w:sz="12" w:space="0" w:color="auto"/>
            </w:tcBorders>
            <w:shd w:val="clear" w:color="auto" w:fill="auto"/>
            <w:vAlign w:val="center"/>
          </w:tcPr>
          <w:bookmarkEnd w:id="3"/>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日期</w:t>
            </w:r>
          </w:p>
        </w:tc>
        <w:tc>
          <w:tcPr>
            <w:tcW w:w="1563" w:type="dxa"/>
            <w:gridSpan w:val="2"/>
            <w:tcBorders>
              <w:top w:val="single" w:sz="12" w:space="0" w:color="auto"/>
            </w:tcBorders>
            <w:shd w:val="clear" w:color="auto" w:fill="auto"/>
            <w:vAlign w:val="center"/>
          </w:tcPr>
          <w:p w:rsidR="00014129" w:rsidRPr="00E765C6" w:rsidRDefault="00014129" w:rsidP="006305EA">
            <w:pPr>
              <w:widowControl/>
              <w:adjustRightInd w:val="0"/>
              <w:snapToGrid w:val="0"/>
              <w:spacing w:line="240" w:lineRule="auto"/>
              <w:ind w:leftChars="0" w:left="0" w:firstLineChars="0" w:firstLine="0"/>
              <w:jc w:val="left"/>
              <w:rPr>
                <w:rFonts w:hAnsi="標楷體"/>
                <w:snapToGrid/>
                <w:color w:val="000000"/>
                <w:spacing w:val="-6"/>
                <w:sz w:val="20"/>
                <w:szCs w:val="20"/>
              </w:rPr>
            </w:pPr>
            <w:r w:rsidRPr="00E765C6">
              <w:rPr>
                <w:rFonts w:hAnsi="標楷體"/>
                <w:bCs/>
                <w:snapToGrid/>
                <w:color w:val="000000"/>
                <w:spacing w:val="-6"/>
                <w:kern w:val="52"/>
                <w:sz w:val="20"/>
                <w:szCs w:val="20"/>
              </w:rPr>
              <w:t>109年12月31日</w:t>
            </w:r>
          </w:p>
        </w:tc>
        <w:tc>
          <w:tcPr>
            <w:tcW w:w="1560" w:type="dxa"/>
            <w:gridSpan w:val="3"/>
            <w:tcBorders>
              <w:top w:val="single" w:sz="12" w:space="0" w:color="auto"/>
            </w:tcBorders>
            <w:vAlign w:val="center"/>
          </w:tcPr>
          <w:p w:rsidR="00014129" w:rsidRPr="00E765C6" w:rsidRDefault="00014129" w:rsidP="006305EA">
            <w:pPr>
              <w:widowControl/>
              <w:adjustRightInd w:val="0"/>
              <w:snapToGrid w:val="0"/>
              <w:spacing w:line="240" w:lineRule="auto"/>
              <w:ind w:leftChars="0" w:left="0" w:firstLineChars="0" w:firstLine="0"/>
              <w:jc w:val="right"/>
              <w:rPr>
                <w:rFonts w:hAnsi="標楷體"/>
                <w:bCs/>
                <w:snapToGrid/>
                <w:color w:val="000000"/>
                <w:kern w:val="52"/>
                <w:sz w:val="20"/>
                <w:szCs w:val="20"/>
              </w:rPr>
            </w:pPr>
            <w:r w:rsidRPr="00E765C6">
              <w:rPr>
                <w:rFonts w:hAnsi="標楷體"/>
                <w:bCs/>
                <w:snapToGrid/>
                <w:color w:val="000000"/>
                <w:spacing w:val="-6"/>
                <w:kern w:val="52"/>
                <w:sz w:val="20"/>
                <w:szCs w:val="20"/>
              </w:rPr>
              <w:t>110年12月31日</w:t>
            </w:r>
          </w:p>
        </w:tc>
        <w:tc>
          <w:tcPr>
            <w:tcW w:w="1559" w:type="dxa"/>
            <w:gridSpan w:val="2"/>
            <w:tcBorders>
              <w:top w:val="single" w:sz="12" w:space="0" w:color="auto"/>
            </w:tcBorders>
            <w:vAlign w:val="center"/>
          </w:tcPr>
          <w:p w:rsidR="00014129" w:rsidRPr="00E765C6" w:rsidRDefault="00014129" w:rsidP="006305EA">
            <w:pPr>
              <w:widowControl/>
              <w:adjustRightInd w:val="0"/>
              <w:snapToGrid w:val="0"/>
              <w:spacing w:line="240" w:lineRule="auto"/>
              <w:ind w:leftChars="0" w:left="0" w:firstLineChars="0" w:firstLine="0"/>
              <w:jc w:val="right"/>
              <w:rPr>
                <w:rFonts w:hAnsi="標楷體"/>
                <w:bCs/>
                <w:snapToGrid/>
                <w:color w:val="000000"/>
                <w:kern w:val="52"/>
                <w:sz w:val="20"/>
                <w:szCs w:val="20"/>
              </w:rPr>
            </w:pPr>
            <w:r w:rsidRPr="00E765C6">
              <w:rPr>
                <w:rFonts w:hAnsi="標楷體"/>
                <w:bCs/>
                <w:snapToGrid/>
                <w:color w:val="000000"/>
                <w:spacing w:val="-6"/>
                <w:kern w:val="52"/>
                <w:sz w:val="20"/>
                <w:szCs w:val="20"/>
              </w:rPr>
              <w:t>111年12月31日</w:t>
            </w:r>
          </w:p>
        </w:tc>
        <w:tc>
          <w:tcPr>
            <w:tcW w:w="1559" w:type="dxa"/>
            <w:gridSpan w:val="2"/>
            <w:tcBorders>
              <w:top w:val="single" w:sz="12" w:space="0" w:color="auto"/>
            </w:tcBorders>
            <w:vAlign w:val="center"/>
          </w:tcPr>
          <w:p w:rsidR="00014129" w:rsidRPr="00E765C6" w:rsidRDefault="00014129" w:rsidP="006305EA">
            <w:pPr>
              <w:widowControl/>
              <w:adjustRightInd w:val="0"/>
              <w:snapToGrid w:val="0"/>
              <w:spacing w:line="240" w:lineRule="auto"/>
              <w:ind w:leftChars="0" w:left="0" w:firstLineChars="0" w:firstLine="0"/>
              <w:jc w:val="right"/>
              <w:rPr>
                <w:rFonts w:hAnsi="標楷體"/>
                <w:bCs/>
                <w:snapToGrid/>
                <w:color w:val="000000"/>
                <w:kern w:val="52"/>
                <w:sz w:val="20"/>
                <w:szCs w:val="20"/>
              </w:rPr>
            </w:pPr>
            <w:r w:rsidRPr="00E765C6">
              <w:rPr>
                <w:rFonts w:hAnsi="標楷體"/>
                <w:bCs/>
                <w:snapToGrid/>
                <w:color w:val="000000"/>
                <w:spacing w:val="-6"/>
                <w:kern w:val="52"/>
                <w:sz w:val="20"/>
                <w:szCs w:val="20"/>
              </w:rPr>
              <w:t>112年12月31日</w:t>
            </w:r>
          </w:p>
        </w:tc>
        <w:tc>
          <w:tcPr>
            <w:tcW w:w="1559" w:type="dxa"/>
            <w:gridSpan w:val="2"/>
            <w:tcBorders>
              <w:top w:val="single" w:sz="12" w:space="0" w:color="auto"/>
              <w:right w:val="single" w:sz="12" w:space="0" w:color="auto"/>
            </w:tcBorders>
            <w:vAlign w:val="center"/>
          </w:tcPr>
          <w:p w:rsidR="00014129" w:rsidRPr="00E765C6" w:rsidRDefault="00014129" w:rsidP="006305EA">
            <w:pPr>
              <w:widowControl/>
              <w:adjustRightInd w:val="0"/>
              <w:snapToGrid w:val="0"/>
              <w:spacing w:line="240" w:lineRule="auto"/>
              <w:ind w:leftChars="0" w:left="0" w:firstLineChars="0" w:firstLine="0"/>
              <w:jc w:val="right"/>
              <w:rPr>
                <w:rFonts w:hAnsi="標楷體"/>
                <w:bCs/>
                <w:snapToGrid/>
                <w:color w:val="000000"/>
                <w:kern w:val="52"/>
                <w:sz w:val="20"/>
                <w:szCs w:val="20"/>
              </w:rPr>
            </w:pPr>
            <w:r w:rsidRPr="00E765C6">
              <w:rPr>
                <w:rFonts w:hAnsi="標楷體"/>
                <w:bCs/>
                <w:snapToGrid/>
                <w:color w:val="000000"/>
                <w:spacing w:val="-6"/>
                <w:kern w:val="52"/>
                <w:sz w:val="20"/>
                <w:szCs w:val="20"/>
              </w:rPr>
              <w:t>113年12月31日</w:t>
            </w:r>
          </w:p>
        </w:tc>
      </w:tr>
      <w:tr w:rsidR="00521EF1" w:rsidRPr="00E765C6" w:rsidTr="00F5392A">
        <w:trPr>
          <w:trHeight w:val="283"/>
          <w:tblHeader/>
        </w:trPr>
        <w:tc>
          <w:tcPr>
            <w:tcW w:w="1014" w:type="dxa"/>
            <w:tcBorders>
              <w:left w:val="single" w:sz="12" w:space="0" w:color="auto"/>
            </w:tcBorders>
            <w:shd w:val="clear" w:color="auto" w:fill="auto"/>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天數</w:t>
            </w:r>
          </w:p>
        </w:tc>
        <w:tc>
          <w:tcPr>
            <w:tcW w:w="851" w:type="dxa"/>
            <w:shd w:val="clear" w:color="auto" w:fill="auto"/>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金額</w:t>
            </w:r>
          </w:p>
        </w:tc>
        <w:tc>
          <w:tcPr>
            <w:tcW w:w="712" w:type="dxa"/>
            <w:shd w:val="clear" w:color="auto" w:fill="auto"/>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比率</w:t>
            </w:r>
          </w:p>
        </w:tc>
        <w:tc>
          <w:tcPr>
            <w:tcW w:w="851" w:type="dxa"/>
            <w:gridSpan w:val="2"/>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金額</w:t>
            </w:r>
          </w:p>
        </w:tc>
        <w:tc>
          <w:tcPr>
            <w:tcW w:w="709" w:type="dxa"/>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比率</w:t>
            </w:r>
          </w:p>
        </w:tc>
        <w:tc>
          <w:tcPr>
            <w:tcW w:w="850" w:type="dxa"/>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金額</w:t>
            </w:r>
          </w:p>
        </w:tc>
        <w:tc>
          <w:tcPr>
            <w:tcW w:w="709" w:type="dxa"/>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比率</w:t>
            </w:r>
          </w:p>
        </w:tc>
        <w:tc>
          <w:tcPr>
            <w:tcW w:w="851" w:type="dxa"/>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金額</w:t>
            </w:r>
          </w:p>
        </w:tc>
        <w:tc>
          <w:tcPr>
            <w:tcW w:w="708" w:type="dxa"/>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比率</w:t>
            </w:r>
          </w:p>
        </w:tc>
        <w:tc>
          <w:tcPr>
            <w:tcW w:w="851" w:type="dxa"/>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金額</w:t>
            </w:r>
          </w:p>
        </w:tc>
        <w:tc>
          <w:tcPr>
            <w:tcW w:w="708" w:type="dxa"/>
            <w:tcBorders>
              <w:right w:val="single" w:sz="12" w:space="0" w:color="auto"/>
            </w:tcBorders>
            <w:vAlign w:val="center"/>
          </w:tcPr>
          <w:p w:rsidR="00014129" w:rsidRPr="00E765C6" w:rsidRDefault="00014129" w:rsidP="006305EA">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比率</w:t>
            </w: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30天以內</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widowControl/>
              <w:adjustRightInd w:val="0"/>
              <w:snapToGrid w:val="0"/>
              <w:spacing w:line="240" w:lineRule="exact"/>
              <w:ind w:leftChars="0" w:left="0" w:firstLineChars="0" w:firstLine="0"/>
              <w:jc w:val="right"/>
              <w:rPr>
                <w:rFonts w:hAnsi="標楷體"/>
                <w:snapToGrid/>
                <w:color w:val="000000"/>
                <w:kern w:val="0"/>
                <w:sz w:val="20"/>
                <w:szCs w:val="20"/>
              </w:rPr>
            </w:pPr>
            <w:r w:rsidRPr="00E765C6">
              <w:rPr>
                <w:rFonts w:hAnsi="標楷體"/>
                <w:color w:val="000000"/>
                <w:sz w:val="20"/>
                <w:szCs w:val="20"/>
              </w:rPr>
              <w:t>366,895</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85.48 </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337,967</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85.44 </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400,082</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85.20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348,163</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79.68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518,544</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87.07 </w:t>
            </w: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31－60天</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37,021</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8.62 </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32,886</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8.31 </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48,868</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F5392A">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10.</w:t>
            </w:r>
            <w:r w:rsidR="00A32770" w:rsidRPr="00E765C6">
              <w:rPr>
                <w:rFonts w:hAnsi="標楷體"/>
                <w:color w:val="000000"/>
                <w:sz w:val="20"/>
                <w:szCs w:val="20"/>
              </w:rPr>
              <w:t xml:space="preserve">40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47,053</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10.77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34,843</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5.85 </w:t>
            </w:r>
          </w:p>
        </w:tc>
      </w:tr>
      <w:tr w:rsidR="00521EF1" w:rsidRPr="00E765C6" w:rsidTr="00F5392A">
        <w:trPr>
          <w:trHeight w:val="113"/>
        </w:trPr>
        <w:tc>
          <w:tcPr>
            <w:tcW w:w="8814" w:type="dxa"/>
            <w:gridSpan w:val="12"/>
            <w:tcBorders>
              <w:left w:val="single" w:sz="12" w:space="0" w:color="auto"/>
              <w:right w:val="single" w:sz="12" w:space="0" w:color="auto"/>
            </w:tcBorders>
            <w:shd w:val="clear" w:color="auto" w:fill="auto"/>
            <w:vAlign w:val="center"/>
          </w:tcPr>
          <w:p w:rsidR="00BA6926" w:rsidRPr="00E765C6" w:rsidRDefault="00BA6926" w:rsidP="00BA6926">
            <w:pPr>
              <w:adjustRightInd w:val="0"/>
              <w:snapToGrid w:val="0"/>
              <w:spacing w:line="100" w:lineRule="exact"/>
              <w:ind w:leftChars="0" w:left="0" w:firstLineChars="0" w:firstLine="0"/>
              <w:jc w:val="right"/>
              <w:rPr>
                <w:rFonts w:hAnsi="標楷體"/>
                <w:color w:val="000000"/>
                <w:sz w:val="20"/>
                <w:szCs w:val="20"/>
              </w:rPr>
            </w:pP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61－90天</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10,345</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2.41 </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13,001</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3.29 </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6,182</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1.32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20,936</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4.79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16,256</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2.73 </w:t>
            </w: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91－120天</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3,563</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0.83 </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3,409</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0.86 </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9,144</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1.95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4,996</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1.14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3,767</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0.63 </w:t>
            </w: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121－150天</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2,653</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0.62 </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491B75">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3,53</w:t>
            </w:r>
            <w:r w:rsidR="00491B75" w:rsidRPr="00E765C6">
              <w:rPr>
                <w:rFonts w:hAnsi="標楷體"/>
                <w:color w:val="000000"/>
                <w:sz w:val="20"/>
                <w:szCs w:val="20"/>
              </w:rPr>
              <w:t>6</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0.89 </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1,296</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0.28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2,754</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0.63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2,972</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0.50 </w:t>
            </w: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151－180天</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1,460</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0.34 </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930</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0.24 </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0</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0.00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1,697</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0.39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491B75">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18</w:t>
            </w:r>
            <w:r w:rsidR="00491B75" w:rsidRPr="00E765C6">
              <w:rPr>
                <w:rFonts w:hAnsi="標楷體"/>
                <w:color w:val="000000"/>
                <w:sz w:val="20"/>
                <w:szCs w:val="20"/>
              </w:rPr>
              <w:t>5</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0.03 </w:t>
            </w: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181－365天</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1,350</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0.31 </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997</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0.25 </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4,006</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0.85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2,851</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0.65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1,545</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0.26 </w:t>
            </w: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366天以上</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5,949</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1.39 </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2,837</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0.72 </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0</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0.00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8,493</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1.95 </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17,449</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 xml:space="preserve">2.93 </w:t>
            </w:r>
          </w:p>
        </w:tc>
      </w:tr>
      <w:tr w:rsidR="00521EF1" w:rsidRPr="00E765C6" w:rsidTr="00F5392A">
        <w:trPr>
          <w:trHeight w:val="283"/>
        </w:trPr>
        <w:tc>
          <w:tcPr>
            <w:tcW w:w="1014" w:type="dxa"/>
            <w:tcBorders>
              <w:left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b/>
                <w:snapToGrid/>
                <w:color w:val="000000"/>
                <w:spacing w:val="-20"/>
                <w:sz w:val="20"/>
                <w:szCs w:val="20"/>
              </w:rPr>
            </w:pPr>
            <w:r w:rsidRPr="00E765C6">
              <w:rPr>
                <w:rFonts w:hAnsi="標楷體" w:hint="eastAsia"/>
                <w:b/>
                <w:snapToGrid/>
                <w:color w:val="000000"/>
                <w:spacing w:val="-20"/>
                <w:sz w:val="20"/>
                <w:szCs w:val="20"/>
              </w:rPr>
              <w:t>逾60天以上小計</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25,320</w:t>
            </w:r>
          </w:p>
        </w:tc>
        <w:tc>
          <w:tcPr>
            <w:tcW w:w="712"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5.90</w:t>
            </w:r>
          </w:p>
        </w:tc>
        <w:tc>
          <w:tcPr>
            <w:tcW w:w="844" w:type="dxa"/>
            <w:tcBorders>
              <w:top w:val="nil"/>
              <w:left w:val="nil"/>
              <w:bottom w:val="single" w:sz="8" w:space="0" w:color="auto"/>
              <w:right w:val="single" w:sz="8" w:space="0" w:color="auto"/>
            </w:tcBorders>
            <w:shd w:val="clear" w:color="auto" w:fill="auto"/>
            <w:vAlign w:val="center"/>
          </w:tcPr>
          <w:p w:rsidR="00BA6926" w:rsidRPr="00E765C6" w:rsidRDefault="00BA6926" w:rsidP="00491B75">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24,71</w:t>
            </w:r>
            <w:r w:rsidR="00491B75" w:rsidRPr="00E765C6">
              <w:rPr>
                <w:rFonts w:hAnsi="標楷體"/>
                <w:color w:val="000000"/>
                <w:sz w:val="20"/>
                <w:szCs w:val="20"/>
              </w:rPr>
              <w:t>0</w:t>
            </w:r>
          </w:p>
        </w:tc>
        <w:tc>
          <w:tcPr>
            <w:tcW w:w="716" w:type="dxa"/>
            <w:gridSpan w:val="2"/>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6.25</w:t>
            </w:r>
          </w:p>
        </w:tc>
        <w:tc>
          <w:tcPr>
            <w:tcW w:w="850"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20,628</w:t>
            </w:r>
          </w:p>
        </w:tc>
        <w:tc>
          <w:tcPr>
            <w:tcW w:w="709"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4.40</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41,727</w:t>
            </w:r>
          </w:p>
        </w:tc>
        <w:tc>
          <w:tcPr>
            <w:tcW w:w="708" w:type="dxa"/>
            <w:tcBorders>
              <w:top w:val="nil"/>
              <w:left w:val="nil"/>
              <w:bottom w:val="single" w:sz="8"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9.55</w:t>
            </w:r>
          </w:p>
        </w:tc>
        <w:tc>
          <w:tcPr>
            <w:tcW w:w="851" w:type="dxa"/>
            <w:tcBorders>
              <w:top w:val="nil"/>
              <w:left w:val="nil"/>
              <w:bottom w:val="single" w:sz="8" w:space="0" w:color="auto"/>
              <w:right w:val="single" w:sz="8" w:space="0" w:color="auto"/>
            </w:tcBorders>
            <w:shd w:val="clear" w:color="auto" w:fill="auto"/>
            <w:vAlign w:val="center"/>
          </w:tcPr>
          <w:p w:rsidR="00BA6926" w:rsidRPr="00E765C6" w:rsidRDefault="00BA6926" w:rsidP="00491B75">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42,17</w:t>
            </w:r>
            <w:r w:rsidR="00491B75" w:rsidRPr="00E765C6">
              <w:rPr>
                <w:rFonts w:hAnsi="標楷體"/>
                <w:color w:val="000000"/>
                <w:sz w:val="20"/>
                <w:szCs w:val="20"/>
              </w:rPr>
              <w:t>4</w:t>
            </w:r>
          </w:p>
        </w:tc>
        <w:tc>
          <w:tcPr>
            <w:tcW w:w="708" w:type="dxa"/>
            <w:tcBorders>
              <w:top w:val="nil"/>
              <w:left w:val="nil"/>
              <w:bottom w:val="single" w:sz="8"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7.08</w:t>
            </w:r>
          </w:p>
        </w:tc>
      </w:tr>
      <w:tr w:rsidR="00521EF1" w:rsidRPr="00E765C6" w:rsidTr="00F5392A">
        <w:trPr>
          <w:trHeight w:val="283"/>
        </w:trPr>
        <w:tc>
          <w:tcPr>
            <w:tcW w:w="1014" w:type="dxa"/>
            <w:tcBorders>
              <w:left w:val="single" w:sz="12" w:space="0" w:color="auto"/>
              <w:bottom w:val="single" w:sz="12" w:space="0" w:color="auto"/>
            </w:tcBorders>
            <w:shd w:val="clear" w:color="auto" w:fill="auto"/>
            <w:vAlign w:val="center"/>
          </w:tcPr>
          <w:p w:rsidR="00BA6926" w:rsidRPr="00E765C6" w:rsidRDefault="00BA6926" w:rsidP="00BA6926">
            <w:pPr>
              <w:widowControl/>
              <w:adjustRightInd w:val="0"/>
              <w:snapToGrid w:val="0"/>
              <w:spacing w:line="240" w:lineRule="auto"/>
              <w:ind w:leftChars="0" w:left="0" w:firstLineChars="0" w:firstLine="0"/>
              <w:jc w:val="center"/>
              <w:rPr>
                <w:rFonts w:hAnsi="標楷體"/>
                <w:snapToGrid/>
                <w:color w:val="000000"/>
                <w:spacing w:val="-20"/>
                <w:sz w:val="20"/>
                <w:szCs w:val="20"/>
              </w:rPr>
            </w:pPr>
            <w:r w:rsidRPr="00E765C6">
              <w:rPr>
                <w:rFonts w:hAnsi="標楷體"/>
                <w:snapToGrid/>
                <w:color w:val="000000"/>
                <w:spacing w:val="-20"/>
                <w:sz w:val="20"/>
                <w:szCs w:val="20"/>
              </w:rPr>
              <w:t>合計</w:t>
            </w:r>
          </w:p>
        </w:tc>
        <w:tc>
          <w:tcPr>
            <w:tcW w:w="851" w:type="dxa"/>
            <w:tcBorders>
              <w:top w:val="nil"/>
              <w:left w:val="nil"/>
              <w:bottom w:val="single" w:sz="12"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429,236</w:t>
            </w:r>
          </w:p>
        </w:tc>
        <w:tc>
          <w:tcPr>
            <w:tcW w:w="712" w:type="dxa"/>
            <w:tcBorders>
              <w:top w:val="nil"/>
              <w:left w:val="nil"/>
              <w:bottom w:val="single" w:sz="12"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100.00</w:t>
            </w:r>
          </w:p>
        </w:tc>
        <w:tc>
          <w:tcPr>
            <w:tcW w:w="851" w:type="dxa"/>
            <w:gridSpan w:val="2"/>
            <w:tcBorders>
              <w:top w:val="nil"/>
              <w:left w:val="nil"/>
              <w:bottom w:val="single" w:sz="12" w:space="0" w:color="auto"/>
              <w:right w:val="single" w:sz="8" w:space="0" w:color="auto"/>
            </w:tcBorders>
            <w:shd w:val="clear" w:color="auto" w:fill="auto"/>
            <w:vAlign w:val="center"/>
          </w:tcPr>
          <w:p w:rsidR="00BA6926" w:rsidRPr="00E765C6" w:rsidRDefault="00BA6926" w:rsidP="00491B75">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395,56</w:t>
            </w:r>
            <w:r w:rsidR="00491B75" w:rsidRPr="00E765C6">
              <w:rPr>
                <w:rFonts w:hAnsi="標楷體"/>
                <w:color w:val="000000"/>
                <w:sz w:val="20"/>
                <w:szCs w:val="20"/>
              </w:rPr>
              <w:t>3</w:t>
            </w:r>
          </w:p>
        </w:tc>
        <w:tc>
          <w:tcPr>
            <w:tcW w:w="709" w:type="dxa"/>
            <w:tcBorders>
              <w:top w:val="nil"/>
              <w:left w:val="nil"/>
              <w:bottom w:val="single" w:sz="12"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100.00</w:t>
            </w:r>
          </w:p>
        </w:tc>
        <w:tc>
          <w:tcPr>
            <w:tcW w:w="850" w:type="dxa"/>
            <w:tcBorders>
              <w:top w:val="nil"/>
              <w:left w:val="nil"/>
              <w:bottom w:val="single" w:sz="12"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469,578</w:t>
            </w:r>
          </w:p>
        </w:tc>
        <w:tc>
          <w:tcPr>
            <w:tcW w:w="709" w:type="dxa"/>
            <w:tcBorders>
              <w:top w:val="nil"/>
              <w:left w:val="nil"/>
              <w:bottom w:val="single" w:sz="12" w:space="0" w:color="auto"/>
              <w:right w:val="single" w:sz="8" w:space="0" w:color="auto"/>
            </w:tcBorders>
            <w:shd w:val="clear" w:color="auto" w:fill="auto"/>
            <w:vAlign w:val="center"/>
          </w:tcPr>
          <w:p w:rsidR="00BA6926" w:rsidRPr="00E765C6" w:rsidRDefault="00BA6926" w:rsidP="00F5392A">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100.</w:t>
            </w:r>
            <w:r w:rsidR="00A32770" w:rsidRPr="00E765C6">
              <w:rPr>
                <w:rFonts w:hAnsi="標楷體"/>
                <w:color w:val="000000"/>
                <w:sz w:val="20"/>
                <w:szCs w:val="20"/>
              </w:rPr>
              <w:t>00</w:t>
            </w:r>
          </w:p>
        </w:tc>
        <w:tc>
          <w:tcPr>
            <w:tcW w:w="851" w:type="dxa"/>
            <w:tcBorders>
              <w:top w:val="nil"/>
              <w:left w:val="nil"/>
              <w:bottom w:val="single" w:sz="12"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436,943</w:t>
            </w:r>
          </w:p>
        </w:tc>
        <w:tc>
          <w:tcPr>
            <w:tcW w:w="708" w:type="dxa"/>
            <w:tcBorders>
              <w:top w:val="nil"/>
              <w:left w:val="nil"/>
              <w:bottom w:val="single" w:sz="12" w:space="0" w:color="auto"/>
              <w:right w:val="single" w:sz="8"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100.00</w:t>
            </w:r>
          </w:p>
        </w:tc>
        <w:tc>
          <w:tcPr>
            <w:tcW w:w="851" w:type="dxa"/>
            <w:tcBorders>
              <w:top w:val="nil"/>
              <w:left w:val="nil"/>
              <w:bottom w:val="single" w:sz="12" w:space="0" w:color="auto"/>
              <w:right w:val="single" w:sz="8" w:space="0" w:color="auto"/>
            </w:tcBorders>
            <w:shd w:val="clear" w:color="auto" w:fill="auto"/>
            <w:vAlign w:val="center"/>
          </w:tcPr>
          <w:p w:rsidR="00BA6926" w:rsidRPr="00E765C6" w:rsidRDefault="00BA6926" w:rsidP="00491B75">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595,56</w:t>
            </w:r>
            <w:r w:rsidR="00491B75" w:rsidRPr="00E765C6">
              <w:rPr>
                <w:rFonts w:hAnsi="標楷體"/>
                <w:color w:val="000000"/>
                <w:sz w:val="20"/>
                <w:szCs w:val="20"/>
              </w:rPr>
              <w:t>1</w:t>
            </w:r>
          </w:p>
        </w:tc>
        <w:tc>
          <w:tcPr>
            <w:tcW w:w="708" w:type="dxa"/>
            <w:tcBorders>
              <w:top w:val="nil"/>
              <w:left w:val="nil"/>
              <w:bottom w:val="single" w:sz="12" w:space="0" w:color="auto"/>
              <w:right w:val="single" w:sz="12" w:space="0" w:color="auto"/>
            </w:tcBorders>
            <w:shd w:val="clear" w:color="auto" w:fill="auto"/>
            <w:vAlign w:val="center"/>
          </w:tcPr>
          <w:p w:rsidR="00BA6926" w:rsidRPr="00E765C6" w:rsidRDefault="00BA6926" w:rsidP="00BA6926">
            <w:pPr>
              <w:adjustRightInd w:val="0"/>
              <w:snapToGrid w:val="0"/>
              <w:spacing w:line="240" w:lineRule="exact"/>
              <w:ind w:leftChars="0" w:left="0" w:firstLineChars="0" w:firstLine="0"/>
              <w:jc w:val="right"/>
              <w:rPr>
                <w:rFonts w:hAnsi="標楷體"/>
                <w:color w:val="000000"/>
                <w:sz w:val="20"/>
                <w:szCs w:val="20"/>
              </w:rPr>
            </w:pPr>
            <w:r w:rsidRPr="00E765C6">
              <w:rPr>
                <w:rFonts w:hAnsi="標楷體"/>
                <w:color w:val="000000"/>
                <w:sz w:val="20"/>
                <w:szCs w:val="20"/>
              </w:rPr>
              <w:t>100.00</w:t>
            </w:r>
          </w:p>
        </w:tc>
      </w:tr>
    </w:tbl>
    <w:p w:rsidR="00B14792" w:rsidRPr="00E765C6" w:rsidRDefault="00014129" w:rsidP="00B14792">
      <w:pPr>
        <w:widowControl/>
        <w:adjustRightInd w:val="0"/>
        <w:snapToGrid w:val="0"/>
        <w:spacing w:line="240" w:lineRule="auto"/>
        <w:ind w:leftChars="0" w:left="0" w:firstLineChars="100" w:firstLine="243"/>
        <w:jc w:val="left"/>
        <w:rPr>
          <w:rFonts w:hAnsi="標楷體"/>
          <w:color w:val="000000"/>
          <w:sz w:val="24"/>
          <w:szCs w:val="24"/>
        </w:rPr>
      </w:pPr>
      <w:r w:rsidRPr="00E765C6">
        <w:rPr>
          <w:rFonts w:hAnsi="標楷體"/>
          <w:snapToGrid/>
          <w:color w:val="000000"/>
          <w:sz w:val="24"/>
          <w:szCs w:val="24"/>
        </w:rPr>
        <w:t>說</w:t>
      </w:r>
      <w:r w:rsidR="00B14792" w:rsidRPr="00E765C6">
        <w:rPr>
          <w:rFonts w:hAnsi="標楷體" w:hint="eastAsia"/>
          <w:snapToGrid/>
          <w:color w:val="000000"/>
          <w:sz w:val="24"/>
          <w:szCs w:val="24"/>
        </w:rPr>
        <w:t xml:space="preserve"> </w:t>
      </w:r>
      <w:r w:rsidR="00B14792" w:rsidRPr="00E765C6">
        <w:rPr>
          <w:rFonts w:hAnsi="標楷體"/>
          <w:snapToGrid/>
          <w:color w:val="000000"/>
          <w:sz w:val="24"/>
          <w:szCs w:val="24"/>
        </w:rPr>
        <w:t xml:space="preserve">   </w:t>
      </w:r>
      <w:r w:rsidRPr="00E765C6">
        <w:rPr>
          <w:rFonts w:hAnsi="標楷體"/>
          <w:snapToGrid/>
          <w:color w:val="000000"/>
          <w:sz w:val="24"/>
          <w:szCs w:val="24"/>
        </w:rPr>
        <w:t>明：</w:t>
      </w:r>
      <w:r w:rsidR="00B14792" w:rsidRPr="00E765C6">
        <w:rPr>
          <w:rFonts w:hAnsi="標楷體" w:hint="eastAsia"/>
          <w:color w:val="000000"/>
          <w:sz w:val="24"/>
          <w:szCs w:val="24"/>
        </w:rPr>
        <w:t>1</w:t>
      </w:r>
      <w:r w:rsidR="00FF0644" w:rsidRPr="00E765C6">
        <w:rPr>
          <w:rFonts w:hAnsi="標楷體"/>
          <w:color w:val="000000"/>
          <w:sz w:val="24"/>
          <w:szCs w:val="24"/>
        </w:rPr>
        <w:t>09</w:t>
      </w:r>
      <w:r w:rsidR="00B14792" w:rsidRPr="00E765C6">
        <w:rPr>
          <w:rFonts w:hAnsi="標楷體" w:hint="eastAsia"/>
          <w:color w:val="000000"/>
          <w:sz w:val="24"/>
          <w:szCs w:val="24"/>
        </w:rPr>
        <w:t>至</w:t>
      </w:r>
      <w:r w:rsidR="00B14792" w:rsidRPr="00E765C6">
        <w:rPr>
          <w:rFonts w:hAnsi="標楷體"/>
          <w:color w:val="000000"/>
          <w:sz w:val="24"/>
          <w:szCs w:val="24"/>
        </w:rPr>
        <w:t>112年度為決算數，113年度為自結數</w:t>
      </w:r>
      <w:r w:rsidR="00B14792" w:rsidRPr="00E765C6">
        <w:rPr>
          <w:rFonts w:hAnsi="標楷體" w:hint="eastAsia"/>
          <w:color w:val="000000"/>
          <w:sz w:val="24"/>
          <w:szCs w:val="24"/>
        </w:rPr>
        <w:t>。</w:t>
      </w:r>
    </w:p>
    <w:p w:rsidR="00014129" w:rsidRPr="00E765C6" w:rsidRDefault="00014129" w:rsidP="00014129">
      <w:pPr>
        <w:widowControl/>
        <w:adjustRightInd w:val="0"/>
        <w:snapToGrid w:val="0"/>
        <w:spacing w:line="240" w:lineRule="auto"/>
        <w:ind w:leftChars="0" w:left="0" w:firstLineChars="100" w:firstLine="243"/>
        <w:jc w:val="left"/>
        <w:rPr>
          <w:rFonts w:hAnsi="標楷體"/>
          <w:snapToGrid/>
          <w:color w:val="000000"/>
          <w:sz w:val="24"/>
          <w:szCs w:val="24"/>
        </w:rPr>
      </w:pPr>
      <w:r w:rsidRPr="00E765C6">
        <w:rPr>
          <w:rFonts w:hAnsi="標楷體"/>
          <w:snapToGrid/>
          <w:color w:val="000000"/>
          <w:sz w:val="24"/>
          <w:szCs w:val="24"/>
        </w:rPr>
        <w:t>資料來源：金屬中心提供，本研究整理。</w:t>
      </w:r>
    </w:p>
    <w:p w:rsidR="0017294A" w:rsidRPr="00E765C6" w:rsidRDefault="00014129" w:rsidP="0017294A">
      <w:pPr>
        <w:ind w:left="566" w:firstLine="566"/>
        <w:rPr>
          <w:rFonts w:hAnsi="標楷體"/>
          <w:bCs/>
          <w:color w:val="000000"/>
        </w:rPr>
      </w:pPr>
      <w:r w:rsidRPr="00E765C6">
        <w:rPr>
          <w:rFonts w:hAnsi="標楷體"/>
          <w:bCs/>
          <w:color w:val="000000"/>
        </w:rPr>
        <w:t>綜上，帳齡60天以上之應收帳款金額</w:t>
      </w:r>
      <w:r w:rsidR="00232496" w:rsidRPr="00E765C6">
        <w:rPr>
          <w:rFonts w:hAnsi="標楷體" w:hint="eastAsia"/>
          <w:bCs/>
          <w:color w:val="000000"/>
        </w:rPr>
        <w:t>自</w:t>
      </w:r>
      <w:r w:rsidRPr="00E765C6">
        <w:rPr>
          <w:rFonts w:hAnsi="標楷體"/>
          <w:bCs/>
          <w:color w:val="000000"/>
        </w:rPr>
        <w:t>112年</w:t>
      </w:r>
      <w:r w:rsidR="00232496" w:rsidRPr="00E765C6">
        <w:rPr>
          <w:rFonts w:hAnsi="標楷體" w:hint="eastAsia"/>
          <w:bCs/>
          <w:color w:val="000000"/>
        </w:rPr>
        <w:t>度</w:t>
      </w:r>
      <w:r w:rsidRPr="00E765C6">
        <w:rPr>
          <w:rFonts w:hAnsi="標楷體"/>
          <w:bCs/>
          <w:color w:val="000000"/>
        </w:rPr>
        <w:t>起</w:t>
      </w:r>
      <w:r w:rsidR="000D1CF5" w:rsidRPr="00E765C6">
        <w:rPr>
          <w:rFonts w:hAnsi="標楷體" w:hint="eastAsia"/>
          <w:bCs/>
          <w:color w:val="000000"/>
        </w:rPr>
        <w:t>大幅</w:t>
      </w:r>
      <w:r w:rsidRPr="00E765C6">
        <w:rPr>
          <w:rFonts w:hAnsi="標楷體"/>
          <w:bCs/>
          <w:color w:val="000000"/>
        </w:rPr>
        <w:t>增加，且占當年度應收帳款之比</w:t>
      </w:r>
      <w:r w:rsidR="00232496" w:rsidRPr="00E765C6">
        <w:rPr>
          <w:rFonts w:hAnsi="標楷體" w:hint="eastAsia"/>
          <w:bCs/>
          <w:color w:val="000000"/>
        </w:rPr>
        <w:t>率</w:t>
      </w:r>
      <w:r w:rsidRPr="00E765C6">
        <w:rPr>
          <w:rFonts w:hAnsi="標楷體"/>
          <w:bCs/>
          <w:color w:val="000000"/>
        </w:rPr>
        <w:t>亦呈成長趨勢，</w:t>
      </w:r>
      <w:r w:rsidR="00232496" w:rsidRPr="00E765C6">
        <w:rPr>
          <w:rFonts w:hAnsi="標楷體" w:hint="eastAsia"/>
          <w:bCs/>
          <w:color w:val="000000"/>
        </w:rPr>
        <w:t>允宜強化催收能力並</w:t>
      </w:r>
      <w:r w:rsidRPr="00E765C6">
        <w:rPr>
          <w:rFonts w:hAnsi="標楷體"/>
          <w:bCs/>
          <w:color w:val="000000"/>
        </w:rPr>
        <w:t>加強帳款管理，俾降低呆帳損失機率。</w:t>
      </w:r>
    </w:p>
    <w:p w:rsidR="00014129" w:rsidRPr="00E765C6" w:rsidRDefault="00014129" w:rsidP="0017294A">
      <w:pPr>
        <w:ind w:left="566" w:firstLine="566"/>
        <w:rPr>
          <w:rFonts w:hAnsi="標楷體" w:hint="eastAsia"/>
          <w:color w:val="000000"/>
        </w:rPr>
      </w:pPr>
    </w:p>
    <w:p w:rsidR="00C106D0" w:rsidRPr="00E765C6" w:rsidRDefault="00BB691A" w:rsidP="00C106D0">
      <w:pPr>
        <w:pStyle w:val="14"/>
        <w:spacing w:beforeLines="25" w:before="125"/>
        <w:ind w:left="567" w:hanging="567"/>
        <w:rPr>
          <w:rFonts w:hAnsi="標楷體"/>
          <w:color w:val="000000"/>
        </w:rPr>
      </w:pPr>
      <w:bookmarkStart w:id="4" w:name="_Toc115337436"/>
      <w:bookmarkStart w:id="5" w:name="_Toc195717726"/>
      <w:r w:rsidRPr="00E765C6">
        <w:rPr>
          <w:rFonts w:hAnsi="標楷體" w:hint="eastAsia"/>
          <w:color w:val="000000"/>
        </w:rPr>
        <w:t>二、</w:t>
      </w:r>
      <w:bookmarkEnd w:id="4"/>
      <w:r w:rsidR="00A37FA0" w:rsidRPr="00E765C6">
        <w:rPr>
          <w:rFonts w:hAnsi="標楷體" w:hint="eastAsia"/>
          <w:color w:val="000000"/>
        </w:rPr>
        <w:t>近年員工</w:t>
      </w:r>
      <w:r w:rsidR="00617C29" w:rsidRPr="00E765C6">
        <w:rPr>
          <w:rFonts w:hAnsi="標楷體" w:hint="eastAsia"/>
          <w:color w:val="000000"/>
        </w:rPr>
        <w:t>實際</w:t>
      </w:r>
      <w:r w:rsidR="00A37FA0" w:rsidRPr="00E765C6">
        <w:rPr>
          <w:rFonts w:hAnsi="標楷體" w:hint="eastAsia"/>
          <w:color w:val="000000"/>
        </w:rPr>
        <w:t>人數均大於預算數，允宜優化人力</w:t>
      </w:r>
      <w:r w:rsidR="00617C29" w:rsidRPr="00E765C6">
        <w:rPr>
          <w:rFonts w:hAnsi="標楷體" w:hint="eastAsia"/>
          <w:color w:val="000000"/>
        </w:rPr>
        <w:t>需求之</w:t>
      </w:r>
      <w:r w:rsidR="00A37FA0" w:rsidRPr="00E765C6">
        <w:rPr>
          <w:rFonts w:hAnsi="標楷體" w:hint="eastAsia"/>
          <w:color w:val="000000"/>
        </w:rPr>
        <w:t>估算流程，以精進預算編製</w:t>
      </w:r>
      <w:r w:rsidR="009414AC" w:rsidRPr="00E765C6">
        <w:rPr>
          <w:rFonts w:hAnsi="標楷體" w:hint="eastAsia"/>
          <w:color w:val="000000"/>
        </w:rPr>
        <w:t>之</w:t>
      </w:r>
      <w:r w:rsidR="00A37FA0" w:rsidRPr="00E765C6">
        <w:rPr>
          <w:rFonts w:hAnsi="標楷體" w:hint="eastAsia"/>
          <w:color w:val="000000"/>
        </w:rPr>
        <w:t>準確性，</w:t>
      </w:r>
      <w:r w:rsidR="00617C29" w:rsidRPr="00E765C6">
        <w:rPr>
          <w:rFonts w:hAnsi="標楷體" w:hint="eastAsia"/>
          <w:color w:val="000000"/>
        </w:rPr>
        <w:t>俾</w:t>
      </w:r>
      <w:r w:rsidR="00A37FA0" w:rsidRPr="00E765C6">
        <w:rPr>
          <w:rFonts w:hAnsi="標楷體" w:hint="eastAsia"/>
          <w:color w:val="000000"/>
        </w:rPr>
        <w:t>提升財務配置效能</w:t>
      </w:r>
      <w:bookmarkEnd w:id="5"/>
    </w:p>
    <w:p w:rsidR="00C02BC2" w:rsidRPr="00E765C6" w:rsidRDefault="00A37FA0" w:rsidP="000071E9">
      <w:pPr>
        <w:ind w:left="566" w:firstLine="566"/>
        <w:rPr>
          <w:rFonts w:hAnsi="標楷體"/>
          <w:color w:val="000000"/>
        </w:rPr>
      </w:pPr>
      <w:r w:rsidRPr="00E765C6">
        <w:rPr>
          <w:rFonts w:hAnsi="標楷體" w:hint="eastAsia"/>
          <w:color w:val="000000"/>
        </w:rPr>
        <w:t>金屬中心114年度預算案編列</w:t>
      </w:r>
      <w:r w:rsidR="00617C29" w:rsidRPr="00E765C6">
        <w:rPr>
          <w:rFonts w:hAnsi="標楷體" w:hint="eastAsia"/>
          <w:color w:val="000000"/>
        </w:rPr>
        <w:t>「</w:t>
      </w:r>
      <w:r w:rsidRPr="00E765C6">
        <w:rPr>
          <w:rFonts w:hAnsi="標楷體" w:hint="eastAsia"/>
          <w:color w:val="000000"/>
        </w:rPr>
        <w:t>業務收入</w:t>
      </w:r>
      <w:r w:rsidR="00617C29" w:rsidRPr="00E765C6">
        <w:rPr>
          <w:rFonts w:hAnsi="標楷體" w:hint="eastAsia"/>
          <w:color w:val="000000"/>
        </w:rPr>
        <w:t>」</w:t>
      </w:r>
      <w:r w:rsidRPr="00E765C6">
        <w:rPr>
          <w:rFonts w:hAnsi="標楷體" w:hint="eastAsia"/>
          <w:color w:val="000000"/>
        </w:rPr>
        <w:t>34億8‚500萬元，及</w:t>
      </w:r>
      <w:r w:rsidR="00617C29" w:rsidRPr="00E765C6">
        <w:rPr>
          <w:rFonts w:hAnsi="標楷體" w:hint="eastAsia"/>
          <w:color w:val="000000"/>
        </w:rPr>
        <w:t>「</w:t>
      </w:r>
      <w:r w:rsidRPr="00E765C6">
        <w:rPr>
          <w:rFonts w:hAnsi="標楷體" w:hint="eastAsia"/>
          <w:color w:val="000000"/>
        </w:rPr>
        <w:t>用人費用</w:t>
      </w:r>
      <w:r w:rsidR="00617C29" w:rsidRPr="00E765C6">
        <w:rPr>
          <w:rFonts w:hAnsi="標楷體" w:hint="eastAsia"/>
          <w:color w:val="000000"/>
        </w:rPr>
        <w:t>」</w:t>
      </w:r>
      <w:r w:rsidRPr="00E765C6">
        <w:rPr>
          <w:rFonts w:hAnsi="標楷體" w:hint="eastAsia"/>
          <w:color w:val="000000"/>
        </w:rPr>
        <w:t>編列13億9,877萬2千元，較113年</w:t>
      </w:r>
      <w:r w:rsidR="00617C29" w:rsidRPr="00E765C6">
        <w:rPr>
          <w:rFonts w:hAnsi="標楷體" w:hint="eastAsia"/>
          <w:color w:val="000000"/>
        </w:rPr>
        <w:t>度</w:t>
      </w:r>
      <w:r w:rsidRPr="00E765C6">
        <w:rPr>
          <w:rFonts w:hAnsi="標楷體" w:hint="eastAsia"/>
          <w:color w:val="000000"/>
        </w:rPr>
        <w:t>預算</w:t>
      </w:r>
      <w:r w:rsidR="00617C29" w:rsidRPr="00E765C6">
        <w:rPr>
          <w:rFonts w:hAnsi="標楷體" w:hint="eastAsia"/>
          <w:color w:val="000000"/>
        </w:rPr>
        <w:t>「</w:t>
      </w:r>
      <w:r w:rsidRPr="00E765C6">
        <w:rPr>
          <w:rFonts w:hAnsi="標楷體" w:hint="eastAsia"/>
          <w:color w:val="000000"/>
        </w:rPr>
        <w:t>業務收入</w:t>
      </w:r>
      <w:r w:rsidR="00617C29" w:rsidRPr="00E765C6">
        <w:rPr>
          <w:rFonts w:hAnsi="標楷體" w:hint="eastAsia"/>
          <w:color w:val="000000"/>
        </w:rPr>
        <w:t>」</w:t>
      </w:r>
      <w:r w:rsidRPr="00E765C6">
        <w:rPr>
          <w:rFonts w:hAnsi="標楷體" w:hint="eastAsia"/>
          <w:color w:val="000000"/>
        </w:rPr>
        <w:t>33億3‚500萬元，及</w:t>
      </w:r>
      <w:r w:rsidR="00617C29" w:rsidRPr="00E765C6">
        <w:rPr>
          <w:rFonts w:hAnsi="標楷體" w:hint="eastAsia"/>
          <w:color w:val="000000"/>
        </w:rPr>
        <w:t>「</w:t>
      </w:r>
      <w:r w:rsidRPr="00E765C6">
        <w:rPr>
          <w:rFonts w:hAnsi="標楷體" w:hint="eastAsia"/>
          <w:color w:val="000000"/>
        </w:rPr>
        <w:t>用人費用</w:t>
      </w:r>
      <w:r w:rsidR="00617C29" w:rsidRPr="00E765C6">
        <w:rPr>
          <w:rFonts w:hAnsi="標楷體" w:hint="eastAsia"/>
          <w:color w:val="000000"/>
        </w:rPr>
        <w:t>」</w:t>
      </w:r>
      <w:r w:rsidRPr="00E765C6">
        <w:rPr>
          <w:rFonts w:hAnsi="標楷體" w:hint="eastAsia"/>
          <w:color w:val="000000"/>
        </w:rPr>
        <w:t>12億5,505萬2千元，均</w:t>
      </w:r>
      <w:r w:rsidR="00617C29" w:rsidRPr="00E765C6">
        <w:rPr>
          <w:rFonts w:hAnsi="標楷體" w:hint="eastAsia"/>
          <w:color w:val="000000"/>
        </w:rPr>
        <w:t>有</w:t>
      </w:r>
      <w:r w:rsidRPr="00E765C6">
        <w:rPr>
          <w:rFonts w:hAnsi="標楷體" w:hint="eastAsia"/>
          <w:color w:val="000000"/>
        </w:rPr>
        <w:t>增加。經查：</w:t>
      </w:r>
    </w:p>
    <w:p w:rsidR="00C02BC2" w:rsidRPr="00E765C6" w:rsidRDefault="00C02BC2" w:rsidP="00C02BC2">
      <w:pPr>
        <w:pStyle w:val="a4"/>
        <w:ind w:left="849" w:hanging="283"/>
        <w:rPr>
          <w:rFonts w:hAnsi="標楷體"/>
          <w:b/>
          <w:color w:val="000000"/>
        </w:rPr>
      </w:pPr>
      <w:r w:rsidRPr="00E765C6">
        <w:rPr>
          <w:rFonts w:hAnsi="標楷體" w:hint="eastAsia"/>
          <w:b/>
          <w:color w:val="000000"/>
        </w:rPr>
        <w:t>(一)</w:t>
      </w:r>
      <w:r w:rsidR="00A37FA0" w:rsidRPr="00E765C6">
        <w:rPr>
          <w:rFonts w:hAnsi="標楷體"/>
          <w:b/>
          <w:color w:val="000000"/>
        </w:rPr>
        <w:t>近年持續增聘員工，114年度預算</w:t>
      </w:r>
      <w:r w:rsidR="00A37FA0" w:rsidRPr="00E765C6">
        <w:rPr>
          <w:rFonts w:hAnsi="標楷體" w:hint="eastAsia"/>
          <w:b/>
          <w:color w:val="000000"/>
        </w:rPr>
        <w:t>案</w:t>
      </w:r>
      <w:r w:rsidR="00EF2065" w:rsidRPr="00E765C6">
        <w:rPr>
          <w:rFonts w:hAnsi="標楷體"/>
          <w:b/>
          <w:color w:val="000000"/>
        </w:rPr>
        <w:t>增加</w:t>
      </w:r>
      <w:r w:rsidR="00A37FA0" w:rsidRPr="00E765C6">
        <w:rPr>
          <w:rFonts w:hAnsi="標楷體"/>
          <w:b/>
          <w:color w:val="000000"/>
        </w:rPr>
        <w:t>人數創</w:t>
      </w:r>
      <w:r w:rsidR="00EF2065" w:rsidRPr="00E765C6">
        <w:rPr>
          <w:rFonts w:hAnsi="標楷體" w:hint="eastAsia"/>
          <w:b/>
          <w:color w:val="000000"/>
        </w:rPr>
        <w:t>1</w:t>
      </w:r>
      <w:r w:rsidR="00EF2065" w:rsidRPr="00E765C6">
        <w:rPr>
          <w:rFonts w:hAnsi="標楷體"/>
          <w:b/>
          <w:color w:val="000000"/>
        </w:rPr>
        <w:t>09年</w:t>
      </w:r>
      <w:r w:rsidR="00EF2065" w:rsidRPr="00E765C6">
        <w:rPr>
          <w:rFonts w:hAnsi="標楷體" w:hint="eastAsia"/>
          <w:b/>
          <w:color w:val="000000"/>
        </w:rPr>
        <w:t>度以來</w:t>
      </w:r>
      <w:r w:rsidR="00A37FA0" w:rsidRPr="00E765C6">
        <w:rPr>
          <w:rFonts w:hAnsi="標楷體"/>
          <w:b/>
          <w:color w:val="000000"/>
        </w:rPr>
        <w:t>新高</w:t>
      </w:r>
    </w:p>
    <w:p w:rsidR="00A37FA0" w:rsidRPr="00E765C6" w:rsidRDefault="00A37FA0" w:rsidP="00A37FA0">
      <w:pPr>
        <w:pStyle w:val="2"/>
        <w:ind w:left="850" w:firstLine="566"/>
        <w:rPr>
          <w:rFonts w:hAnsi="標楷體"/>
          <w:color w:val="000000"/>
        </w:rPr>
      </w:pPr>
      <w:r w:rsidRPr="00E765C6">
        <w:rPr>
          <w:rFonts w:hAnsi="標楷體"/>
          <w:color w:val="000000"/>
        </w:rPr>
        <w:t>110、111、112年度</w:t>
      </w:r>
      <w:r w:rsidR="00815336" w:rsidRPr="00E765C6">
        <w:rPr>
          <w:rFonts w:hAnsi="標楷體"/>
          <w:color w:val="000000"/>
        </w:rPr>
        <w:t>預計員工人數</w:t>
      </w:r>
      <w:r w:rsidRPr="00E765C6">
        <w:rPr>
          <w:rFonts w:hAnsi="標楷體"/>
          <w:color w:val="000000"/>
        </w:rPr>
        <w:t>分別為939、968、986人，較前</w:t>
      </w:r>
      <w:r w:rsidR="00EF2065" w:rsidRPr="00E765C6">
        <w:rPr>
          <w:rFonts w:hAnsi="標楷體" w:hint="eastAsia"/>
          <w:color w:val="000000"/>
        </w:rPr>
        <w:t>一</w:t>
      </w:r>
      <w:r w:rsidRPr="00E765C6">
        <w:rPr>
          <w:rFonts w:hAnsi="標楷體"/>
          <w:color w:val="000000"/>
        </w:rPr>
        <w:t>年度預算數分別小幅增額16、29、18人</w:t>
      </w:r>
      <w:r w:rsidR="00815336" w:rsidRPr="00E765C6">
        <w:rPr>
          <w:rFonts w:hAnsi="標楷體" w:hint="eastAsia"/>
          <w:color w:val="000000"/>
        </w:rPr>
        <w:t>，惟</w:t>
      </w:r>
      <w:r w:rsidRPr="00E765C6">
        <w:rPr>
          <w:rFonts w:hAnsi="標楷體"/>
          <w:color w:val="000000"/>
        </w:rPr>
        <w:t>113較112年度預算大幅增額人員63人，據金屬中心說明係為執行</w:t>
      </w:r>
      <w:r w:rsidRPr="00E765C6">
        <w:rPr>
          <w:rFonts w:hAnsi="標楷體"/>
          <w:bCs/>
          <w:color w:val="000000"/>
        </w:rPr>
        <w:t>中央政府</w:t>
      </w:r>
      <w:r w:rsidRPr="00E765C6">
        <w:rPr>
          <w:rFonts w:hAnsi="標楷體"/>
          <w:color w:val="000000"/>
        </w:rPr>
        <w:t>疫後強化經濟與社會韌性及全民共享經濟成果特別預算，</w:t>
      </w:r>
      <w:r w:rsidR="009521A8" w:rsidRPr="00E765C6">
        <w:rPr>
          <w:rFonts w:hAnsi="標楷體" w:hint="eastAsia"/>
          <w:color w:val="000000"/>
        </w:rPr>
        <w:t>與</w:t>
      </w:r>
      <w:r w:rsidRPr="00E765C6">
        <w:rPr>
          <w:rFonts w:hAnsi="標楷體"/>
          <w:color w:val="000000"/>
        </w:rPr>
        <w:t>協助廠商低碳轉型相關措施(含低碳與智慧化</w:t>
      </w:r>
      <w:r w:rsidR="009414AC" w:rsidRPr="00E765C6">
        <w:rPr>
          <w:rFonts w:hAnsi="標楷體"/>
          <w:color w:val="000000"/>
        </w:rPr>
        <w:t>之</w:t>
      </w:r>
      <w:r w:rsidRPr="00E765C6">
        <w:rPr>
          <w:rFonts w:hAnsi="標楷體"/>
          <w:color w:val="000000"/>
        </w:rPr>
        <w:t>人才培育課程、碳盤查輔導案、協助政府補助案申請作業等)，爰須增聘人員以執行上述工作</w:t>
      </w:r>
      <w:r w:rsidR="00815336" w:rsidRPr="00E765C6">
        <w:rPr>
          <w:rFonts w:hAnsi="標楷體" w:hint="eastAsia"/>
          <w:color w:val="000000"/>
        </w:rPr>
        <w:t>，</w:t>
      </w:r>
      <w:r w:rsidR="00EF2065" w:rsidRPr="00E765C6">
        <w:rPr>
          <w:rFonts w:hAnsi="標楷體" w:hint="eastAsia"/>
          <w:color w:val="000000"/>
        </w:rPr>
        <w:t>又</w:t>
      </w:r>
      <w:r w:rsidRPr="00E765C6">
        <w:rPr>
          <w:rFonts w:hAnsi="標楷體"/>
          <w:color w:val="000000"/>
        </w:rPr>
        <w:t>114較113年度預算</w:t>
      </w:r>
      <w:r w:rsidR="00EF2065" w:rsidRPr="00E765C6">
        <w:rPr>
          <w:rFonts w:hAnsi="標楷體" w:hint="eastAsia"/>
          <w:color w:val="000000"/>
        </w:rPr>
        <w:t>再</w:t>
      </w:r>
      <w:r w:rsidRPr="00E765C6">
        <w:rPr>
          <w:rFonts w:hAnsi="標楷體"/>
          <w:color w:val="000000"/>
        </w:rPr>
        <w:t>續增71人，該中心說明係為執行政府研究計畫、政府委辦計畫與自主案件等，且考量可能為臨時或短期之計畫人力需求，</w:t>
      </w:r>
      <w:r w:rsidR="00815336" w:rsidRPr="00E765C6">
        <w:rPr>
          <w:rFonts w:hAnsi="標楷體" w:hint="eastAsia"/>
          <w:color w:val="000000"/>
        </w:rPr>
        <w:t>爰</w:t>
      </w:r>
      <w:r w:rsidRPr="00E765C6">
        <w:rPr>
          <w:rFonts w:hAnsi="標楷體"/>
          <w:color w:val="000000"/>
        </w:rPr>
        <w:t>主要增加約聘人員。</w:t>
      </w:r>
      <w:r w:rsidR="009521A8" w:rsidRPr="00E765C6">
        <w:rPr>
          <w:rFonts w:hAnsi="標楷體"/>
          <w:color w:val="000000"/>
        </w:rPr>
        <w:t>在</w:t>
      </w:r>
      <w:r w:rsidRPr="00E765C6">
        <w:rPr>
          <w:rFonts w:hAnsi="標楷體"/>
          <w:color w:val="000000"/>
        </w:rPr>
        <w:t>近2年預估業務量增加情形下，預算人數均較前一年度增加逾6%。</w:t>
      </w:r>
    </w:p>
    <w:p w:rsidR="00C02BC2" w:rsidRPr="00E765C6" w:rsidRDefault="00C02BC2" w:rsidP="00C02BC2">
      <w:pPr>
        <w:pStyle w:val="a4"/>
        <w:ind w:left="849" w:hanging="283"/>
        <w:rPr>
          <w:rFonts w:hAnsi="標楷體"/>
          <w:b/>
          <w:color w:val="000000"/>
        </w:rPr>
      </w:pPr>
      <w:r w:rsidRPr="00E765C6">
        <w:rPr>
          <w:rFonts w:hAnsi="標楷體" w:hint="eastAsia"/>
          <w:b/>
          <w:color w:val="000000"/>
        </w:rPr>
        <w:t>(二)</w:t>
      </w:r>
      <w:r w:rsidR="00A37FA0" w:rsidRPr="00E765C6">
        <w:rPr>
          <w:rFonts w:hAnsi="標楷體"/>
          <w:b/>
          <w:color w:val="000000"/>
        </w:rPr>
        <w:t>用人費用</w:t>
      </w:r>
      <w:r w:rsidR="00FD391D" w:rsidRPr="00E765C6">
        <w:rPr>
          <w:rFonts w:hAnsi="標楷體" w:hint="eastAsia"/>
          <w:b/>
          <w:color w:val="000000"/>
        </w:rPr>
        <w:t>及</w:t>
      </w:r>
      <w:r w:rsidR="00A37FA0" w:rsidRPr="00E765C6">
        <w:rPr>
          <w:rFonts w:hAnsi="標楷體"/>
          <w:b/>
          <w:color w:val="000000"/>
        </w:rPr>
        <w:t>員工</w:t>
      </w:r>
      <w:r w:rsidR="00FD391D" w:rsidRPr="00E765C6">
        <w:rPr>
          <w:rFonts w:hAnsi="標楷體"/>
          <w:b/>
          <w:color w:val="000000"/>
        </w:rPr>
        <w:t>預算</w:t>
      </w:r>
      <w:r w:rsidR="00A37FA0" w:rsidRPr="00E765C6">
        <w:rPr>
          <w:rFonts w:hAnsi="標楷體"/>
          <w:b/>
          <w:color w:val="000000"/>
        </w:rPr>
        <w:t>人數與實際數差距顯著，應確實評估人力需求</w:t>
      </w:r>
    </w:p>
    <w:p w:rsidR="00A37FA0" w:rsidRPr="00E765C6" w:rsidRDefault="00D43E06" w:rsidP="00A37FA0">
      <w:pPr>
        <w:pStyle w:val="2"/>
        <w:ind w:left="850" w:firstLine="566"/>
        <w:rPr>
          <w:rFonts w:hAnsi="標楷體"/>
          <w:color w:val="000000"/>
        </w:rPr>
      </w:pPr>
      <w:r w:rsidRPr="00E765C6">
        <w:rPr>
          <w:rFonts w:hAnsi="標楷體" w:hint="eastAsia"/>
          <w:color w:val="000000"/>
        </w:rPr>
        <w:t>觀該中心1</w:t>
      </w:r>
      <w:r w:rsidRPr="00E765C6">
        <w:rPr>
          <w:rFonts w:hAnsi="標楷體"/>
          <w:color w:val="000000"/>
        </w:rPr>
        <w:t>09</w:t>
      </w:r>
      <w:r w:rsidRPr="00E765C6">
        <w:rPr>
          <w:rFonts w:hAnsi="標楷體" w:hint="eastAsia"/>
          <w:color w:val="000000"/>
        </w:rPr>
        <w:t>至1</w:t>
      </w:r>
      <w:r w:rsidRPr="00E765C6">
        <w:rPr>
          <w:rFonts w:hAnsi="標楷體"/>
          <w:color w:val="000000"/>
        </w:rPr>
        <w:t>14</w:t>
      </w:r>
      <w:r w:rsidRPr="00E765C6">
        <w:rPr>
          <w:rFonts w:hAnsi="標楷體" w:hint="eastAsia"/>
          <w:color w:val="000000"/>
        </w:rPr>
        <w:t>年度員工人數及用人費用</w:t>
      </w:r>
      <w:r w:rsidR="00356222" w:rsidRPr="00E765C6">
        <w:rPr>
          <w:rFonts w:hAnsi="標楷體" w:hint="eastAsia"/>
          <w:color w:val="000000"/>
        </w:rPr>
        <w:t>之</w:t>
      </w:r>
      <w:r w:rsidRPr="00E765C6">
        <w:rPr>
          <w:rFonts w:hAnsi="標楷體" w:hint="eastAsia"/>
          <w:color w:val="000000"/>
        </w:rPr>
        <w:t>預決算情形(詳表1</w:t>
      </w:r>
      <w:r w:rsidRPr="00E765C6">
        <w:rPr>
          <w:rFonts w:hAnsi="標楷體"/>
          <w:color w:val="000000"/>
        </w:rPr>
        <w:t>)</w:t>
      </w:r>
      <w:r w:rsidRPr="00E765C6">
        <w:rPr>
          <w:rFonts w:hAnsi="標楷體" w:hint="eastAsia"/>
          <w:color w:val="000000"/>
        </w:rPr>
        <w:t>，每年度員工之實際人數均逾預算人數，而用人費用除1</w:t>
      </w:r>
      <w:r w:rsidRPr="00E765C6">
        <w:rPr>
          <w:rFonts w:hAnsi="標楷體"/>
          <w:color w:val="000000"/>
        </w:rPr>
        <w:t>11</w:t>
      </w:r>
      <w:r w:rsidRPr="00E765C6">
        <w:rPr>
          <w:rFonts w:hAnsi="標楷體" w:hint="eastAsia"/>
          <w:color w:val="000000"/>
        </w:rPr>
        <w:t>及1</w:t>
      </w:r>
      <w:r w:rsidRPr="00E765C6">
        <w:rPr>
          <w:rFonts w:hAnsi="標楷體"/>
          <w:color w:val="000000"/>
        </w:rPr>
        <w:t>12</w:t>
      </w:r>
      <w:r w:rsidRPr="00E765C6">
        <w:rPr>
          <w:rFonts w:hAnsi="標楷體" w:hint="eastAsia"/>
          <w:color w:val="000000"/>
        </w:rPr>
        <w:t>年度未超支外，餘各年度超支金額介於4</w:t>
      </w:r>
      <w:r w:rsidRPr="00E765C6">
        <w:rPr>
          <w:rFonts w:hAnsi="標楷體"/>
          <w:color w:val="000000"/>
        </w:rPr>
        <w:t>,105</w:t>
      </w:r>
      <w:r w:rsidRPr="00E765C6">
        <w:rPr>
          <w:rFonts w:hAnsi="標楷體" w:hint="eastAsia"/>
          <w:color w:val="000000"/>
        </w:rPr>
        <w:t>萬4千元至</w:t>
      </w:r>
      <w:r w:rsidRPr="00E765C6">
        <w:rPr>
          <w:rFonts w:hAnsi="標楷體"/>
          <w:color w:val="000000"/>
          <w:szCs w:val="24"/>
        </w:rPr>
        <w:t>1億925萬1千元</w:t>
      </w:r>
      <w:r w:rsidRPr="00E765C6">
        <w:rPr>
          <w:rFonts w:hAnsi="標楷體" w:hint="eastAsia"/>
          <w:color w:val="000000"/>
          <w:szCs w:val="24"/>
        </w:rPr>
        <w:t>之間。</w:t>
      </w:r>
      <w:r w:rsidR="009521A8" w:rsidRPr="00E765C6">
        <w:rPr>
          <w:rFonts w:hAnsi="標楷體" w:hint="eastAsia"/>
          <w:color w:val="000000"/>
        </w:rPr>
        <w:t>據</w:t>
      </w:r>
      <w:r w:rsidR="00A37FA0" w:rsidRPr="00E765C6">
        <w:rPr>
          <w:rFonts w:hAnsi="標楷體"/>
          <w:color w:val="000000"/>
        </w:rPr>
        <w:t>該中心說明預算人數之預估方式，係採近6年平均員工人數成長率乘以預算年度前一年預估人力</w:t>
      </w:r>
      <w:r w:rsidR="009521A8" w:rsidRPr="00E765C6">
        <w:rPr>
          <w:rFonts w:hAnsi="標楷體" w:hint="eastAsia"/>
          <w:color w:val="000000"/>
        </w:rPr>
        <w:t>，惟經檢視其近5年(</w:t>
      </w:r>
      <w:r w:rsidR="009521A8" w:rsidRPr="00E765C6">
        <w:rPr>
          <w:rFonts w:hAnsi="標楷體"/>
          <w:color w:val="000000"/>
        </w:rPr>
        <w:t>109</w:t>
      </w:r>
      <w:r w:rsidR="009521A8" w:rsidRPr="00E765C6">
        <w:rPr>
          <w:rFonts w:hAnsi="標楷體" w:hint="eastAsia"/>
          <w:color w:val="000000"/>
        </w:rPr>
        <w:t>至1</w:t>
      </w:r>
      <w:r w:rsidR="009521A8" w:rsidRPr="00E765C6">
        <w:rPr>
          <w:rFonts w:hAnsi="標楷體"/>
          <w:color w:val="000000"/>
        </w:rPr>
        <w:t>13</w:t>
      </w:r>
      <w:r w:rsidR="009521A8" w:rsidRPr="00E765C6">
        <w:rPr>
          <w:rFonts w:hAnsi="標楷體" w:hint="eastAsia"/>
          <w:color w:val="000000"/>
        </w:rPr>
        <w:t>年度</w:t>
      </w:r>
      <w:r w:rsidR="009521A8" w:rsidRPr="00E765C6">
        <w:rPr>
          <w:rFonts w:hAnsi="標楷體"/>
          <w:color w:val="000000"/>
        </w:rPr>
        <w:t>)</w:t>
      </w:r>
      <w:r w:rsidR="009521A8" w:rsidRPr="00E765C6">
        <w:rPr>
          <w:rFonts w:hAnsi="標楷體" w:hint="eastAsia"/>
          <w:color w:val="000000"/>
        </w:rPr>
        <w:t>預估人數與實際人數差異數超過3</w:t>
      </w:r>
      <w:r w:rsidR="009521A8" w:rsidRPr="00E765C6">
        <w:rPr>
          <w:rFonts w:hAnsi="標楷體"/>
          <w:color w:val="000000"/>
        </w:rPr>
        <w:t>%</w:t>
      </w:r>
      <w:r w:rsidR="004A0A69" w:rsidRPr="00E765C6">
        <w:rPr>
          <w:rFonts w:hAnsi="標楷體" w:hint="eastAsia"/>
          <w:color w:val="000000"/>
        </w:rPr>
        <w:t>者</w:t>
      </w:r>
      <w:r w:rsidR="009521A8" w:rsidRPr="00E765C6">
        <w:rPr>
          <w:rFonts w:hAnsi="標楷體" w:hint="eastAsia"/>
          <w:color w:val="000000"/>
        </w:rPr>
        <w:t>有2個年度</w:t>
      </w:r>
      <w:r w:rsidRPr="00E765C6">
        <w:rPr>
          <w:rFonts w:hAnsi="標楷體" w:hint="eastAsia"/>
          <w:color w:val="000000"/>
        </w:rPr>
        <w:t>(</w:t>
      </w:r>
      <w:r w:rsidRPr="00E765C6">
        <w:rPr>
          <w:rFonts w:hAnsi="標楷體"/>
          <w:color w:val="000000"/>
        </w:rPr>
        <w:t>112</w:t>
      </w:r>
      <w:r w:rsidRPr="00E765C6">
        <w:rPr>
          <w:rFonts w:hAnsi="標楷體" w:hint="eastAsia"/>
          <w:color w:val="000000"/>
        </w:rPr>
        <w:t>及1</w:t>
      </w:r>
      <w:r w:rsidRPr="00E765C6">
        <w:rPr>
          <w:rFonts w:hAnsi="標楷體"/>
          <w:color w:val="000000"/>
        </w:rPr>
        <w:t>13</w:t>
      </w:r>
      <w:r w:rsidRPr="00E765C6">
        <w:rPr>
          <w:rFonts w:hAnsi="標楷體" w:hint="eastAsia"/>
          <w:color w:val="000000"/>
        </w:rPr>
        <w:t>年度</w:t>
      </w:r>
      <w:r w:rsidRPr="00E765C6">
        <w:rPr>
          <w:rFonts w:hAnsi="標楷體"/>
          <w:color w:val="000000"/>
        </w:rPr>
        <w:t>)</w:t>
      </w:r>
      <w:r w:rsidR="004A0A69" w:rsidRPr="00E765C6">
        <w:rPr>
          <w:rFonts w:hAnsi="標楷體" w:hint="eastAsia"/>
          <w:color w:val="000000"/>
        </w:rPr>
        <w:t>，</w:t>
      </w:r>
      <w:r w:rsidR="009521A8" w:rsidRPr="00E765C6">
        <w:rPr>
          <w:rFonts w:hAnsi="標楷體" w:hint="eastAsia"/>
          <w:color w:val="000000"/>
        </w:rPr>
        <w:t>預估用人費用與實際用人費用差異數超過3</w:t>
      </w:r>
      <w:r w:rsidR="009521A8" w:rsidRPr="00E765C6">
        <w:rPr>
          <w:rFonts w:hAnsi="標楷體"/>
          <w:color w:val="000000"/>
        </w:rPr>
        <w:t>%</w:t>
      </w:r>
      <w:r w:rsidR="004A0A69" w:rsidRPr="00E765C6">
        <w:rPr>
          <w:rFonts w:hAnsi="標楷體" w:hint="eastAsia"/>
          <w:color w:val="000000"/>
        </w:rPr>
        <w:t>者有3個年度</w:t>
      </w:r>
      <w:r w:rsidRPr="00E765C6">
        <w:rPr>
          <w:rFonts w:hAnsi="標楷體" w:hint="eastAsia"/>
          <w:color w:val="000000"/>
        </w:rPr>
        <w:t>(</w:t>
      </w:r>
      <w:r w:rsidRPr="00E765C6">
        <w:rPr>
          <w:rFonts w:hAnsi="標楷體"/>
          <w:color w:val="000000"/>
        </w:rPr>
        <w:t>109</w:t>
      </w:r>
      <w:r w:rsidRPr="00E765C6">
        <w:rPr>
          <w:rFonts w:hAnsi="標楷體" w:hint="eastAsia"/>
          <w:color w:val="000000"/>
        </w:rPr>
        <w:t>、1</w:t>
      </w:r>
      <w:r w:rsidRPr="00E765C6">
        <w:rPr>
          <w:rFonts w:hAnsi="標楷體"/>
          <w:color w:val="000000"/>
        </w:rPr>
        <w:t>10</w:t>
      </w:r>
      <w:r w:rsidRPr="00E765C6">
        <w:rPr>
          <w:rFonts w:hAnsi="標楷體" w:hint="eastAsia"/>
          <w:color w:val="000000"/>
        </w:rPr>
        <w:t>及1</w:t>
      </w:r>
      <w:r w:rsidRPr="00E765C6">
        <w:rPr>
          <w:rFonts w:hAnsi="標楷體"/>
          <w:color w:val="000000"/>
        </w:rPr>
        <w:t>13</w:t>
      </w:r>
      <w:r w:rsidRPr="00E765C6">
        <w:rPr>
          <w:rFonts w:hAnsi="標楷體" w:hint="eastAsia"/>
          <w:color w:val="000000"/>
        </w:rPr>
        <w:t>年度</w:t>
      </w:r>
      <w:r w:rsidRPr="00E765C6">
        <w:rPr>
          <w:rFonts w:hAnsi="標楷體"/>
          <w:color w:val="000000"/>
        </w:rPr>
        <w:t>)</w:t>
      </w:r>
      <w:r w:rsidRPr="00E765C6">
        <w:rPr>
          <w:rFonts w:hAnsi="標楷體" w:hint="eastAsia"/>
          <w:color w:val="000000"/>
        </w:rPr>
        <w:t>，顯示人力需求與用人費用之估列尚待精進</w:t>
      </w:r>
      <w:r w:rsidR="00A37FA0" w:rsidRPr="00E765C6">
        <w:rPr>
          <w:rFonts w:hAnsi="標楷體"/>
          <w:color w:val="000000"/>
        </w:rPr>
        <w:t>。</w:t>
      </w:r>
    </w:p>
    <w:p w:rsidR="00A37FA0" w:rsidRPr="00E765C6" w:rsidRDefault="00A37FA0" w:rsidP="00A37FA0">
      <w:pPr>
        <w:widowControl/>
        <w:ind w:leftChars="-150" w:left="567" w:hangingChars="350" w:hanging="992"/>
        <w:jc w:val="left"/>
        <w:rPr>
          <w:rFonts w:hAnsi="標楷體"/>
          <w:b/>
          <w:color w:val="000000"/>
          <w:szCs w:val="20"/>
        </w:rPr>
      </w:pPr>
      <w:r w:rsidRPr="00E765C6">
        <w:rPr>
          <w:rFonts w:hAnsi="標楷體"/>
          <w:b/>
          <w:color w:val="000000"/>
          <w:szCs w:val="20"/>
        </w:rPr>
        <w:t>表1 金屬中心10</w:t>
      </w:r>
      <w:r w:rsidR="009521A8" w:rsidRPr="00E765C6">
        <w:rPr>
          <w:rFonts w:hAnsi="標楷體" w:hint="eastAsia"/>
          <w:b/>
          <w:color w:val="000000"/>
          <w:szCs w:val="20"/>
        </w:rPr>
        <w:t>9</w:t>
      </w:r>
      <w:r w:rsidRPr="00E765C6">
        <w:rPr>
          <w:rFonts w:hAnsi="標楷體"/>
          <w:b/>
          <w:color w:val="000000"/>
          <w:szCs w:val="20"/>
        </w:rPr>
        <w:t xml:space="preserve">至114年度員工人數及用人費用預決算數一覽表    </w:t>
      </w:r>
    </w:p>
    <w:p w:rsidR="00A37FA0" w:rsidRPr="00E765C6" w:rsidRDefault="00A37FA0" w:rsidP="0088156A">
      <w:pPr>
        <w:widowControl/>
        <w:spacing w:line="400" w:lineRule="exact"/>
        <w:ind w:leftChars="0" w:left="0" w:rightChars="-250" w:right="-708" w:firstLineChars="0" w:firstLine="0"/>
        <w:jc w:val="right"/>
        <w:rPr>
          <w:rFonts w:hAnsi="標楷體"/>
          <w:snapToGrid/>
          <w:color w:val="000000"/>
          <w:spacing w:val="-4"/>
          <w:sz w:val="24"/>
          <w:szCs w:val="22"/>
        </w:rPr>
      </w:pPr>
      <w:r w:rsidRPr="00E765C6">
        <w:rPr>
          <w:rFonts w:hAnsi="標楷體"/>
          <w:snapToGrid/>
          <w:color w:val="000000"/>
          <w:spacing w:val="-4"/>
          <w:sz w:val="24"/>
          <w:szCs w:val="22"/>
        </w:rPr>
        <w:t>單位:人；新臺幣千元</w:t>
      </w:r>
      <w:r w:rsidR="00A01A38" w:rsidRPr="00E765C6">
        <w:rPr>
          <w:rFonts w:hAnsi="標楷體" w:hint="eastAsia"/>
          <w:snapToGrid/>
          <w:color w:val="000000"/>
          <w:spacing w:val="-4"/>
          <w:sz w:val="24"/>
          <w:szCs w:val="22"/>
        </w:rPr>
        <w:t>；</w:t>
      </w:r>
      <w:r w:rsidRPr="00E765C6">
        <w:rPr>
          <w:rFonts w:hAnsi="標楷體"/>
          <w:snapToGrid/>
          <w:color w:val="000000"/>
          <w:sz w:val="24"/>
          <w:szCs w:val="24"/>
        </w:rPr>
        <w:t>%</w:t>
      </w:r>
    </w:p>
    <w:tbl>
      <w:tblPr>
        <w:tblW w:w="9828" w:type="dxa"/>
        <w:tblInd w:w="-4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36"/>
        <w:gridCol w:w="1276"/>
        <w:gridCol w:w="1134"/>
        <w:gridCol w:w="1276"/>
        <w:gridCol w:w="1276"/>
        <w:gridCol w:w="1278"/>
        <w:gridCol w:w="1276"/>
        <w:gridCol w:w="1276"/>
      </w:tblGrid>
      <w:tr w:rsidR="0088156A" w:rsidRPr="00E765C6" w:rsidTr="0088156A">
        <w:trPr>
          <w:cantSplit/>
          <w:trHeight w:val="405"/>
          <w:tblHeader/>
        </w:trPr>
        <w:tc>
          <w:tcPr>
            <w:tcW w:w="2312" w:type="dxa"/>
            <w:gridSpan w:val="2"/>
            <w:tcBorders>
              <w:top w:val="single" w:sz="12" w:space="0" w:color="auto"/>
              <w:left w:val="single" w:sz="12" w:space="0" w:color="auto"/>
              <w:bottom w:val="single" w:sz="4" w:space="0" w:color="auto"/>
              <w:right w:val="single" w:sz="4" w:space="0" w:color="auto"/>
              <w:tl2br w:val="single" w:sz="2" w:space="0" w:color="auto"/>
            </w:tcBorders>
            <w:shd w:val="clear" w:color="auto" w:fill="auto"/>
            <w:vAlign w:val="center"/>
          </w:tcPr>
          <w:p w:rsidR="0088156A" w:rsidRPr="00E765C6" w:rsidRDefault="0088156A" w:rsidP="00A37FA0">
            <w:pPr>
              <w:widowControl/>
              <w:snapToGrid w:val="0"/>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年度</w:t>
            </w:r>
          </w:p>
          <w:p w:rsidR="0088156A" w:rsidRPr="00E765C6" w:rsidRDefault="0088156A" w:rsidP="00A37FA0">
            <w:pPr>
              <w:widowControl/>
              <w:snapToGrid w:val="0"/>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項目</w:t>
            </w:r>
          </w:p>
        </w:tc>
        <w:tc>
          <w:tcPr>
            <w:tcW w:w="1134"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109</w:t>
            </w:r>
          </w:p>
        </w:tc>
        <w:tc>
          <w:tcPr>
            <w:tcW w:w="1276" w:type="dxa"/>
            <w:tcBorders>
              <w:top w:val="single" w:sz="12"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110</w:t>
            </w:r>
          </w:p>
        </w:tc>
        <w:tc>
          <w:tcPr>
            <w:tcW w:w="1276" w:type="dxa"/>
            <w:tcBorders>
              <w:top w:val="single" w:sz="12"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111</w:t>
            </w:r>
          </w:p>
        </w:tc>
        <w:tc>
          <w:tcPr>
            <w:tcW w:w="1278" w:type="dxa"/>
            <w:tcBorders>
              <w:top w:val="single" w:sz="12"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112</w:t>
            </w:r>
          </w:p>
        </w:tc>
        <w:tc>
          <w:tcPr>
            <w:tcW w:w="1276" w:type="dxa"/>
            <w:tcBorders>
              <w:top w:val="single" w:sz="12" w:space="0" w:color="auto"/>
              <w:left w:val="single" w:sz="4" w:space="0" w:color="auto"/>
              <w:bottom w:val="single" w:sz="4" w:space="0" w:color="auto"/>
              <w:right w:val="single" w:sz="2" w:space="0" w:color="auto"/>
            </w:tcBorders>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113</w:t>
            </w:r>
          </w:p>
        </w:tc>
        <w:tc>
          <w:tcPr>
            <w:tcW w:w="1276" w:type="dxa"/>
            <w:tcBorders>
              <w:top w:val="single" w:sz="12" w:space="0" w:color="auto"/>
              <w:left w:val="single" w:sz="2" w:space="0" w:color="auto"/>
              <w:bottom w:val="single" w:sz="4" w:space="0" w:color="auto"/>
              <w:right w:val="single" w:sz="12" w:space="0" w:color="auto"/>
            </w:tcBorders>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114</w:t>
            </w:r>
          </w:p>
        </w:tc>
      </w:tr>
      <w:tr w:rsidR="0088156A" w:rsidRPr="00E765C6" w:rsidTr="0088156A">
        <w:trPr>
          <w:cantSplit/>
          <w:trHeight w:val="340"/>
        </w:trPr>
        <w:tc>
          <w:tcPr>
            <w:tcW w:w="103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預算數</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156A" w:rsidRPr="00E765C6" w:rsidRDefault="0088156A" w:rsidP="006305EA">
            <w:pPr>
              <w:widowControl/>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預計人數a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923</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939</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968</w:t>
            </w:r>
          </w:p>
        </w:tc>
        <w:tc>
          <w:tcPr>
            <w:tcW w:w="1278"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986</w:t>
            </w:r>
          </w:p>
        </w:tc>
        <w:tc>
          <w:tcPr>
            <w:tcW w:w="1276" w:type="dxa"/>
            <w:tcBorders>
              <w:top w:val="single" w:sz="4" w:space="0" w:color="auto"/>
              <w:left w:val="single" w:sz="4" w:space="0" w:color="auto"/>
              <w:bottom w:val="single" w:sz="4" w:space="0" w:color="auto"/>
              <w:right w:val="single" w:sz="2"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1,049</w:t>
            </w:r>
          </w:p>
        </w:tc>
        <w:tc>
          <w:tcPr>
            <w:tcW w:w="1276" w:type="dxa"/>
            <w:tcBorders>
              <w:top w:val="single" w:sz="4" w:space="0" w:color="auto"/>
              <w:left w:val="single" w:sz="2" w:space="0" w:color="auto"/>
              <w:bottom w:val="single" w:sz="4" w:space="0" w:color="auto"/>
              <w:right w:val="single" w:sz="12"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1,120</w:t>
            </w:r>
          </w:p>
        </w:tc>
      </w:tr>
      <w:tr w:rsidR="0088156A" w:rsidRPr="00E765C6" w:rsidTr="0088156A">
        <w:trPr>
          <w:cantSplit/>
          <w:trHeight w:val="340"/>
        </w:trPr>
        <w:tc>
          <w:tcPr>
            <w:tcW w:w="1036" w:type="dxa"/>
            <w:vMerge/>
            <w:tcBorders>
              <w:top w:val="single" w:sz="4" w:space="0" w:color="auto"/>
              <w:left w:val="single" w:sz="12"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156A" w:rsidRPr="00E765C6" w:rsidRDefault="0088156A" w:rsidP="006305EA">
            <w:pPr>
              <w:widowControl/>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用人費用b</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996,094</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1,040,472</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1,166,228</w:t>
            </w:r>
          </w:p>
        </w:tc>
        <w:tc>
          <w:tcPr>
            <w:tcW w:w="1278"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1,227,291</w:t>
            </w:r>
          </w:p>
        </w:tc>
        <w:tc>
          <w:tcPr>
            <w:tcW w:w="1276" w:type="dxa"/>
            <w:tcBorders>
              <w:top w:val="single" w:sz="4" w:space="0" w:color="auto"/>
              <w:left w:val="single" w:sz="4" w:space="0" w:color="auto"/>
              <w:bottom w:val="single" w:sz="4" w:space="0" w:color="auto"/>
              <w:right w:val="single" w:sz="2"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1,255,052</w:t>
            </w:r>
          </w:p>
        </w:tc>
        <w:tc>
          <w:tcPr>
            <w:tcW w:w="1276" w:type="dxa"/>
            <w:tcBorders>
              <w:top w:val="single" w:sz="4" w:space="0" w:color="auto"/>
              <w:left w:val="single" w:sz="2" w:space="0" w:color="auto"/>
              <w:bottom w:val="single" w:sz="4" w:space="0" w:color="auto"/>
              <w:right w:val="single" w:sz="12"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1,398,772</w:t>
            </w:r>
          </w:p>
        </w:tc>
      </w:tr>
      <w:tr w:rsidR="0088156A" w:rsidRPr="00E765C6" w:rsidTr="0088156A">
        <w:trPr>
          <w:cantSplit/>
          <w:trHeight w:val="340"/>
        </w:trPr>
        <w:tc>
          <w:tcPr>
            <w:tcW w:w="103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決算數</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156A" w:rsidRPr="00E765C6" w:rsidRDefault="0088156A" w:rsidP="006305EA">
            <w:pPr>
              <w:widowControl/>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實際人數c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937</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941</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969</w:t>
            </w:r>
          </w:p>
        </w:tc>
        <w:tc>
          <w:tcPr>
            <w:tcW w:w="1278"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1,053</w:t>
            </w:r>
          </w:p>
        </w:tc>
        <w:tc>
          <w:tcPr>
            <w:tcW w:w="1276" w:type="dxa"/>
            <w:tcBorders>
              <w:top w:val="single" w:sz="4" w:space="0" w:color="auto"/>
              <w:left w:val="single" w:sz="4" w:space="0" w:color="auto"/>
              <w:bottom w:val="single" w:sz="4" w:space="0" w:color="auto"/>
              <w:right w:val="single" w:sz="2"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 xml:space="preserve">1,100 </w:t>
            </w:r>
          </w:p>
        </w:tc>
        <w:tc>
          <w:tcPr>
            <w:tcW w:w="1276" w:type="dxa"/>
            <w:tcBorders>
              <w:top w:val="single" w:sz="4" w:space="0" w:color="auto"/>
              <w:left w:val="single" w:sz="2" w:space="0" w:color="auto"/>
              <w:bottom w:val="single" w:sz="4" w:space="0" w:color="auto"/>
              <w:right w:val="single" w:sz="12" w:space="0" w:color="auto"/>
              <w:tl2br w:val="single" w:sz="4" w:space="0" w:color="auto"/>
            </w:tcBorders>
            <w:vAlign w:val="center"/>
          </w:tcPr>
          <w:p w:rsidR="0088156A" w:rsidRPr="00E765C6" w:rsidRDefault="0088156A" w:rsidP="006305EA">
            <w:pPr>
              <w:widowControl/>
              <w:spacing w:line="240" w:lineRule="exact"/>
              <w:ind w:leftChars="0" w:left="0" w:rightChars="50" w:right="142" w:firstLineChars="0" w:firstLine="0"/>
              <w:jc w:val="right"/>
              <w:rPr>
                <w:rFonts w:hAnsi="標楷體"/>
                <w:snapToGrid/>
                <w:color w:val="000000"/>
                <w:sz w:val="24"/>
                <w:szCs w:val="22"/>
              </w:rPr>
            </w:pPr>
          </w:p>
        </w:tc>
      </w:tr>
      <w:tr w:rsidR="0088156A" w:rsidRPr="00E765C6" w:rsidTr="0088156A">
        <w:trPr>
          <w:cantSplit/>
          <w:trHeight w:val="340"/>
        </w:trPr>
        <w:tc>
          <w:tcPr>
            <w:tcW w:w="1036" w:type="dxa"/>
            <w:vMerge/>
            <w:tcBorders>
              <w:top w:val="single" w:sz="4" w:space="0" w:color="auto"/>
              <w:left w:val="single" w:sz="12"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156A" w:rsidRPr="00E765C6" w:rsidRDefault="0088156A" w:rsidP="006305EA">
            <w:pPr>
              <w:widowControl/>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用人費用d</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2"/>
                <w:szCs w:val="22"/>
              </w:rPr>
            </w:pPr>
            <w:r w:rsidRPr="00E765C6">
              <w:rPr>
                <w:rFonts w:hAnsi="標楷體"/>
                <w:snapToGrid/>
                <w:color w:val="000000"/>
                <w:sz w:val="22"/>
                <w:szCs w:val="22"/>
              </w:rPr>
              <w:t>1,077,069</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2"/>
                <w:szCs w:val="22"/>
              </w:rPr>
            </w:pPr>
            <w:r w:rsidRPr="00E765C6">
              <w:rPr>
                <w:rFonts w:hAnsi="標楷體"/>
                <w:snapToGrid/>
                <w:color w:val="000000"/>
                <w:sz w:val="22"/>
                <w:szCs w:val="22"/>
              </w:rPr>
              <w:t>1,081,526</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2"/>
                <w:szCs w:val="22"/>
              </w:rPr>
            </w:pPr>
            <w:r w:rsidRPr="00E765C6">
              <w:rPr>
                <w:rFonts w:hAnsi="標楷體"/>
                <w:snapToGrid/>
                <w:color w:val="000000"/>
                <w:sz w:val="22"/>
                <w:szCs w:val="22"/>
              </w:rPr>
              <w:t>1,135,449</w:t>
            </w:r>
          </w:p>
        </w:tc>
        <w:tc>
          <w:tcPr>
            <w:tcW w:w="1278"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2"/>
                <w:szCs w:val="22"/>
              </w:rPr>
            </w:pPr>
            <w:r w:rsidRPr="00E765C6">
              <w:rPr>
                <w:rFonts w:hAnsi="標楷體"/>
                <w:snapToGrid/>
                <w:color w:val="000000"/>
                <w:sz w:val="22"/>
                <w:szCs w:val="22"/>
              </w:rPr>
              <w:t>1,209,609</w:t>
            </w:r>
          </w:p>
        </w:tc>
        <w:tc>
          <w:tcPr>
            <w:tcW w:w="1276" w:type="dxa"/>
            <w:tcBorders>
              <w:top w:val="single" w:sz="4" w:space="0" w:color="auto"/>
              <w:left w:val="single" w:sz="4" w:space="0" w:color="auto"/>
              <w:bottom w:val="single" w:sz="4" w:space="0" w:color="auto"/>
              <w:right w:val="single" w:sz="2"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2"/>
                <w:szCs w:val="22"/>
              </w:rPr>
            </w:pPr>
            <w:r w:rsidRPr="00E765C6">
              <w:rPr>
                <w:rFonts w:hAnsi="標楷體"/>
                <w:snapToGrid/>
                <w:color w:val="000000"/>
                <w:sz w:val="22"/>
                <w:szCs w:val="22"/>
              </w:rPr>
              <w:t>1,364,303</w:t>
            </w:r>
          </w:p>
        </w:tc>
        <w:tc>
          <w:tcPr>
            <w:tcW w:w="1276" w:type="dxa"/>
            <w:tcBorders>
              <w:top w:val="single" w:sz="4" w:space="0" w:color="auto"/>
              <w:left w:val="single" w:sz="2" w:space="0" w:color="auto"/>
              <w:bottom w:val="single" w:sz="4" w:space="0" w:color="auto"/>
              <w:right w:val="single" w:sz="12" w:space="0" w:color="auto"/>
              <w:tl2br w:val="single" w:sz="4" w:space="0" w:color="auto"/>
            </w:tcBorders>
            <w:vAlign w:val="center"/>
          </w:tcPr>
          <w:p w:rsidR="0088156A" w:rsidRPr="00E765C6" w:rsidRDefault="0088156A" w:rsidP="006305EA">
            <w:pPr>
              <w:widowControl/>
              <w:spacing w:line="240" w:lineRule="exact"/>
              <w:ind w:leftChars="0" w:left="0" w:rightChars="50" w:right="142" w:firstLineChars="0" w:firstLine="0"/>
              <w:jc w:val="right"/>
              <w:rPr>
                <w:rFonts w:hAnsi="標楷體"/>
                <w:snapToGrid/>
                <w:color w:val="000000"/>
                <w:sz w:val="24"/>
                <w:szCs w:val="22"/>
              </w:rPr>
            </w:pPr>
          </w:p>
        </w:tc>
      </w:tr>
      <w:tr w:rsidR="0088156A" w:rsidRPr="00E765C6" w:rsidTr="0088156A">
        <w:trPr>
          <w:cantSplit/>
          <w:trHeight w:val="340"/>
        </w:trPr>
        <w:tc>
          <w:tcPr>
            <w:tcW w:w="103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r w:rsidRPr="00E765C6">
              <w:rPr>
                <w:rFonts w:hAnsi="標楷體"/>
                <w:snapToGrid/>
                <w:color w:val="000000"/>
                <w:sz w:val="24"/>
                <w:szCs w:val="22"/>
              </w:rPr>
              <w:t>預計人數與實際人數差額</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6A" w:rsidRPr="00E765C6" w:rsidRDefault="0088156A" w:rsidP="006305EA">
            <w:pPr>
              <w:widowControl/>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人數差異e=a-c</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w:t>
            </w:r>
          </w:p>
        </w:tc>
        <w:tc>
          <w:tcPr>
            <w:tcW w:w="1278"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-67</w:t>
            </w:r>
          </w:p>
        </w:tc>
        <w:tc>
          <w:tcPr>
            <w:tcW w:w="1276" w:type="dxa"/>
            <w:tcBorders>
              <w:top w:val="single" w:sz="4" w:space="0" w:color="auto"/>
              <w:left w:val="single" w:sz="4" w:space="0" w:color="auto"/>
              <w:bottom w:val="single" w:sz="4" w:space="0" w:color="auto"/>
              <w:right w:val="single" w:sz="2"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-51</w:t>
            </w:r>
          </w:p>
        </w:tc>
        <w:tc>
          <w:tcPr>
            <w:tcW w:w="1276" w:type="dxa"/>
            <w:tcBorders>
              <w:top w:val="single" w:sz="4" w:space="0" w:color="auto"/>
              <w:left w:val="single" w:sz="2" w:space="0" w:color="auto"/>
              <w:bottom w:val="single" w:sz="4" w:space="0" w:color="auto"/>
              <w:right w:val="single" w:sz="12" w:space="0" w:color="auto"/>
              <w:tl2br w:val="single" w:sz="4" w:space="0" w:color="auto"/>
            </w:tcBorders>
            <w:vAlign w:val="center"/>
          </w:tcPr>
          <w:p w:rsidR="0088156A" w:rsidRPr="00E765C6" w:rsidRDefault="0088156A" w:rsidP="006305EA">
            <w:pPr>
              <w:widowControl/>
              <w:spacing w:line="240" w:lineRule="exact"/>
              <w:ind w:leftChars="0" w:left="0" w:rightChars="50" w:right="142" w:firstLineChars="0" w:firstLine="0"/>
              <w:jc w:val="right"/>
              <w:rPr>
                <w:rFonts w:hAnsi="標楷體"/>
                <w:snapToGrid/>
                <w:color w:val="000000"/>
                <w:sz w:val="24"/>
                <w:szCs w:val="22"/>
              </w:rPr>
            </w:pPr>
          </w:p>
        </w:tc>
      </w:tr>
      <w:tr w:rsidR="0088156A" w:rsidRPr="00E765C6" w:rsidTr="0088156A">
        <w:trPr>
          <w:cantSplit/>
          <w:trHeight w:val="340"/>
        </w:trPr>
        <w:tc>
          <w:tcPr>
            <w:tcW w:w="1036" w:type="dxa"/>
            <w:vMerge/>
            <w:tcBorders>
              <w:top w:val="single" w:sz="4" w:space="0" w:color="auto"/>
              <w:left w:val="single" w:sz="12"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center"/>
              <w:rPr>
                <w:rFonts w:hAnsi="標楷體"/>
                <w:snapToGrid/>
                <w:color w:val="000000"/>
                <w:sz w:val="24"/>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6A" w:rsidRPr="00E765C6" w:rsidRDefault="0088156A" w:rsidP="00A37FA0">
            <w:pPr>
              <w:widowControl/>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比率</w:t>
            </w:r>
            <w:r w:rsidRPr="00E765C6">
              <w:rPr>
                <w:rFonts w:hAnsi="標楷體"/>
                <w:snapToGrid/>
                <w:color w:val="000000"/>
                <w:sz w:val="24"/>
                <w:szCs w:val="24"/>
              </w:rPr>
              <w:t xml:space="preserve">  </w:t>
            </w:r>
            <w:r w:rsidRPr="00E765C6">
              <w:rPr>
                <w:rFonts w:hAnsi="標楷體"/>
                <w:snapToGrid/>
                <w:color w:val="000000"/>
                <w:sz w:val="24"/>
                <w:szCs w:val="22"/>
              </w:rPr>
              <w:t>e/a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-1.5</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-0.2</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-0.1</w:t>
            </w:r>
          </w:p>
        </w:tc>
        <w:tc>
          <w:tcPr>
            <w:tcW w:w="1278"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-6.8</w:t>
            </w:r>
          </w:p>
        </w:tc>
        <w:tc>
          <w:tcPr>
            <w:tcW w:w="1276" w:type="dxa"/>
            <w:tcBorders>
              <w:top w:val="single" w:sz="4" w:space="0" w:color="auto"/>
              <w:left w:val="single" w:sz="4" w:space="0" w:color="auto"/>
              <w:bottom w:val="single" w:sz="4" w:space="0" w:color="auto"/>
              <w:right w:val="single" w:sz="2" w:space="0" w:color="auto"/>
            </w:tcBorders>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-4.9</w:t>
            </w:r>
          </w:p>
        </w:tc>
        <w:tc>
          <w:tcPr>
            <w:tcW w:w="1276" w:type="dxa"/>
            <w:tcBorders>
              <w:top w:val="single" w:sz="4" w:space="0" w:color="auto"/>
              <w:left w:val="single" w:sz="2" w:space="0" w:color="auto"/>
              <w:bottom w:val="single" w:sz="4" w:space="0" w:color="auto"/>
              <w:right w:val="single" w:sz="12" w:space="0" w:color="auto"/>
              <w:tl2br w:val="single" w:sz="4" w:space="0" w:color="auto"/>
            </w:tcBorders>
            <w:vAlign w:val="center"/>
          </w:tcPr>
          <w:p w:rsidR="0088156A" w:rsidRPr="00E765C6" w:rsidRDefault="0088156A" w:rsidP="006305EA">
            <w:pPr>
              <w:widowControl/>
              <w:spacing w:line="240" w:lineRule="exact"/>
              <w:ind w:leftChars="0" w:left="0" w:rightChars="50" w:right="142" w:firstLineChars="0" w:firstLine="0"/>
              <w:jc w:val="right"/>
              <w:rPr>
                <w:rFonts w:hAnsi="標楷體"/>
                <w:snapToGrid/>
                <w:color w:val="000000"/>
                <w:sz w:val="24"/>
                <w:szCs w:val="22"/>
              </w:rPr>
            </w:pPr>
          </w:p>
        </w:tc>
      </w:tr>
      <w:tr w:rsidR="0088156A" w:rsidRPr="00E765C6" w:rsidTr="0088156A">
        <w:trPr>
          <w:cantSplit/>
          <w:trHeight w:val="340"/>
        </w:trPr>
        <w:tc>
          <w:tcPr>
            <w:tcW w:w="1036"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88156A" w:rsidRPr="00E765C6" w:rsidRDefault="00D43E06" w:rsidP="006305EA">
            <w:pPr>
              <w:widowControl/>
              <w:spacing w:line="240" w:lineRule="exact"/>
              <w:ind w:leftChars="0" w:left="0" w:firstLineChars="0" w:firstLine="0"/>
              <w:jc w:val="center"/>
              <w:rPr>
                <w:rFonts w:hAnsi="標楷體"/>
                <w:snapToGrid/>
                <w:color w:val="000000"/>
                <w:sz w:val="24"/>
                <w:szCs w:val="22"/>
              </w:rPr>
            </w:pPr>
            <w:r w:rsidRPr="00E765C6">
              <w:rPr>
                <w:rFonts w:hAnsi="標楷體" w:hint="eastAsia"/>
                <w:snapToGrid/>
                <w:color w:val="000000"/>
                <w:sz w:val="24"/>
                <w:szCs w:val="22"/>
              </w:rPr>
              <w:t>用人費用超支情形</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6A" w:rsidRPr="00E765C6" w:rsidRDefault="0088156A" w:rsidP="006305EA">
            <w:pPr>
              <w:widowControl/>
              <w:spacing w:line="240" w:lineRule="exact"/>
              <w:ind w:leftChars="0" w:left="0" w:firstLineChars="0" w:firstLine="0"/>
              <w:jc w:val="left"/>
              <w:rPr>
                <w:rFonts w:hAnsi="標楷體"/>
                <w:snapToGrid/>
                <w:color w:val="000000"/>
                <w:spacing w:val="-24"/>
                <w:sz w:val="24"/>
                <w:szCs w:val="22"/>
              </w:rPr>
            </w:pPr>
            <w:r w:rsidRPr="00E765C6">
              <w:rPr>
                <w:rFonts w:hAnsi="標楷體"/>
                <w:snapToGrid/>
                <w:color w:val="000000"/>
                <w:spacing w:val="-24"/>
                <w:sz w:val="24"/>
                <w:szCs w:val="22"/>
              </w:rPr>
              <w:t>用人費用差異</w:t>
            </w:r>
          </w:p>
          <w:p w:rsidR="0088156A" w:rsidRPr="00E765C6" w:rsidRDefault="0088156A" w:rsidP="006305EA">
            <w:pPr>
              <w:widowControl/>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f= b-d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-80,975</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-41,054</w:t>
            </w:r>
          </w:p>
        </w:tc>
        <w:tc>
          <w:tcPr>
            <w:tcW w:w="1276"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30,779</w:t>
            </w:r>
          </w:p>
        </w:tc>
        <w:tc>
          <w:tcPr>
            <w:tcW w:w="1278" w:type="dxa"/>
            <w:tcBorders>
              <w:top w:val="single" w:sz="4" w:space="0" w:color="auto"/>
              <w:left w:val="single" w:sz="4" w:space="0" w:color="auto"/>
              <w:bottom w:val="single" w:sz="4"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17,682</w:t>
            </w:r>
          </w:p>
        </w:tc>
        <w:tc>
          <w:tcPr>
            <w:tcW w:w="1276" w:type="dxa"/>
            <w:tcBorders>
              <w:top w:val="single" w:sz="4" w:space="0" w:color="auto"/>
              <w:left w:val="single" w:sz="4" w:space="0" w:color="auto"/>
              <w:bottom w:val="single" w:sz="4" w:space="0" w:color="auto"/>
              <w:right w:val="single" w:sz="2" w:space="0" w:color="auto"/>
              <w:tl2br w:val="nil"/>
            </w:tcBorders>
            <w:vAlign w:val="center"/>
          </w:tcPr>
          <w:p w:rsidR="0088156A" w:rsidRPr="00E765C6" w:rsidRDefault="0088156A" w:rsidP="006305EA">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-109,251</w:t>
            </w:r>
          </w:p>
        </w:tc>
        <w:tc>
          <w:tcPr>
            <w:tcW w:w="1276" w:type="dxa"/>
            <w:tcBorders>
              <w:top w:val="single" w:sz="4" w:space="0" w:color="auto"/>
              <w:left w:val="single" w:sz="2" w:space="0" w:color="auto"/>
              <w:bottom w:val="single" w:sz="4" w:space="0" w:color="auto"/>
              <w:right w:val="single" w:sz="12" w:space="0" w:color="auto"/>
              <w:tl2br w:val="single" w:sz="4" w:space="0" w:color="auto"/>
            </w:tcBorders>
            <w:vAlign w:val="center"/>
          </w:tcPr>
          <w:p w:rsidR="0088156A" w:rsidRPr="00E765C6" w:rsidRDefault="0088156A" w:rsidP="006305EA">
            <w:pPr>
              <w:widowControl/>
              <w:spacing w:line="240" w:lineRule="exact"/>
              <w:ind w:leftChars="0" w:left="0" w:rightChars="50" w:right="142" w:firstLineChars="0" w:firstLine="0"/>
              <w:jc w:val="right"/>
              <w:rPr>
                <w:rFonts w:hAnsi="標楷體"/>
                <w:snapToGrid/>
                <w:color w:val="000000"/>
                <w:sz w:val="24"/>
                <w:szCs w:val="22"/>
              </w:rPr>
            </w:pPr>
          </w:p>
        </w:tc>
      </w:tr>
      <w:tr w:rsidR="0088156A" w:rsidRPr="00E765C6" w:rsidTr="0088156A">
        <w:trPr>
          <w:cantSplit/>
          <w:trHeight w:val="340"/>
        </w:trPr>
        <w:tc>
          <w:tcPr>
            <w:tcW w:w="1036" w:type="dxa"/>
            <w:vMerge/>
            <w:tcBorders>
              <w:top w:val="single" w:sz="4" w:space="0" w:color="auto"/>
              <w:left w:val="single" w:sz="12" w:space="0" w:color="auto"/>
              <w:bottom w:val="single" w:sz="12" w:space="0" w:color="auto"/>
              <w:right w:val="single" w:sz="4" w:space="0" w:color="auto"/>
            </w:tcBorders>
            <w:vAlign w:val="center"/>
          </w:tcPr>
          <w:p w:rsidR="0088156A" w:rsidRPr="00E765C6" w:rsidRDefault="0088156A" w:rsidP="006305EA">
            <w:pPr>
              <w:widowControl/>
              <w:spacing w:line="240" w:lineRule="exact"/>
              <w:ind w:leftChars="0" w:left="0" w:firstLineChars="0" w:firstLine="0"/>
              <w:jc w:val="left"/>
              <w:rPr>
                <w:rFonts w:hAnsi="標楷體"/>
                <w:snapToGrid/>
                <w:color w:val="000000"/>
                <w:sz w:val="24"/>
                <w:szCs w:val="22"/>
              </w:rPr>
            </w:pPr>
          </w:p>
        </w:tc>
        <w:tc>
          <w:tcPr>
            <w:tcW w:w="1276"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88156A" w:rsidRPr="00E765C6" w:rsidRDefault="0088156A" w:rsidP="00A37FA0">
            <w:pPr>
              <w:widowControl/>
              <w:spacing w:line="240" w:lineRule="exact"/>
              <w:ind w:leftChars="0" w:left="0" w:firstLineChars="0" w:firstLine="0"/>
              <w:jc w:val="left"/>
              <w:rPr>
                <w:rFonts w:hAnsi="標楷體"/>
                <w:snapToGrid/>
                <w:color w:val="000000"/>
                <w:sz w:val="24"/>
                <w:szCs w:val="22"/>
              </w:rPr>
            </w:pPr>
            <w:r w:rsidRPr="00E765C6">
              <w:rPr>
                <w:rFonts w:hAnsi="標楷體"/>
                <w:snapToGrid/>
                <w:color w:val="000000"/>
                <w:sz w:val="24"/>
                <w:szCs w:val="22"/>
              </w:rPr>
              <w:t>比率</w:t>
            </w:r>
            <w:r w:rsidRPr="00E765C6">
              <w:rPr>
                <w:rFonts w:hAnsi="標楷體"/>
                <w:snapToGrid/>
                <w:color w:val="000000"/>
                <w:sz w:val="24"/>
                <w:szCs w:val="24"/>
              </w:rPr>
              <w:t xml:space="preserve">  </w:t>
            </w:r>
            <w:r w:rsidRPr="00E765C6">
              <w:rPr>
                <w:rFonts w:hAnsi="標楷體"/>
                <w:snapToGrid/>
                <w:color w:val="000000"/>
                <w:sz w:val="24"/>
                <w:szCs w:val="22"/>
              </w:rPr>
              <w:t>f/b</w:t>
            </w:r>
          </w:p>
        </w:tc>
        <w:tc>
          <w:tcPr>
            <w:tcW w:w="1134" w:type="dxa"/>
            <w:tcBorders>
              <w:top w:val="single" w:sz="4" w:space="0" w:color="auto"/>
              <w:left w:val="single" w:sz="4" w:space="0" w:color="auto"/>
              <w:bottom w:val="single" w:sz="12" w:space="0" w:color="auto"/>
              <w:right w:val="single" w:sz="4" w:space="0" w:color="auto"/>
            </w:tcBorders>
            <w:shd w:val="clear" w:color="auto" w:fill="auto"/>
            <w:noWrap/>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-8.1</w:t>
            </w:r>
          </w:p>
        </w:tc>
        <w:tc>
          <w:tcPr>
            <w:tcW w:w="1276" w:type="dxa"/>
            <w:tcBorders>
              <w:top w:val="single" w:sz="4" w:space="0" w:color="auto"/>
              <w:left w:val="single" w:sz="4" w:space="0" w:color="auto"/>
              <w:bottom w:val="single" w:sz="12" w:space="0" w:color="auto"/>
              <w:right w:val="single" w:sz="4" w:space="0" w:color="auto"/>
            </w:tcBorders>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-3.9</w:t>
            </w:r>
          </w:p>
        </w:tc>
        <w:tc>
          <w:tcPr>
            <w:tcW w:w="1276" w:type="dxa"/>
            <w:tcBorders>
              <w:top w:val="single" w:sz="4" w:space="0" w:color="auto"/>
              <w:left w:val="single" w:sz="4" w:space="0" w:color="auto"/>
              <w:bottom w:val="single" w:sz="12" w:space="0" w:color="auto"/>
              <w:right w:val="single" w:sz="4" w:space="0" w:color="auto"/>
            </w:tcBorders>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2.6</w:t>
            </w:r>
          </w:p>
        </w:tc>
        <w:tc>
          <w:tcPr>
            <w:tcW w:w="1278" w:type="dxa"/>
            <w:tcBorders>
              <w:top w:val="single" w:sz="4" w:space="0" w:color="auto"/>
              <w:left w:val="single" w:sz="4" w:space="0" w:color="auto"/>
              <w:bottom w:val="single" w:sz="12" w:space="0" w:color="auto"/>
              <w:right w:val="single" w:sz="4" w:space="0" w:color="auto"/>
            </w:tcBorders>
            <w:vAlign w:val="center"/>
          </w:tcPr>
          <w:p w:rsidR="0088156A" w:rsidRPr="00E765C6" w:rsidRDefault="0088156A" w:rsidP="00A37FA0">
            <w:pPr>
              <w:widowControl/>
              <w:spacing w:line="24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w:t>
            </w:r>
          </w:p>
        </w:tc>
        <w:tc>
          <w:tcPr>
            <w:tcW w:w="1276" w:type="dxa"/>
            <w:tcBorders>
              <w:top w:val="single" w:sz="4" w:space="0" w:color="auto"/>
              <w:left w:val="single" w:sz="4" w:space="0" w:color="auto"/>
              <w:bottom w:val="single" w:sz="12" w:space="0" w:color="auto"/>
              <w:right w:val="single" w:sz="2" w:space="0" w:color="auto"/>
              <w:tl2br w:val="nil"/>
            </w:tcBorders>
          </w:tcPr>
          <w:p w:rsidR="0088156A" w:rsidRPr="00E765C6" w:rsidRDefault="0088156A" w:rsidP="00A37FA0">
            <w:pPr>
              <w:widowControl/>
              <w:spacing w:line="240" w:lineRule="exact"/>
              <w:ind w:leftChars="0" w:left="0" w:firstLineChars="0" w:firstLine="0"/>
              <w:jc w:val="right"/>
              <w:rPr>
                <w:rFonts w:hAnsi="標楷體"/>
                <w:snapToGrid/>
                <w:color w:val="000000"/>
                <w:sz w:val="24"/>
                <w:szCs w:val="22"/>
              </w:rPr>
            </w:pPr>
            <w:r w:rsidRPr="00E765C6">
              <w:rPr>
                <w:rFonts w:hAnsi="標楷體"/>
                <w:snapToGrid/>
                <w:color w:val="000000"/>
                <w:sz w:val="24"/>
                <w:szCs w:val="22"/>
              </w:rPr>
              <w:t>-8.7</w:t>
            </w:r>
          </w:p>
        </w:tc>
        <w:tc>
          <w:tcPr>
            <w:tcW w:w="1276" w:type="dxa"/>
            <w:tcBorders>
              <w:top w:val="single" w:sz="4" w:space="0" w:color="auto"/>
              <w:left w:val="single" w:sz="2" w:space="0" w:color="auto"/>
              <w:bottom w:val="single" w:sz="12" w:space="0" w:color="auto"/>
              <w:right w:val="single" w:sz="12" w:space="0" w:color="auto"/>
              <w:tl2br w:val="single" w:sz="4" w:space="0" w:color="auto"/>
            </w:tcBorders>
            <w:vAlign w:val="center"/>
          </w:tcPr>
          <w:p w:rsidR="0088156A" w:rsidRPr="00E765C6" w:rsidRDefault="0088156A" w:rsidP="006305EA">
            <w:pPr>
              <w:widowControl/>
              <w:spacing w:line="240" w:lineRule="exact"/>
              <w:ind w:leftChars="0" w:left="0" w:rightChars="50" w:right="142" w:firstLineChars="0" w:firstLine="0"/>
              <w:jc w:val="right"/>
              <w:rPr>
                <w:rFonts w:hAnsi="標楷體"/>
                <w:snapToGrid/>
                <w:color w:val="000000"/>
                <w:sz w:val="24"/>
                <w:szCs w:val="22"/>
              </w:rPr>
            </w:pPr>
          </w:p>
        </w:tc>
      </w:tr>
    </w:tbl>
    <w:p w:rsidR="0088156A" w:rsidRPr="00E765C6" w:rsidRDefault="0088156A" w:rsidP="0088156A">
      <w:pPr>
        <w:widowControl/>
        <w:adjustRightInd w:val="0"/>
        <w:snapToGrid w:val="0"/>
        <w:spacing w:line="240" w:lineRule="auto"/>
        <w:ind w:leftChars="-150" w:left="1" w:hangingChars="175" w:hanging="426"/>
        <w:jc w:val="left"/>
        <w:rPr>
          <w:rFonts w:hAnsi="標楷體"/>
          <w:color w:val="000000"/>
          <w:sz w:val="24"/>
          <w:szCs w:val="24"/>
        </w:rPr>
      </w:pPr>
      <w:r w:rsidRPr="00E765C6">
        <w:rPr>
          <w:rFonts w:hAnsi="標楷體"/>
          <w:snapToGrid/>
          <w:color w:val="000000"/>
          <w:sz w:val="24"/>
          <w:szCs w:val="24"/>
        </w:rPr>
        <w:t>說</w:t>
      </w:r>
      <w:r w:rsidRPr="00E765C6">
        <w:rPr>
          <w:rFonts w:hAnsi="標楷體" w:hint="eastAsia"/>
          <w:snapToGrid/>
          <w:color w:val="000000"/>
          <w:sz w:val="24"/>
          <w:szCs w:val="24"/>
        </w:rPr>
        <w:t xml:space="preserve"> </w:t>
      </w:r>
      <w:r w:rsidRPr="00E765C6">
        <w:rPr>
          <w:rFonts w:hAnsi="標楷體"/>
          <w:snapToGrid/>
          <w:color w:val="000000"/>
          <w:sz w:val="24"/>
          <w:szCs w:val="24"/>
        </w:rPr>
        <w:t xml:space="preserve">   明：</w:t>
      </w:r>
      <w:r w:rsidRPr="00E765C6">
        <w:rPr>
          <w:rFonts w:hAnsi="標楷體" w:hint="eastAsia"/>
          <w:snapToGrid/>
          <w:color w:val="000000"/>
          <w:sz w:val="24"/>
          <w:szCs w:val="24"/>
        </w:rPr>
        <w:t>1</w:t>
      </w:r>
      <w:r w:rsidRPr="00E765C6">
        <w:rPr>
          <w:rFonts w:hAnsi="標楷體"/>
          <w:snapToGrid/>
          <w:color w:val="000000"/>
          <w:sz w:val="24"/>
          <w:szCs w:val="24"/>
        </w:rPr>
        <w:t>.</w:t>
      </w:r>
      <w:r w:rsidRPr="00E765C6">
        <w:rPr>
          <w:rFonts w:hAnsi="標楷體" w:hint="eastAsia"/>
          <w:color w:val="000000"/>
          <w:sz w:val="24"/>
          <w:szCs w:val="24"/>
        </w:rPr>
        <w:t>1</w:t>
      </w:r>
      <w:r w:rsidRPr="00E765C6">
        <w:rPr>
          <w:rFonts w:hAnsi="標楷體"/>
          <w:color w:val="000000"/>
          <w:sz w:val="24"/>
          <w:szCs w:val="24"/>
        </w:rPr>
        <w:t>0</w:t>
      </w:r>
      <w:r w:rsidR="009521A8" w:rsidRPr="00E765C6">
        <w:rPr>
          <w:rFonts w:hAnsi="標楷體"/>
          <w:color w:val="000000"/>
          <w:sz w:val="24"/>
          <w:szCs w:val="24"/>
        </w:rPr>
        <w:t>9</w:t>
      </w:r>
      <w:r w:rsidRPr="00E765C6">
        <w:rPr>
          <w:rFonts w:hAnsi="標楷體" w:hint="eastAsia"/>
          <w:color w:val="000000"/>
          <w:sz w:val="24"/>
          <w:szCs w:val="24"/>
        </w:rPr>
        <w:t>至</w:t>
      </w:r>
      <w:r w:rsidRPr="00E765C6">
        <w:rPr>
          <w:rFonts w:hAnsi="標楷體"/>
          <w:color w:val="000000"/>
          <w:sz w:val="24"/>
          <w:szCs w:val="24"/>
        </w:rPr>
        <w:t>112年度為決算數，113年度為自結數</w:t>
      </w:r>
      <w:r w:rsidR="00DC165B" w:rsidRPr="00E765C6">
        <w:rPr>
          <w:rFonts w:hAnsi="標楷體"/>
          <w:color w:val="000000"/>
          <w:spacing w:val="-6"/>
          <w:sz w:val="24"/>
          <w:szCs w:val="24"/>
        </w:rPr>
        <w:t>，114</w:t>
      </w:r>
      <w:r w:rsidR="00DC165B" w:rsidRPr="00E765C6">
        <w:rPr>
          <w:rFonts w:hAnsi="標楷體"/>
          <w:color w:val="000000"/>
          <w:spacing w:val="-6"/>
          <w:sz w:val="24"/>
          <w:szCs w:val="24"/>
          <w:lang w:eastAsia="zh-HK"/>
        </w:rPr>
        <w:t>年度為預算</w:t>
      </w:r>
      <w:r w:rsidR="00DC165B" w:rsidRPr="00E765C6">
        <w:rPr>
          <w:rFonts w:hAnsi="標楷體" w:hint="eastAsia"/>
          <w:color w:val="000000"/>
          <w:spacing w:val="-6"/>
          <w:sz w:val="24"/>
          <w:szCs w:val="24"/>
        </w:rPr>
        <w:t>案</w:t>
      </w:r>
      <w:r w:rsidR="00DC165B" w:rsidRPr="00E765C6">
        <w:rPr>
          <w:rFonts w:hAnsi="標楷體"/>
          <w:color w:val="000000"/>
          <w:spacing w:val="-6"/>
          <w:sz w:val="24"/>
          <w:szCs w:val="24"/>
          <w:lang w:eastAsia="zh-HK"/>
        </w:rPr>
        <w:t>數</w:t>
      </w:r>
      <w:r w:rsidRPr="00E765C6">
        <w:rPr>
          <w:rFonts w:hAnsi="標楷體" w:hint="eastAsia"/>
          <w:color w:val="000000"/>
          <w:sz w:val="24"/>
          <w:szCs w:val="24"/>
        </w:rPr>
        <w:t>。</w:t>
      </w:r>
    </w:p>
    <w:p w:rsidR="0088156A" w:rsidRPr="00E765C6" w:rsidRDefault="0088156A" w:rsidP="0088156A">
      <w:pPr>
        <w:widowControl/>
        <w:adjustRightInd w:val="0"/>
        <w:snapToGrid w:val="0"/>
        <w:spacing w:line="240" w:lineRule="auto"/>
        <w:ind w:leftChars="-50" w:left="-142" w:firstLineChars="380" w:firstLine="924"/>
        <w:jc w:val="left"/>
        <w:rPr>
          <w:rFonts w:hAnsi="標楷體"/>
          <w:snapToGrid/>
          <w:color w:val="000000"/>
          <w:spacing w:val="-20"/>
          <w:sz w:val="24"/>
          <w:szCs w:val="24"/>
        </w:rPr>
      </w:pPr>
      <w:r w:rsidRPr="00E765C6">
        <w:rPr>
          <w:rFonts w:hAnsi="標楷體" w:hint="eastAsia"/>
          <w:color w:val="000000"/>
          <w:sz w:val="24"/>
          <w:szCs w:val="24"/>
        </w:rPr>
        <w:t>2</w:t>
      </w:r>
      <w:r w:rsidRPr="00E765C6">
        <w:rPr>
          <w:rFonts w:hAnsi="標楷體"/>
          <w:color w:val="000000"/>
          <w:sz w:val="24"/>
          <w:szCs w:val="24"/>
        </w:rPr>
        <w:t>.</w:t>
      </w:r>
      <w:r w:rsidRPr="00E765C6">
        <w:rPr>
          <w:rFonts w:hAnsi="標楷體"/>
          <w:snapToGrid/>
          <w:color w:val="000000"/>
          <w:sz w:val="24"/>
          <w:szCs w:val="24"/>
        </w:rPr>
        <w:t>比率係計算至元之結果。</w:t>
      </w:r>
    </w:p>
    <w:p w:rsidR="0088156A" w:rsidRPr="00E765C6" w:rsidRDefault="0088156A" w:rsidP="0088156A">
      <w:pPr>
        <w:widowControl/>
        <w:adjustRightInd w:val="0"/>
        <w:snapToGrid w:val="0"/>
        <w:spacing w:line="240" w:lineRule="auto"/>
        <w:ind w:leftChars="-150" w:left="1" w:hangingChars="175" w:hanging="426"/>
        <w:jc w:val="left"/>
        <w:rPr>
          <w:rFonts w:hAnsi="標楷體" w:hint="eastAsia"/>
          <w:color w:val="000000"/>
        </w:rPr>
      </w:pPr>
      <w:r w:rsidRPr="00E765C6">
        <w:rPr>
          <w:rFonts w:hAnsi="標楷體"/>
          <w:snapToGrid/>
          <w:color w:val="000000"/>
          <w:sz w:val="24"/>
          <w:szCs w:val="24"/>
        </w:rPr>
        <w:t>資料來源：金屬中心提供，本研究整理。</w:t>
      </w:r>
    </w:p>
    <w:p w:rsidR="006B3CA9" w:rsidRPr="00E765C6" w:rsidRDefault="00A37FA0" w:rsidP="000D57BB">
      <w:pPr>
        <w:ind w:left="566" w:firstLine="566"/>
        <w:rPr>
          <w:rFonts w:hAnsi="標楷體"/>
          <w:color w:val="000000"/>
        </w:rPr>
      </w:pPr>
      <w:r w:rsidRPr="00E765C6">
        <w:rPr>
          <w:rFonts w:hAnsi="標楷體" w:hint="eastAsia"/>
          <w:color w:val="000000"/>
        </w:rPr>
        <w:t>綜上，</w:t>
      </w:r>
      <w:r w:rsidR="00DC165B" w:rsidRPr="00E765C6">
        <w:rPr>
          <w:rFonts w:hAnsi="標楷體" w:hint="eastAsia"/>
          <w:color w:val="000000"/>
        </w:rPr>
        <w:t>金屬中心近年</w:t>
      </w:r>
      <w:r w:rsidRPr="00E765C6">
        <w:rPr>
          <w:rFonts w:hAnsi="標楷體" w:hint="eastAsia"/>
          <w:color w:val="000000"/>
        </w:rPr>
        <w:t>員工</w:t>
      </w:r>
      <w:r w:rsidR="00DC165B" w:rsidRPr="00E765C6">
        <w:rPr>
          <w:rFonts w:hAnsi="標楷體" w:hint="eastAsia"/>
          <w:color w:val="000000"/>
        </w:rPr>
        <w:t>實際</w:t>
      </w:r>
      <w:r w:rsidRPr="00E765C6">
        <w:rPr>
          <w:rFonts w:hAnsi="標楷體" w:hint="eastAsia"/>
          <w:color w:val="000000"/>
        </w:rPr>
        <w:t>人數均高於預算人數，顯示在員工人力需求方面</w:t>
      </w:r>
      <w:r w:rsidR="009414AC" w:rsidRPr="00E765C6">
        <w:rPr>
          <w:rFonts w:hAnsi="標楷體" w:hint="eastAsia"/>
          <w:color w:val="000000"/>
        </w:rPr>
        <w:t>之</w:t>
      </w:r>
      <w:r w:rsidRPr="00E765C6">
        <w:rPr>
          <w:rFonts w:hAnsi="標楷體" w:hint="eastAsia"/>
          <w:color w:val="000000"/>
        </w:rPr>
        <w:t>預測不足，實際人數持續超出預算，且在109、110及113年度之用人費用決算數大幅超出預算數</w:t>
      </w:r>
      <w:r w:rsidR="00DC165B" w:rsidRPr="00E765C6">
        <w:rPr>
          <w:rFonts w:hAnsi="標楷體" w:hint="eastAsia"/>
          <w:color w:val="000000"/>
        </w:rPr>
        <w:t>4</w:t>
      </w:r>
      <w:r w:rsidR="00DC165B" w:rsidRPr="00E765C6">
        <w:rPr>
          <w:rFonts w:hAnsi="標楷體"/>
          <w:color w:val="000000"/>
        </w:rPr>
        <w:t>,105</w:t>
      </w:r>
      <w:r w:rsidR="00DC165B" w:rsidRPr="00E765C6">
        <w:rPr>
          <w:rFonts w:hAnsi="標楷體" w:hint="eastAsia"/>
          <w:color w:val="000000"/>
        </w:rPr>
        <w:t>萬4千元至</w:t>
      </w:r>
      <w:r w:rsidR="00DC165B" w:rsidRPr="00E765C6">
        <w:rPr>
          <w:rFonts w:hAnsi="標楷體"/>
          <w:color w:val="000000"/>
          <w:szCs w:val="24"/>
        </w:rPr>
        <w:t>1億925萬1千元</w:t>
      </w:r>
      <w:r w:rsidRPr="00E765C6">
        <w:rPr>
          <w:rFonts w:hAnsi="標楷體" w:hint="eastAsia"/>
          <w:color w:val="000000"/>
        </w:rPr>
        <w:t>，反映對市場變化或業務需求之預測失準，顯見人力需求估算方式與產業發展趨勢未盡相符，致發生較大落差</w:t>
      </w:r>
      <w:r w:rsidR="00DC165B" w:rsidRPr="00E765C6">
        <w:rPr>
          <w:rFonts w:hAnsi="標楷體" w:hint="eastAsia"/>
          <w:color w:val="000000"/>
        </w:rPr>
        <w:t>，</w:t>
      </w:r>
      <w:r w:rsidRPr="00E765C6">
        <w:rPr>
          <w:rFonts w:hAnsi="標楷體" w:hint="eastAsia"/>
          <w:color w:val="000000"/>
        </w:rPr>
        <w:t>允宜改進員工人力預算估算流程，以增強預測準確度。</w:t>
      </w:r>
    </w:p>
    <w:p w:rsidR="000071E9" w:rsidRPr="00E765C6" w:rsidRDefault="000071E9" w:rsidP="000071E9">
      <w:pPr>
        <w:ind w:left="566" w:firstLine="566"/>
        <w:rPr>
          <w:rFonts w:hAnsi="標楷體"/>
          <w:color w:val="000000"/>
        </w:rPr>
      </w:pPr>
    </w:p>
    <w:p w:rsidR="00A52623" w:rsidRPr="00E765C6" w:rsidRDefault="00BB691A" w:rsidP="00BB691A">
      <w:pPr>
        <w:pStyle w:val="14"/>
        <w:ind w:left="567" w:hanging="567"/>
        <w:rPr>
          <w:rFonts w:hAnsi="標楷體"/>
          <w:color w:val="000000"/>
        </w:rPr>
      </w:pPr>
      <w:bookmarkStart w:id="6" w:name="_Toc115337437"/>
      <w:bookmarkStart w:id="7" w:name="_Toc195717727"/>
      <w:r w:rsidRPr="00E765C6">
        <w:rPr>
          <w:rFonts w:hAnsi="標楷體" w:hint="eastAsia"/>
          <w:color w:val="000000"/>
        </w:rPr>
        <w:t>三、</w:t>
      </w:r>
      <w:bookmarkEnd w:id="6"/>
      <w:r w:rsidR="00CB4C66" w:rsidRPr="00E765C6">
        <w:rPr>
          <w:rFonts w:hAnsi="標楷體"/>
          <w:color w:val="000000"/>
        </w:rPr>
        <w:t>經多次組織調整，民間業務收入仍低於政府補助及委辦計畫收入，允宜強化業務拓展</w:t>
      </w:r>
      <w:r w:rsidR="00AB1896" w:rsidRPr="00E765C6">
        <w:rPr>
          <w:rFonts w:hAnsi="標楷體" w:hint="eastAsia"/>
          <w:color w:val="000000"/>
        </w:rPr>
        <w:t>，</w:t>
      </w:r>
      <w:r w:rsidR="00CB4C66" w:rsidRPr="00E765C6">
        <w:rPr>
          <w:rFonts w:hAnsi="標楷體"/>
          <w:color w:val="000000"/>
        </w:rPr>
        <w:t>以提升財務自主性</w:t>
      </w:r>
      <w:bookmarkEnd w:id="7"/>
    </w:p>
    <w:p w:rsidR="00BB691A" w:rsidRPr="00E765C6" w:rsidRDefault="00CB4C66" w:rsidP="006B3CA9">
      <w:pPr>
        <w:ind w:left="566" w:firstLine="566"/>
        <w:rPr>
          <w:rFonts w:hAnsi="標楷體"/>
          <w:color w:val="000000"/>
        </w:rPr>
      </w:pPr>
      <w:r w:rsidRPr="00E765C6">
        <w:rPr>
          <w:rFonts w:hAnsi="標楷體"/>
          <w:color w:val="000000"/>
        </w:rPr>
        <w:t>金屬中心114年度預算案編列收入總額35億元，其中「業務收入」34億8‚500萬元，包含「勞務收入」34億7,500萬元、「銷貨收入」300萬元及「其他業務收入」700萬元；以及「業務外收入」1‚500萬元。經查：</w:t>
      </w:r>
    </w:p>
    <w:p w:rsidR="00E21EC7" w:rsidRPr="00E765C6" w:rsidRDefault="00BB691A" w:rsidP="006B3CA9">
      <w:pPr>
        <w:pStyle w:val="a4"/>
        <w:ind w:left="849" w:hanging="283"/>
        <w:rPr>
          <w:rFonts w:hAnsi="標楷體"/>
          <w:b/>
          <w:color w:val="000000"/>
        </w:rPr>
      </w:pPr>
      <w:r w:rsidRPr="00E765C6">
        <w:rPr>
          <w:rFonts w:hAnsi="標楷體" w:hint="eastAsia"/>
          <w:b/>
          <w:color w:val="000000"/>
        </w:rPr>
        <w:t>(一</w:t>
      </w:r>
      <w:r w:rsidRPr="00E765C6">
        <w:rPr>
          <w:rFonts w:hAnsi="標楷體"/>
          <w:b/>
          <w:color w:val="000000"/>
        </w:rPr>
        <w:t>)</w:t>
      </w:r>
      <w:r w:rsidR="00CB4C66" w:rsidRPr="00E765C6">
        <w:rPr>
          <w:rFonts w:hAnsi="標楷體"/>
          <w:b/>
          <w:color w:val="000000"/>
        </w:rPr>
        <w:t>為</w:t>
      </w:r>
      <w:r w:rsidR="00CB4C66" w:rsidRPr="00E765C6">
        <w:rPr>
          <w:rFonts w:hAnsi="標楷體"/>
          <w:b/>
          <w:bCs/>
          <w:color w:val="000000"/>
        </w:rPr>
        <w:t>落實產業創新及核心戰略產業發展，金屬中心持續</w:t>
      </w:r>
      <w:r w:rsidR="00CB4C66" w:rsidRPr="00E765C6">
        <w:rPr>
          <w:rFonts w:hAnsi="標楷體"/>
          <w:b/>
          <w:color w:val="000000"/>
        </w:rPr>
        <w:t>進行組織調整</w:t>
      </w:r>
    </w:p>
    <w:p w:rsidR="00CB4C66" w:rsidRPr="00E765C6" w:rsidRDefault="00CB4C66" w:rsidP="006B3CA9">
      <w:pPr>
        <w:pStyle w:val="2"/>
        <w:ind w:left="850" w:firstLine="566"/>
        <w:rPr>
          <w:rFonts w:hAnsi="標楷體" w:hint="eastAsia"/>
          <w:color w:val="000000"/>
        </w:rPr>
      </w:pPr>
      <w:r w:rsidRPr="00E765C6">
        <w:rPr>
          <w:rFonts w:hAnsi="標楷體"/>
          <w:bCs/>
          <w:color w:val="000000"/>
        </w:rPr>
        <w:t>為因應產業趨勢及發展需求，</w:t>
      </w:r>
      <w:r w:rsidRPr="00E765C6">
        <w:rPr>
          <w:rFonts w:hAnsi="標楷體"/>
          <w:color w:val="000000"/>
        </w:rPr>
        <w:t>金屬中心107年啟用「經濟部傳統產業創新加值中心」</w:t>
      </w:r>
      <w:r w:rsidR="00C30524" w:rsidRPr="00E765C6">
        <w:rPr>
          <w:rFonts w:hAnsi="標楷體" w:hint="eastAsia"/>
          <w:bCs/>
          <w:color w:val="000000"/>
        </w:rPr>
        <w:t>、</w:t>
      </w:r>
      <w:r w:rsidRPr="00E765C6">
        <w:rPr>
          <w:rFonts w:hAnsi="標楷體"/>
          <w:color w:val="000000"/>
        </w:rPr>
        <w:t>109年增設「海洋科技產業創新服務處」</w:t>
      </w:r>
      <w:r w:rsidR="00C30524" w:rsidRPr="00E765C6">
        <w:rPr>
          <w:rFonts w:hAnsi="標楷體" w:hint="eastAsia"/>
          <w:bCs/>
          <w:color w:val="000000"/>
        </w:rPr>
        <w:t>、</w:t>
      </w:r>
      <w:r w:rsidRPr="00E765C6">
        <w:rPr>
          <w:rFonts w:hAnsi="標楷體"/>
          <w:color w:val="000000"/>
        </w:rPr>
        <w:t>110年啟用「海洋科技產業創新專區」</w:t>
      </w:r>
      <w:r w:rsidR="00C30524" w:rsidRPr="00E765C6">
        <w:rPr>
          <w:rFonts w:hAnsi="標楷體" w:hint="eastAsia"/>
          <w:bCs/>
          <w:color w:val="000000"/>
        </w:rPr>
        <w:t>、</w:t>
      </w:r>
      <w:r w:rsidRPr="00E765C6">
        <w:rPr>
          <w:rFonts w:hAnsi="標楷體"/>
          <w:bCs/>
          <w:color w:val="000000"/>
        </w:rPr>
        <w:t>111年增設「產業化推動中心」，主責跨域整合、產業創新服務等推動</w:t>
      </w:r>
      <w:r w:rsidR="00C30524" w:rsidRPr="00E765C6">
        <w:rPr>
          <w:rFonts w:hAnsi="標楷體" w:hint="eastAsia"/>
          <w:bCs/>
          <w:color w:val="000000"/>
        </w:rPr>
        <w:t>；</w:t>
      </w:r>
      <w:r w:rsidRPr="00E765C6">
        <w:rPr>
          <w:rFonts w:hAnsi="標楷體"/>
          <w:bCs/>
          <w:color w:val="000000"/>
        </w:rPr>
        <w:t>又考量該</w:t>
      </w:r>
      <w:r w:rsidRPr="00E765C6">
        <w:rPr>
          <w:rFonts w:hAnsi="標楷體"/>
          <w:color w:val="000000"/>
        </w:rPr>
        <w:t>中心</w:t>
      </w:r>
      <w:r w:rsidRPr="00E765C6">
        <w:rPr>
          <w:rFonts w:hAnsi="標楷體"/>
          <w:bCs/>
          <w:color w:val="000000"/>
        </w:rPr>
        <w:t>政策走向及產業需求，且國防航太產業業務占比達65%以上，</w:t>
      </w:r>
      <w:r w:rsidR="001F507A" w:rsidRPr="00E765C6">
        <w:rPr>
          <w:rFonts w:hAnsi="標楷體" w:hint="eastAsia"/>
          <w:bCs/>
          <w:color w:val="000000"/>
        </w:rPr>
        <w:t>於</w:t>
      </w:r>
      <w:r w:rsidRPr="00E765C6">
        <w:rPr>
          <w:rFonts w:hAnsi="標楷體"/>
          <w:bCs/>
          <w:color w:val="000000"/>
        </w:rPr>
        <w:t>112年10月更名成立航太科技產業發展處，主責軍民用航太科技之產業研究、技術研發、產業推動及跨域整合等相關業務，提供產業系統化解決方案，帶動我國產業創新、轉型與升級。</w:t>
      </w:r>
    </w:p>
    <w:p w:rsidR="006B3CA9" w:rsidRPr="00E765C6" w:rsidRDefault="006B3CA9" w:rsidP="006B3CA9">
      <w:pPr>
        <w:pStyle w:val="a4"/>
        <w:ind w:left="849" w:hanging="283"/>
        <w:rPr>
          <w:rFonts w:hAnsi="標楷體"/>
          <w:b/>
          <w:color w:val="000000"/>
        </w:rPr>
      </w:pPr>
      <w:r w:rsidRPr="00E765C6">
        <w:rPr>
          <w:rFonts w:hAnsi="標楷體"/>
          <w:b/>
          <w:color w:val="000000"/>
        </w:rPr>
        <w:t>(</w:t>
      </w:r>
      <w:r w:rsidRPr="00E765C6">
        <w:rPr>
          <w:rFonts w:hAnsi="標楷體" w:hint="eastAsia"/>
          <w:b/>
          <w:color w:val="000000"/>
        </w:rPr>
        <w:t>二</w:t>
      </w:r>
      <w:r w:rsidRPr="00E765C6">
        <w:rPr>
          <w:rFonts w:hAnsi="標楷體"/>
          <w:b/>
          <w:color w:val="000000"/>
        </w:rPr>
        <w:t>)</w:t>
      </w:r>
      <w:r w:rsidR="00CB4C66" w:rsidRPr="00E765C6">
        <w:rPr>
          <w:rFonts w:hAnsi="標楷體"/>
          <w:b/>
          <w:color w:val="000000"/>
        </w:rPr>
        <w:t>政府補助及委辦計畫仍為</w:t>
      </w:r>
      <w:r w:rsidR="00C30524" w:rsidRPr="00E765C6">
        <w:rPr>
          <w:rFonts w:hAnsi="標楷體"/>
          <w:b/>
          <w:color w:val="000000"/>
        </w:rPr>
        <w:t>金屬中心</w:t>
      </w:r>
      <w:r w:rsidR="00CB4C66" w:rsidRPr="00E765C6">
        <w:rPr>
          <w:rFonts w:hAnsi="標楷體"/>
          <w:b/>
          <w:color w:val="000000"/>
        </w:rPr>
        <w:t>主要收入來源</w:t>
      </w:r>
    </w:p>
    <w:p w:rsidR="00CB4C66" w:rsidRPr="00E765C6" w:rsidRDefault="00CB4C66" w:rsidP="00CB4C66">
      <w:pPr>
        <w:pStyle w:val="2"/>
        <w:ind w:left="850" w:firstLine="566"/>
        <w:rPr>
          <w:rFonts w:hAnsi="標楷體"/>
          <w:color w:val="000000"/>
        </w:rPr>
      </w:pPr>
      <w:r w:rsidRPr="00E765C6">
        <w:rPr>
          <w:rFonts w:hAnsi="標楷體"/>
          <w:color w:val="000000"/>
        </w:rPr>
        <w:t>依金屬中心110至113年度</w:t>
      </w:r>
      <w:r w:rsidR="00C30524" w:rsidRPr="00E765C6">
        <w:rPr>
          <w:rFonts w:hAnsi="標楷體" w:hint="eastAsia"/>
          <w:color w:val="000000"/>
        </w:rPr>
        <w:t>決算</w:t>
      </w:r>
      <w:r w:rsidRPr="00E765C6">
        <w:rPr>
          <w:rFonts w:hAnsi="標楷體"/>
          <w:color w:val="000000"/>
        </w:rPr>
        <w:t>以觀(詳表1)，該中心110年度收入總額決算數30億9,146萬6千元，同年來自民間收入9億8,349萬6千元，占收入總額31.81%，至113年度收入總額47億265萬9千元，較110年度成長52</w:t>
      </w:r>
      <w:r w:rsidR="006876EC" w:rsidRPr="00E765C6">
        <w:rPr>
          <w:rFonts w:hAnsi="標楷體"/>
          <w:color w:val="000000"/>
        </w:rPr>
        <w:t>.1</w:t>
      </w:r>
      <w:r w:rsidR="00C455BD" w:rsidRPr="00E765C6">
        <w:rPr>
          <w:rFonts w:hAnsi="標楷體"/>
          <w:color w:val="000000"/>
        </w:rPr>
        <w:t>2</w:t>
      </w:r>
      <w:r w:rsidRPr="00E765C6">
        <w:rPr>
          <w:rFonts w:hAnsi="標楷體"/>
          <w:color w:val="000000"/>
        </w:rPr>
        <w:t>%，民間收入12億9,051萬8千元，金額成長31</w:t>
      </w:r>
      <w:r w:rsidR="006876EC" w:rsidRPr="00E765C6">
        <w:rPr>
          <w:rFonts w:hAnsi="標楷體"/>
          <w:color w:val="000000"/>
        </w:rPr>
        <w:t>.22</w:t>
      </w:r>
      <w:r w:rsidRPr="00E765C6">
        <w:rPr>
          <w:rFonts w:hAnsi="標楷體"/>
          <w:color w:val="000000"/>
        </w:rPr>
        <w:t>%，占同年收入總額27.44%，較110年度占比減少4.37</w:t>
      </w:r>
      <w:r w:rsidR="00C455BD" w:rsidRPr="00E765C6">
        <w:rPr>
          <w:rFonts w:hAnsi="標楷體" w:hint="eastAsia"/>
          <w:color w:val="000000"/>
        </w:rPr>
        <w:t>個</w:t>
      </w:r>
      <w:r w:rsidR="006876EC" w:rsidRPr="00E765C6">
        <w:rPr>
          <w:rFonts w:hAnsi="標楷體" w:hint="eastAsia"/>
          <w:color w:val="000000"/>
        </w:rPr>
        <w:t>百分點</w:t>
      </w:r>
      <w:r w:rsidRPr="00E765C6">
        <w:rPr>
          <w:rFonts w:hAnsi="標楷體"/>
          <w:color w:val="000000"/>
        </w:rPr>
        <w:t>。相較於同期</w:t>
      </w:r>
      <w:r w:rsidR="006876EC" w:rsidRPr="00E765C6">
        <w:rPr>
          <w:rFonts w:hAnsi="標楷體" w:hint="eastAsia"/>
          <w:color w:val="000000"/>
        </w:rPr>
        <w:t>間</w:t>
      </w:r>
      <w:r w:rsidRPr="00E765C6">
        <w:rPr>
          <w:rFonts w:hAnsi="標楷體"/>
          <w:color w:val="000000"/>
        </w:rPr>
        <w:t>該中心政府補助及委辦計畫收入</w:t>
      </w:r>
      <w:r w:rsidR="006876EC" w:rsidRPr="00E765C6">
        <w:rPr>
          <w:rFonts w:hAnsi="標楷體" w:hint="eastAsia"/>
          <w:color w:val="000000"/>
        </w:rPr>
        <w:t>成長4</w:t>
      </w:r>
      <w:r w:rsidR="006876EC" w:rsidRPr="00E765C6">
        <w:rPr>
          <w:rFonts w:hAnsi="標楷體"/>
          <w:color w:val="000000"/>
        </w:rPr>
        <w:t>.3</w:t>
      </w:r>
      <w:r w:rsidR="00033EAD">
        <w:rPr>
          <w:rFonts w:hAnsi="標楷體"/>
          <w:color w:val="000000"/>
        </w:rPr>
        <w:t>7</w:t>
      </w:r>
      <w:r w:rsidR="00C455BD" w:rsidRPr="00E765C6">
        <w:rPr>
          <w:rFonts w:hAnsi="標楷體" w:hint="eastAsia"/>
          <w:color w:val="000000"/>
        </w:rPr>
        <w:t>個</w:t>
      </w:r>
      <w:r w:rsidR="006876EC" w:rsidRPr="00E765C6">
        <w:rPr>
          <w:rFonts w:hAnsi="標楷體" w:hint="eastAsia"/>
          <w:color w:val="000000"/>
        </w:rPr>
        <w:t>百分點</w:t>
      </w:r>
      <w:r w:rsidRPr="00E765C6">
        <w:rPr>
          <w:rFonts w:hAnsi="標楷體"/>
          <w:color w:val="000000"/>
        </w:rPr>
        <w:t>，更凸顯該中心收入主要係仰賴政府經費挹注。</w:t>
      </w:r>
    </w:p>
    <w:p w:rsidR="00CB4C66" w:rsidRPr="00E765C6" w:rsidRDefault="00CB4C66" w:rsidP="00CB4C66">
      <w:pPr>
        <w:pStyle w:val="20"/>
        <w:spacing w:line="500" w:lineRule="exact"/>
        <w:ind w:left="85" w:hanging="85"/>
        <w:jc w:val="both"/>
        <w:rPr>
          <w:rFonts w:hAnsi="標楷體"/>
          <w:b/>
          <w:color w:val="000000"/>
          <w:spacing w:val="-4"/>
          <w:sz w:val="28"/>
        </w:rPr>
      </w:pPr>
      <w:r w:rsidRPr="00E765C6">
        <w:rPr>
          <w:rFonts w:hAnsi="標楷體"/>
          <w:b/>
          <w:color w:val="000000"/>
          <w:sz w:val="28"/>
        </w:rPr>
        <w:t>表1</w:t>
      </w:r>
      <w:r w:rsidRPr="00E765C6">
        <w:rPr>
          <w:rFonts w:hAnsi="標楷體"/>
          <w:b/>
          <w:color w:val="000000"/>
          <w:spacing w:val="-4"/>
          <w:sz w:val="28"/>
        </w:rPr>
        <w:t>金屬中心1</w:t>
      </w:r>
      <w:r w:rsidR="00782160" w:rsidRPr="00E765C6">
        <w:rPr>
          <w:rFonts w:hAnsi="標楷體"/>
          <w:b/>
          <w:color w:val="000000"/>
          <w:spacing w:val="-4"/>
          <w:sz w:val="28"/>
        </w:rPr>
        <w:t>10</w:t>
      </w:r>
      <w:r w:rsidRPr="00E765C6">
        <w:rPr>
          <w:rFonts w:hAnsi="標楷體"/>
          <w:b/>
          <w:color w:val="000000"/>
          <w:spacing w:val="-4"/>
          <w:sz w:val="28"/>
        </w:rPr>
        <w:t>年度至114年度業務收入來源別</w:t>
      </w:r>
      <w:r w:rsidR="006876EC" w:rsidRPr="00E765C6">
        <w:rPr>
          <w:rFonts w:hAnsi="標楷體" w:hint="eastAsia"/>
          <w:b/>
          <w:color w:val="000000"/>
          <w:spacing w:val="-4"/>
          <w:sz w:val="28"/>
        </w:rPr>
        <w:t>概況</w:t>
      </w:r>
      <w:r w:rsidRPr="00E765C6">
        <w:rPr>
          <w:rFonts w:hAnsi="標楷體"/>
          <w:b/>
          <w:color w:val="000000"/>
          <w:spacing w:val="-4"/>
          <w:sz w:val="28"/>
        </w:rPr>
        <w:t>表</w:t>
      </w:r>
    </w:p>
    <w:p w:rsidR="00CB4C66" w:rsidRPr="00E765C6" w:rsidRDefault="00CB4C66" w:rsidP="001B0E76">
      <w:pPr>
        <w:pStyle w:val="20"/>
        <w:spacing w:line="280" w:lineRule="exact"/>
        <w:ind w:leftChars="200" w:left="1541" w:rightChars="49" w:right="139" w:hangingChars="401" w:hanging="975"/>
        <w:jc w:val="right"/>
        <w:rPr>
          <w:rFonts w:hAnsi="標楷體"/>
          <w:color w:val="000000"/>
        </w:rPr>
      </w:pPr>
      <w:r w:rsidRPr="00E765C6">
        <w:rPr>
          <w:rFonts w:hAnsi="標楷體"/>
          <w:color w:val="000000"/>
        </w:rPr>
        <w:t xml:space="preserve">                                   單位:新臺幣千元</w:t>
      </w:r>
      <w:r w:rsidR="001B0E76" w:rsidRPr="00E765C6">
        <w:rPr>
          <w:rFonts w:hAnsi="標楷體" w:hint="eastAsia"/>
          <w:color w:val="000000"/>
        </w:rPr>
        <w:t>；%</w:t>
      </w:r>
    </w:p>
    <w:tbl>
      <w:tblPr>
        <w:tblW w:w="8628"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32"/>
        <w:gridCol w:w="1532"/>
        <w:gridCol w:w="1587"/>
        <w:gridCol w:w="1559"/>
        <w:gridCol w:w="1559"/>
        <w:gridCol w:w="1559"/>
      </w:tblGrid>
      <w:tr w:rsidR="001B0E76" w:rsidRPr="00E765C6" w:rsidTr="001B0E76">
        <w:trPr>
          <w:trHeight w:val="517"/>
          <w:tblHeader/>
        </w:trPr>
        <w:tc>
          <w:tcPr>
            <w:tcW w:w="832" w:type="dxa"/>
            <w:vMerge w:val="restart"/>
            <w:tcBorders>
              <w:top w:val="single" w:sz="12"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center"/>
              <w:rPr>
                <w:rFonts w:hAnsi="標楷體"/>
                <w:color w:val="000000"/>
              </w:rPr>
            </w:pPr>
            <w:r w:rsidRPr="00E765C6">
              <w:rPr>
                <w:rFonts w:hAnsi="標楷體"/>
                <w:color w:val="000000"/>
              </w:rPr>
              <w:t>年度</w:t>
            </w:r>
          </w:p>
        </w:tc>
        <w:tc>
          <w:tcPr>
            <w:tcW w:w="1532" w:type="dxa"/>
            <w:vMerge w:val="restart"/>
            <w:tcBorders>
              <w:top w:val="single" w:sz="12" w:space="0" w:color="auto"/>
              <w:bottom w:val="single" w:sz="6" w:space="0" w:color="auto"/>
            </w:tcBorders>
            <w:vAlign w:val="center"/>
          </w:tcPr>
          <w:p w:rsidR="001B0E76" w:rsidRPr="00E765C6" w:rsidRDefault="001B0E76" w:rsidP="001B0E76">
            <w:pPr>
              <w:pStyle w:val="142"/>
              <w:adjustRightInd w:val="0"/>
              <w:snapToGrid w:val="0"/>
              <w:spacing w:line="240" w:lineRule="auto"/>
              <w:jc w:val="center"/>
              <w:rPr>
                <w:rFonts w:hAnsi="標楷體"/>
                <w:color w:val="000000"/>
              </w:rPr>
            </w:pPr>
            <w:r w:rsidRPr="00E765C6">
              <w:rPr>
                <w:rFonts w:hAnsi="標楷體"/>
                <w:color w:val="000000"/>
              </w:rPr>
              <w:t>收入總額(1)</w:t>
            </w:r>
          </w:p>
        </w:tc>
        <w:tc>
          <w:tcPr>
            <w:tcW w:w="3146" w:type="dxa"/>
            <w:gridSpan w:val="2"/>
            <w:tcBorders>
              <w:top w:val="single" w:sz="12" w:space="0" w:color="auto"/>
              <w:bottom w:val="single" w:sz="6" w:space="0" w:color="auto"/>
              <w:right w:val="single" w:sz="2" w:space="0" w:color="auto"/>
            </w:tcBorders>
            <w:vAlign w:val="center"/>
          </w:tcPr>
          <w:p w:rsidR="001B0E76" w:rsidRPr="00E765C6" w:rsidRDefault="001B0E76" w:rsidP="006305EA">
            <w:pPr>
              <w:pStyle w:val="142"/>
              <w:adjustRightInd w:val="0"/>
              <w:snapToGrid w:val="0"/>
              <w:spacing w:line="240" w:lineRule="auto"/>
              <w:jc w:val="center"/>
              <w:rPr>
                <w:rFonts w:hAnsi="標楷體"/>
                <w:b/>
                <w:color w:val="000000"/>
              </w:rPr>
            </w:pPr>
            <w:r w:rsidRPr="00E765C6">
              <w:rPr>
                <w:rFonts w:hAnsi="標楷體"/>
                <w:b/>
                <w:color w:val="000000"/>
              </w:rPr>
              <w:t>民間收入</w:t>
            </w:r>
          </w:p>
        </w:tc>
        <w:tc>
          <w:tcPr>
            <w:tcW w:w="3118" w:type="dxa"/>
            <w:gridSpan w:val="2"/>
            <w:tcBorders>
              <w:top w:val="single" w:sz="12" w:space="0" w:color="auto"/>
              <w:left w:val="single" w:sz="2" w:space="0" w:color="auto"/>
              <w:bottom w:val="single" w:sz="6" w:space="0" w:color="auto"/>
              <w:right w:val="single" w:sz="12" w:space="0" w:color="auto"/>
            </w:tcBorders>
            <w:vAlign w:val="center"/>
          </w:tcPr>
          <w:p w:rsidR="001B0E76" w:rsidRPr="00E765C6" w:rsidRDefault="001B0E76" w:rsidP="006305EA">
            <w:pPr>
              <w:pStyle w:val="142"/>
              <w:adjustRightInd w:val="0"/>
              <w:snapToGrid w:val="0"/>
              <w:spacing w:line="240" w:lineRule="auto"/>
              <w:jc w:val="center"/>
              <w:rPr>
                <w:rFonts w:hAnsi="標楷體"/>
                <w:b/>
                <w:color w:val="000000"/>
              </w:rPr>
            </w:pPr>
            <w:r w:rsidRPr="00E765C6">
              <w:rPr>
                <w:rFonts w:hAnsi="標楷體"/>
                <w:b/>
                <w:color w:val="000000"/>
              </w:rPr>
              <w:t>政府補助及委辦計畫收入</w:t>
            </w:r>
          </w:p>
        </w:tc>
      </w:tr>
      <w:tr w:rsidR="001B0E76" w:rsidRPr="00E765C6" w:rsidTr="001B0E76">
        <w:trPr>
          <w:tblHeader/>
        </w:trPr>
        <w:tc>
          <w:tcPr>
            <w:tcW w:w="832" w:type="dxa"/>
            <w:vMerge/>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center"/>
              <w:rPr>
                <w:rFonts w:hAnsi="標楷體"/>
                <w:color w:val="000000"/>
              </w:rPr>
            </w:pPr>
          </w:p>
        </w:tc>
        <w:tc>
          <w:tcPr>
            <w:tcW w:w="1532" w:type="dxa"/>
            <w:vMerge/>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center"/>
              <w:rPr>
                <w:rFonts w:hAnsi="標楷體"/>
                <w:color w:val="000000"/>
              </w:rPr>
            </w:pPr>
          </w:p>
        </w:tc>
        <w:tc>
          <w:tcPr>
            <w:tcW w:w="1587" w:type="dxa"/>
            <w:tcBorders>
              <w:top w:val="single" w:sz="6" w:space="0" w:color="auto"/>
              <w:bottom w:val="single" w:sz="6" w:space="0" w:color="auto"/>
              <w:right w:val="single" w:sz="2" w:space="0" w:color="auto"/>
            </w:tcBorders>
            <w:shd w:val="clear" w:color="auto" w:fill="auto"/>
            <w:vAlign w:val="center"/>
          </w:tcPr>
          <w:p w:rsidR="001B0E76" w:rsidRPr="00E765C6" w:rsidRDefault="001B0E76" w:rsidP="001B0E76">
            <w:pPr>
              <w:pStyle w:val="142"/>
              <w:adjustRightInd w:val="0"/>
              <w:snapToGrid w:val="0"/>
              <w:spacing w:line="240" w:lineRule="auto"/>
              <w:jc w:val="center"/>
              <w:rPr>
                <w:rFonts w:hAnsi="標楷體"/>
                <w:color w:val="000000"/>
              </w:rPr>
            </w:pPr>
            <w:r w:rsidRPr="00E765C6">
              <w:rPr>
                <w:rFonts w:hAnsi="標楷體"/>
                <w:color w:val="000000"/>
              </w:rPr>
              <w:t xml:space="preserve">金額(2) </w:t>
            </w:r>
          </w:p>
        </w:tc>
        <w:tc>
          <w:tcPr>
            <w:tcW w:w="1559" w:type="dxa"/>
            <w:tcBorders>
              <w:top w:val="single" w:sz="6" w:space="0" w:color="auto"/>
              <w:bottom w:val="single" w:sz="6" w:space="0" w:color="auto"/>
              <w:right w:val="single" w:sz="2" w:space="0" w:color="auto"/>
            </w:tcBorders>
          </w:tcPr>
          <w:p w:rsidR="001B0E76" w:rsidRPr="00E765C6" w:rsidRDefault="001B0E76" w:rsidP="001B0E76">
            <w:pPr>
              <w:pStyle w:val="142"/>
              <w:adjustRightInd w:val="0"/>
              <w:snapToGrid w:val="0"/>
              <w:spacing w:line="240" w:lineRule="auto"/>
              <w:jc w:val="center"/>
              <w:rPr>
                <w:rFonts w:hAnsi="標楷體"/>
                <w:color w:val="000000"/>
              </w:rPr>
            </w:pPr>
            <w:r w:rsidRPr="00E765C6">
              <w:rPr>
                <w:rFonts w:hAnsi="標楷體"/>
                <w:color w:val="000000"/>
              </w:rPr>
              <w:t>占比(2)/(1)</w:t>
            </w:r>
          </w:p>
        </w:tc>
        <w:tc>
          <w:tcPr>
            <w:tcW w:w="1559" w:type="dxa"/>
            <w:tcBorders>
              <w:top w:val="single" w:sz="6" w:space="0" w:color="auto"/>
              <w:left w:val="single" w:sz="2" w:space="0" w:color="auto"/>
              <w:bottom w:val="single" w:sz="6" w:space="0" w:color="auto"/>
            </w:tcBorders>
            <w:vAlign w:val="center"/>
          </w:tcPr>
          <w:p w:rsidR="001B0E76" w:rsidRPr="00E765C6" w:rsidRDefault="001B0E76" w:rsidP="001B0E76">
            <w:pPr>
              <w:pStyle w:val="142"/>
              <w:adjustRightInd w:val="0"/>
              <w:snapToGrid w:val="0"/>
              <w:spacing w:line="240" w:lineRule="auto"/>
              <w:jc w:val="center"/>
              <w:rPr>
                <w:rFonts w:hAnsi="標楷體"/>
                <w:color w:val="000000"/>
              </w:rPr>
            </w:pPr>
            <w:r w:rsidRPr="00E765C6">
              <w:rPr>
                <w:rFonts w:hAnsi="標楷體"/>
                <w:color w:val="000000"/>
              </w:rPr>
              <w:t xml:space="preserve">金額(3) </w:t>
            </w:r>
          </w:p>
        </w:tc>
        <w:tc>
          <w:tcPr>
            <w:tcW w:w="1557" w:type="dxa"/>
            <w:tcBorders>
              <w:top w:val="single" w:sz="6" w:space="0" w:color="auto"/>
              <w:bottom w:val="single" w:sz="6" w:space="0" w:color="auto"/>
            </w:tcBorders>
            <w:vAlign w:val="center"/>
          </w:tcPr>
          <w:p w:rsidR="001B0E76" w:rsidRPr="00E765C6" w:rsidRDefault="001B0E76" w:rsidP="001B0E76">
            <w:pPr>
              <w:pStyle w:val="142"/>
              <w:adjustRightInd w:val="0"/>
              <w:snapToGrid w:val="0"/>
              <w:spacing w:line="240" w:lineRule="auto"/>
              <w:jc w:val="center"/>
              <w:rPr>
                <w:rFonts w:hAnsi="標楷體"/>
                <w:color w:val="000000"/>
              </w:rPr>
            </w:pPr>
            <w:r w:rsidRPr="00E765C6">
              <w:rPr>
                <w:rFonts w:hAnsi="標楷體"/>
                <w:color w:val="000000"/>
              </w:rPr>
              <w:t>占比(3)/(1)</w:t>
            </w:r>
          </w:p>
        </w:tc>
      </w:tr>
      <w:tr w:rsidR="00521EF1" w:rsidRPr="00E765C6" w:rsidTr="001B0E76">
        <w:trPr>
          <w:trHeight w:hRule="exact" w:val="397"/>
        </w:trPr>
        <w:tc>
          <w:tcPr>
            <w:tcW w:w="832" w:type="dxa"/>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center"/>
              <w:rPr>
                <w:rFonts w:hAnsi="標楷體"/>
                <w:color w:val="000000"/>
              </w:rPr>
            </w:pPr>
            <w:r w:rsidRPr="00E765C6">
              <w:rPr>
                <w:rFonts w:hAnsi="標楷體"/>
                <w:color w:val="000000"/>
              </w:rPr>
              <w:t>110</w:t>
            </w:r>
          </w:p>
        </w:tc>
        <w:tc>
          <w:tcPr>
            <w:tcW w:w="1532" w:type="dxa"/>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3,091,466</w:t>
            </w:r>
          </w:p>
        </w:tc>
        <w:tc>
          <w:tcPr>
            <w:tcW w:w="1587" w:type="dxa"/>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983,496</w:t>
            </w:r>
          </w:p>
        </w:tc>
        <w:tc>
          <w:tcPr>
            <w:tcW w:w="1559" w:type="dxa"/>
            <w:tcBorders>
              <w:top w:val="single" w:sz="6" w:space="0" w:color="auto"/>
              <w:bottom w:val="single" w:sz="6"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31.81</w:t>
            </w:r>
          </w:p>
        </w:tc>
        <w:tc>
          <w:tcPr>
            <w:tcW w:w="1559" w:type="dxa"/>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2,107,970</w:t>
            </w:r>
          </w:p>
        </w:tc>
        <w:tc>
          <w:tcPr>
            <w:tcW w:w="1557" w:type="dxa"/>
            <w:tcBorders>
              <w:top w:val="single" w:sz="6" w:space="0" w:color="auto"/>
              <w:bottom w:val="single" w:sz="6"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68.19</w:t>
            </w:r>
          </w:p>
        </w:tc>
      </w:tr>
      <w:tr w:rsidR="00521EF1" w:rsidRPr="00E765C6" w:rsidTr="001B0E76">
        <w:trPr>
          <w:trHeight w:hRule="exact" w:val="397"/>
        </w:trPr>
        <w:tc>
          <w:tcPr>
            <w:tcW w:w="832" w:type="dxa"/>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center"/>
              <w:rPr>
                <w:rFonts w:hAnsi="標楷體"/>
                <w:color w:val="000000"/>
              </w:rPr>
            </w:pPr>
            <w:r w:rsidRPr="00E765C6">
              <w:rPr>
                <w:rFonts w:hAnsi="標楷體"/>
                <w:color w:val="000000"/>
              </w:rPr>
              <w:t>111</w:t>
            </w:r>
          </w:p>
        </w:tc>
        <w:tc>
          <w:tcPr>
            <w:tcW w:w="1532" w:type="dxa"/>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3,451,630</w:t>
            </w:r>
          </w:p>
        </w:tc>
        <w:tc>
          <w:tcPr>
            <w:tcW w:w="1587" w:type="dxa"/>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1,078,662</w:t>
            </w:r>
          </w:p>
        </w:tc>
        <w:tc>
          <w:tcPr>
            <w:tcW w:w="1559" w:type="dxa"/>
            <w:tcBorders>
              <w:top w:val="single" w:sz="6" w:space="0" w:color="auto"/>
              <w:bottom w:val="single" w:sz="6"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31.25</w:t>
            </w:r>
          </w:p>
        </w:tc>
        <w:tc>
          <w:tcPr>
            <w:tcW w:w="1559" w:type="dxa"/>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2,372,968</w:t>
            </w:r>
          </w:p>
        </w:tc>
        <w:tc>
          <w:tcPr>
            <w:tcW w:w="1557" w:type="dxa"/>
            <w:tcBorders>
              <w:top w:val="single" w:sz="6" w:space="0" w:color="auto"/>
              <w:bottom w:val="single" w:sz="6"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68.75</w:t>
            </w:r>
          </w:p>
        </w:tc>
      </w:tr>
      <w:tr w:rsidR="00521EF1" w:rsidRPr="00E765C6" w:rsidTr="001B0E76">
        <w:trPr>
          <w:trHeight w:hRule="exact" w:val="397"/>
        </w:trPr>
        <w:tc>
          <w:tcPr>
            <w:tcW w:w="832" w:type="dxa"/>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center"/>
              <w:rPr>
                <w:rFonts w:hAnsi="標楷體"/>
                <w:color w:val="000000"/>
              </w:rPr>
            </w:pPr>
            <w:r w:rsidRPr="00E765C6">
              <w:rPr>
                <w:rFonts w:hAnsi="標楷體"/>
                <w:color w:val="000000"/>
              </w:rPr>
              <w:t>112</w:t>
            </w:r>
          </w:p>
        </w:tc>
        <w:tc>
          <w:tcPr>
            <w:tcW w:w="1532" w:type="dxa"/>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4,374,740</w:t>
            </w:r>
          </w:p>
        </w:tc>
        <w:tc>
          <w:tcPr>
            <w:tcW w:w="1587" w:type="dxa"/>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1,123,594</w:t>
            </w:r>
          </w:p>
        </w:tc>
        <w:tc>
          <w:tcPr>
            <w:tcW w:w="1559" w:type="dxa"/>
            <w:tcBorders>
              <w:top w:val="single" w:sz="6" w:space="0" w:color="auto"/>
              <w:bottom w:val="single" w:sz="6"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25.68</w:t>
            </w:r>
          </w:p>
        </w:tc>
        <w:tc>
          <w:tcPr>
            <w:tcW w:w="1559" w:type="dxa"/>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3,251,146</w:t>
            </w:r>
          </w:p>
        </w:tc>
        <w:tc>
          <w:tcPr>
            <w:tcW w:w="1557" w:type="dxa"/>
            <w:tcBorders>
              <w:top w:val="single" w:sz="6" w:space="0" w:color="auto"/>
              <w:bottom w:val="single" w:sz="6"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74.32</w:t>
            </w:r>
          </w:p>
        </w:tc>
      </w:tr>
      <w:tr w:rsidR="00521EF1" w:rsidRPr="00E765C6" w:rsidTr="001B0E76">
        <w:trPr>
          <w:trHeight w:hRule="exact" w:val="397"/>
        </w:trPr>
        <w:tc>
          <w:tcPr>
            <w:tcW w:w="832" w:type="dxa"/>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center"/>
              <w:rPr>
                <w:rFonts w:hAnsi="標楷體"/>
                <w:color w:val="000000"/>
              </w:rPr>
            </w:pPr>
            <w:r w:rsidRPr="00E765C6">
              <w:rPr>
                <w:rFonts w:hAnsi="標楷體"/>
                <w:color w:val="000000"/>
              </w:rPr>
              <w:t>113</w:t>
            </w:r>
          </w:p>
        </w:tc>
        <w:tc>
          <w:tcPr>
            <w:tcW w:w="1532" w:type="dxa"/>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4,702,659</w:t>
            </w:r>
          </w:p>
        </w:tc>
        <w:tc>
          <w:tcPr>
            <w:tcW w:w="1587" w:type="dxa"/>
            <w:tcBorders>
              <w:top w:val="single" w:sz="6" w:space="0" w:color="auto"/>
              <w:bottom w:val="single" w:sz="6" w:space="0" w:color="auto"/>
            </w:tcBorders>
            <w:shd w:val="clear" w:color="auto" w:fill="auto"/>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1,290,518</w:t>
            </w:r>
          </w:p>
        </w:tc>
        <w:tc>
          <w:tcPr>
            <w:tcW w:w="1559" w:type="dxa"/>
            <w:tcBorders>
              <w:top w:val="single" w:sz="6" w:space="0" w:color="auto"/>
              <w:bottom w:val="single" w:sz="6"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27.44</w:t>
            </w:r>
          </w:p>
        </w:tc>
        <w:tc>
          <w:tcPr>
            <w:tcW w:w="1559" w:type="dxa"/>
            <w:tcBorders>
              <w:top w:val="single" w:sz="6" w:space="0" w:color="auto"/>
              <w:bottom w:val="single" w:sz="6"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3,412,141</w:t>
            </w:r>
          </w:p>
        </w:tc>
        <w:tc>
          <w:tcPr>
            <w:tcW w:w="1557" w:type="dxa"/>
            <w:tcBorders>
              <w:top w:val="single" w:sz="6" w:space="0" w:color="auto"/>
              <w:bottom w:val="single" w:sz="6"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72.56</w:t>
            </w:r>
          </w:p>
        </w:tc>
      </w:tr>
      <w:tr w:rsidR="00521EF1" w:rsidRPr="00E765C6" w:rsidTr="001B0E76">
        <w:trPr>
          <w:trHeight w:val="397"/>
        </w:trPr>
        <w:tc>
          <w:tcPr>
            <w:tcW w:w="832" w:type="dxa"/>
            <w:tcBorders>
              <w:top w:val="single" w:sz="6" w:space="0" w:color="auto"/>
              <w:bottom w:val="single" w:sz="12" w:space="0" w:color="auto"/>
            </w:tcBorders>
            <w:shd w:val="clear" w:color="auto" w:fill="auto"/>
            <w:vAlign w:val="center"/>
          </w:tcPr>
          <w:p w:rsidR="001B0E76" w:rsidRPr="00E765C6" w:rsidRDefault="001B0E76" w:rsidP="006305EA">
            <w:pPr>
              <w:pStyle w:val="142"/>
              <w:adjustRightInd w:val="0"/>
              <w:snapToGrid w:val="0"/>
              <w:spacing w:line="240" w:lineRule="auto"/>
              <w:jc w:val="center"/>
              <w:rPr>
                <w:rFonts w:hAnsi="標楷體"/>
                <w:color w:val="000000"/>
              </w:rPr>
            </w:pPr>
            <w:r w:rsidRPr="00E765C6">
              <w:rPr>
                <w:rFonts w:hAnsi="標楷體"/>
                <w:color w:val="000000"/>
              </w:rPr>
              <w:t>114</w:t>
            </w:r>
          </w:p>
        </w:tc>
        <w:tc>
          <w:tcPr>
            <w:tcW w:w="1532" w:type="dxa"/>
            <w:tcBorders>
              <w:top w:val="single" w:sz="6" w:space="0" w:color="auto"/>
              <w:bottom w:val="single" w:sz="12"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3,500,000</w:t>
            </w:r>
          </w:p>
        </w:tc>
        <w:tc>
          <w:tcPr>
            <w:tcW w:w="1587" w:type="dxa"/>
            <w:tcBorders>
              <w:top w:val="single" w:sz="6" w:space="0" w:color="auto"/>
              <w:bottom w:val="single" w:sz="12" w:space="0" w:color="auto"/>
            </w:tcBorders>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960,000</w:t>
            </w:r>
          </w:p>
        </w:tc>
        <w:tc>
          <w:tcPr>
            <w:tcW w:w="1559" w:type="dxa"/>
            <w:tcBorders>
              <w:top w:val="single" w:sz="6" w:space="0" w:color="auto"/>
              <w:bottom w:val="single" w:sz="12"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27.43</w:t>
            </w:r>
          </w:p>
        </w:tc>
        <w:tc>
          <w:tcPr>
            <w:tcW w:w="1559" w:type="dxa"/>
            <w:tcBorders>
              <w:top w:val="single" w:sz="6" w:space="0" w:color="auto"/>
              <w:bottom w:val="single" w:sz="12" w:space="0" w:color="auto"/>
            </w:tcBorders>
            <w:shd w:val="clear" w:color="auto" w:fill="auto"/>
            <w:vAlign w:val="center"/>
          </w:tcPr>
          <w:p w:rsidR="001B0E76" w:rsidRPr="00E765C6" w:rsidRDefault="001B0E76" w:rsidP="006305EA">
            <w:pPr>
              <w:pStyle w:val="142"/>
              <w:adjustRightInd w:val="0"/>
              <w:snapToGrid w:val="0"/>
              <w:spacing w:line="240" w:lineRule="auto"/>
              <w:jc w:val="right"/>
              <w:rPr>
                <w:rFonts w:hAnsi="標楷體"/>
                <w:color w:val="000000"/>
              </w:rPr>
            </w:pPr>
            <w:r w:rsidRPr="00E765C6">
              <w:rPr>
                <w:rFonts w:hAnsi="標楷體"/>
                <w:color w:val="000000"/>
              </w:rPr>
              <w:t>2,540,000</w:t>
            </w:r>
          </w:p>
        </w:tc>
        <w:tc>
          <w:tcPr>
            <w:tcW w:w="1557" w:type="dxa"/>
            <w:tcBorders>
              <w:top w:val="single" w:sz="6" w:space="0" w:color="auto"/>
              <w:bottom w:val="single" w:sz="12" w:space="0" w:color="auto"/>
            </w:tcBorders>
            <w:vAlign w:val="center"/>
          </w:tcPr>
          <w:p w:rsidR="001B0E76" w:rsidRPr="00E765C6" w:rsidRDefault="001B0E76" w:rsidP="00F5392A">
            <w:pPr>
              <w:pStyle w:val="142"/>
              <w:adjustRightInd w:val="0"/>
              <w:snapToGrid w:val="0"/>
              <w:spacing w:line="240" w:lineRule="auto"/>
              <w:jc w:val="right"/>
              <w:rPr>
                <w:rFonts w:hAnsi="標楷體"/>
                <w:color w:val="000000"/>
              </w:rPr>
            </w:pPr>
            <w:r w:rsidRPr="00E765C6">
              <w:rPr>
                <w:rFonts w:hAnsi="標楷體"/>
                <w:color w:val="000000"/>
              </w:rPr>
              <w:t>72.57</w:t>
            </w:r>
          </w:p>
        </w:tc>
      </w:tr>
    </w:tbl>
    <w:p w:rsidR="00CB4C66" w:rsidRPr="00E765C6" w:rsidRDefault="00CB4C66" w:rsidP="00782160">
      <w:pPr>
        <w:pStyle w:val="142"/>
        <w:ind w:leftChars="-50" w:left="1261" w:hangingChars="577" w:hanging="1403"/>
        <w:rPr>
          <w:rFonts w:hAnsi="標楷體"/>
          <w:color w:val="000000"/>
        </w:rPr>
      </w:pPr>
      <w:r w:rsidRPr="00E765C6">
        <w:rPr>
          <w:rFonts w:hAnsi="標楷體"/>
          <w:color w:val="000000"/>
          <w:lang w:eastAsia="zh-HK"/>
        </w:rPr>
        <w:t>說    明</w:t>
      </w:r>
      <w:r w:rsidRPr="00E765C6">
        <w:rPr>
          <w:rFonts w:hAnsi="標楷體"/>
          <w:color w:val="000000"/>
        </w:rPr>
        <w:t>：</w:t>
      </w:r>
      <w:r w:rsidR="00782160" w:rsidRPr="00E765C6">
        <w:rPr>
          <w:rFonts w:hAnsi="標楷體" w:hint="eastAsia"/>
          <w:snapToGrid/>
          <w:color w:val="000000"/>
          <w:spacing w:val="-20"/>
          <w:szCs w:val="24"/>
        </w:rPr>
        <w:t>1</w:t>
      </w:r>
      <w:r w:rsidR="00782160" w:rsidRPr="00E765C6">
        <w:rPr>
          <w:rFonts w:hAnsi="標楷體"/>
          <w:snapToGrid/>
          <w:color w:val="000000"/>
          <w:spacing w:val="-20"/>
          <w:szCs w:val="24"/>
        </w:rPr>
        <w:t>10</w:t>
      </w:r>
      <w:r w:rsidR="00782160" w:rsidRPr="00E765C6">
        <w:rPr>
          <w:rFonts w:hAnsi="標楷體" w:hint="eastAsia"/>
          <w:snapToGrid/>
          <w:color w:val="000000"/>
          <w:spacing w:val="-20"/>
          <w:szCs w:val="24"/>
        </w:rPr>
        <w:t>至</w:t>
      </w:r>
      <w:r w:rsidR="00782160" w:rsidRPr="00E765C6">
        <w:rPr>
          <w:rFonts w:hAnsi="標楷體"/>
          <w:snapToGrid/>
          <w:color w:val="000000"/>
          <w:spacing w:val="-20"/>
          <w:szCs w:val="24"/>
        </w:rPr>
        <w:t>112年度為決算數，113年度為自結數</w:t>
      </w:r>
      <w:r w:rsidRPr="00E765C6">
        <w:rPr>
          <w:rFonts w:hAnsi="標楷體"/>
          <w:color w:val="000000"/>
          <w:spacing w:val="-6"/>
        </w:rPr>
        <w:t>，114</w:t>
      </w:r>
      <w:r w:rsidRPr="00E765C6">
        <w:rPr>
          <w:rFonts w:hAnsi="標楷體"/>
          <w:color w:val="000000"/>
          <w:spacing w:val="-6"/>
          <w:lang w:eastAsia="zh-HK"/>
        </w:rPr>
        <w:t>年度為預算</w:t>
      </w:r>
      <w:r w:rsidRPr="00E765C6">
        <w:rPr>
          <w:rFonts w:hAnsi="標楷體" w:hint="eastAsia"/>
          <w:color w:val="000000"/>
          <w:spacing w:val="-6"/>
        </w:rPr>
        <w:t>案</w:t>
      </w:r>
      <w:r w:rsidRPr="00E765C6">
        <w:rPr>
          <w:rFonts w:hAnsi="標楷體"/>
          <w:color w:val="000000"/>
          <w:spacing w:val="-6"/>
          <w:lang w:eastAsia="zh-HK"/>
        </w:rPr>
        <w:t>數</w:t>
      </w:r>
      <w:r w:rsidRPr="00E765C6">
        <w:rPr>
          <w:rFonts w:hAnsi="標楷體"/>
          <w:color w:val="000000"/>
          <w:spacing w:val="-6"/>
        </w:rPr>
        <w:t>。</w:t>
      </w:r>
    </w:p>
    <w:p w:rsidR="00782160" w:rsidRPr="00E765C6" w:rsidRDefault="00CB4C66" w:rsidP="00782160">
      <w:pPr>
        <w:pStyle w:val="142"/>
        <w:ind w:leftChars="-50" w:left="1261" w:hangingChars="577" w:hanging="1403"/>
        <w:rPr>
          <w:rFonts w:hAnsi="標楷體" w:hint="eastAsia"/>
          <w:color w:val="000000"/>
        </w:rPr>
      </w:pPr>
      <w:r w:rsidRPr="00E765C6">
        <w:rPr>
          <w:rFonts w:hAnsi="標楷體"/>
          <w:color w:val="000000"/>
          <w:lang w:eastAsia="zh-HK"/>
        </w:rPr>
        <w:t>資料來源</w:t>
      </w:r>
      <w:r w:rsidRPr="00E765C6">
        <w:rPr>
          <w:rFonts w:hAnsi="標楷體"/>
          <w:color w:val="000000"/>
        </w:rPr>
        <w:t>：</w:t>
      </w:r>
      <w:r w:rsidRPr="00E765C6">
        <w:rPr>
          <w:rFonts w:hAnsi="標楷體"/>
          <w:color w:val="000000"/>
          <w:lang w:eastAsia="zh-HK"/>
        </w:rPr>
        <w:t>金屬中心提供</w:t>
      </w:r>
      <w:r w:rsidRPr="00E765C6">
        <w:rPr>
          <w:rFonts w:hAnsi="標楷體"/>
          <w:snapToGrid/>
          <w:color w:val="000000"/>
          <w:spacing w:val="-20"/>
          <w:szCs w:val="24"/>
        </w:rPr>
        <w:t>，本研究整理。</w:t>
      </w:r>
    </w:p>
    <w:p w:rsidR="00BB691A" w:rsidRPr="00E765C6" w:rsidRDefault="00CB4C66" w:rsidP="00E14989">
      <w:pPr>
        <w:ind w:left="566" w:firstLine="566"/>
        <w:rPr>
          <w:rFonts w:hAnsi="標楷體"/>
          <w:color w:val="000000"/>
        </w:rPr>
      </w:pPr>
      <w:r w:rsidRPr="00E765C6">
        <w:rPr>
          <w:rFonts w:hAnsi="標楷體"/>
          <w:color w:val="000000"/>
        </w:rPr>
        <w:t>綜上，金屬中心在配合國家政策及產業趨勢發展下，持續進行組織變革，擴大並創新金屬應用領域，促進產業升級，協助廠商開拓市場藍海，除政府補助及委辦計畫收入外，更應重視來自民間收入</w:t>
      </w:r>
      <w:r w:rsidR="009414AC" w:rsidRPr="00E765C6">
        <w:rPr>
          <w:rFonts w:hAnsi="標楷體"/>
          <w:color w:val="000000"/>
        </w:rPr>
        <w:t>之</w:t>
      </w:r>
      <w:r w:rsidRPr="00E765C6">
        <w:rPr>
          <w:rFonts w:hAnsi="標楷體"/>
          <w:color w:val="000000"/>
        </w:rPr>
        <w:t>增長，允宜強化對外業務拓展能力，提升民間收入量能，以增加財務自主性。</w:t>
      </w:r>
    </w:p>
    <w:p w:rsidR="00D82FA4" w:rsidRPr="00E765C6" w:rsidRDefault="00D82FA4" w:rsidP="00167FD4">
      <w:pPr>
        <w:ind w:left="566" w:firstLine="566"/>
        <w:rPr>
          <w:rFonts w:hAnsi="標楷體"/>
          <w:color w:val="000000"/>
        </w:rPr>
      </w:pPr>
    </w:p>
    <w:p w:rsidR="00BB691A" w:rsidRPr="00E765C6" w:rsidRDefault="00BB691A" w:rsidP="006305EA">
      <w:pPr>
        <w:pStyle w:val="14"/>
        <w:ind w:left="567" w:hanging="567"/>
        <w:rPr>
          <w:rFonts w:hAnsi="標楷體"/>
          <w:color w:val="000000"/>
        </w:rPr>
      </w:pPr>
      <w:bookmarkStart w:id="8" w:name="_Toc115337438"/>
      <w:bookmarkStart w:id="9" w:name="_Toc195717728"/>
      <w:r w:rsidRPr="00E765C6">
        <w:rPr>
          <w:rFonts w:hAnsi="標楷體" w:hint="eastAsia"/>
          <w:color w:val="000000"/>
        </w:rPr>
        <w:t>四、</w:t>
      </w:r>
      <w:bookmarkEnd w:id="8"/>
      <w:r w:rsidR="00D95E3B" w:rsidRPr="00E765C6">
        <w:rPr>
          <w:rFonts w:hAnsi="標楷體" w:hint="eastAsia"/>
          <w:color w:val="000000"/>
        </w:rPr>
        <w:t>1</w:t>
      </w:r>
      <w:r w:rsidR="00D95E3B" w:rsidRPr="00E765C6">
        <w:rPr>
          <w:rFonts w:hAnsi="標楷體"/>
          <w:color w:val="000000"/>
        </w:rPr>
        <w:t>14</w:t>
      </w:r>
      <w:r w:rsidR="00D95E3B" w:rsidRPr="00E765C6">
        <w:rPr>
          <w:rFonts w:hAnsi="標楷體" w:hint="eastAsia"/>
          <w:color w:val="000000"/>
        </w:rPr>
        <w:t>年度所設定之</w:t>
      </w:r>
      <w:r w:rsidR="006305EA" w:rsidRPr="00E765C6">
        <w:rPr>
          <w:rFonts w:hAnsi="標楷體"/>
          <w:color w:val="000000"/>
        </w:rPr>
        <w:t>工作計畫績效指標目標值概低於往年實際執行情形，允宜參考產業成長性設定合理之目標值</w:t>
      </w:r>
      <w:bookmarkEnd w:id="9"/>
    </w:p>
    <w:p w:rsidR="00BB691A" w:rsidRPr="00E765C6" w:rsidRDefault="006305EA" w:rsidP="002D76A7">
      <w:pPr>
        <w:ind w:left="566" w:firstLine="566"/>
        <w:rPr>
          <w:rFonts w:hAnsi="標楷體"/>
          <w:color w:val="000000"/>
        </w:rPr>
      </w:pPr>
      <w:r w:rsidRPr="00E765C6">
        <w:rPr>
          <w:rFonts w:hAnsi="標楷體"/>
          <w:color w:val="000000"/>
        </w:rPr>
        <w:t>114年度</w:t>
      </w:r>
      <w:r w:rsidR="00D95E3B" w:rsidRPr="00E765C6">
        <w:rPr>
          <w:rFonts w:hAnsi="標楷體" w:hint="eastAsia"/>
          <w:color w:val="000000"/>
        </w:rPr>
        <w:t>預估</w:t>
      </w:r>
      <w:r w:rsidRPr="00E765C6">
        <w:rPr>
          <w:rFonts w:hAnsi="標楷體"/>
          <w:color w:val="000000"/>
        </w:rPr>
        <w:t>臺灣基本金屬整體產值1</w:t>
      </w:r>
      <w:r w:rsidR="00D95E3B" w:rsidRPr="00E765C6">
        <w:rPr>
          <w:rFonts w:hAnsi="標楷體" w:hint="eastAsia"/>
          <w:color w:val="000000"/>
        </w:rPr>
        <w:t>兆</w:t>
      </w:r>
      <w:r w:rsidRPr="00E765C6">
        <w:rPr>
          <w:rFonts w:hAnsi="標楷體"/>
          <w:color w:val="000000"/>
        </w:rPr>
        <w:t>8,418</w:t>
      </w:r>
      <w:r w:rsidRPr="00E765C6">
        <w:rPr>
          <w:rFonts w:hAnsi="標楷體"/>
          <w:bCs/>
          <w:color w:val="000000"/>
        </w:rPr>
        <w:t>億元</w:t>
      </w:r>
      <w:r w:rsidRPr="00E765C6">
        <w:rPr>
          <w:rFonts w:hAnsi="標楷體"/>
          <w:color w:val="000000"/>
        </w:rPr>
        <w:t>，較112年度成長9%，較113年度預估值成長1.5%，金屬中心114年度工作計畫主要為研究計畫與工業服務計畫占預算</w:t>
      </w:r>
      <w:r w:rsidRPr="00E765C6">
        <w:rPr>
          <w:rFonts w:hAnsi="標楷體" w:hint="eastAsia"/>
          <w:color w:val="000000"/>
        </w:rPr>
        <w:t>案</w:t>
      </w:r>
      <w:r w:rsidRPr="00E765C6">
        <w:rPr>
          <w:rFonts w:hAnsi="標楷體"/>
          <w:color w:val="000000"/>
        </w:rPr>
        <w:t>收入總額35億元之95.29%，其中研究計畫收入編列11億5,000萬元，工業服務收入預算編列21億8,500萬元，分別較113年度預算數成長7.48%及3.07%。經查：</w:t>
      </w:r>
    </w:p>
    <w:p w:rsidR="00BB691A" w:rsidRPr="00E765C6" w:rsidRDefault="00BB691A" w:rsidP="002D76A7">
      <w:pPr>
        <w:pStyle w:val="a4"/>
        <w:ind w:left="849" w:hanging="283"/>
        <w:rPr>
          <w:rFonts w:hAnsi="標楷體" w:cs="細明體"/>
          <w:b/>
          <w:color w:val="000000"/>
        </w:rPr>
      </w:pPr>
      <w:r w:rsidRPr="00E765C6">
        <w:rPr>
          <w:rFonts w:hAnsi="標楷體" w:cs="細明體" w:hint="eastAsia"/>
          <w:b/>
          <w:color w:val="000000"/>
        </w:rPr>
        <w:t>(一)</w:t>
      </w:r>
      <w:r w:rsidR="00D95E3B" w:rsidRPr="00E765C6">
        <w:rPr>
          <w:rFonts w:hAnsi="標楷體"/>
          <w:b/>
          <w:color w:val="000000"/>
        </w:rPr>
        <w:t>金屬中心</w:t>
      </w:r>
      <w:r w:rsidR="006305EA" w:rsidRPr="00E765C6">
        <w:rPr>
          <w:rFonts w:hAnsi="標楷體"/>
          <w:b/>
          <w:color w:val="000000"/>
        </w:rPr>
        <w:t>114年度</w:t>
      </w:r>
      <w:r w:rsidR="00D95E3B" w:rsidRPr="00E765C6">
        <w:rPr>
          <w:rFonts w:hAnsi="標楷體" w:hint="eastAsia"/>
          <w:b/>
          <w:color w:val="000000"/>
        </w:rPr>
        <w:t>分別於</w:t>
      </w:r>
      <w:r w:rsidR="00D95E3B" w:rsidRPr="00E765C6">
        <w:rPr>
          <w:rFonts w:hAnsi="標楷體"/>
          <w:b/>
          <w:color w:val="000000"/>
        </w:rPr>
        <w:t>研究計畫與工業服務計畫</w:t>
      </w:r>
      <w:r w:rsidR="00D95E3B" w:rsidRPr="00E765C6">
        <w:rPr>
          <w:rFonts w:hAnsi="標楷體" w:hint="eastAsia"/>
          <w:b/>
          <w:color w:val="000000"/>
        </w:rPr>
        <w:t>各</w:t>
      </w:r>
      <w:r w:rsidR="006305EA" w:rsidRPr="00E765C6">
        <w:rPr>
          <w:rFonts w:hAnsi="標楷體"/>
          <w:b/>
          <w:color w:val="000000"/>
        </w:rPr>
        <w:t>設定</w:t>
      </w:r>
      <w:r w:rsidR="00D95E3B" w:rsidRPr="00E765C6">
        <w:rPr>
          <w:rFonts w:hAnsi="標楷體"/>
          <w:b/>
          <w:color w:val="000000"/>
        </w:rPr>
        <w:t>8</w:t>
      </w:r>
      <w:r w:rsidR="006305EA" w:rsidRPr="00E765C6">
        <w:rPr>
          <w:rFonts w:hAnsi="標楷體"/>
          <w:b/>
          <w:color w:val="000000"/>
        </w:rPr>
        <w:t>項績效指標量化之目標值</w:t>
      </w:r>
    </w:p>
    <w:p w:rsidR="006305EA" w:rsidRPr="00E765C6" w:rsidRDefault="006305EA" w:rsidP="002D76A7">
      <w:pPr>
        <w:pStyle w:val="2"/>
        <w:ind w:left="850" w:firstLine="566"/>
        <w:rPr>
          <w:rFonts w:hAnsi="標楷體" w:hint="eastAsia"/>
          <w:color w:val="000000"/>
        </w:rPr>
      </w:pPr>
      <w:r w:rsidRPr="00E765C6">
        <w:rPr>
          <w:rFonts w:hAnsi="標楷體"/>
          <w:color w:val="000000"/>
        </w:rPr>
        <w:t>依金屬中心114年度績效指標所設定之目標值，研究計畫類有專利申請130件、獲得85件、應用135件、技術移轉160件、研發成果收入數1億3‚000萬元、促進投資36億元以上、創造產值72億元以上及增加就業人數710人次</w:t>
      </w:r>
      <w:r w:rsidR="00617D25" w:rsidRPr="00E765C6">
        <w:rPr>
          <w:rFonts w:hAnsi="標楷體" w:hint="eastAsia"/>
          <w:color w:val="000000"/>
        </w:rPr>
        <w:t>等</w:t>
      </w:r>
      <w:r w:rsidR="00617D25" w:rsidRPr="00E765C6">
        <w:rPr>
          <w:rFonts w:hAnsi="標楷體"/>
          <w:color w:val="000000"/>
        </w:rPr>
        <w:t>8項</w:t>
      </w:r>
      <w:r w:rsidRPr="00E765C6">
        <w:rPr>
          <w:rFonts w:hAnsi="標楷體"/>
          <w:color w:val="000000"/>
        </w:rPr>
        <w:t>；工業服務計畫類</w:t>
      </w:r>
      <w:r w:rsidR="00617D25" w:rsidRPr="00E765C6">
        <w:rPr>
          <w:rFonts w:hAnsi="標楷體" w:hint="eastAsia"/>
          <w:color w:val="000000"/>
        </w:rPr>
        <w:t>設</w:t>
      </w:r>
      <w:r w:rsidRPr="00E765C6">
        <w:rPr>
          <w:rFonts w:hAnsi="標楷體"/>
          <w:color w:val="000000"/>
        </w:rPr>
        <w:t>有完成服務廠家420家次、工業人才培訓共計辦理講習620班次、受訓人員1萬3‚200人次、促進廠家投資250億元以上、創造產值400億元以上、增加就業人數1‚400人次、完成檢測等服務共計6千廠家次及1萬5千案次</w:t>
      </w:r>
      <w:r w:rsidR="00617D25" w:rsidRPr="00E765C6">
        <w:rPr>
          <w:rFonts w:hAnsi="標楷體" w:hint="eastAsia"/>
          <w:color w:val="000000"/>
        </w:rPr>
        <w:t>等</w:t>
      </w:r>
      <w:r w:rsidR="00617D25" w:rsidRPr="00E765C6">
        <w:rPr>
          <w:rFonts w:hAnsi="標楷體"/>
          <w:color w:val="000000"/>
        </w:rPr>
        <w:t>8項</w:t>
      </w:r>
      <w:r w:rsidRPr="00E765C6">
        <w:rPr>
          <w:rFonts w:hAnsi="標楷體"/>
          <w:color w:val="000000"/>
        </w:rPr>
        <w:t>，以上共計16項目標值。</w:t>
      </w:r>
    </w:p>
    <w:p w:rsidR="00BB691A" w:rsidRPr="00E765C6" w:rsidRDefault="00BB691A" w:rsidP="002D76A7">
      <w:pPr>
        <w:pStyle w:val="a4"/>
        <w:ind w:left="849" w:hanging="283"/>
        <w:rPr>
          <w:rFonts w:hAnsi="標楷體"/>
          <w:b/>
          <w:color w:val="000000"/>
        </w:rPr>
      </w:pPr>
      <w:r w:rsidRPr="00E765C6">
        <w:rPr>
          <w:rFonts w:hAnsi="標楷體" w:hint="eastAsia"/>
          <w:b/>
          <w:color w:val="000000"/>
        </w:rPr>
        <w:t>(</w:t>
      </w:r>
      <w:r w:rsidRPr="00E765C6">
        <w:rPr>
          <w:rFonts w:hAnsi="標楷體" w:cs="細明體" w:hint="eastAsia"/>
          <w:b/>
          <w:color w:val="000000"/>
        </w:rPr>
        <w:t>二)</w:t>
      </w:r>
      <w:r w:rsidR="006305EA" w:rsidRPr="00E765C6">
        <w:rPr>
          <w:rFonts w:hAnsi="標楷體"/>
          <w:b/>
          <w:color w:val="000000"/>
        </w:rPr>
        <w:t>114年度目標值低於112至113年度執行情形，允宜衡量過往執行績效達成情形，設定合宜之績效指標目標值</w:t>
      </w:r>
    </w:p>
    <w:p w:rsidR="006305EA" w:rsidRPr="00E765C6" w:rsidRDefault="006305EA" w:rsidP="006305EA">
      <w:pPr>
        <w:pStyle w:val="2"/>
        <w:ind w:left="850" w:firstLine="566"/>
        <w:rPr>
          <w:rFonts w:hAnsi="標楷體"/>
          <w:b/>
          <w:color w:val="000000"/>
        </w:rPr>
      </w:pPr>
      <w:r w:rsidRPr="00E765C6">
        <w:rPr>
          <w:rFonts w:hAnsi="標楷體"/>
          <w:color w:val="000000"/>
        </w:rPr>
        <w:t>依近年金屬中心</w:t>
      </w:r>
      <w:r w:rsidRPr="00E765C6">
        <w:rPr>
          <w:rFonts w:hAnsi="標楷體"/>
          <w:bCs/>
          <w:color w:val="000000"/>
        </w:rPr>
        <w:t>績效指標執行情形</w:t>
      </w:r>
      <w:r w:rsidRPr="00E765C6">
        <w:rPr>
          <w:rFonts w:hAnsi="標楷體"/>
          <w:color w:val="000000"/>
        </w:rPr>
        <w:t>以觀(詳表1及表2)，114年度預算</w:t>
      </w:r>
      <w:r w:rsidRPr="00E765C6">
        <w:rPr>
          <w:rFonts w:hAnsi="標楷體" w:hint="eastAsia"/>
          <w:color w:val="000000"/>
        </w:rPr>
        <w:t>案</w:t>
      </w:r>
      <w:r w:rsidRPr="00E765C6">
        <w:rPr>
          <w:rFonts w:hAnsi="標楷體"/>
          <w:color w:val="000000"/>
        </w:rPr>
        <w:t>訂定之研究計畫績效指標，其中研發成果收入數1億3,000萬元僅分別微幅大於110及111年度執行數</w:t>
      </w:r>
      <w:r w:rsidR="00E975A5" w:rsidRPr="00E765C6">
        <w:rPr>
          <w:rFonts w:hAnsi="標楷體"/>
          <w:color w:val="000000"/>
        </w:rPr>
        <w:t>521萬</w:t>
      </w:r>
      <w:r w:rsidR="00E975A5" w:rsidRPr="00E765C6">
        <w:rPr>
          <w:rFonts w:hAnsi="標楷體" w:hint="eastAsia"/>
          <w:color w:val="000000"/>
        </w:rPr>
        <w:t>5</w:t>
      </w:r>
      <w:r w:rsidR="00E975A5" w:rsidRPr="00E765C6">
        <w:rPr>
          <w:rFonts w:hAnsi="標楷體"/>
          <w:color w:val="000000"/>
        </w:rPr>
        <w:t>千元及</w:t>
      </w:r>
      <w:r w:rsidRPr="00E765C6">
        <w:rPr>
          <w:rFonts w:hAnsi="標楷體"/>
          <w:color w:val="000000"/>
        </w:rPr>
        <w:t>344萬</w:t>
      </w:r>
      <w:r w:rsidR="00E975A5" w:rsidRPr="00E765C6">
        <w:rPr>
          <w:rFonts w:hAnsi="標楷體" w:hint="eastAsia"/>
          <w:color w:val="000000"/>
        </w:rPr>
        <w:t>2</w:t>
      </w:r>
      <w:r w:rsidR="00E975A5" w:rsidRPr="00E765C6">
        <w:rPr>
          <w:rFonts w:hAnsi="標楷體"/>
          <w:color w:val="000000"/>
        </w:rPr>
        <w:t>千元</w:t>
      </w:r>
      <w:r w:rsidRPr="00E765C6">
        <w:rPr>
          <w:rFonts w:hAnsi="標楷體"/>
          <w:color w:val="000000"/>
        </w:rPr>
        <w:t>，該目標值小於112及113年度之執行數2,559</w:t>
      </w:r>
      <w:r w:rsidR="00592BEF" w:rsidRPr="00E765C6">
        <w:rPr>
          <w:rFonts w:hAnsi="標楷體"/>
          <w:color w:val="000000"/>
        </w:rPr>
        <w:t>萬</w:t>
      </w:r>
      <w:r w:rsidR="00E975A5" w:rsidRPr="00E765C6">
        <w:rPr>
          <w:rFonts w:hAnsi="標楷體"/>
          <w:color w:val="000000"/>
        </w:rPr>
        <w:t>元</w:t>
      </w:r>
      <w:r w:rsidRPr="00E765C6">
        <w:rPr>
          <w:rFonts w:hAnsi="標楷體"/>
          <w:color w:val="000000"/>
        </w:rPr>
        <w:t>及</w:t>
      </w:r>
      <w:r w:rsidR="00E975A5" w:rsidRPr="00E765C6">
        <w:rPr>
          <w:rFonts w:hAnsi="標楷體"/>
          <w:color w:val="000000"/>
        </w:rPr>
        <w:t>4</w:t>
      </w:r>
      <w:r w:rsidR="00592BEF" w:rsidRPr="00E765C6">
        <w:rPr>
          <w:rFonts w:hAnsi="標楷體"/>
          <w:color w:val="000000"/>
        </w:rPr>
        <w:t>,</w:t>
      </w:r>
      <w:r w:rsidR="00E975A5" w:rsidRPr="00E765C6">
        <w:rPr>
          <w:rFonts w:hAnsi="標楷體"/>
          <w:color w:val="000000"/>
        </w:rPr>
        <w:t>124</w:t>
      </w:r>
      <w:r w:rsidRPr="00E765C6">
        <w:rPr>
          <w:rFonts w:hAnsi="標楷體"/>
          <w:color w:val="000000"/>
        </w:rPr>
        <w:t>萬</w:t>
      </w:r>
      <w:r w:rsidR="00E975A5" w:rsidRPr="00E765C6">
        <w:rPr>
          <w:rFonts w:hAnsi="標楷體" w:hint="eastAsia"/>
          <w:color w:val="000000"/>
        </w:rPr>
        <w:t>7</w:t>
      </w:r>
      <w:r w:rsidR="00E975A5" w:rsidRPr="00E765C6">
        <w:rPr>
          <w:rFonts w:hAnsi="標楷體"/>
          <w:color w:val="000000"/>
        </w:rPr>
        <w:t>千</w:t>
      </w:r>
      <w:r w:rsidRPr="00E765C6">
        <w:rPr>
          <w:rFonts w:hAnsi="標楷體"/>
          <w:color w:val="000000"/>
        </w:rPr>
        <w:t>元，其餘7項指標之目標值均小於110至113年度實際執行數。</w:t>
      </w:r>
    </w:p>
    <w:p w:rsidR="006305EA" w:rsidRPr="00E765C6" w:rsidRDefault="006305EA" w:rsidP="006305EA">
      <w:pPr>
        <w:pStyle w:val="2"/>
        <w:ind w:left="850" w:firstLine="566"/>
        <w:rPr>
          <w:rFonts w:hAnsi="標楷體" w:hint="eastAsia"/>
          <w:color w:val="000000"/>
        </w:rPr>
      </w:pPr>
      <w:r w:rsidRPr="00E765C6">
        <w:rPr>
          <w:rFonts w:hAnsi="標楷體"/>
          <w:color w:val="000000"/>
        </w:rPr>
        <w:t>另觀服務計畫績效指標執行情形表，114年度預算</w:t>
      </w:r>
      <w:r w:rsidRPr="00E765C6">
        <w:rPr>
          <w:rFonts w:hAnsi="標楷體" w:hint="eastAsia"/>
          <w:color w:val="000000"/>
        </w:rPr>
        <w:t>案</w:t>
      </w:r>
      <w:r w:rsidRPr="00E765C6">
        <w:rPr>
          <w:rFonts w:hAnsi="標楷體"/>
          <w:color w:val="000000"/>
        </w:rPr>
        <w:t>訂定之服務計畫績效指標，其中</w:t>
      </w:r>
      <w:r w:rsidR="00F73769" w:rsidRPr="00E765C6">
        <w:rPr>
          <w:rFonts w:hAnsi="標楷體" w:hint="eastAsia"/>
          <w:color w:val="000000"/>
        </w:rPr>
        <w:t>培訓講習6</w:t>
      </w:r>
      <w:r w:rsidR="00F73769" w:rsidRPr="00E765C6">
        <w:rPr>
          <w:rFonts w:hAnsi="標楷體"/>
          <w:color w:val="000000"/>
        </w:rPr>
        <w:t>20</w:t>
      </w:r>
      <w:r w:rsidR="00F73769" w:rsidRPr="00E765C6">
        <w:rPr>
          <w:rFonts w:hAnsi="標楷體" w:hint="eastAsia"/>
          <w:color w:val="000000"/>
        </w:rPr>
        <w:t>班次及</w:t>
      </w:r>
      <w:r w:rsidRPr="00E765C6">
        <w:rPr>
          <w:rFonts w:hAnsi="標楷體"/>
          <w:color w:val="000000"/>
        </w:rPr>
        <w:t>受訓人數1</w:t>
      </w:r>
      <w:r w:rsidR="00F73769" w:rsidRPr="00E765C6">
        <w:rPr>
          <w:rFonts w:hAnsi="標楷體" w:hint="eastAsia"/>
          <w:color w:val="000000"/>
        </w:rPr>
        <w:t>萬</w:t>
      </w:r>
      <w:r w:rsidRPr="00E765C6">
        <w:rPr>
          <w:rFonts w:hAnsi="標楷體"/>
          <w:color w:val="000000"/>
        </w:rPr>
        <w:t>3,200人次，僅微幅大於110年度執行數</w:t>
      </w:r>
      <w:r w:rsidR="00F73769" w:rsidRPr="00E765C6">
        <w:rPr>
          <w:rFonts w:hAnsi="標楷體" w:hint="eastAsia"/>
          <w:color w:val="000000"/>
        </w:rPr>
        <w:t>4班次及</w:t>
      </w:r>
      <w:r w:rsidRPr="00E765C6">
        <w:rPr>
          <w:rFonts w:hAnsi="標楷體"/>
          <w:color w:val="000000"/>
        </w:rPr>
        <w:t>144人次，該目標值</w:t>
      </w:r>
      <w:r w:rsidR="007417E9" w:rsidRPr="00E765C6">
        <w:rPr>
          <w:rFonts w:hAnsi="標楷體" w:hint="eastAsia"/>
          <w:color w:val="000000"/>
        </w:rPr>
        <w:t>分別</w:t>
      </w:r>
      <w:r w:rsidRPr="00E765C6">
        <w:rPr>
          <w:rFonts w:hAnsi="標楷體"/>
          <w:color w:val="000000"/>
        </w:rPr>
        <w:t>小於111至113年度之執行數</w:t>
      </w:r>
      <w:r w:rsidR="007417E9" w:rsidRPr="007417E9">
        <w:rPr>
          <w:rFonts w:hAnsi="標楷體" w:hint="eastAsia"/>
          <w:color w:val="000000"/>
        </w:rPr>
        <w:t>6</w:t>
      </w:r>
      <w:r w:rsidR="007417E9">
        <w:rPr>
          <w:rFonts w:hAnsi="標楷體"/>
          <w:color w:val="000000"/>
        </w:rPr>
        <w:t>99</w:t>
      </w:r>
      <w:r w:rsidR="007417E9">
        <w:rPr>
          <w:rFonts w:hAnsi="標楷體" w:hint="eastAsia"/>
          <w:color w:val="000000"/>
        </w:rPr>
        <w:t>至8</w:t>
      </w:r>
      <w:r w:rsidR="007417E9">
        <w:rPr>
          <w:rFonts w:hAnsi="標楷體"/>
          <w:color w:val="000000"/>
        </w:rPr>
        <w:t>72</w:t>
      </w:r>
      <w:r w:rsidR="007417E9" w:rsidRPr="007417E9">
        <w:rPr>
          <w:rFonts w:hAnsi="標楷體" w:hint="eastAsia"/>
          <w:color w:val="000000"/>
        </w:rPr>
        <w:t>班次</w:t>
      </w:r>
      <w:r w:rsidR="007417E9">
        <w:rPr>
          <w:rFonts w:hAnsi="標楷體" w:hint="eastAsia"/>
          <w:color w:val="000000"/>
        </w:rPr>
        <w:t>及</w:t>
      </w:r>
      <w:r w:rsidRPr="00E765C6">
        <w:rPr>
          <w:rFonts w:hAnsi="標楷體"/>
          <w:color w:val="000000"/>
        </w:rPr>
        <w:t>2,890至7,655人次</w:t>
      </w:r>
      <w:r w:rsidR="00F73769" w:rsidRPr="00E765C6">
        <w:rPr>
          <w:rFonts w:hAnsi="標楷體" w:hint="eastAsia"/>
          <w:color w:val="000000"/>
        </w:rPr>
        <w:t>間</w:t>
      </w:r>
      <w:r w:rsidRPr="00E765C6">
        <w:rPr>
          <w:rFonts w:hAnsi="標楷體"/>
          <w:color w:val="000000"/>
        </w:rPr>
        <w:t>，其餘</w:t>
      </w:r>
      <w:r w:rsidR="00F73769" w:rsidRPr="00E765C6">
        <w:rPr>
          <w:rFonts w:hAnsi="標楷體"/>
          <w:color w:val="000000"/>
        </w:rPr>
        <w:t>6</w:t>
      </w:r>
      <w:r w:rsidRPr="00E765C6">
        <w:rPr>
          <w:rFonts w:hAnsi="標楷體"/>
          <w:color w:val="000000"/>
        </w:rPr>
        <w:t>項指標之目標值均小於110至113年度實際執行數。</w:t>
      </w:r>
    </w:p>
    <w:p w:rsidR="006305EA" w:rsidRPr="00E765C6" w:rsidRDefault="006305EA" w:rsidP="006305EA">
      <w:pPr>
        <w:ind w:leftChars="0" w:left="0" w:rightChars="-118" w:right="-334" w:firstLineChars="0" w:firstLine="0"/>
        <w:rPr>
          <w:rFonts w:hAnsi="標楷體"/>
          <w:bCs/>
          <w:color w:val="000000"/>
          <w:spacing w:val="-20"/>
        </w:rPr>
      </w:pPr>
      <w:r w:rsidRPr="00E765C6">
        <w:rPr>
          <w:rFonts w:hAnsi="標楷體"/>
          <w:b/>
          <w:color w:val="000000"/>
          <w:spacing w:val="-20"/>
        </w:rPr>
        <w:t>表1  110至114年度金屬中心研究計畫績效指標執行情形表</w:t>
      </w:r>
    </w:p>
    <w:tbl>
      <w:tblPr>
        <w:tblW w:w="90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820"/>
        <w:gridCol w:w="1276"/>
        <w:gridCol w:w="1276"/>
        <w:gridCol w:w="1134"/>
        <w:gridCol w:w="1276"/>
        <w:gridCol w:w="1275"/>
      </w:tblGrid>
      <w:tr w:rsidR="006305EA" w:rsidRPr="00E765C6" w:rsidTr="006305EA">
        <w:trPr>
          <w:tblHeader/>
        </w:trPr>
        <w:tc>
          <w:tcPr>
            <w:tcW w:w="2820" w:type="dxa"/>
            <w:tcBorders>
              <w:top w:val="single" w:sz="12" w:space="0" w:color="auto"/>
              <w:bottom w:val="single" w:sz="6" w:space="0" w:color="auto"/>
              <w:tl2br w:val="single" w:sz="6" w:space="0" w:color="auto"/>
            </w:tcBorders>
            <w:shd w:val="clear" w:color="auto" w:fill="auto"/>
            <w:vAlign w:val="center"/>
          </w:tcPr>
          <w:p w:rsidR="006305EA" w:rsidRPr="00E765C6" w:rsidRDefault="006305EA" w:rsidP="006305EA">
            <w:pPr>
              <w:widowControl/>
              <w:snapToGrid w:val="0"/>
              <w:spacing w:line="280" w:lineRule="exact"/>
              <w:ind w:leftChars="-42" w:left="-119" w:firstLineChars="0" w:firstLine="0"/>
              <w:jc w:val="right"/>
              <w:rPr>
                <w:rFonts w:hAnsi="標楷體"/>
                <w:snapToGrid/>
                <w:color w:val="000000"/>
                <w:sz w:val="24"/>
                <w:szCs w:val="24"/>
              </w:rPr>
            </w:pPr>
            <w:r w:rsidRPr="00E765C6">
              <w:rPr>
                <w:rFonts w:hAnsi="標楷體"/>
                <w:snapToGrid/>
                <w:color w:val="000000"/>
                <w:sz w:val="24"/>
                <w:szCs w:val="24"/>
              </w:rPr>
              <w:t xml:space="preserve">年度 </w:t>
            </w:r>
          </w:p>
          <w:p w:rsidR="006305EA" w:rsidRPr="00E765C6" w:rsidRDefault="006305EA" w:rsidP="006305EA">
            <w:pPr>
              <w:widowControl/>
              <w:snapToGrid w:val="0"/>
              <w:spacing w:line="280" w:lineRule="exact"/>
              <w:ind w:leftChars="-42" w:left="-119" w:firstLineChars="100" w:firstLine="243"/>
              <w:jc w:val="left"/>
              <w:rPr>
                <w:rFonts w:hAnsi="標楷體"/>
                <w:snapToGrid/>
                <w:color w:val="000000"/>
                <w:sz w:val="24"/>
                <w:szCs w:val="24"/>
              </w:rPr>
            </w:pPr>
            <w:r w:rsidRPr="00E765C6">
              <w:rPr>
                <w:rFonts w:hAnsi="標楷體"/>
                <w:snapToGrid/>
                <w:color w:val="000000"/>
                <w:sz w:val="24"/>
                <w:szCs w:val="24"/>
              </w:rPr>
              <w:t>指標</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110</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111</w:t>
            </w:r>
          </w:p>
        </w:tc>
        <w:tc>
          <w:tcPr>
            <w:tcW w:w="1134"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112</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pacing w:val="-20"/>
                <w:sz w:val="24"/>
                <w:szCs w:val="24"/>
              </w:rPr>
            </w:pPr>
            <w:r w:rsidRPr="00E765C6">
              <w:rPr>
                <w:rFonts w:hAnsi="標楷體"/>
                <w:snapToGrid/>
                <w:color w:val="000000"/>
                <w:sz w:val="24"/>
                <w:szCs w:val="24"/>
              </w:rPr>
              <w:t>113</w:t>
            </w:r>
          </w:p>
        </w:tc>
        <w:tc>
          <w:tcPr>
            <w:tcW w:w="1275"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114</w:t>
            </w:r>
          </w:p>
        </w:tc>
      </w:tr>
      <w:tr w:rsidR="006305EA" w:rsidRPr="00E765C6" w:rsidTr="006305EA">
        <w:tc>
          <w:tcPr>
            <w:tcW w:w="2820" w:type="dxa"/>
            <w:tcBorders>
              <w:top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專利申請（件）</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140</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176</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155</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130</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專利獲得（件）</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106</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104</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115</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85</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專利應用（件）</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142</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164</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135</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技術移轉（件）</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180</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180</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201</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190</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160</w:t>
            </w:r>
          </w:p>
        </w:tc>
      </w:tr>
      <w:tr w:rsidR="006305EA" w:rsidRPr="00E765C6" w:rsidTr="00C9205C">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研發成果收入數</w:t>
            </w:r>
            <w:r w:rsidRPr="00E765C6">
              <w:rPr>
                <w:rFonts w:hAnsi="標楷體"/>
                <w:snapToGrid/>
                <w:color w:val="000000"/>
                <w:spacing w:val="-20"/>
                <w:sz w:val="24"/>
                <w:szCs w:val="24"/>
              </w:rPr>
              <w:t>（千元）</w:t>
            </w:r>
          </w:p>
        </w:tc>
        <w:tc>
          <w:tcPr>
            <w:tcW w:w="1276" w:type="dxa"/>
            <w:shd w:val="clear" w:color="auto" w:fill="auto"/>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124‚785</w:t>
            </w:r>
          </w:p>
        </w:tc>
        <w:tc>
          <w:tcPr>
            <w:tcW w:w="1276" w:type="dxa"/>
            <w:shd w:val="clear" w:color="auto" w:fill="auto"/>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126‚558</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155‚590</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171,247</w:t>
            </w:r>
          </w:p>
        </w:tc>
        <w:tc>
          <w:tcPr>
            <w:tcW w:w="1275" w:type="dxa"/>
            <w:shd w:val="clear" w:color="auto" w:fill="EFF6E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130,000</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促進投資（億元）</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39</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45</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55</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36</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創造產值（億元）</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85</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78</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118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88</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72</w:t>
            </w:r>
          </w:p>
        </w:tc>
      </w:tr>
      <w:tr w:rsidR="006305EA" w:rsidRPr="00E765C6" w:rsidTr="006305EA">
        <w:tc>
          <w:tcPr>
            <w:tcW w:w="2820" w:type="dxa"/>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增加就業（人次）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804</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720</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783</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740</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710</w:t>
            </w:r>
          </w:p>
        </w:tc>
      </w:tr>
    </w:tbl>
    <w:p w:rsidR="006305EA" w:rsidRPr="00E765C6" w:rsidRDefault="006305EA" w:rsidP="00552E0F">
      <w:pPr>
        <w:spacing w:line="280" w:lineRule="exact"/>
        <w:ind w:leftChars="-50" w:left="-142" w:firstLineChars="58" w:firstLine="141"/>
        <w:jc w:val="left"/>
        <w:rPr>
          <w:rFonts w:hAnsi="標楷體"/>
          <w:color w:val="000000"/>
          <w:sz w:val="24"/>
          <w:szCs w:val="24"/>
        </w:rPr>
      </w:pPr>
      <w:r w:rsidRPr="00E765C6">
        <w:rPr>
          <w:rFonts w:hAnsi="標楷體"/>
          <w:color w:val="000000"/>
          <w:sz w:val="24"/>
          <w:szCs w:val="24"/>
        </w:rPr>
        <w:t>說    明：1</w:t>
      </w:r>
      <w:r w:rsidR="00552E0F" w:rsidRPr="00E765C6">
        <w:rPr>
          <w:rFonts w:hAnsi="標楷體"/>
          <w:color w:val="000000"/>
          <w:sz w:val="24"/>
          <w:szCs w:val="24"/>
        </w:rPr>
        <w:t>10</w:t>
      </w:r>
      <w:r w:rsidRPr="00E765C6">
        <w:rPr>
          <w:rFonts w:hAnsi="標楷體"/>
          <w:color w:val="000000"/>
          <w:sz w:val="24"/>
          <w:szCs w:val="24"/>
        </w:rPr>
        <w:t>至112年度為決算數，113年度為自結數，114年度為預算案數。</w:t>
      </w:r>
    </w:p>
    <w:p w:rsidR="006305EA" w:rsidRPr="00E765C6" w:rsidRDefault="006305EA" w:rsidP="006305EA">
      <w:pPr>
        <w:spacing w:line="280" w:lineRule="exact"/>
        <w:ind w:leftChars="-50" w:left="-142" w:firstLineChars="58" w:firstLine="141"/>
        <w:jc w:val="left"/>
        <w:rPr>
          <w:rFonts w:hAnsi="標楷體"/>
          <w:bCs/>
          <w:color w:val="000000"/>
          <w:sz w:val="24"/>
          <w:szCs w:val="24"/>
        </w:rPr>
      </w:pPr>
      <w:r w:rsidRPr="00E765C6">
        <w:rPr>
          <w:rFonts w:hAnsi="標楷體"/>
          <w:bCs/>
          <w:color w:val="000000"/>
          <w:sz w:val="24"/>
          <w:szCs w:val="24"/>
        </w:rPr>
        <w:t>資料來源：金屬中心提供，本報告整理。</w:t>
      </w:r>
    </w:p>
    <w:p w:rsidR="006305EA" w:rsidRPr="00E765C6" w:rsidRDefault="006305EA" w:rsidP="005945B4">
      <w:pPr>
        <w:ind w:leftChars="0" w:left="0" w:rightChars="-118" w:right="-334" w:firstLineChars="0" w:firstLine="0"/>
        <w:rPr>
          <w:rFonts w:hAnsi="標楷體"/>
          <w:b/>
          <w:color w:val="000000"/>
          <w:spacing w:val="-20"/>
        </w:rPr>
      </w:pPr>
      <w:r w:rsidRPr="00E765C6">
        <w:rPr>
          <w:rFonts w:hAnsi="標楷體"/>
          <w:b/>
          <w:color w:val="000000"/>
          <w:spacing w:val="-20"/>
        </w:rPr>
        <w:t>表2  110至113年度金屬中心工業服務計畫績效指標執行情形表</w:t>
      </w:r>
    </w:p>
    <w:tbl>
      <w:tblPr>
        <w:tblW w:w="90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820"/>
        <w:gridCol w:w="1276"/>
        <w:gridCol w:w="1276"/>
        <w:gridCol w:w="1134"/>
        <w:gridCol w:w="1276"/>
        <w:gridCol w:w="1275"/>
      </w:tblGrid>
      <w:tr w:rsidR="006305EA" w:rsidRPr="00E765C6" w:rsidTr="006305EA">
        <w:trPr>
          <w:tblHeader/>
        </w:trPr>
        <w:tc>
          <w:tcPr>
            <w:tcW w:w="2820" w:type="dxa"/>
            <w:tcBorders>
              <w:top w:val="single" w:sz="12" w:space="0" w:color="auto"/>
              <w:bottom w:val="single" w:sz="6" w:space="0" w:color="auto"/>
              <w:tl2br w:val="single" w:sz="6" w:space="0" w:color="auto"/>
            </w:tcBorders>
            <w:shd w:val="clear" w:color="auto" w:fill="auto"/>
            <w:vAlign w:val="center"/>
          </w:tcPr>
          <w:p w:rsidR="006305EA" w:rsidRPr="00E765C6" w:rsidRDefault="006305EA" w:rsidP="006305EA">
            <w:pPr>
              <w:widowControl/>
              <w:snapToGrid w:val="0"/>
              <w:spacing w:line="280" w:lineRule="exact"/>
              <w:ind w:leftChars="-42" w:left="-119" w:firstLineChars="0" w:firstLine="0"/>
              <w:jc w:val="right"/>
              <w:rPr>
                <w:rFonts w:hAnsi="標楷體"/>
                <w:snapToGrid/>
                <w:color w:val="000000"/>
                <w:sz w:val="24"/>
                <w:szCs w:val="24"/>
              </w:rPr>
            </w:pPr>
            <w:r w:rsidRPr="00E765C6">
              <w:rPr>
                <w:rFonts w:hAnsi="標楷體"/>
                <w:snapToGrid/>
                <w:color w:val="000000"/>
                <w:sz w:val="24"/>
                <w:szCs w:val="24"/>
              </w:rPr>
              <w:t xml:space="preserve">年度 </w:t>
            </w:r>
          </w:p>
          <w:p w:rsidR="006305EA" w:rsidRPr="00E765C6" w:rsidRDefault="006305EA" w:rsidP="006305EA">
            <w:pPr>
              <w:widowControl/>
              <w:snapToGrid w:val="0"/>
              <w:spacing w:line="280" w:lineRule="exact"/>
              <w:ind w:leftChars="-42" w:left="-119" w:firstLineChars="100" w:firstLine="243"/>
              <w:jc w:val="left"/>
              <w:rPr>
                <w:rFonts w:hAnsi="標楷體"/>
                <w:snapToGrid/>
                <w:color w:val="000000"/>
                <w:sz w:val="24"/>
                <w:szCs w:val="24"/>
              </w:rPr>
            </w:pPr>
            <w:r w:rsidRPr="00E765C6">
              <w:rPr>
                <w:rFonts w:hAnsi="標楷體"/>
                <w:snapToGrid/>
                <w:color w:val="000000"/>
                <w:sz w:val="24"/>
                <w:szCs w:val="24"/>
              </w:rPr>
              <w:t>指標</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110</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111</w:t>
            </w:r>
          </w:p>
        </w:tc>
        <w:tc>
          <w:tcPr>
            <w:tcW w:w="1134"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112</w:t>
            </w:r>
          </w:p>
        </w:tc>
        <w:tc>
          <w:tcPr>
            <w:tcW w:w="1276"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pacing w:val="-20"/>
                <w:sz w:val="24"/>
                <w:szCs w:val="24"/>
              </w:rPr>
            </w:pPr>
            <w:r w:rsidRPr="00E765C6">
              <w:rPr>
                <w:rFonts w:hAnsi="標楷體"/>
                <w:snapToGrid/>
                <w:color w:val="000000"/>
                <w:sz w:val="24"/>
                <w:szCs w:val="24"/>
              </w:rPr>
              <w:t>113</w:t>
            </w:r>
          </w:p>
        </w:tc>
        <w:tc>
          <w:tcPr>
            <w:tcW w:w="1275" w:type="dxa"/>
            <w:vAlign w:val="center"/>
          </w:tcPr>
          <w:p w:rsidR="006305EA" w:rsidRPr="00E765C6" w:rsidRDefault="006305EA" w:rsidP="006305EA">
            <w:pPr>
              <w:widowControl/>
              <w:snapToGrid w:val="0"/>
              <w:spacing w:line="280" w:lineRule="exact"/>
              <w:ind w:leftChars="0" w:left="0" w:firstLineChars="0" w:firstLine="0"/>
              <w:jc w:val="center"/>
              <w:rPr>
                <w:rFonts w:hAnsi="標楷體"/>
                <w:snapToGrid/>
                <w:color w:val="000000"/>
                <w:sz w:val="24"/>
                <w:szCs w:val="24"/>
              </w:rPr>
            </w:pPr>
            <w:r w:rsidRPr="00E765C6">
              <w:rPr>
                <w:rFonts w:hAnsi="標楷體"/>
                <w:snapToGrid/>
                <w:color w:val="000000"/>
                <w:sz w:val="24"/>
                <w:szCs w:val="24"/>
              </w:rPr>
              <w:t>114</w:t>
            </w:r>
          </w:p>
        </w:tc>
      </w:tr>
      <w:tr w:rsidR="006305EA" w:rsidRPr="00E765C6" w:rsidTr="006305EA">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服務廠家（家次）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582</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411</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977</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988</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420</w:t>
            </w:r>
          </w:p>
        </w:tc>
      </w:tr>
      <w:tr w:rsidR="006305EA" w:rsidRPr="00E765C6" w:rsidTr="006305EA">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培訓講習（班次）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616</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699</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759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872</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620</w:t>
            </w:r>
          </w:p>
        </w:tc>
      </w:tr>
      <w:tr w:rsidR="006305EA" w:rsidRPr="00E765C6" w:rsidTr="00C9205C">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受訓人數（人次）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13‚056</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16‚090</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18‚048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20,855</w:t>
            </w:r>
          </w:p>
        </w:tc>
        <w:tc>
          <w:tcPr>
            <w:tcW w:w="1275" w:type="dxa"/>
            <w:shd w:val="clear" w:color="auto" w:fill="EFF6E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13,200</w:t>
            </w:r>
          </w:p>
        </w:tc>
      </w:tr>
      <w:tr w:rsidR="006305EA" w:rsidRPr="00E765C6" w:rsidTr="006305EA">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促進投資（億元）</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280</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381</w:t>
            </w:r>
          </w:p>
        </w:tc>
        <w:tc>
          <w:tcPr>
            <w:tcW w:w="1134"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302</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333</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250</w:t>
            </w:r>
          </w:p>
        </w:tc>
      </w:tr>
      <w:tr w:rsidR="006305EA" w:rsidRPr="00E765C6" w:rsidTr="006305EA">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創造產值（億元）</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453</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413</w:t>
            </w:r>
          </w:p>
        </w:tc>
        <w:tc>
          <w:tcPr>
            <w:tcW w:w="1134" w:type="dxa"/>
            <w:tcBorders>
              <w:bottom w:val="single" w:sz="6" w:space="0" w:color="auto"/>
            </w:tcBorders>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519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500</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400</w:t>
            </w:r>
          </w:p>
        </w:tc>
      </w:tr>
      <w:tr w:rsidR="006305EA" w:rsidRPr="00E765C6" w:rsidTr="00C35DD2">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z w:val="24"/>
                <w:szCs w:val="24"/>
              </w:rPr>
            </w:pPr>
            <w:r w:rsidRPr="00E765C6">
              <w:rPr>
                <w:rFonts w:hAnsi="標楷體"/>
                <w:snapToGrid/>
                <w:color w:val="000000"/>
                <w:sz w:val="24"/>
                <w:szCs w:val="24"/>
              </w:rPr>
              <w:t>增加就業（人次）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2‚518</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2‚189</w:t>
            </w:r>
          </w:p>
        </w:tc>
        <w:tc>
          <w:tcPr>
            <w:tcW w:w="1134" w:type="dxa"/>
            <w:tcBorders>
              <w:top w:val="single" w:sz="6" w:space="0" w:color="auto"/>
              <w:bottom w:val="single" w:sz="6" w:space="0" w:color="auto"/>
            </w:tcBorders>
            <w:shd w:val="clear" w:color="auto" w:fill="F2F2F2"/>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1‚887</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1,886</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1,400</w:t>
            </w:r>
          </w:p>
        </w:tc>
      </w:tr>
      <w:tr w:rsidR="006305EA" w:rsidRPr="00E765C6" w:rsidTr="00C35DD2">
        <w:tc>
          <w:tcPr>
            <w:tcW w:w="2820" w:type="dxa"/>
            <w:tcBorders>
              <w:top w:val="single" w:sz="6" w:space="0" w:color="auto"/>
              <w:bottom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pacing w:val="-14"/>
                <w:sz w:val="24"/>
                <w:szCs w:val="24"/>
              </w:rPr>
            </w:pPr>
            <w:r w:rsidRPr="00E765C6">
              <w:rPr>
                <w:rFonts w:hAnsi="標楷體"/>
                <w:snapToGrid/>
                <w:color w:val="000000"/>
                <w:spacing w:val="-14"/>
                <w:sz w:val="24"/>
                <w:szCs w:val="24"/>
              </w:rPr>
              <w:t>完成檢測等服務（廠家次）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11‚013</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12‚096</w:t>
            </w:r>
          </w:p>
        </w:tc>
        <w:tc>
          <w:tcPr>
            <w:tcW w:w="1134" w:type="dxa"/>
            <w:tcBorders>
              <w:top w:val="single" w:sz="6" w:space="0" w:color="auto"/>
              <w:bottom w:val="single" w:sz="6" w:space="0" w:color="auto"/>
            </w:tcBorders>
            <w:shd w:val="clear" w:color="auto" w:fill="F2F2F2"/>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8‚117</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14,039</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6,000</w:t>
            </w:r>
          </w:p>
        </w:tc>
      </w:tr>
      <w:tr w:rsidR="006305EA" w:rsidRPr="00E765C6" w:rsidTr="00C35DD2">
        <w:tc>
          <w:tcPr>
            <w:tcW w:w="2820" w:type="dxa"/>
            <w:tcBorders>
              <w:top w:val="single" w:sz="6" w:space="0" w:color="auto"/>
            </w:tcBorders>
            <w:shd w:val="clear" w:color="auto" w:fill="auto"/>
            <w:vAlign w:val="center"/>
          </w:tcPr>
          <w:p w:rsidR="006305EA" w:rsidRPr="00E765C6" w:rsidRDefault="006305EA" w:rsidP="006305EA">
            <w:pPr>
              <w:widowControl/>
              <w:snapToGrid w:val="0"/>
              <w:spacing w:line="280" w:lineRule="exact"/>
              <w:ind w:leftChars="0" w:left="0" w:firstLineChars="0" w:firstLine="0"/>
              <w:jc w:val="left"/>
              <w:rPr>
                <w:rFonts w:hAnsi="標楷體"/>
                <w:snapToGrid/>
                <w:color w:val="000000"/>
                <w:spacing w:val="-10"/>
                <w:sz w:val="24"/>
                <w:szCs w:val="24"/>
              </w:rPr>
            </w:pPr>
            <w:r w:rsidRPr="00E765C6">
              <w:rPr>
                <w:rFonts w:hAnsi="標楷體"/>
                <w:snapToGrid/>
                <w:color w:val="000000"/>
                <w:spacing w:val="-10"/>
                <w:sz w:val="24"/>
                <w:szCs w:val="24"/>
              </w:rPr>
              <w:t>完成檢測等服務（案次）</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36‚489</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37‚602</w:t>
            </w:r>
          </w:p>
        </w:tc>
        <w:tc>
          <w:tcPr>
            <w:tcW w:w="1134" w:type="dxa"/>
            <w:tcBorders>
              <w:top w:val="single" w:sz="6" w:space="0" w:color="auto"/>
              <w:bottom w:val="single" w:sz="12" w:space="0" w:color="auto"/>
            </w:tcBorders>
            <w:shd w:val="clear" w:color="auto" w:fill="F2F2F2"/>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20‚140</w:t>
            </w:r>
          </w:p>
        </w:tc>
        <w:tc>
          <w:tcPr>
            <w:tcW w:w="1276" w:type="dxa"/>
            <w:vAlign w:val="center"/>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39,475</w:t>
            </w:r>
          </w:p>
        </w:tc>
        <w:tc>
          <w:tcPr>
            <w:tcW w:w="1275" w:type="dxa"/>
          </w:tcPr>
          <w:p w:rsidR="006305EA" w:rsidRPr="00E765C6" w:rsidRDefault="006305EA" w:rsidP="006305EA">
            <w:pPr>
              <w:widowControl/>
              <w:snapToGrid w:val="0"/>
              <w:spacing w:line="280" w:lineRule="exact"/>
              <w:ind w:leftChars="0" w:left="0" w:firstLineChars="0" w:firstLine="0"/>
              <w:jc w:val="right"/>
              <w:rPr>
                <w:rFonts w:hAnsi="標楷體"/>
                <w:snapToGrid/>
                <w:color w:val="000000"/>
                <w:sz w:val="24"/>
                <w:szCs w:val="24"/>
              </w:rPr>
            </w:pPr>
            <w:r w:rsidRPr="00E765C6">
              <w:rPr>
                <w:rFonts w:hAnsi="標楷體"/>
                <w:snapToGrid/>
                <w:color w:val="000000"/>
                <w:sz w:val="24"/>
                <w:szCs w:val="24"/>
              </w:rPr>
              <w:t>15,000</w:t>
            </w:r>
          </w:p>
        </w:tc>
      </w:tr>
    </w:tbl>
    <w:p w:rsidR="006305EA" w:rsidRPr="00E765C6" w:rsidRDefault="006305EA" w:rsidP="00552E0F">
      <w:pPr>
        <w:spacing w:line="280" w:lineRule="exact"/>
        <w:ind w:leftChars="-50" w:left="-142" w:firstLineChars="58" w:firstLine="141"/>
        <w:jc w:val="left"/>
        <w:rPr>
          <w:rFonts w:hAnsi="標楷體"/>
          <w:color w:val="000000"/>
          <w:sz w:val="24"/>
          <w:szCs w:val="24"/>
        </w:rPr>
      </w:pPr>
      <w:r w:rsidRPr="00E765C6">
        <w:rPr>
          <w:rFonts w:hAnsi="標楷體"/>
          <w:color w:val="000000"/>
          <w:sz w:val="24"/>
          <w:szCs w:val="24"/>
        </w:rPr>
        <w:t>說    明：1</w:t>
      </w:r>
      <w:r w:rsidR="00F453A6" w:rsidRPr="00E765C6">
        <w:rPr>
          <w:rFonts w:hAnsi="標楷體"/>
          <w:color w:val="000000"/>
          <w:sz w:val="24"/>
          <w:szCs w:val="24"/>
        </w:rPr>
        <w:t>10</w:t>
      </w:r>
      <w:r w:rsidRPr="00E765C6">
        <w:rPr>
          <w:rFonts w:hAnsi="標楷體"/>
          <w:color w:val="000000"/>
          <w:sz w:val="24"/>
          <w:szCs w:val="24"/>
        </w:rPr>
        <w:t>至112年度為決算數，113年度為自結數，114年度為預算案數。</w:t>
      </w:r>
    </w:p>
    <w:p w:rsidR="006305EA" w:rsidRPr="00E765C6" w:rsidRDefault="006305EA" w:rsidP="005945B4">
      <w:pPr>
        <w:spacing w:line="280" w:lineRule="exact"/>
        <w:ind w:leftChars="-50" w:left="-142" w:firstLineChars="58" w:firstLine="141"/>
        <w:jc w:val="left"/>
        <w:rPr>
          <w:rFonts w:hAnsi="標楷體"/>
          <w:bCs/>
          <w:color w:val="000000"/>
          <w:sz w:val="24"/>
          <w:szCs w:val="24"/>
        </w:rPr>
      </w:pPr>
      <w:r w:rsidRPr="00E765C6">
        <w:rPr>
          <w:rFonts w:hAnsi="標楷體"/>
          <w:bCs/>
          <w:color w:val="000000"/>
          <w:sz w:val="24"/>
          <w:szCs w:val="24"/>
        </w:rPr>
        <w:t>資料</w:t>
      </w:r>
      <w:r w:rsidRPr="00E765C6">
        <w:rPr>
          <w:rFonts w:hAnsi="標楷體"/>
          <w:color w:val="000000"/>
          <w:sz w:val="24"/>
          <w:szCs w:val="24"/>
        </w:rPr>
        <w:t>來源</w:t>
      </w:r>
      <w:r w:rsidRPr="00E765C6">
        <w:rPr>
          <w:rFonts w:hAnsi="標楷體"/>
          <w:bCs/>
          <w:color w:val="000000"/>
          <w:sz w:val="24"/>
          <w:szCs w:val="24"/>
        </w:rPr>
        <w:t>：金屬中心提供，本報告整理。</w:t>
      </w:r>
    </w:p>
    <w:p w:rsidR="005945B4" w:rsidRPr="00E765C6" w:rsidRDefault="005945B4" w:rsidP="005945B4">
      <w:pPr>
        <w:ind w:left="566" w:firstLine="566"/>
        <w:rPr>
          <w:rFonts w:hAnsi="標楷體"/>
          <w:color w:val="000000"/>
        </w:rPr>
      </w:pPr>
      <w:r w:rsidRPr="00E765C6">
        <w:rPr>
          <w:rFonts w:hAnsi="標楷體"/>
          <w:color w:val="000000"/>
        </w:rPr>
        <w:t>綜上，金屬中心</w:t>
      </w:r>
      <w:r w:rsidRPr="00E765C6">
        <w:rPr>
          <w:rFonts w:hAnsi="標楷體"/>
          <w:bCs/>
          <w:color w:val="000000"/>
        </w:rPr>
        <w:t>各年指標之實際執行情形，概呈穩健成長趨勢，且</w:t>
      </w:r>
      <w:r w:rsidRPr="00E765C6">
        <w:rPr>
          <w:rFonts w:hAnsi="標楷體"/>
          <w:color w:val="000000"/>
        </w:rPr>
        <w:t>與金屬中心收入預算數皆呈成長趨勢具一致性，</w:t>
      </w:r>
      <w:r w:rsidRPr="00E765C6">
        <w:rPr>
          <w:rFonts w:hAnsi="標楷體"/>
          <w:bCs/>
          <w:color w:val="000000"/>
        </w:rPr>
        <w:t>然其114年度</w:t>
      </w:r>
      <w:r w:rsidR="00F73769" w:rsidRPr="00E765C6">
        <w:rPr>
          <w:rFonts w:hAnsi="標楷體" w:hint="eastAsia"/>
          <w:bCs/>
          <w:color w:val="000000"/>
        </w:rPr>
        <w:t>設定</w:t>
      </w:r>
      <w:r w:rsidRPr="00E765C6">
        <w:rPr>
          <w:rFonts w:hAnsi="標楷體"/>
          <w:color w:val="000000"/>
        </w:rPr>
        <w:t>績效指標</w:t>
      </w:r>
      <w:r w:rsidRPr="00E765C6">
        <w:rPr>
          <w:rFonts w:hAnsi="標楷體"/>
          <w:bCs/>
          <w:color w:val="000000"/>
        </w:rPr>
        <w:t>之目標設定概小於110至113年度，</w:t>
      </w:r>
      <w:r w:rsidRPr="00E765C6">
        <w:rPr>
          <w:rFonts w:hAnsi="標楷體"/>
          <w:color w:val="000000"/>
        </w:rPr>
        <w:t>未配合收入成長性及以前年度實際執行情形而調整設定績效指標目標值，恐使績效評核效果流於形式，允宜衡酌過往執行績效達成情形，並參考產業成長性</w:t>
      </w:r>
      <w:r w:rsidR="00F73769" w:rsidRPr="00E765C6">
        <w:rPr>
          <w:rFonts w:hAnsi="標楷體" w:hint="eastAsia"/>
          <w:color w:val="000000"/>
        </w:rPr>
        <w:t>妥訂具積極性之績效目標，</w:t>
      </w:r>
      <w:r w:rsidRPr="00E765C6">
        <w:rPr>
          <w:rFonts w:hAnsi="標楷體"/>
          <w:color w:val="000000"/>
        </w:rPr>
        <w:t>俾利</w:t>
      </w:r>
      <w:r w:rsidRPr="00E765C6">
        <w:rPr>
          <w:rFonts w:hAnsi="標楷體"/>
          <w:bCs/>
          <w:color w:val="000000"/>
        </w:rPr>
        <w:t>績效與目標成果更能適切反映整體價值貢獻</w:t>
      </w:r>
      <w:r w:rsidRPr="00E765C6">
        <w:rPr>
          <w:rFonts w:hAnsi="標楷體"/>
          <w:color w:val="000000"/>
        </w:rPr>
        <w:t>。</w:t>
      </w:r>
    </w:p>
    <w:p w:rsidR="004345F8" w:rsidRPr="00E765C6" w:rsidRDefault="004345F8" w:rsidP="002D76A7">
      <w:pPr>
        <w:ind w:left="566" w:firstLine="566"/>
        <w:rPr>
          <w:rFonts w:hAnsi="標楷體"/>
          <w:color w:val="000000"/>
        </w:rPr>
      </w:pPr>
    </w:p>
    <w:p w:rsidR="00383D18" w:rsidRPr="00E765C6" w:rsidRDefault="00850A78" w:rsidP="00383D18">
      <w:pPr>
        <w:pStyle w:val="14"/>
        <w:ind w:left="567" w:hanging="567"/>
        <w:rPr>
          <w:rFonts w:hAnsi="標楷體"/>
          <w:color w:val="000000"/>
        </w:rPr>
      </w:pPr>
      <w:bookmarkStart w:id="10" w:name="_Toc195717729"/>
      <w:r w:rsidRPr="00E765C6">
        <w:rPr>
          <w:rFonts w:hAnsi="標楷體" w:hint="eastAsia"/>
          <w:color w:val="000000"/>
        </w:rPr>
        <w:t>五</w:t>
      </w:r>
      <w:r w:rsidR="00383D18" w:rsidRPr="00E765C6">
        <w:rPr>
          <w:rFonts w:hAnsi="標楷體" w:hint="eastAsia"/>
          <w:color w:val="000000"/>
        </w:rPr>
        <w:t>、</w:t>
      </w:r>
      <w:bookmarkStart w:id="11" w:name="_Toc97892249"/>
      <w:r w:rsidR="00CC1D2E" w:rsidRPr="00E765C6">
        <w:rPr>
          <w:rFonts w:hAnsi="標楷體" w:hint="eastAsia"/>
          <w:color w:val="000000"/>
        </w:rPr>
        <w:t>鑑於</w:t>
      </w:r>
      <w:r w:rsidR="00CC1D2E" w:rsidRPr="00E765C6">
        <w:rPr>
          <w:rFonts w:hAnsi="標楷體"/>
          <w:color w:val="000000"/>
        </w:rPr>
        <w:t>轉投資事業連年虧損，允宜加強營運輔導，</w:t>
      </w:r>
      <w:r w:rsidR="00CC1D2E" w:rsidRPr="00E765C6">
        <w:rPr>
          <w:rFonts w:hAnsi="標楷體" w:hint="eastAsia"/>
          <w:color w:val="000000"/>
        </w:rPr>
        <w:t>督促其積極拓展業</w:t>
      </w:r>
      <w:bookmarkEnd w:id="11"/>
      <w:r w:rsidR="00CC1D2E" w:rsidRPr="00E765C6">
        <w:rPr>
          <w:rFonts w:hAnsi="標楷體" w:hint="eastAsia"/>
          <w:color w:val="000000"/>
        </w:rPr>
        <w:t>務</w:t>
      </w:r>
      <w:r w:rsidR="00CC1D2E" w:rsidRPr="00E765C6">
        <w:rPr>
          <w:rFonts w:hAnsi="標楷體"/>
          <w:color w:val="000000"/>
        </w:rPr>
        <w:t>強化市場</w:t>
      </w:r>
      <w:r w:rsidR="00F73769" w:rsidRPr="00E765C6">
        <w:rPr>
          <w:rFonts w:hAnsi="標楷體" w:hint="eastAsia"/>
          <w:color w:val="000000"/>
        </w:rPr>
        <w:t>布</w:t>
      </w:r>
      <w:r w:rsidR="00CC1D2E" w:rsidRPr="00E765C6">
        <w:rPr>
          <w:rFonts w:hAnsi="標楷體"/>
          <w:color w:val="000000"/>
        </w:rPr>
        <w:t>局，以提升經營效益</w:t>
      </w:r>
      <w:bookmarkEnd w:id="10"/>
    </w:p>
    <w:p w:rsidR="00383D18" w:rsidRPr="00E765C6" w:rsidRDefault="00CC1D2E" w:rsidP="00383D18">
      <w:pPr>
        <w:ind w:left="566" w:firstLine="566"/>
        <w:rPr>
          <w:rFonts w:hAnsi="標楷體"/>
          <w:color w:val="000000"/>
        </w:rPr>
      </w:pPr>
      <w:r w:rsidRPr="00E765C6">
        <w:rPr>
          <w:rFonts w:hAnsi="標楷體"/>
          <w:color w:val="000000"/>
        </w:rPr>
        <w:t>金屬中心114年度預算案「轉投資明細表」列有轉投資事業4家，累計投資淨額5,822萬1千元，採權益法之投資預估投資損失151</w:t>
      </w:r>
      <w:r w:rsidR="006225D3" w:rsidRPr="00E765C6">
        <w:rPr>
          <w:rFonts w:hAnsi="標楷體"/>
          <w:color w:val="000000"/>
        </w:rPr>
        <w:t>萬</w:t>
      </w:r>
      <w:r w:rsidRPr="00E765C6">
        <w:rPr>
          <w:rFonts w:hAnsi="標楷體"/>
          <w:color w:val="000000"/>
        </w:rPr>
        <w:t>4千元，透過其他綜合餘絀按公允價值衡量之</w:t>
      </w:r>
      <w:r w:rsidR="006225D3" w:rsidRPr="00E765C6">
        <w:rPr>
          <w:rFonts w:hAnsi="標楷體" w:hint="eastAsia"/>
          <w:color w:val="000000"/>
        </w:rPr>
        <w:t>「</w:t>
      </w:r>
      <w:r w:rsidRPr="00E765C6">
        <w:rPr>
          <w:rFonts w:hAnsi="標楷體"/>
          <w:color w:val="000000"/>
        </w:rPr>
        <w:t>金融資產-非流動部分</w:t>
      </w:r>
      <w:r w:rsidR="006225D3" w:rsidRPr="00E765C6">
        <w:rPr>
          <w:rFonts w:hAnsi="標楷體" w:hint="eastAsia"/>
          <w:color w:val="000000"/>
        </w:rPr>
        <w:t>」</w:t>
      </w:r>
      <w:r w:rsidRPr="00E765C6">
        <w:rPr>
          <w:rFonts w:hAnsi="標楷體"/>
          <w:color w:val="000000"/>
        </w:rPr>
        <w:t>預估有未實現評價損失110萬元。經查：</w:t>
      </w:r>
    </w:p>
    <w:p w:rsidR="00383D18" w:rsidRPr="00E765C6" w:rsidRDefault="00383D18" w:rsidP="00383D18">
      <w:pPr>
        <w:pStyle w:val="a4"/>
        <w:ind w:left="849" w:hanging="283"/>
        <w:rPr>
          <w:rFonts w:hAnsi="標楷體" w:cs="細明體"/>
          <w:b/>
          <w:color w:val="000000"/>
        </w:rPr>
      </w:pPr>
      <w:r w:rsidRPr="00E765C6">
        <w:rPr>
          <w:rFonts w:hAnsi="標楷體" w:cs="細明體" w:hint="eastAsia"/>
          <w:b/>
          <w:color w:val="000000"/>
        </w:rPr>
        <w:t>(一)</w:t>
      </w:r>
      <w:r w:rsidR="00CC1D2E" w:rsidRPr="00E765C6">
        <w:rPr>
          <w:rFonts w:hAnsi="標楷體"/>
          <w:b/>
          <w:color w:val="000000"/>
        </w:rPr>
        <w:t>金屬中心提供相關技術移轉以輔導產業發展</w:t>
      </w:r>
      <w:r w:rsidR="006225D3" w:rsidRPr="00E765C6">
        <w:rPr>
          <w:rFonts w:hAnsi="標楷體" w:hint="eastAsia"/>
          <w:b/>
          <w:color w:val="000000"/>
        </w:rPr>
        <w:t>，</w:t>
      </w:r>
      <w:r w:rsidR="00CC1D2E" w:rsidRPr="00E765C6">
        <w:rPr>
          <w:rFonts w:hAnsi="標楷體"/>
          <w:b/>
          <w:color w:val="000000"/>
        </w:rPr>
        <w:t>計有轉投資事業4家公司</w:t>
      </w:r>
    </w:p>
    <w:p w:rsidR="00CC1D2E" w:rsidRPr="00E765C6" w:rsidRDefault="005B6203" w:rsidP="00F5392A">
      <w:pPr>
        <w:pStyle w:val="123"/>
        <w:ind w:left="1133" w:hanging="283"/>
        <w:rPr>
          <w:rFonts w:hAnsi="標楷體"/>
          <w:color w:val="000000"/>
        </w:rPr>
      </w:pPr>
      <w:r w:rsidRPr="00E765C6">
        <w:rPr>
          <w:rFonts w:hAnsi="標楷體" w:hint="eastAsia"/>
          <w:snapToGrid/>
          <w:color w:val="000000"/>
        </w:rPr>
        <w:t>1.</w:t>
      </w:r>
      <w:r w:rsidR="00CC1D2E" w:rsidRPr="00E765C6">
        <w:rPr>
          <w:rFonts w:hAnsi="標楷體"/>
          <w:b/>
          <w:color w:val="000000"/>
        </w:rPr>
        <w:t>大強鋼鐵鑄造股份有限公司</w:t>
      </w:r>
      <w:r w:rsidR="006225D3" w:rsidRPr="00E765C6">
        <w:rPr>
          <w:rFonts w:hAnsi="標楷體" w:hint="eastAsia"/>
          <w:color w:val="000000"/>
        </w:rPr>
        <w:t>：</w:t>
      </w:r>
      <w:r w:rsidR="00CC1D2E" w:rsidRPr="00E765C6">
        <w:rPr>
          <w:rFonts w:hAnsi="標楷體"/>
          <w:color w:val="000000"/>
        </w:rPr>
        <w:t>主要業務範圍為高品質鑄件製造，包括耐磨、耐熱及耐蝕等各種合金鑄鐵、合金鑄鋼及超合金鑄件等，金屬中心為研究生產合金鋼鐵金屬品以提升國內金屬工業水準，提供該公司技術移轉及設備，原始投資成本為1,050萬元，113年底持股比率為14.58%。</w:t>
      </w:r>
    </w:p>
    <w:p w:rsidR="00CC1D2E" w:rsidRPr="00E765C6" w:rsidRDefault="005B6203" w:rsidP="00F5392A">
      <w:pPr>
        <w:pStyle w:val="123"/>
        <w:ind w:left="1133" w:hanging="283"/>
        <w:rPr>
          <w:rFonts w:hAnsi="標楷體"/>
          <w:b/>
          <w:color w:val="000000"/>
        </w:rPr>
      </w:pPr>
      <w:r w:rsidRPr="00E765C6">
        <w:rPr>
          <w:rFonts w:hAnsi="標楷體" w:hint="eastAsia"/>
          <w:color w:val="000000"/>
        </w:rPr>
        <w:t>2.</w:t>
      </w:r>
      <w:r w:rsidR="00CC1D2E" w:rsidRPr="00E765C6">
        <w:rPr>
          <w:rFonts w:hAnsi="標楷體"/>
          <w:b/>
          <w:color w:val="000000"/>
        </w:rPr>
        <w:t>台灣植體科技股份有限公司</w:t>
      </w:r>
      <w:r w:rsidR="006225D3" w:rsidRPr="00E765C6">
        <w:rPr>
          <w:rFonts w:hAnsi="標楷體" w:hint="eastAsia"/>
          <w:color w:val="000000"/>
        </w:rPr>
        <w:t>：</w:t>
      </w:r>
      <w:r w:rsidR="00CC1D2E" w:rsidRPr="00E765C6">
        <w:rPr>
          <w:rFonts w:hAnsi="標楷體"/>
          <w:color w:val="000000"/>
        </w:rPr>
        <w:t>係99年由中鋼集團、義聯集團、阮綜合體系及金屬中心等相關業者共同發起成立，並由金屬中心技術移轉7項人工牙根全製程重點技術，金屬中心原始投資成本為1,205萬元，113年底持股比率為7.86%。</w:t>
      </w:r>
    </w:p>
    <w:p w:rsidR="00CC1D2E" w:rsidRPr="00E765C6" w:rsidRDefault="005B6203" w:rsidP="00F5392A">
      <w:pPr>
        <w:pStyle w:val="123"/>
        <w:ind w:left="1133" w:hanging="283"/>
        <w:rPr>
          <w:rFonts w:hAnsi="標楷體"/>
          <w:color w:val="000000"/>
        </w:rPr>
      </w:pPr>
      <w:r w:rsidRPr="00E765C6">
        <w:rPr>
          <w:rFonts w:hAnsi="標楷體" w:hint="eastAsia"/>
          <w:color w:val="000000"/>
        </w:rPr>
        <w:t>3</w:t>
      </w:r>
      <w:r w:rsidRPr="00E765C6">
        <w:rPr>
          <w:rFonts w:hAnsi="標楷體"/>
          <w:color w:val="000000"/>
        </w:rPr>
        <w:t>.</w:t>
      </w:r>
      <w:r w:rsidR="00CC1D2E" w:rsidRPr="00E765C6">
        <w:rPr>
          <w:rFonts w:hAnsi="標楷體"/>
          <w:b/>
          <w:color w:val="000000"/>
        </w:rPr>
        <w:t>里特材料科技股份有限公司</w:t>
      </w:r>
      <w:r w:rsidR="006225D3" w:rsidRPr="00E765C6">
        <w:rPr>
          <w:rFonts w:hAnsi="標楷體" w:hint="eastAsia"/>
          <w:color w:val="000000"/>
        </w:rPr>
        <w:t>：</w:t>
      </w:r>
      <w:r w:rsidR="00CC1D2E" w:rsidRPr="00E765C6">
        <w:rPr>
          <w:rFonts w:hAnsi="標楷體"/>
          <w:color w:val="000000"/>
        </w:rPr>
        <w:t>為第一家國產鎳鈦合金材料廠商，105年度金屬中心藉由技術移轉協助成立，目的係為達成高階合金材料自主化，以補足我國鎳鈦合金上游材料產業之缺口，金屬中心原始投資成本為900萬元，113年底持股比率為5.02%。</w:t>
      </w:r>
    </w:p>
    <w:p w:rsidR="00CC1D2E" w:rsidRPr="00E765C6" w:rsidRDefault="005B6203" w:rsidP="00F5392A">
      <w:pPr>
        <w:pStyle w:val="123"/>
        <w:ind w:left="1133" w:hanging="283"/>
        <w:rPr>
          <w:rFonts w:hAnsi="標楷體" w:hint="eastAsia"/>
          <w:color w:val="000000"/>
        </w:rPr>
      </w:pPr>
      <w:r w:rsidRPr="00E765C6">
        <w:rPr>
          <w:rFonts w:hAnsi="標楷體" w:hint="eastAsia"/>
          <w:color w:val="000000"/>
        </w:rPr>
        <w:t>4</w:t>
      </w:r>
      <w:r w:rsidRPr="00E765C6">
        <w:rPr>
          <w:rFonts w:hAnsi="標楷體"/>
          <w:color w:val="000000"/>
        </w:rPr>
        <w:t>.</w:t>
      </w:r>
      <w:r w:rsidR="00CC1D2E" w:rsidRPr="00E765C6">
        <w:rPr>
          <w:rFonts w:hAnsi="標楷體"/>
          <w:b/>
          <w:color w:val="000000"/>
        </w:rPr>
        <w:t>精球生技股份有限公司</w:t>
      </w:r>
      <w:r w:rsidR="006225D3" w:rsidRPr="00E765C6">
        <w:rPr>
          <w:rFonts w:hAnsi="標楷體" w:hint="eastAsia"/>
          <w:color w:val="000000"/>
        </w:rPr>
        <w:t>：</w:t>
      </w:r>
      <w:r w:rsidR="00CC1D2E" w:rsidRPr="00E765C6">
        <w:rPr>
          <w:rFonts w:hAnsi="標楷體"/>
          <w:color w:val="000000"/>
        </w:rPr>
        <w:t>主要經營範圍為創新微球製劑</w:t>
      </w:r>
      <w:r w:rsidR="009414AC" w:rsidRPr="00E765C6">
        <w:rPr>
          <w:rFonts w:hAnsi="標楷體"/>
          <w:color w:val="000000"/>
        </w:rPr>
        <w:t>之</w:t>
      </w:r>
      <w:r w:rsidR="00CC1D2E" w:rsidRPr="00E765C6">
        <w:rPr>
          <w:rFonts w:hAnsi="標楷體"/>
          <w:color w:val="000000"/>
        </w:rPr>
        <w:t>研發，專精於藥妝物傳遞系統及產品建立，目</w:t>
      </w:r>
      <w:r w:rsidR="009414AC" w:rsidRPr="00E765C6">
        <w:rPr>
          <w:rFonts w:hAnsi="標楷體"/>
          <w:color w:val="000000"/>
        </w:rPr>
        <w:t>之</w:t>
      </w:r>
      <w:r w:rsidR="00CC1D2E" w:rsidRPr="00E765C6">
        <w:rPr>
          <w:rFonts w:hAnsi="標楷體"/>
          <w:color w:val="000000"/>
        </w:rPr>
        <w:t>係因國內微奈米球載體製程技術及量產設備皆仰賴進口，期透過微球量產技術及平台，取代國際進口微球產品，金屬中心原始投資成本為2,300萬元，113年底持股比率為65.71%。</w:t>
      </w:r>
    </w:p>
    <w:p w:rsidR="00383D18" w:rsidRPr="00E765C6" w:rsidRDefault="00383D18" w:rsidP="00383D18">
      <w:pPr>
        <w:pStyle w:val="a4"/>
        <w:ind w:left="849" w:hanging="283"/>
        <w:rPr>
          <w:rFonts w:hAnsi="標楷體"/>
          <w:b/>
          <w:color w:val="000000"/>
        </w:rPr>
      </w:pPr>
      <w:r w:rsidRPr="00E765C6">
        <w:rPr>
          <w:rFonts w:hAnsi="標楷體" w:hint="eastAsia"/>
          <w:b/>
          <w:color w:val="000000"/>
        </w:rPr>
        <w:t>(</w:t>
      </w:r>
      <w:r w:rsidRPr="00E765C6">
        <w:rPr>
          <w:rFonts w:hAnsi="標楷體" w:cs="細明體" w:hint="eastAsia"/>
          <w:b/>
          <w:color w:val="000000"/>
        </w:rPr>
        <w:t>二)</w:t>
      </w:r>
      <w:r w:rsidR="001F6688" w:rsidRPr="00E765C6">
        <w:rPr>
          <w:rFonts w:hAnsi="標楷體" w:cs="細明體" w:hint="eastAsia"/>
          <w:b/>
          <w:color w:val="000000"/>
        </w:rPr>
        <w:t>迄1</w:t>
      </w:r>
      <w:r w:rsidR="001F6688" w:rsidRPr="00E765C6">
        <w:rPr>
          <w:rFonts w:hAnsi="標楷體" w:cs="細明體"/>
          <w:b/>
          <w:color w:val="000000"/>
        </w:rPr>
        <w:t>13</w:t>
      </w:r>
      <w:r w:rsidR="001F6688" w:rsidRPr="00E765C6">
        <w:rPr>
          <w:rFonts w:hAnsi="標楷體" w:cs="細明體" w:hint="eastAsia"/>
          <w:b/>
          <w:color w:val="000000"/>
        </w:rPr>
        <w:t>年底止，有</w:t>
      </w:r>
      <w:r w:rsidR="00CC1D2E" w:rsidRPr="00E765C6">
        <w:rPr>
          <w:rFonts w:hAnsi="標楷體"/>
          <w:b/>
          <w:color w:val="000000"/>
        </w:rPr>
        <w:t>3家轉投資事業尚處於虧損經營</w:t>
      </w:r>
      <w:r w:rsidR="00CC1D2E" w:rsidRPr="00E765C6">
        <w:rPr>
          <w:rFonts w:hAnsi="標楷體" w:hint="eastAsia"/>
          <w:b/>
          <w:color w:val="000000"/>
        </w:rPr>
        <w:t>階段</w:t>
      </w:r>
    </w:p>
    <w:p w:rsidR="00CC1D2E" w:rsidRPr="00E765C6" w:rsidRDefault="00CC1D2E" w:rsidP="00CC1D2E">
      <w:pPr>
        <w:pStyle w:val="2"/>
        <w:ind w:left="850" w:firstLine="566"/>
        <w:rPr>
          <w:rFonts w:hAnsi="標楷體"/>
          <w:color w:val="000000"/>
        </w:rPr>
      </w:pPr>
      <w:r w:rsidRPr="00E765C6">
        <w:rPr>
          <w:rFonts w:hAnsi="標楷體"/>
          <w:color w:val="000000"/>
        </w:rPr>
        <w:t>參據106至113年度金屬中心轉投資事業經營概況表(詳表1)，大強鋼鐵鑄造股份有限公司每年均有投資收益，每股盈餘概呈成長趨勢，為轉投資中唯一獲利的公司，據說明係</w:t>
      </w:r>
      <w:r w:rsidR="001F6688" w:rsidRPr="00E765C6">
        <w:rPr>
          <w:rFonts w:hAnsi="標楷體" w:hint="eastAsia"/>
          <w:color w:val="000000"/>
        </w:rPr>
        <w:t>因</w:t>
      </w:r>
      <w:r w:rsidRPr="00E765C6">
        <w:rPr>
          <w:rFonts w:hAnsi="標楷體"/>
          <w:color w:val="000000"/>
        </w:rPr>
        <w:t>高附加價值之產品銷量增加，毛利率提升</w:t>
      </w:r>
      <w:r w:rsidR="001F6688" w:rsidRPr="00E765C6">
        <w:rPr>
          <w:rFonts w:hAnsi="標楷體" w:hint="eastAsia"/>
          <w:color w:val="000000"/>
        </w:rPr>
        <w:t>，而其餘3家迄113年底止仍屬虧損狀態，分述如下：</w:t>
      </w:r>
    </w:p>
    <w:p w:rsidR="00CC1D2E" w:rsidRPr="00E765C6" w:rsidRDefault="001F6688" w:rsidP="00F5392A">
      <w:pPr>
        <w:pStyle w:val="123"/>
        <w:ind w:left="1133" w:hanging="283"/>
        <w:rPr>
          <w:rFonts w:hAnsi="標楷體"/>
          <w:color w:val="000000"/>
        </w:rPr>
      </w:pPr>
      <w:r w:rsidRPr="00E765C6">
        <w:rPr>
          <w:rFonts w:hAnsi="標楷體" w:hint="eastAsia"/>
          <w:color w:val="000000"/>
        </w:rPr>
        <w:t>1</w:t>
      </w:r>
      <w:r w:rsidRPr="00E765C6">
        <w:rPr>
          <w:rFonts w:hAnsi="標楷體"/>
          <w:color w:val="000000"/>
        </w:rPr>
        <w:t>.</w:t>
      </w:r>
      <w:r w:rsidR="00CC1D2E" w:rsidRPr="00E765C6">
        <w:rPr>
          <w:rFonts w:hAnsi="標楷體"/>
          <w:b/>
          <w:color w:val="000000"/>
        </w:rPr>
        <w:t>台灣植體科技股份有限公司</w:t>
      </w:r>
      <w:r w:rsidRPr="00E765C6">
        <w:rPr>
          <w:rFonts w:hAnsi="標楷體" w:hint="eastAsia"/>
          <w:color w:val="000000"/>
        </w:rPr>
        <w:t>：</w:t>
      </w:r>
      <w:r w:rsidR="00CC1D2E" w:rsidRPr="00E765C6">
        <w:rPr>
          <w:rFonts w:hAnsi="標楷體"/>
          <w:color w:val="000000"/>
        </w:rPr>
        <w:t>連年虧損，據說明因醫療器材從開發到銷售需投入高額成本且準備時間較長。此外，客製化代工製造高階醫材</w:t>
      </w:r>
      <w:r w:rsidR="009414AC" w:rsidRPr="00E765C6">
        <w:rPr>
          <w:rFonts w:hAnsi="標楷體"/>
          <w:color w:val="000000"/>
        </w:rPr>
        <w:t>之</w:t>
      </w:r>
      <w:r w:rsidR="00CC1D2E" w:rsidRPr="00E765C6">
        <w:rPr>
          <w:rFonts w:hAnsi="標楷體"/>
          <w:color w:val="000000"/>
        </w:rPr>
        <w:t>表面處理，使產品研發費用相對較高。113年度產品新通過認證進入量產並陸續出貨，帶動營業收入成長。儘管整體仍處於虧損狀態，然而虧損幅度逐年收斂，營運改善逐漸獲得成效。</w:t>
      </w:r>
    </w:p>
    <w:p w:rsidR="00CC1D2E" w:rsidRPr="00E765C6" w:rsidRDefault="001F6688" w:rsidP="00CA00EF">
      <w:pPr>
        <w:pStyle w:val="123"/>
        <w:ind w:left="1133" w:hanging="283"/>
        <w:rPr>
          <w:rFonts w:hAnsi="標楷體"/>
          <w:color w:val="000000"/>
        </w:rPr>
      </w:pPr>
      <w:r w:rsidRPr="00E765C6">
        <w:rPr>
          <w:rFonts w:hAnsi="標楷體" w:hint="eastAsia"/>
          <w:color w:val="000000"/>
        </w:rPr>
        <w:t>2</w:t>
      </w:r>
      <w:r w:rsidRPr="00E765C6">
        <w:rPr>
          <w:rFonts w:hAnsi="標楷體"/>
          <w:color w:val="000000"/>
        </w:rPr>
        <w:t>.</w:t>
      </w:r>
      <w:r w:rsidR="00CC1D2E" w:rsidRPr="00E765C6">
        <w:rPr>
          <w:rFonts w:hAnsi="標楷體"/>
          <w:b/>
          <w:color w:val="000000"/>
        </w:rPr>
        <w:t>里特材料科技股份有限公司</w:t>
      </w:r>
      <w:r w:rsidRPr="00E765C6">
        <w:rPr>
          <w:rFonts w:hAnsi="標楷體" w:hint="eastAsia"/>
          <w:color w:val="000000"/>
        </w:rPr>
        <w:t>：</w:t>
      </w:r>
      <w:r w:rsidR="00CC1D2E" w:rsidRPr="00E765C6">
        <w:rPr>
          <w:rFonts w:hAnsi="標楷體"/>
          <w:color w:val="000000"/>
        </w:rPr>
        <w:t>以開發高風險之血管支架為目標，因醫療產業對品質及信譽要求高，難以進入供應鏈，無法藉此獲得穩定之訂單。該公司除精進醫療領域產品，改優先開發中低風險之醫療器材，以藉此建立技術能力和市場知名度，縮短創造營收之投入時間，亦拓展工業及民生產品之應用等。為減少營業成本，該公司113年度減少委外加工，改由廠內自行製作後毛損率大幅下降，並提高產品品質，惟尚未有穩定之訂單，致虧損情形僅微幅減少，仍待持續改善。</w:t>
      </w:r>
    </w:p>
    <w:p w:rsidR="00CC1D2E" w:rsidRPr="00E765C6" w:rsidRDefault="001F6688" w:rsidP="00F5392A">
      <w:pPr>
        <w:pStyle w:val="123"/>
        <w:ind w:left="1133" w:hanging="283"/>
        <w:rPr>
          <w:rFonts w:hAnsi="標楷體" w:hint="eastAsia"/>
          <w:color w:val="000000"/>
        </w:rPr>
      </w:pPr>
      <w:r w:rsidRPr="00E765C6">
        <w:rPr>
          <w:rFonts w:hAnsi="標楷體" w:hint="eastAsia"/>
          <w:color w:val="000000"/>
        </w:rPr>
        <w:t>3</w:t>
      </w:r>
      <w:r w:rsidRPr="00E765C6">
        <w:rPr>
          <w:rFonts w:hAnsi="標楷體"/>
          <w:color w:val="000000"/>
        </w:rPr>
        <w:t>.</w:t>
      </w:r>
      <w:r w:rsidR="00CC1D2E" w:rsidRPr="00E765C6">
        <w:rPr>
          <w:rFonts w:hAnsi="標楷體"/>
          <w:b/>
          <w:color w:val="000000"/>
        </w:rPr>
        <w:t>精球生技股份有限公司</w:t>
      </w:r>
      <w:r w:rsidRPr="00E765C6">
        <w:rPr>
          <w:rFonts w:hAnsi="標楷體" w:hint="eastAsia"/>
          <w:color w:val="000000"/>
        </w:rPr>
        <w:t>：</w:t>
      </w:r>
      <w:r w:rsidR="00CC1D2E" w:rsidRPr="00E765C6">
        <w:rPr>
          <w:rFonts w:hAnsi="標楷體"/>
          <w:color w:val="000000"/>
        </w:rPr>
        <w:t>112年12月間甫設立登記，113年度尚無銷售活動爰無營業收入，每股盈虧虧損0.08元。</w:t>
      </w:r>
    </w:p>
    <w:p w:rsidR="00CC1D2E" w:rsidRPr="00E765C6" w:rsidRDefault="00CC1D2E" w:rsidP="00CC1D2E">
      <w:pPr>
        <w:widowControl/>
        <w:adjustRightInd w:val="0"/>
        <w:ind w:leftChars="0" w:left="1718" w:hangingChars="606" w:hanging="1718"/>
        <w:jc w:val="left"/>
        <w:rPr>
          <w:rFonts w:hAnsi="標楷體"/>
          <w:b/>
          <w:color w:val="000000"/>
        </w:rPr>
      </w:pPr>
      <w:r w:rsidRPr="00E765C6">
        <w:rPr>
          <w:rFonts w:hAnsi="標楷體"/>
          <w:b/>
          <w:color w:val="000000"/>
          <w:lang w:eastAsia="zh-HK"/>
        </w:rPr>
        <w:t>表</w:t>
      </w:r>
      <w:r w:rsidRPr="00E765C6">
        <w:rPr>
          <w:rFonts w:hAnsi="標楷體"/>
          <w:b/>
          <w:color w:val="000000"/>
        </w:rPr>
        <w:t>1  106至113年度</w:t>
      </w:r>
      <w:r w:rsidRPr="00E765C6">
        <w:rPr>
          <w:rFonts w:hAnsi="標楷體"/>
          <w:b/>
          <w:color w:val="000000"/>
          <w:lang w:eastAsia="zh-HK"/>
        </w:rPr>
        <w:t>金屬中心</w:t>
      </w:r>
      <w:r w:rsidRPr="00E765C6">
        <w:rPr>
          <w:rFonts w:hAnsi="標楷體"/>
          <w:b/>
          <w:color w:val="000000"/>
        </w:rPr>
        <w:t>轉投資事業</w:t>
      </w:r>
      <w:r w:rsidRPr="00E765C6">
        <w:rPr>
          <w:rFonts w:hAnsi="標楷體"/>
          <w:b/>
          <w:color w:val="000000"/>
          <w:lang w:eastAsia="zh-HK"/>
        </w:rPr>
        <w:t>經營概況</w:t>
      </w:r>
      <w:r w:rsidRPr="00E765C6">
        <w:rPr>
          <w:rFonts w:hAnsi="標楷體"/>
          <w:b/>
          <w:color w:val="000000"/>
        </w:rPr>
        <w:t>表</w:t>
      </w:r>
    </w:p>
    <w:tbl>
      <w:tblPr>
        <w:tblW w:w="8960" w:type="dxa"/>
        <w:tblInd w:w="-10" w:type="dxa"/>
        <w:tblCellMar>
          <w:left w:w="28" w:type="dxa"/>
          <w:right w:w="28" w:type="dxa"/>
        </w:tblCellMar>
        <w:tblLook w:val="04A0" w:firstRow="1" w:lastRow="0" w:firstColumn="1" w:lastColumn="0" w:noHBand="0" w:noVBand="1"/>
      </w:tblPr>
      <w:tblGrid>
        <w:gridCol w:w="980"/>
        <w:gridCol w:w="1147"/>
        <w:gridCol w:w="920"/>
        <w:gridCol w:w="7"/>
        <w:gridCol w:w="1057"/>
        <w:gridCol w:w="860"/>
        <w:gridCol w:w="1125"/>
        <w:gridCol w:w="850"/>
        <w:gridCol w:w="1134"/>
        <w:gridCol w:w="880"/>
      </w:tblGrid>
      <w:tr w:rsidR="00521EF1" w:rsidRPr="00E765C6" w:rsidTr="00F5392A">
        <w:trPr>
          <w:trHeight w:val="615"/>
          <w:tblHeader/>
        </w:trPr>
        <w:tc>
          <w:tcPr>
            <w:tcW w:w="980" w:type="dxa"/>
            <w:vMerge w:val="restart"/>
            <w:tcBorders>
              <w:top w:val="single" w:sz="12" w:space="0" w:color="auto"/>
              <w:left w:val="single" w:sz="12" w:space="0" w:color="auto"/>
              <w:bottom w:val="single" w:sz="4" w:space="0" w:color="auto"/>
              <w:right w:val="single" w:sz="4" w:space="0" w:color="auto"/>
              <w:tl2br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rightChars="-20" w:right="-57" w:firstLineChars="100" w:firstLine="243"/>
              <w:rPr>
                <w:rFonts w:hAnsi="標楷體"/>
                <w:snapToGrid/>
                <w:color w:val="000000"/>
                <w:kern w:val="0"/>
                <w:sz w:val="24"/>
                <w:szCs w:val="24"/>
              </w:rPr>
            </w:pPr>
            <w:r w:rsidRPr="00E765C6">
              <w:rPr>
                <w:rFonts w:hAnsi="標楷體"/>
                <w:snapToGrid/>
                <w:color w:val="000000"/>
                <w:kern w:val="0"/>
                <w:sz w:val="24"/>
                <w:szCs w:val="24"/>
              </w:rPr>
              <w:t>轉投資</w:t>
            </w:r>
          </w:p>
          <w:p w:rsidR="00CC1D2E" w:rsidRPr="00E765C6" w:rsidRDefault="00CC1D2E" w:rsidP="000F1786">
            <w:pPr>
              <w:widowControl/>
              <w:adjustRightInd w:val="0"/>
              <w:snapToGrid w:val="0"/>
              <w:spacing w:line="240" w:lineRule="auto"/>
              <w:ind w:leftChars="0" w:left="0" w:rightChars="-20" w:right="-57" w:firstLine="486"/>
              <w:rPr>
                <w:rFonts w:hAnsi="標楷體"/>
                <w:snapToGrid/>
                <w:color w:val="000000"/>
                <w:kern w:val="0"/>
                <w:sz w:val="24"/>
                <w:szCs w:val="24"/>
              </w:rPr>
            </w:pPr>
            <w:r w:rsidRPr="00E765C6">
              <w:rPr>
                <w:rFonts w:hAnsi="標楷體"/>
                <w:snapToGrid/>
                <w:color w:val="000000"/>
                <w:kern w:val="0"/>
                <w:sz w:val="24"/>
                <w:szCs w:val="24"/>
              </w:rPr>
              <w:t>公司</w:t>
            </w:r>
          </w:p>
          <w:p w:rsidR="00CC1D2E" w:rsidRPr="00E765C6" w:rsidRDefault="00CC1D2E" w:rsidP="000F1786">
            <w:pPr>
              <w:widowControl/>
              <w:adjustRightInd w:val="0"/>
              <w:snapToGrid w:val="0"/>
              <w:spacing w:line="240" w:lineRule="auto"/>
              <w:ind w:leftChars="0" w:left="0" w:rightChars="-20" w:right="-57" w:firstLineChars="0" w:firstLine="0"/>
              <w:rPr>
                <w:rFonts w:hAnsi="標楷體"/>
                <w:snapToGrid/>
                <w:color w:val="000000"/>
                <w:kern w:val="0"/>
                <w:sz w:val="24"/>
                <w:szCs w:val="24"/>
              </w:rPr>
            </w:pPr>
          </w:p>
          <w:p w:rsidR="00CC1D2E" w:rsidRPr="00E765C6" w:rsidRDefault="00CC1D2E" w:rsidP="000F1786">
            <w:pPr>
              <w:widowControl/>
              <w:adjustRightInd w:val="0"/>
              <w:snapToGrid w:val="0"/>
              <w:spacing w:line="240" w:lineRule="auto"/>
              <w:ind w:leftChars="0" w:left="0" w:rightChars="-20" w:right="-57" w:firstLineChars="0" w:firstLine="0"/>
              <w:rPr>
                <w:rFonts w:hAnsi="標楷體"/>
                <w:snapToGrid/>
                <w:color w:val="000000"/>
                <w:kern w:val="0"/>
                <w:sz w:val="24"/>
                <w:szCs w:val="24"/>
              </w:rPr>
            </w:pPr>
            <w:r w:rsidRPr="00E765C6">
              <w:rPr>
                <w:rFonts w:hAnsi="標楷體"/>
                <w:snapToGrid/>
                <w:color w:val="000000"/>
                <w:kern w:val="0"/>
                <w:sz w:val="24"/>
                <w:szCs w:val="24"/>
              </w:rPr>
              <w:t>年度</w:t>
            </w:r>
          </w:p>
        </w:tc>
        <w:tc>
          <w:tcPr>
            <w:tcW w:w="2074" w:type="dxa"/>
            <w:gridSpan w:val="3"/>
            <w:tcBorders>
              <w:top w:val="single" w:sz="12"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大強鋼鐵鑄造股份有限公司</w:t>
            </w:r>
          </w:p>
        </w:tc>
        <w:tc>
          <w:tcPr>
            <w:tcW w:w="1917" w:type="dxa"/>
            <w:gridSpan w:val="2"/>
            <w:tcBorders>
              <w:top w:val="single" w:sz="12"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台灣植體科技股份有限公司</w:t>
            </w:r>
          </w:p>
        </w:tc>
        <w:tc>
          <w:tcPr>
            <w:tcW w:w="1975" w:type="dxa"/>
            <w:gridSpan w:val="2"/>
            <w:tcBorders>
              <w:top w:val="single" w:sz="12"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里特材料科技股份有限公司</w:t>
            </w:r>
          </w:p>
        </w:tc>
        <w:tc>
          <w:tcPr>
            <w:tcW w:w="2014" w:type="dxa"/>
            <w:gridSpan w:val="2"/>
            <w:tcBorders>
              <w:top w:val="single" w:sz="12" w:space="0" w:color="auto"/>
              <w:left w:val="nil"/>
              <w:bottom w:val="single" w:sz="4" w:space="0" w:color="auto"/>
              <w:right w:val="single" w:sz="12"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精球生技股份有限公司</w:t>
            </w:r>
          </w:p>
        </w:tc>
      </w:tr>
      <w:tr w:rsidR="00521EF1" w:rsidRPr="00E765C6" w:rsidTr="00F5392A">
        <w:trPr>
          <w:trHeight w:val="409"/>
          <w:tblHeader/>
        </w:trPr>
        <w:tc>
          <w:tcPr>
            <w:tcW w:w="980" w:type="dxa"/>
            <w:vMerge/>
            <w:tcBorders>
              <w:left w:val="single" w:sz="12" w:space="0" w:color="auto"/>
              <w:bottom w:val="single" w:sz="4" w:space="0" w:color="auto"/>
              <w:right w:val="single" w:sz="4" w:space="0" w:color="auto"/>
              <w:tl2br w:val="single" w:sz="4" w:space="0" w:color="auto"/>
            </w:tcBorders>
            <w:shd w:val="clear" w:color="auto" w:fill="auto"/>
            <w:vAlign w:val="center"/>
            <w:hideMark/>
          </w:tcPr>
          <w:p w:rsidR="00CC1D2E" w:rsidRPr="00E765C6" w:rsidRDefault="00CC1D2E" w:rsidP="000F1786">
            <w:pPr>
              <w:widowControl/>
              <w:spacing w:line="240" w:lineRule="auto"/>
              <w:ind w:leftChars="0" w:left="0" w:firstLineChars="0" w:firstLine="0"/>
              <w:jc w:val="left"/>
              <w:rPr>
                <w:rFonts w:hAnsi="標楷體"/>
                <w:snapToGrid/>
                <w:color w:val="000000"/>
                <w:kern w:val="0"/>
                <w:sz w:val="24"/>
                <w:szCs w:val="24"/>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稅前盈虧(千元)</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每股盈虧(元)</w:t>
            </w:r>
          </w:p>
        </w:tc>
        <w:tc>
          <w:tcPr>
            <w:tcW w:w="1064" w:type="dxa"/>
            <w:gridSpan w:val="2"/>
            <w:tcBorders>
              <w:top w:val="single" w:sz="4"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稅前盈虧(千元)</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每股盈虧(元)</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稅前盈虧(千元)</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每股盈虧(元)</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稅前盈虧(千元)</w:t>
            </w:r>
          </w:p>
        </w:tc>
        <w:tc>
          <w:tcPr>
            <w:tcW w:w="880" w:type="dxa"/>
            <w:tcBorders>
              <w:top w:val="nil"/>
              <w:left w:val="single" w:sz="4" w:space="0" w:color="auto"/>
              <w:bottom w:val="single" w:sz="4" w:space="0" w:color="auto"/>
              <w:right w:val="single" w:sz="12"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每股盈虧(元)</w:t>
            </w:r>
          </w:p>
        </w:tc>
      </w:tr>
      <w:tr w:rsidR="00521EF1" w:rsidRPr="00E765C6" w:rsidTr="009D210C">
        <w:trPr>
          <w:trHeight w:val="283"/>
        </w:trPr>
        <w:tc>
          <w:tcPr>
            <w:tcW w:w="980" w:type="dxa"/>
            <w:tcBorders>
              <w:top w:val="nil"/>
              <w:left w:val="single" w:sz="12"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106</w:t>
            </w:r>
          </w:p>
        </w:tc>
        <w:tc>
          <w:tcPr>
            <w:tcW w:w="1147" w:type="dxa"/>
            <w:tcBorders>
              <w:top w:val="nil"/>
              <w:left w:val="single" w:sz="4"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19,336</w:t>
            </w:r>
          </w:p>
        </w:tc>
        <w:tc>
          <w:tcPr>
            <w:tcW w:w="92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1.95</w:t>
            </w:r>
          </w:p>
        </w:tc>
        <w:tc>
          <w:tcPr>
            <w:tcW w:w="1064" w:type="dxa"/>
            <w:gridSpan w:val="2"/>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-34,083</w:t>
            </w:r>
          </w:p>
        </w:tc>
        <w:tc>
          <w:tcPr>
            <w:tcW w:w="86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-0.89</w:t>
            </w:r>
          </w:p>
        </w:tc>
        <w:tc>
          <w:tcPr>
            <w:tcW w:w="1125"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-10,202</w:t>
            </w:r>
          </w:p>
        </w:tc>
        <w:tc>
          <w:tcPr>
            <w:tcW w:w="85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-0.09</w:t>
            </w:r>
          </w:p>
        </w:tc>
        <w:tc>
          <w:tcPr>
            <w:tcW w:w="1134" w:type="dxa"/>
            <w:tcBorders>
              <w:top w:val="nil"/>
              <w:left w:val="nil"/>
              <w:bottom w:val="single" w:sz="4" w:space="0" w:color="auto"/>
              <w:right w:val="single" w:sz="4"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c>
          <w:tcPr>
            <w:tcW w:w="880" w:type="dxa"/>
            <w:tcBorders>
              <w:top w:val="nil"/>
              <w:left w:val="single" w:sz="4" w:space="0" w:color="auto"/>
              <w:bottom w:val="single" w:sz="4" w:space="0" w:color="auto"/>
              <w:right w:val="single" w:sz="12"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r>
      <w:tr w:rsidR="00521EF1" w:rsidRPr="00E765C6" w:rsidTr="009D210C">
        <w:trPr>
          <w:trHeight w:val="283"/>
        </w:trPr>
        <w:tc>
          <w:tcPr>
            <w:tcW w:w="980" w:type="dxa"/>
            <w:tcBorders>
              <w:top w:val="nil"/>
              <w:left w:val="single" w:sz="12"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107</w:t>
            </w:r>
          </w:p>
        </w:tc>
        <w:tc>
          <w:tcPr>
            <w:tcW w:w="1147" w:type="dxa"/>
            <w:tcBorders>
              <w:top w:val="nil"/>
              <w:left w:val="single" w:sz="4"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26,600</w:t>
            </w:r>
          </w:p>
        </w:tc>
        <w:tc>
          <w:tcPr>
            <w:tcW w:w="92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2.68</w:t>
            </w:r>
          </w:p>
        </w:tc>
        <w:tc>
          <w:tcPr>
            <w:tcW w:w="1064" w:type="dxa"/>
            <w:gridSpan w:val="2"/>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-35,830</w:t>
            </w:r>
          </w:p>
        </w:tc>
        <w:tc>
          <w:tcPr>
            <w:tcW w:w="86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-1.26</w:t>
            </w:r>
          </w:p>
        </w:tc>
        <w:tc>
          <w:tcPr>
            <w:tcW w:w="1125"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-19,392</w:t>
            </w:r>
          </w:p>
        </w:tc>
        <w:tc>
          <w:tcPr>
            <w:tcW w:w="85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-0.18</w:t>
            </w:r>
          </w:p>
        </w:tc>
        <w:tc>
          <w:tcPr>
            <w:tcW w:w="1134" w:type="dxa"/>
            <w:tcBorders>
              <w:top w:val="nil"/>
              <w:left w:val="nil"/>
              <w:bottom w:val="single" w:sz="4" w:space="0" w:color="auto"/>
              <w:right w:val="single" w:sz="4"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c>
          <w:tcPr>
            <w:tcW w:w="880" w:type="dxa"/>
            <w:tcBorders>
              <w:top w:val="nil"/>
              <w:left w:val="single" w:sz="4" w:space="0" w:color="auto"/>
              <w:bottom w:val="single" w:sz="4" w:space="0" w:color="auto"/>
              <w:right w:val="single" w:sz="12"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r>
      <w:tr w:rsidR="00521EF1" w:rsidRPr="00E765C6" w:rsidTr="009D210C">
        <w:trPr>
          <w:trHeight w:val="283"/>
        </w:trPr>
        <w:tc>
          <w:tcPr>
            <w:tcW w:w="980" w:type="dxa"/>
            <w:tcBorders>
              <w:top w:val="nil"/>
              <w:left w:val="single" w:sz="12"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108</w:t>
            </w:r>
          </w:p>
        </w:tc>
        <w:tc>
          <w:tcPr>
            <w:tcW w:w="1147" w:type="dxa"/>
            <w:tcBorders>
              <w:top w:val="nil"/>
              <w:left w:val="single" w:sz="4"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17,542</w:t>
            </w:r>
          </w:p>
        </w:tc>
        <w:tc>
          <w:tcPr>
            <w:tcW w:w="92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1.77</w:t>
            </w:r>
          </w:p>
        </w:tc>
        <w:tc>
          <w:tcPr>
            <w:tcW w:w="1064" w:type="dxa"/>
            <w:gridSpan w:val="2"/>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-21,360</w:t>
            </w:r>
          </w:p>
        </w:tc>
        <w:tc>
          <w:tcPr>
            <w:tcW w:w="86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-1.58</w:t>
            </w:r>
          </w:p>
        </w:tc>
        <w:tc>
          <w:tcPr>
            <w:tcW w:w="1125"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-19,766</w:t>
            </w:r>
          </w:p>
        </w:tc>
        <w:tc>
          <w:tcPr>
            <w:tcW w:w="85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-0.2</w:t>
            </w:r>
          </w:p>
        </w:tc>
        <w:tc>
          <w:tcPr>
            <w:tcW w:w="1134" w:type="dxa"/>
            <w:tcBorders>
              <w:top w:val="nil"/>
              <w:left w:val="nil"/>
              <w:bottom w:val="single" w:sz="4" w:space="0" w:color="auto"/>
              <w:right w:val="single" w:sz="4"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c>
          <w:tcPr>
            <w:tcW w:w="880" w:type="dxa"/>
            <w:tcBorders>
              <w:top w:val="nil"/>
              <w:left w:val="single" w:sz="4" w:space="0" w:color="auto"/>
              <w:bottom w:val="single" w:sz="4" w:space="0" w:color="auto"/>
              <w:right w:val="single" w:sz="12"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r>
      <w:tr w:rsidR="00521EF1" w:rsidRPr="00E765C6" w:rsidTr="009D210C">
        <w:trPr>
          <w:trHeight w:val="283"/>
        </w:trPr>
        <w:tc>
          <w:tcPr>
            <w:tcW w:w="980" w:type="dxa"/>
            <w:tcBorders>
              <w:top w:val="nil"/>
              <w:left w:val="single" w:sz="12"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109</w:t>
            </w:r>
          </w:p>
        </w:tc>
        <w:tc>
          <w:tcPr>
            <w:tcW w:w="1147" w:type="dxa"/>
            <w:tcBorders>
              <w:top w:val="nil"/>
              <w:left w:val="single" w:sz="4"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24,100</w:t>
            </w:r>
          </w:p>
        </w:tc>
        <w:tc>
          <w:tcPr>
            <w:tcW w:w="92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2.49</w:t>
            </w:r>
          </w:p>
        </w:tc>
        <w:tc>
          <w:tcPr>
            <w:tcW w:w="1064" w:type="dxa"/>
            <w:gridSpan w:val="2"/>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-13,336</w:t>
            </w:r>
          </w:p>
        </w:tc>
        <w:tc>
          <w:tcPr>
            <w:tcW w:w="86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-1.07</w:t>
            </w:r>
          </w:p>
        </w:tc>
        <w:tc>
          <w:tcPr>
            <w:tcW w:w="1125"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-19,228</w:t>
            </w:r>
          </w:p>
        </w:tc>
        <w:tc>
          <w:tcPr>
            <w:tcW w:w="85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-0.12</w:t>
            </w:r>
          </w:p>
        </w:tc>
        <w:tc>
          <w:tcPr>
            <w:tcW w:w="1134" w:type="dxa"/>
            <w:tcBorders>
              <w:top w:val="nil"/>
              <w:left w:val="nil"/>
              <w:bottom w:val="single" w:sz="4" w:space="0" w:color="auto"/>
              <w:right w:val="single" w:sz="4"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c>
          <w:tcPr>
            <w:tcW w:w="880" w:type="dxa"/>
            <w:tcBorders>
              <w:top w:val="nil"/>
              <w:left w:val="single" w:sz="4" w:space="0" w:color="auto"/>
              <w:bottom w:val="single" w:sz="4" w:space="0" w:color="auto"/>
              <w:right w:val="single" w:sz="12"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r>
      <w:tr w:rsidR="00521EF1" w:rsidRPr="00E765C6" w:rsidTr="009D210C">
        <w:trPr>
          <w:trHeight w:val="283"/>
        </w:trPr>
        <w:tc>
          <w:tcPr>
            <w:tcW w:w="980" w:type="dxa"/>
            <w:tcBorders>
              <w:top w:val="nil"/>
              <w:left w:val="single" w:sz="12"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110</w:t>
            </w:r>
          </w:p>
        </w:tc>
        <w:tc>
          <w:tcPr>
            <w:tcW w:w="1147" w:type="dxa"/>
            <w:tcBorders>
              <w:top w:val="nil"/>
              <w:left w:val="single" w:sz="4"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30,196</w:t>
            </w:r>
          </w:p>
        </w:tc>
        <w:tc>
          <w:tcPr>
            <w:tcW w:w="92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3.03</w:t>
            </w:r>
          </w:p>
        </w:tc>
        <w:tc>
          <w:tcPr>
            <w:tcW w:w="1064" w:type="dxa"/>
            <w:gridSpan w:val="2"/>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-14,474</w:t>
            </w:r>
          </w:p>
        </w:tc>
        <w:tc>
          <w:tcPr>
            <w:tcW w:w="86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-0.95</w:t>
            </w:r>
          </w:p>
        </w:tc>
        <w:tc>
          <w:tcPr>
            <w:tcW w:w="1125"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-19,917</w:t>
            </w:r>
          </w:p>
        </w:tc>
        <w:tc>
          <w:tcPr>
            <w:tcW w:w="85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-0.1</w:t>
            </w:r>
          </w:p>
        </w:tc>
        <w:tc>
          <w:tcPr>
            <w:tcW w:w="1134" w:type="dxa"/>
            <w:tcBorders>
              <w:top w:val="nil"/>
              <w:left w:val="nil"/>
              <w:bottom w:val="single" w:sz="4" w:space="0" w:color="auto"/>
              <w:right w:val="single" w:sz="4"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c>
          <w:tcPr>
            <w:tcW w:w="880" w:type="dxa"/>
            <w:tcBorders>
              <w:top w:val="nil"/>
              <w:left w:val="single" w:sz="4" w:space="0" w:color="auto"/>
              <w:bottom w:val="single" w:sz="4" w:space="0" w:color="auto"/>
              <w:right w:val="single" w:sz="12"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r>
      <w:tr w:rsidR="00521EF1" w:rsidRPr="00E765C6" w:rsidTr="009D210C">
        <w:trPr>
          <w:trHeight w:val="283"/>
        </w:trPr>
        <w:tc>
          <w:tcPr>
            <w:tcW w:w="980" w:type="dxa"/>
            <w:tcBorders>
              <w:top w:val="nil"/>
              <w:left w:val="single" w:sz="12"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111</w:t>
            </w:r>
          </w:p>
        </w:tc>
        <w:tc>
          <w:tcPr>
            <w:tcW w:w="1147" w:type="dxa"/>
            <w:tcBorders>
              <w:top w:val="nil"/>
              <w:left w:val="single" w:sz="4"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29,587</w:t>
            </w:r>
          </w:p>
        </w:tc>
        <w:tc>
          <w:tcPr>
            <w:tcW w:w="92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3</w:t>
            </w:r>
          </w:p>
        </w:tc>
        <w:tc>
          <w:tcPr>
            <w:tcW w:w="1064" w:type="dxa"/>
            <w:gridSpan w:val="2"/>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-15,140</w:t>
            </w:r>
          </w:p>
        </w:tc>
        <w:tc>
          <w:tcPr>
            <w:tcW w:w="86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-0.91</w:t>
            </w:r>
          </w:p>
        </w:tc>
        <w:tc>
          <w:tcPr>
            <w:tcW w:w="1125"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-18,907</w:t>
            </w:r>
          </w:p>
        </w:tc>
        <w:tc>
          <w:tcPr>
            <w:tcW w:w="85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-0.08</w:t>
            </w:r>
          </w:p>
        </w:tc>
        <w:tc>
          <w:tcPr>
            <w:tcW w:w="1134" w:type="dxa"/>
            <w:tcBorders>
              <w:top w:val="nil"/>
              <w:left w:val="nil"/>
              <w:bottom w:val="single" w:sz="4" w:space="0" w:color="auto"/>
              <w:right w:val="single" w:sz="4"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c>
          <w:tcPr>
            <w:tcW w:w="880" w:type="dxa"/>
            <w:tcBorders>
              <w:top w:val="nil"/>
              <w:left w:val="single" w:sz="4" w:space="0" w:color="auto"/>
              <w:bottom w:val="single" w:sz="4" w:space="0" w:color="auto"/>
              <w:right w:val="single" w:sz="12" w:space="0" w:color="auto"/>
              <w:tr2bl w:val="single" w:sz="4" w:space="0" w:color="auto"/>
            </w:tcBorders>
            <w:shd w:val="clear" w:color="auto" w:fill="auto"/>
            <w:noWrap/>
            <w:vAlign w:val="center"/>
            <w:hideMark/>
          </w:tcPr>
          <w:p w:rsidR="00CC1D2E" w:rsidRPr="00E765C6" w:rsidRDefault="00CC1D2E" w:rsidP="000F1786">
            <w:pPr>
              <w:widowControl/>
              <w:adjustRightInd w:val="0"/>
              <w:snapToGrid w:val="0"/>
              <w:spacing w:line="240" w:lineRule="auto"/>
              <w:ind w:leftChars="0" w:left="0" w:firstLineChars="0" w:firstLine="0"/>
              <w:jc w:val="left"/>
              <w:rPr>
                <w:rFonts w:hAnsi="標楷體"/>
                <w:snapToGrid/>
                <w:color w:val="000000"/>
                <w:kern w:val="0"/>
                <w:sz w:val="24"/>
                <w:szCs w:val="24"/>
              </w:rPr>
            </w:pPr>
            <w:r w:rsidRPr="00E765C6">
              <w:rPr>
                <w:rFonts w:hAnsi="標楷體"/>
                <w:snapToGrid/>
                <w:color w:val="000000"/>
                <w:kern w:val="0"/>
                <w:sz w:val="24"/>
                <w:szCs w:val="24"/>
              </w:rPr>
              <w:t xml:space="preserve">　</w:t>
            </w:r>
          </w:p>
        </w:tc>
      </w:tr>
      <w:tr w:rsidR="00521EF1" w:rsidRPr="00E765C6" w:rsidTr="009D210C">
        <w:trPr>
          <w:trHeight w:val="283"/>
        </w:trPr>
        <w:tc>
          <w:tcPr>
            <w:tcW w:w="980" w:type="dxa"/>
            <w:tcBorders>
              <w:top w:val="nil"/>
              <w:left w:val="single" w:sz="12"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112</w:t>
            </w:r>
          </w:p>
        </w:tc>
        <w:tc>
          <w:tcPr>
            <w:tcW w:w="1147" w:type="dxa"/>
            <w:tcBorders>
              <w:top w:val="nil"/>
              <w:left w:val="single" w:sz="4" w:space="0" w:color="auto"/>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49,058</w:t>
            </w:r>
          </w:p>
        </w:tc>
        <w:tc>
          <w:tcPr>
            <w:tcW w:w="92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4.95</w:t>
            </w:r>
          </w:p>
        </w:tc>
        <w:tc>
          <w:tcPr>
            <w:tcW w:w="1064" w:type="dxa"/>
            <w:gridSpan w:val="2"/>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-12,385</w:t>
            </w:r>
          </w:p>
        </w:tc>
        <w:tc>
          <w:tcPr>
            <w:tcW w:w="86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-0.73</w:t>
            </w:r>
          </w:p>
        </w:tc>
        <w:tc>
          <w:tcPr>
            <w:tcW w:w="1125"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-14,236</w:t>
            </w:r>
          </w:p>
        </w:tc>
        <w:tc>
          <w:tcPr>
            <w:tcW w:w="850"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-0.06</w:t>
            </w:r>
          </w:p>
        </w:tc>
        <w:tc>
          <w:tcPr>
            <w:tcW w:w="1134" w:type="dxa"/>
            <w:tcBorders>
              <w:top w:val="nil"/>
              <w:left w:val="nil"/>
              <w:bottom w:val="single" w:sz="4"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w:t>
            </w:r>
          </w:p>
        </w:tc>
        <w:tc>
          <w:tcPr>
            <w:tcW w:w="880" w:type="dxa"/>
            <w:tcBorders>
              <w:top w:val="nil"/>
              <w:left w:val="single" w:sz="4" w:space="0" w:color="auto"/>
              <w:bottom w:val="single" w:sz="4" w:space="0" w:color="auto"/>
              <w:right w:val="single" w:sz="12"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w:t>
            </w:r>
          </w:p>
        </w:tc>
      </w:tr>
      <w:tr w:rsidR="00521EF1" w:rsidRPr="00E765C6" w:rsidTr="009D210C">
        <w:trPr>
          <w:trHeight w:val="283"/>
        </w:trPr>
        <w:tc>
          <w:tcPr>
            <w:tcW w:w="980" w:type="dxa"/>
            <w:tcBorders>
              <w:top w:val="nil"/>
              <w:left w:val="single" w:sz="12" w:space="0" w:color="auto"/>
              <w:bottom w:val="single" w:sz="12"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center"/>
              <w:rPr>
                <w:rFonts w:hAnsi="標楷體"/>
                <w:snapToGrid/>
                <w:color w:val="000000"/>
                <w:kern w:val="0"/>
                <w:sz w:val="24"/>
                <w:szCs w:val="24"/>
              </w:rPr>
            </w:pPr>
            <w:r w:rsidRPr="00E765C6">
              <w:rPr>
                <w:rFonts w:hAnsi="標楷體"/>
                <w:snapToGrid/>
                <w:color w:val="000000"/>
                <w:kern w:val="0"/>
                <w:sz w:val="24"/>
                <w:szCs w:val="24"/>
              </w:rPr>
              <w:t>113</w:t>
            </w:r>
          </w:p>
        </w:tc>
        <w:tc>
          <w:tcPr>
            <w:tcW w:w="1147" w:type="dxa"/>
            <w:tcBorders>
              <w:top w:val="single" w:sz="4" w:space="0" w:color="auto"/>
              <w:left w:val="nil"/>
              <w:bottom w:val="single" w:sz="12"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49,827</w:t>
            </w:r>
          </w:p>
        </w:tc>
        <w:tc>
          <w:tcPr>
            <w:tcW w:w="920" w:type="dxa"/>
            <w:tcBorders>
              <w:top w:val="single" w:sz="4" w:space="0" w:color="auto"/>
              <w:left w:val="nil"/>
              <w:bottom w:val="single" w:sz="12"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5.04</w:t>
            </w:r>
          </w:p>
        </w:tc>
        <w:tc>
          <w:tcPr>
            <w:tcW w:w="1064" w:type="dxa"/>
            <w:gridSpan w:val="2"/>
            <w:tcBorders>
              <w:top w:val="single" w:sz="4" w:space="0" w:color="auto"/>
              <w:left w:val="nil"/>
              <w:bottom w:val="single" w:sz="12"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-10,422</w:t>
            </w:r>
          </w:p>
        </w:tc>
        <w:tc>
          <w:tcPr>
            <w:tcW w:w="860" w:type="dxa"/>
            <w:tcBorders>
              <w:top w:val="single" w:sz="4" w:space="0" w:color="auto"/>
              <w:left w:val="nil"/>
              <w:bottom w:val="single" w:sz="12"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-0.58</w:t>
            </w:r>
          </w:p>
        </w:tc>
        <w:tc>
          <w:tcPr>
            <w:tcW w:w="1125" w:type="dxa"/>
            <w:tcBorders>
              <w:top w:val="single" w:sz="4" w:space="0" w:color="auto"/>
              <w:left w:val="nil"/>
              <w:bottom w:val="single" w:sz="12"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-11,732</w:t>
            </w:r>
          </w:p>
        </w:tc>
        <w:tc>
          <w:tcPr>
            <w:tcW w:w="850" w:type="dxa"/>
            <w:tcBorders>
              <w:top w:val="single" w:sz="4" w:space="0" w:color="auto"/>
              <w:left w:val="nil"/>
              <w:bottom w:val="single" w:sz="12"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-0.07</w:t>
            </w:r>
          </w:p>
        </w:tc>
        <w:tc>
          <w:tcPr>
            <w:tcW w:w="1134" w:type="dxa"/>
            <w:tcBorders>
              <w:top w:val="single" w:sz="4" w:space="0" w:color="auto"/>
              <w:left w:val="nil"/>
              <w:bottom w:val="single" w:sz="12" w:space="0" w:color="auto"/>
              <w:right w:val="single" w:sz="4"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-2,672</w:t>
            </w:r>
          </w:p>
        </w:tc>
        <w:tc>
          <w:tcPr>
            <w:tcW w:w="880" w:type="dxa"/>
            <w:tcBorders>
              <w:top w:val="nil"/>
              <w:left w:val="nil"/>
              <w:bottom w:val="single" w:sz="12" w:space="0" w:color="auto"/>
              <w:right w:val="single" w:sz="12" w:space="0" w:color="auto"/>
            </w:tcBorders>
            <w:shd w:val="clear" w:color="auto" w:fill="auto"/>
            <w:vAlign w:val="center"/>
            <w:hideMark/>
          </w:tcPr>
          <w:p w:rsidR="00CC1D2E" w:rsidRPr="00E765C6" w:rsidRDefault="00CC1D2E" w:rsidP="000F1786">
            <w:pPr>
              <w:widowControl/>
              <w:adjustRightInd w:val="0"/>
              <w:snapToGrid w:val="0"/>
              <w:spacing w:line="240" w:lineRule="auto"/>
              <w:ind w:leftChars="0" w:left="0" w:firstLineChars="0" w:firstLine="0"/>
              <w:jc w:val="right"/>
              <w:rPr>
                <w:rFonts w:hAnsi="標楷體"/>
                <w:snapToGrid/>
                <w:color w:val="000000"/>
                <w:kern w:val="0"/>
                <w:sz w:val="24"/>
                <w:szCs w:val="24"/>
              </w:rPr>
            </w:pPr>
            <w:r w:rsidRPr="00E765C6">
              <w:rPr>
                <w:rFonts w:hAnsi="標楷體"/>
                <w:snapToGrid/>
                <w:color w:val="000000"/>
                <w:kern w:val="0"/>
                <w:sz w:val="24"/>
                <w:szCs w:val="24"/>
              </w:rPr>
              <w:t>-0.08</w:t>
            </w:r>
          </w:p>
        </w:tc>
      </w:tr>
    </w:tbl>
    <w:p w:rsidR="00383D18" w:rsidRPr="00E765C6" w:rsidRDefault="00383D18" w:rsidP="00383D18">
      <w:pPr>
        <w:spacing w:line="280" w:lineRule="exact"/>
        <w:ind w:leftChars="-50" w:left="-142" w:firstLineChars="58" w:firstLine="141"/>
        <w:jc w:val="left"/>
        <w:rPr>
          <w:rFonts w:hAnsi="標楷體"/>
          <w:color w:val="000000"/>
          <w:sz w:val="24"/>
          <w:szCs w:val="24"/>
        </w:rPr>
      </w:pPr>
      <w:r w:rsidRPr="00E765C6">
        <w:rPr>
          <w:rFonts w:hAnsi="標楷體"/>
          <w:color w:val="000000"/>
          <w:sz w:val="24"/>
          <w:szCs w:val="24"/>
        </w:rPr>
        <w:t>說    明：1.</w:t>
      </w:r>
      <w:r w:rsidR="00CC1D2E" w:rsidRPr="00E765C6">
        <w:rPr>
          <w:rFonts w:hAnsi="標楷體"/>
          <w:color w:val="000000"/>
          <w:sz w:val="24"/>
          <w:szCs w:val="24"/>
        </w:rPr>
        <w:t>尾差係四捨五入產生</w:t>
      </w:r>
      <w:r w:rsidRPr="00E765C6">
        <w:rPr>
          <w:rFonts w:hAnsi="標楷體"/>
          <w:color w:val="000000"/>
          <w:sz w:val="24"/>
          <w:szCs w:val="24"/>
        </w:rPr>
        <w:t>。</w:t>
      </w:r>
    </w:p>
    <w:p w:rsidR="00383D18" w:rsidRPr="00E765C6" w:rsidRDefault="00383D18" w:rsidP="00383D18">
      <w:pPr>
        <w:spacing w:line="280" w:lineRule="exact"/>
        <w:ind w:leftChars="0" w:left="0" w:firstLineChars="490" w:firstLine="1192"/>
        <w:rPr>
          <w:rFonts w:hAnsi="標楷體"/>
          <w:color w:val="000000"/>
          <w:sz w:val="24"/>
          <w:szCs w:val="24"/>
        </w:rPr>
      </w:pPr>
      <w:r w:rsidRPr="00E765C6">
        <w:rPr>
          <w:rFonts w:hAnsi="標楷體"/>
          <w:color w:val="000000"/>
          <w:sz w:val="24"/>
          <w:szCs w:val="24"/>
        </w:rPr>
        <w:t>2.10</w:t>
      </w:r>
      <w:r w:rsidR="00A01A38" w:rsidRPr="00E765C6">
        <w:rPr>
          <w:rFonts w:hAnsi="標楷體"/>
          <w:color w:val="000000"/>
          <w:sz w:val="24"/>
          <w:szCs w:val="24"/>
        </w:rPr>
        <w:t>6</w:t>
      </w:r>
      <w:r w:rsidRPr="00E765C6">
        <w:rPr>
          <w:rFonts w:hAnsi="標楷體"/>
          <w:color w:val="000000"/>
          <w:sz w:val="24"/>
          <w:szCs w:val="24"/>
        </w:rPr>
        <w:t>至112年度為決算數，113年度為自結數，114年度為預算案數。</w:t>
      </w:r>
    </w:p>
    <w:p w:rsidR="00383D18" w:rsidRPr="00E765C6" w:rsidRDefault="00383D18" w:rsidP="00383D18">
      <w:pPr>
        <w:spacing w:line="280" w:lineRule="exact"/>
        <w:ind w:leftChars="-50" w:left="-142" w:firstLineChars="58" w:firstLine="141"/>
        <w:jc w:val="left"/>
        <w:rPr>
          <w:rFonts w:hAnsi="標楷體"/>
          <w:bCs/>
          <w:color w:val="000000"/>
          <w:sz w:val="24"/>
          <w:szCs w:val="24"/>
        </w:rPr>
      </w:pPr>
      <w:r w:rsidRPr="00E765C6">
        <w:rPr>
          <w:rFonts w:hAnsi="標楷體"/>
          <w:bCs/>
          <w:color w:val="000000"/>
          <w:sz w:val="24"/>
          <w:szCs w:val="24"/>
        </w:rPr>
        <w:t>資料</w:t>
      </w:r>
      <w:r w:rsidRPr="00E765C6">
        <w:rPr>
          <w:rFonts w:hAnsi="標楷體"/>
          <w:color w:val="000000"/>
          <w:sz w:val="24"/>
          <w:szCs w:val="24"/>
        </w:rPr>
        <w:t>來源</w:t>
      </w:r>
      <w:r w:rsidRPr="00E765C6">
        <w:rPr>
          <w:rFonts w:hAnsi="標楷體"/>
          <w:bCs/>
          <w:color w:val="000000"/>
          <w:sz w:val="24"/>
          <w:szCs w:val="24"/>
        </w:rPr>
        <w:t>：金屬中心提供，本報告整理。</w:t>
      </w:r>
    </w:p>
    <w:p w:rsidR="00CC1D2E" w:rsidRPr="00E765C6" w:rsidRDefault="00CC1D2E" w:rsidP="00383D18">
      <w:pPr>
        <w:ind w:left="566" w:firstLine="566"/>
        <w:rPr>
          <w:rFonts w:hAnsi="標楷體" w:hint="eastAsia"/>
          <w:color w:val="000000"/>
        </w:rPr>
      </w:pPr>
      <w:r w:rsidRPr="00E765C6">
        <w:rPr>
          <w:rFonts w:hAnsi="標楷體"/>
          <w:color w:val="000000"/>
        </w:rPr>
        <w:t>綜上，金屬中心轉投資4家公司並提供相關技術移轉協助其發展，</w:t>
      </w:r>
      <w:r w:rsidR="00DC0C78" w:rsidRPr="00E765C6">
        <w:rPr>
          <w:rFonts w:hAnsi="標楷體" w:hint="eastAsia"/>
          <w:color w:val="000000"/>
        </w:rPr>
        <w:t>迄1</w:t>
      </w:r>
      <w:r w:rsidR="00DC0C78" w:rsidRPr="00E765C6">
        <w:rPr>
          <w:rFonts w:hAnsi="標楷體"/>
          <w:color w:val="000000"/>
        </w:rPr>
        <w:t>13</w:t>
      </w:r>
      <w:r w:rsidR="00DC0C78" w:rsidRPr="00E765C6">
        <w:rPr>
          <w:rFonts w:hAnsi="標楷體" w:hint="eastAsia"/>
          <w:color w:val="000000"/>
        </w:rPr>
        <w:t>年底止，</w:t>
      </w:r>
      <w:r w:rsidRPr="00E765C6">
        <w:rPr>
          <w:rFonts w:hAnsi="標楷體"/>
          <w:color w:val="000000"/>
        </w:rPr>
        <w:t>僅1家獲利，餘3家事業尚處虧損情形，雖有</w:t>
      </w:r>
      <w:r w:rsidR="00DC0C78" w:rsidRPr="00E765C6">
        <w:rPr>
          <w:rFonts w:hAnsi="標楷體" w:hint="eastAsia"/>
          <w:color w:val="000000"/>
        </w:rPr>
        <w:t>該</w:t>
      </w:r>
      <w:r w:rsidRPr="00E765C6">
        <w:rPr>
          <w:rFonts w:hAnsi="標楷體"/>
          <w:color w:val="000000"/>
        </w:rPr>
        <w:t>中心技術支援，惟於業務拓展及行銷通路開發尚待加強，允宜注意產業環境</w:t>
      </w:r>
      <w:r w:rsidR="00DC0C78" w:rsidRPr="00E765C6">
        <w:rPr>
          <w:rFonts w:hAnsi="標楷體" w:hint="eastAsia"/>
          <w:color w:val="000000"/>
        </w:rPr>
        <w:t>及</w:t>
      </w:r>
      <w:r w:rsidRPr="00E765C6">
        <w:rPr>
          <w:rFonts w:hAnsi="標楷體"/>
          <w:color w:val="000000"/>
        </w:rPr>
        <w:t>市場變化，</w:t>
      </w:r>
      <w:r w:rsidR="00DC0C78" w:rsidRPr="00E765C6">
        <w:rPr>
          <w:rFonts w:hAnsi="標楷體" w:hint="eastAsia"/>
          <w:color w:val="000000"/>
        </w:rPr>
        <w:t>並</w:t>
      </w:r>
      <w:r w:rsidRPr="00E765C6">
        <w:rPr>
          <w:rFonts w:hAnsi="標楷體"/>
          <w:color w:val="000000"/>
        </w:rPr>
        <w:t>督促該等公司提升經營績效。</w:t>
      </w:r>
    </w:p>
    <w:p w:rsidR="004345F8" w:rsidRPr="00E765C6" w:rsidRDefault="00BB691A" w:rsidP="004345F8">
      <w:pPr>
        <w:pStyle w:val="ab"/>
        <w:rPr>
          <w:rFonts w:hAnsi="標楷體"/>
          <w:color w:val="000000"/>
          <w:szCs w:val="24"/>
        </w:rPr>
      </w:pPr>
      <w:r w:rsidRPr="00E765C6">
        <w:rPr>
          <w:rFonts w:hAnsi="標楷體" w:hint="eastAsia"/>
          <w:color w:val="000000"/>
        </w:rPr>
        <w:t xml:space="preserve">                            </w:t>
      </w:r>
      <w:r w:rsidR="004345F8" w:rsidRPr="00E765C6">
        <w:rPr>
          <w:rFonts w:hAnsi="標楷體" w:hint="eastAsia"/>
          <w:color w:val="000000"/>
          <w:szCs w:val="24"/>
        </w:rPr>
        <w:t>（分機：8656 謝慧燕）</w:t>
      </w:r>
    </w:p>
    <w:p w:rsidR="004907F8" w:rsidRPr="00E765C6" w:rsidRDefault="004907F8" w:rsidP="00BB691A">
      <w:pPr>
        <w:pStyle w:val="ab"/>
        <w:rPr>
          <w:rFonts w:hAnsi="標楷體"/>
          <w:color w:val="000000"/>
        </w:rPr>
      </w:pPr>
    </w:p>
    <w:sectPr w:rsidR="004907F8" w:rsidRPr="00E765C6" w:rsidSect="004D6904">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DD2" w:rsidRDefault="00C35DD2" w:rsidP="00FB21C0">
      <w:pPr>
        <w:spacing w:line="240" w:lineRule="auto"/>
        <w:ind w:left="560" w:firstLine="560"/>
      </w:pPr>
      <w:r>
        <w:separator/>
      </w:r>
    </w:p>
  </w:endnote>
  <w:endnote w:type="continuationSeparator" w:id="0">
    <w:p w:rsidR="00C35DD2" w:rsidRDefault="00C35DD2" w:rsidP="00FB21C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B43" w:rsidRDefault="00251B4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994" w:rsidRPr="00AC6A52" w:rsidRDefault="001B1994" w:rsidP="00D321F8">
    <w:pPr>
      <w:pStyle w:val="af0"/>
      <w:framePr w:wrap="around" w:vAnchor="text" w:hAnchor="margin" w:xAlign="center" w:y="1"/>
      <w:ind w:leftChars="0" w:left="560" w:hangingChars="280" w:hanging="560"/>
      <w:rPr>
        <w:rStyle w:val="af2"/>
      </w:rPr>
    </w:pPr>
    <w:r w:rsidRPr="00AC6A52">
      <w:rPr>
        <w:rStyle w:val="af2"/>
      </w:rPr>
      <w:t>64-1</w:t>
    </w:r>
  </w:p>
  <w:p w:rsidR="001B1994" w:rsidRDefault="001B1994" w:rsidP="00587F31">
    <w:pPr>
      <w:pStyle w:val="af0"/>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B43" w:rsidRDefault="00251B43">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5EA" w:rsidRPr="00AC6A52" w:rsidRDefault="00C507E1" w:rsidP="00B06EAF">
    <w:pPr>
      <w:pStyle w:val="af0"/>
      <w:framePr w:wrap="around" w:vAnchor="text" w:hAnchor="margin" w:xAlign="center" w:y="1"/>
      <w:ind w:leftChars="0" w:left="560" w:hangingChars="280" w:hanging="560"/>
      <w:rPr>
        <w:rStyle w:val="af2"/>
      </w:rPr>
    </w:pPr>
    <w:r w:rsidRPr="00AC6A52">
      <w:rPr>
        <w:rStyle w:val="af2"/>
      </w:rPr>
      <w:t>64-</w:t>
    </w:r>
    <w:r w:rsidR="006305EA" w:rsidRPr="00AC6A52">
      <w:rPr>
        <w:rStyle w:val="af2"/>
      </w:rPr>
      <w:fldChar w:fldCharType="begin"/>
    </w:r>
    <w:r w:rsidR="006305EA" w:rsidRPr="00AC6A52">
      <w:rPr>
        <w:rStyle w:val="af2"/>
      </w:rPr>
      <w:instrText xml:space="preserve">PAGE  </w:instrText>
    </w:r>
    <w:r w:rsidR="006305EA" w:rsidRPr="00AC6A52">
      <w:rPr>
        <w:rStyle w:val="af2"/>
      </w:rPr>
      <w:fldChar w:fldCharType="separate"/>
    </w:r>
    <w:r w:rsidR="00251B43">
      <w:rPr>
        <w:rStyle w:val="af2"/>
        <w:noProof/>
      </w:rPr>
      <w:t>1</w:t>
    </w:r>
    <w:r w:rsidR="006305EA" w:rsidRPr="00AC6A52">
      <w:rPr>
        <w:rStyle w:val="af2"/>
      </w:rPr>
      <w:fldChar w:fldCharType="end"/>
    </w:r>
  </w:p>
  <w:p w:rsidR="006305EA" w:rsidRDefault="006305EA" w:rsidP="00F449D4">
    <w:pPr>
      <w:pStyle w:val="af0"/>
      <w:ind w:leftChars="0" w:left="560" w:hangingChars="280" w:hanging="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DD2" w:rsidRDefault="00C35DD2" w:rsidP="00704589">
      <w:pPr>
        <w:spacing w:line="240" w:lineRule="auto"/>
        <w:ind w:left="560" w:firstLine="560"/>
      </w:pPr>
      <w:r>
        <w:separator/>
      </w:r>
    </w:p>
  </w:footnote>
  <w:footnote w:type="continuationSeparator" w:id="0">
    <w:p w:rsidR="00C35DD2" w:rsidRDefault="00C35DD2" w:rsidP="00FB21C0">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B43" w:rsidRDefault="00251B4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B43" w:rsidRDefault="00251B43">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B43" w:rsidRDefault="00251B4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B6EEB"/>
    <w:multiLevelType w:val="hybridMultilevel"/>
    <w:tmpl w:val="FD94B1CC"/>
    <w:lvl w:ilvl="0" w:tplc="17E87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C10592"/>
    <w:multiLevelType w:val="hybridMultilevel"/>
    <w:tmpl w:val="38CC7812"/>
    <w:lvl w:ilvl="0" w:tplc="1A78D8EA">
      <w:numFmt w:val="bullet"/>
      <w:lvlText w:val="※"/>
      <w:lvlJc w:val="left"/>
      <w:pPr>
        <w:tabs>
          <w:tab w:val="num" w:pos="362"/>
        </w:tabs>
        <w:ind w:left="362" w:hanging="360"/>
      </w:pPr>
      <w:rPr>
        <w:rFonts w:ascii="標楷體" w:eastAsia="標楷體" w:hAnsi="標楷體" w:cs="Times New Roman" w:hint="eastAsia"/>
      </w:rPr>
    </w:lvl>
    <w:lvl w:ilvl="1" w:tplc="04090003" w:tentative="1">
      <w:start w:val="1"/>
      <w:numFmt w:val="bullet"/>
      <w:lvlText w:val=""/>
      <w:lvlJc w:val="left"/>
      <w:pPr>
        <w:tabs>
          <w:tab w:val="num" w:pos="962"/>
        </w:tabs>
        <w:ind w:left="962" w:hanging="480"/>
      </w:pPr>
      <w:rPr>
        <w:rFonts w:ascii="Wingdings" w:hAnsi="Wingdings" w:hint="default"/>
      </w:rPr>
    </w:lvl>
    <w:lvl w:ilvl="2" w:tplc="04090005" w:tentative="1">
      <w:start w:val="1"/>
      <w:numFmt w:val="bullet"/>
      <w:lvlText w:val=""/>
      <w:lvlJc w:val="left"/>
      <w:pPr>
        <w:tabs>
          <w:tab w:val="num" w:pos="1442"/>
        </w:tabs>
        <w:ind w:left="1442" w:hanging="480"/>
      </w:pPr>
      <w:rPr>
        <w:rFonts w:ascii="Wingdings" w:hAnsi="Wingdings" w:hint="default"/>
      </w:rPr>
    </w:lvl>
    <w:lvl w:ilvl="3" w:tplc="04090001" w:tentative="1">
      <w:start w:val="1"/>
      <w:numFmt w:val="bullet"/>
      <w:lvlText w:val=""/>
      <w:lvlJc w:val="left"/>
      <w:pPr>
        <w:tabs>
          <w:tab w:val="num" w:pos="1922"/>
        </w:tabs>
        <w:ind w:left="1922" w:hanging="480"/>
      </w:pPr>
      <w:rPr>
        <w:rFonts w:ascii="Wingdings" w:hAnsi="Wingdings" w:hint="default"/>
      </w:rPr>
    </w:lvl>
    <w:lvl w:ilvl="4" w:tplc="04090003" w:tentative="1">
      <w:start w:val="1"/>
      <w:numFmt w:val="bullet"/>
      <w:lvlText w:val=""/>
      <w:lvlJc w:val="left"/>
      <w:pPr>
        <w:tabs>
          <w:tab w:val="num" w:pos="2402"/>
        </w:tabs>
        <w:ind w:left="2402" w:hanging="480"/>
      </w:pPr>
      <w:rPr>
        <w:rFonts w:ascii="Wingdings" w:hAnsi="Wingdings" w:hint="default"/>
      </w:rPr>
    </w:lvl>
    <w:lvl w:ilvl="5" w:tplc="04090005" w:tentative="1">
      <w:start w:val="1"/>
      <w:numFmt w:val="bullet"/>
      <w:lvlText w:val=""/>
      <w:lvlJc w:val="left"/>
      <w:pPr>
        <w:tabs>
          <w:tab w:val="num" w:pos="2882"/>
        </w:tabs>
        <w:ind w:left="2882" w:hanging="480"/>
      </w:pPr>
      <w:rPr>
        <w:rFonts w:ascii="Wingdings" w:hAnsi="Wingdings" w:hint="default"/>
      </w:rPr>
    </w:lvl>
    <w:lvl w:ilvl="6" w:tplc="04090001" w:tentative="1">
      <w:start w:val="1"/>
      <w:numFmt w:val="bullet"/>
      <w:lvlText w:val=""/>
      <w:lvlJc w:val="left"/>
      <w:pPr>
        <w:tabs>
          <w:tab w:val="num" w:pos="3362"/>
        </w:tabs>
        <w:ind w:left="3362" w:hanging="480"/>
      </w:pPr>
      <w:rPr>
        <w:rFonts w:ascii="Wingdings" w:hAnsi="Wingdings" w:hint="default"/>
      </w:rPr>
    </w:lvl>
    <w:lvl w:ilvl="7" w:tplc="04090003" w:tentative="1">
      <w:start w:val="1"/>
      <w:numFmt w:val="bullet"/>
      <w:lvlText w:val=""/>
      <w:lvlJc w:val="left"/>
      <w:pPr>
        <w:tabs>
          <w:tab w:val="num" w:pos="3842"/>
        </w:tabs>
        <w:ind w:left="3842" w:hanging="480"/>
      </w:pPr>
      <w:rPr>
        <w:rFonts w:ascii="Wingdings" w:hAnsi="Wingdings" w:hint="default"/>
      </w:rPr>
    </w:lvl>
    <w:lvl w:ilvl="8" w:tplc="04090005" w:tentative="1">
      <w:start w:val="1"/>
      <w:numFmt w:val="bullet"/>
      <w:lvlText w:val=""/>
      <w:lvlJc w:val="left"/>
      <w:pPr>
        <w:tabs>
          <w:tab w:val="num" w:pos="4322"/>
        </w:tabs>
        <w:ind w:left="4322" w:hanging="480"/>
      </w:pPr>
      <w:rPr>
        <w:rFonts w:ascii="Wingdings" w:hAnsi="Wingdings" w:hint="default"/>
      </w:rPr>
    </w:lvl>
  </w:abstractNum>
  <w:abstractNum w:abstractNumId="2" w15:restartNumberingAfterBreak="0">
    <w:nsid w:val="64A61158"/>
    <w:multiLevelType w:val="multilevel"/>
    <w:tmpl w:val="85B013E4"/>
    <w:lvl w:ilvl="0">
      <w:start w:val="1"/>
      <w:numFmt w:val="taiwaneseCountingThousand"/>
      <w:lvlText w:val="%1、"/>
      <w:lvlJc w:val="left"/>
      <w:pPr>
        <w:ind w:left="900" w:hanging="720"/>
      </w:pPr>
      <w:rPr>
        <w:rFonts w:hint="default"/>
        <w:lang w:val="en-US"/>
      </w:rPr>
    </w:lvl>
    <w:lvl w:ilvl="1">
      <w:start w:val="1"/>
      <w:numFmt w:val="decimal"/>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7C477024"/>
    <w:multiLevelType w:val="hybridMultilevel"/>
    <w:tmpl w:val="8280FAEC"/>
    <w:lvl w:ilvl="0" w:tplc="AA6C944A">
      <w:start w:val="9"/>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3"/>
    <w:rsid w:val="00002861"/>
    <w:rsid w:val="0000303E"/>
    <w:rsid w:val="00004D4B"/>
    <w:rsid w:val="00005587"/>
    <w:rsid w:val="000063C1"/>
    <w:rsid w:val="000063D1"/>
    <w:rsid w:val="0000690F"/>
    <w:rsid w:val="00006FBE"/>
    <w:rsid w:val="000071E9"/>
    <w:rsid w:val="000103B2"/>
    <w:rsid w:val="00010B68"/>
    <w:rsid w:val="000118FD"/>
    <w:rsid w:val="00012285"/>
    <w:rsid w:val="00014129"/>
    <w:rsid w:val="0001428A"/>
    <w:rsid w:val="00014522"/>
    <w:rsid w:val="00016247"/>
    <w:rsid w:val="00017328"/>
    <w:rsid w:val="00017B0E"/>
    <w:rsid w:val="000203D5"/>
    <w:rsid w:val="00020AF5"/>
    <w:rsid w:val="0002216A"/>
    <w:rsid w:val="00022EAB"/>
    <w:rsid w:val="00022FBE"/>
    <w:rsid w:val="0002379C"/>
    <w:rsid w:val="00025EC2"/>
    <w:rsid w:val="00026AE4"/>
    <w:rsid w:val="00027E51"/>
    <w:rsid w:val="00031A42"/>
    <w:rsid w:val="00031F0F"/>
    <w:rsid w:val="00032013"/>
    <w:rsid w:val="0003243F"/>
    <w:rsid w:val="00032D76"/>
    <w:rsid w:val="00033EAD"/>
    <w:rsid w:val="000342AA"/>
    <w:rsid w:val="000346C1"/>
    <w:rsid w:val="00034F5E"/>
    <w:rsid w:val="00034FF5"/>
    <w:rsid w:val="00036C4A"/>
    <w:rsid w:val="00040386"/>
    <w:rsid w:val="00040F73"/>
    <w:rsid w:val="00042E90"/>
    <w:rsid w:val="0004301D"/>
    <w:rsid w:val="0004344F"/>
    <w:rsid w:val="0004441C"/>
    <w:rsid w:val="00045471"/>
    <w:rsid w:val="000460B3"/>
    <w:rsid w:val="00046378"/>
    <w:rsid w:val="0004650B"/>
    <w:rsid w:val="00046810"/>
    <w:rsid w:val="000503E3"/>
    <w:rsid w:val="00050754"/>
    <w:rsid w:val="00050C88"/>
    <w:rsid w:val="00051213"/>
    <w:rsid w:val="0005139F"/>
    <w:rsid w:val="00051E08"/>
    <w:rsid w:val="00052077"/>
    <w:rsid w:val="000529C8"/>
    <w:rsid w:val="000541EA"/>
    <w:rsid w:val="00054F00"/>
    <w:rsid w:val="00054F68"/>
    <w:rsid w:val="000564D6"/>
    <w:rsid w:val="0005691A"/>
    <w:rsid w:val="00057BFB"/>
    <w:rsid w:val="00060C93"/>
    <w:rsid w:val="0006116A"/>
    <w:rsid w:val="00061265"/>
    <w:rsid w:val="000624BC"/>
    <w:rsid w:val="0006472F"/>
    <w:rsid w:val="00064CC5"/>
    <w:rsid w:val="0006596C"/>
    <w:rsid w:val="00066BE6"/>
    <w:rsid w:val="00067778"/>
    <w:rsid w:val="0007047E"/>
    <w:rsid w:val="00070F74"/>
    <w:rsid w:val="0007121C"/>
    <w:rsid w:val="00071F23"/>
    <w:rsid w:val="0007208B"/>
    <w:rsid w:val="00072FD4"/>
    <w:rsid w:val="00073D24"/>
    <w:rsid w:val="000752EA"/>
    <w:rsid w:val="000755E5"/>
    <w:rsid w:val="00080234"/>
    <w:rsid w:val="000826F3"/>
    <w:rsid w:val="000836D1"/>
    <w:rsid w:val="00086C8F"/>
    <w:rsid w:val="000873D2"/>
    <w:rsid w:val="000913FE"/>
    <w:rsid w:val="00092165"/>
    <w:rsid w:val="00092AF1"/>
    <w:rsid w:val="00093143"/>
    <w:rsid w:val="00093F76"/>
    <w:rsid w:val="00093F82"/>
    <w:rsid w:val="00094528"/>
    <w:rsid w:val="00095B5C"/>
    <w:rsid w:val="0009689E"/>
    <w:rsid w:val="000A140F"/>
    <w:rsid w:val="000A18DF"/>
    <w:rsid w:val="000A1E01"/>
    <w:rsid w:val="000A3F35"/>
    <w:rsid w:val="000A40AA"/>
    <w:rsid w:val="000A436E"/>
    <w:rsid w:val="000A46B5"/>
    <w:rsid w:val="000A5E5F"/>
    <w:rsid w:val="000A6C02"/>
    <w:rsid w:val="000A7C00"/>
    <w:rsid w:val="000B062A"/>
    <w:rsid w:val="000B11A2"/>
    <w:rsid w:val="000B1911"/>
    <w:rsid w:val="000B2DA5"/>
    <w:rsid w:val="000B37DF"/>
    <w:rsid w:val="000B3DFA"/>
    <w:rsid w:val="000B4065"/>
    <w:rsid w:val="000B42BD"/>
    <w:rsid w:val="000B53AB"/>
    <w:rsid w:val="000B5B02"/>
    <w:rsid w:val="000B5DBC"/>
    <w:rsid w:val="000B5DF7"/>
    <w:rsid w:val="000B5F9D"/>
    <w:rsid w:val="000B714E"/>
    <w:rsid w:val="000C173A"/>
    <w:rsid w:val="000C3967"/>
    <w:rsid w:val="000C424F"/>
    <w:rsid w:val="000C6806"/>
    <w:rsid w:val="000C7056"/>
    <w:rsid w:val="000C7450"/>
    <w:rsid w:val="000C7F6B"/>
    <w:rsid w:val="000D0B72"/>
    <w:rsid w:val="000D0B7D"/>
    <w:rsid w:val="000D1631"/>
    <w:rsid w:val="000D19BD"/>
    <w:rsid w:val="000D19EF"/>
    <w:rsid w:val="000D1CF5"/>
    <w:rsid w:val="000D2B82"/>
    <w:rsid w:val="000D38FB"/>
    <w:rsid w:val="000D57BB"/>
    <w:rsid w:val="000D5D25"/>
    <w:rsid w:val="000D737D"/>
    <w:rsid w:val="000D7F60"/>
    <w:rsid w:val="000E1053"/>
    <w:rsid w:val="000E1486"/>
    <w:rsid w:val="000E2176"/>
    <w:rsid w:val="000E24EF"/>
    <w:rsid w:val="000E4B55"/>
    <w:rsid w:val="000E5541"/>
    <w:rsid w:val="000E55D1"/>
    <w:rsid w:val="000E5DB5"/>
    <w:rsid w:val="000E614D"/>
    <w:rsid w:val="000E6184"/>
    <w:rsid w:val="000E62EF"/>
    <w:rsid w:val="000E6C2C"/>
    <w:rsid w:val="000E79D5"/>
    <w:rsid w:val="000E7CDA"/>
    <w:rsid w:val="000F0457"/>
    <w:rsid w:val="000F1786"/>
    <w:rsid w:val="000F19BE"/>
    <w:rsid w:val="000F1C84"/>
    <w:rsid w:val="000F288F"/>
    <w:rsid w:val="000F2E48"/>
    <w:rsid w:val="000F301E"/>
    <w:rsid w:val="000F3E34"/>
    <w:rsid w:val="000F41E8"/>
    <w:rsid w:val="000F41EC"/>
    <w:rsid w:val="000F5134"/>
    <w:rsid w:val="000F5555"/>
    <w:rsid w:val="000F5ECE"/>
    <w:rsid w:val="000F6D6D"/>
    <w:rsid w:val="000F7BA0"/>
    <w:rsid w:val="000F7E05"/>
    <w:rsid w:val="00100C16"/>
    <w:rsid w:val="001012C1"/>
    <w:rsid w:val="00102707"/>
    <w:rsid w:val="00102AE1"/>
    <w:rsid w:val="001031A5"/>
    <w:rsid w:val="00103361"/>
    <w:rsid w:val="00103CD8"/>
    <w:rsid w:val="00104BF2"/>
    <w:rsid w:val="0010564B"/>
    <w:rsid w:val="001069A1"/>
    <w:rsid w:val="00107791"/>
    <w:rsid w:val="0011049E"/>
    <w:rsid w:val="00110CE7"/>
    <w:rsid w:val="00111442"/>
    <w:rsid w:val="00111957"/>
    <w:rsid w:val="00112475"/>
    <w:rsid w:val="00112E73"/>
    <w:rsid w:val="00113020"/>
    <w:rsid w:val="001133BF"/>
    <w:rsid w:val="00113751"/>
    <w:rsid w:val="00113FEE"/>
    <w:rsid w:val="00115005"/>
    <w:rsid w:val="00115105"/>
    <w:rsid w:val="00115740"/>
    <w:rsid w:val="00115B5C"/>
    <w:rsid w:val="00115EED"/>
    <w:rsid w:val="001168FE"/>
    <w:rsid w:val="001179BA"/>
    <w:rsid w:val="001205C5"/>
    <w:rsid w:val="001207BE"/>
    <w:rsid w:val="00121650"/>
    <w:rsid w:val="00122027"/>
    <w:rsid w:val="00123317"/>
    <w:rsid w:val="00124799"/>
    <w:rsid w:val="00124C35"/>
    <w:rsid w:val="00125D2C"/>
    <w:rsid w:val="001265DF"/>
    <w:rsid w:val="00130D61"/>
    <w:rsid w:val="001318F5"/>
    <w:rsid w:val="0013289E"/>
    <w:rsid w:val="00133E70"/>
    <w:rsid w:val="00135202"/>
    <w:rsid w:val="001352FB"/>
    <w:rsid w:val="00135ACB"/>
    <w:rsid w:val="00136874"/>
    <w:rsid w:val="00137255"/>
    <w:rsid w:val="00137C8B"/>
    <w:rsid w:val="00140C19"/>
    <w:rsid w:val="00140D7C"/>
    <w:rsid w:val="00141108"/>
    <w:rsid w:val="00142F8E"/>
    <w:rsid w:val="00145109"/>
    <w:rsid w:val="001451CB"/>
    <w:rsid w:val="0014559B"/>
    <w:rsid w:val="00145660"/>
    <w:rsid w:val="0014667B"/>
    <w:rsid w:val="0015278C"/>
    <w:rsid w:val="00152834"/>
    <w:rsid w:val="0015642A"/>
    <w:rsid w:val="001572C5"/>
    <w:rsid w:val="001577A4"/>
    <w:rsid w:val="00157E2B"/>
    <w:rsid w:val="00160C0E"/>
    <w:rsid w:val="00160EB8"/>
    <w:rsid w:val="001627CF"/>
    <w:rsid w:val="00163653"/>
    <w:rsid w:val="00163E0F"/>
    <w:rsid w:val="00163FAD"/>
    <w:rsid w:val="00164573"/>
    <w:rsid w:val="00164E53"/>
    <w:rsid w:val="00165347"/>
    <w:rsid w:val="001658FD"/>
    <w:rsid w:val="00166FB2"/>
    <w:rsid w:val="00167136"/>
    <w:rsid w:val="00167796"/>
    <w:rsid w:val="00167E33"/>
    <w:rsid w:val="00167FD4"/>
    <w:rsid w:val="0017022E"/>
    <w:rsid w:val="00170281"/>
    <w:rsid w:val="00171F9B"/>
    <w:rsid w:val="001722B9"/>
    <w:rsid w:val="0017294A"/>
    <w:rsid w:val="001729E2"/>
    <w:rsid w:val="001733CA"/>
    <w:rsid w:val="00173457"/>
    <w:rsid w:val="001737F7"/>
    <w:rsid w:val="00174BA4"/>
    <w:rsid w:val="00174DB9"/>
    <w:rsid w:val="00175F0A"/>
    <w:rsid w:val="00177271"/>
    <w:rsid w:val="00177B7B"/>
    <w:rsid w:val="00177C42"/>
    <w:rsid w:val="0018045D"/>
    <w:rsid w:val="001809CA"/>
    <w:rsid w:val="00180BB6"/>
    <w:rsid w:val="00181A87"/>
    <w:rsid w:val="00184571"/>
    <w:rsid w:val="00184738"/>
    <w:rsid w:val="0018497C"/>
    <w:rsid w:val="00186203"/>
    <w:rsid w:val="001865FD"/>
    <w:rsid w:val="00187B98"/>
    <w:rsid w:val="00190F3C"/>
    <w:rsid w:val="00192049"/>
    <w:rsid w:val="00192738"/>
    <w:rsid w:val="001928CF"/>
    <w:rsid w:val="00193337"/>
    <w:rsid w:val="00194CB8"/>
    <w:rsid w:val="0019683F"/>
    <w:rsid w:val="00197270"/>
    <w:rsid w:val="001A029A"/>
    <w:rsid w:val="001A097F"/>
    <w:rsid w:val="001A2702"/>
    <w:rsid w:val="001A5118"/>
    <w:rsid w:val="001A5847"/>
    <w:rsid w:val="001A6903"/>
    <w:rsid w:val="001B02F0"/>
    <w:rsid w:val="001B0AF1"/>
    <w:rsid w:val="001B0E76"/>
    <w:rsid w:val="001B12FF"/>
    <w:rsid w:val="001B1994"/>
    <w:rsid w:val="001B1B1D"/>
    <w:rsid w:val="001B1B2B"/>
    <w:rsid w:val="001B27C2"/>
    <w:rsid w:val="001B2F77"/>
    <w:rsid w:val="001B3009"/>
    <w:rsid w:val="001B3599"/>
    <w:rsid w:val="001B3B29"/>
    <w:rsid w:val="001B3E2D"/>
    <w:rsid w:val="001B52C3"/>
    <w:rsid w:val="001B5956"/>
    <w:rsid w:val="001B6E5A"/>
    <w:rsid w:val="001B7FF2"/>
    <w:rsid w:val="001C1781"/>
    <w:rsid w:val="001C1839"/>
    <w:rsid w:val="001C1B7D"/>
    <w:rsid w:val="001C1E6E"/>
    <w:rsid w:val="001C2645"/>
    <w:rsid w:val="001C3436"/>
    <w:rsid w:val="001C61CE"/>
    <w:rsid w:val="001C6E98"/>
    <w:rsid w:val="001C7CF8"/>
    <w:rsid w:val="001D1719"/>
    <w:rsid w:val="001D1778"/>
    <w:rsid w:val="001D18E1"/>
    <w:rsid w:val="001D1A3D"/>
    <w:rsid w:val="001D3471"/>
    <w:rsid w:val="001D3CA2"/>
    <w:rsid w:val="001D3CE5"/>
    <w:rsid w:val="001D3E40"/>
    <w:rsid w:val="001D401E"/>
    <w:rsid w:val="001D431C"/>
    <w:rsid w:val="001D4488"/>
    <w:rsid w:val="001D71D3"/>
    <w:rsid w:val="001D7E41"/>
    <w:rsid w:val="001D7F31"/>
    <w:rsid w:val="001E1CC8"/>
    <w:rsid w:val="001E3738"/>
    <w:rsid w:val="001E3CE7"/>
    <w:rsid w:val="001E4F5E"/>
    <w:rsid w:val="001E64FD"/>
    <w:rsid w:val="001E6B70"/>
    <w:rsid w:val="001E6F72"/>
    <w:rsid w:val="001E7F4C"/>
    <w:rsid w:val="001F1F61"/>
    <w:rsid w:val="001F23C3"/>
    <w:rsid w:val="001F281A"/>
    <w:rsid w:val="001F2DBB"/>
    <w:rsid w:val="001F507A"/>
    <w:rsid w:val="001F5E26"/>
    <w:rsid w:val="001F6688"/>
    <w:rsid w:val="001F66B4"/>
    <w:rsid w:val="001F72C7"/>
    <w:rsid w:val="00200624"/>
    <w:rsid w:val="0020089A"/>
    <w:rsid w:val="0020110E"/>
    <w:rsid w:val="00202615"/>
    <w:rsid w:val="00203021"/>
    <w:rsid w:val="002030D9"/>
    <w:rsid w:val="0020526A"/>
    <w:rsid w:val="00205498"/>
    <w:rsid w:val="002072C6"/>
    <w:rsid w:val="0020784C"/>
    <w:rsid w:val="00207DFC"/>
    <w:rsid w:val="002100C7"/>
    <w:rsid w:val="00210347"/>
    <w:rsid w:val="0021055B"/>
    <w:rsid w:val="00211DAF"/>
    <w:rsid w:val="0021336F"/>
    <w:rsid w:val="00214531"/>
    <w:rsid w:val="002146BF"/>
    <w:rsid w:val="0021482D"/>
    <w:rsid w:val="00215AD3"/>
    <w:rsid w:val="00216D82"/>
    <w:rsid w:val="0021754D"/>
    <w:rsid w:val="0021795D"/>
    <w:rsid w:val="00222021"/>
    <w:rsid w:val="00222529"/>
    <w:rsid w:val="002231B1"/>
    <w:rsid w:val="0022378B"/>
    <w:rsid w:val="00224795"/>
    <w:rsid w:val="002247F5"/>
    <w:rsid w:val="00224887"/>
    <w:rsid w:val="00224B1D"/>
    <w:rsid w:val="00224EDB"/>
    <w:rsid w:val="00225418"/>
    <w:rsid w:val="002262F0"/>
    <w:rsid w:val="00226DCA"/>
    <w:rsid w:val="00226F63"/>
    <w:rsid w:val="00227C84"/>
    <w:rsid w:val="00230594"/>
    <w:rsid w:val="002309C4"/>
    <w:rsid w:val="002312D7"/>
    <w:rsid w:val="00231ED8"/>
    <w:rsid w:val="00232496"/>
    <w:rsid w:val="00234C46"/>
    <w:rsid w:val="0023632E"/>
    <w:rsid w:val="00236C62"/>
    <w:rsid w:val="00236DBC"/>
    <w:rsid w:val="00240856"/>
    <w:rsid w:val="00241047"/>
    <w:rsid w:val="00241C5A"/>
    <w:rsid w:val="00243ABB"/>
    <w:rsid w:val="00243BC7"/>
    <w:rsid w:val="002440D5"/>
    <w:rsid w:val="00244627"/>
    <w:rsid w:val="00244A70"/>
    <w:rsid w:val="00245EE7"/>
    <w:rsid w:val="0024691B"/>
    <w:rsid w:val="00247B4A"/>
    <w:rsid w:val="00247C2B"/>
    <w:rsid w:val="00247C59"/>
    <w:rsid w:val="002509D2"/>
    <w:rsid w:val="00250F55"/>
    <w:rsid w:val="00251608"/>
    <w:rsid w:val="00251B43"/>
    <w:rsid w:val="002538C8"/>
    <w:rsid w:val="00254D25"/>
    <w:rsid w:val="00255F64"/>
    <w:rsid w:val="0025619C"/>
    <w:rsid w:val="00256FF0"/>
    <w:rsid w:val="002603EA"/>
    <w:rsid w:val="002635B4"/>
    <w:rsid w:val="0026508A"/>
    <w:rsid w:val="00265FBF"/>
    <w:rsid w:val="00267AE9"/>
    <w:rsid w:val="00267D27"/>
    <w:rsid w:val="00272088"/>
    <w:rsid w:val="002727BC"/>
    <w:rsid w:val="002738AE"/>
    <w:rsid w:val="0027463B"/>
    <w:rsid w:val="00274CD5"/>
    <w:rsid w:val="00274FD6"/>
    <w:rsid w:val="00275C1B"/>
    <w:rsid w:val="00275E1B"/>
    <w:rsid w:val="002763E3"/>
    <w:rsid w:val="002771BA"/>
    <w:rsid w:val="002778A4"/>
    <w:rsid w:val="00277BE0"/>
    <w:rsid w:val="002819E4"/>
    <w:rsid w:val="002822C0"/>
    <w:rsid w:val="00282DA4"/>
    <w:rsid w:val="00282E24"/>
    <w:rsid w:val="0028327F"/>
    <w:rsid w:val="00283725"/>
    <w:rsid w:val="00284AD2"/>
    <w:rsid w:val="002850F1"/>
    <w:rsid w:val="00285E29"/>
    <w:rsid w:val="00286148"/>
    <w:rsid w:val="00287E9A"/>
    <w:rsid w:val="0029060F"/>
    <w:rsid w:val="00290757"/>
    <w:rsid w:val="00290A29"/>
    <w:rsid w:val="00290B93"/>
    <w:rsid w:val="0029155A"/>
    <w:rsid w:val="00291656"/>
    <w:rsid w:val="002919DD"/>
    <w:rsid w:val="00292126"/>
    <w:rsid w:val="002931A6"/>
    <w:rsid w:val="0029333B"/>
    <w:rsid w:val="002937BA"/>
    <w:rsid w:val="00295476"/>
    <w:rsid w:val="00295CE6"/>
    <w:rsid w:val="00296872"/>
    <w:rsid w:val="002976E6"/>
    <w:rsid w:val="00297B0E"/>
    <w:rsid w:val="002A00FA"/>
    <w:rsid w:val="002A02F6"/>
    <w:rsid w:val="002A21B7"/>
    <w:rsid w:val="002A21BB"/>
    <w:rsid w:val="002A3364"/>
    <w:rsid w:val="002A395B"/>
    <w:rsid w:val="002A40AB"/>
    <w:rsid w:val="002A4181"/>
    <w:rsid w:val="002A4BD8"/>
    <w:rsid w:val="002A5B42"/>
    <w:rsid w:val="002A61CF"/>
    <w:rsid w:val="002A7A03"/>
    <w:rsid w:val="002B0619"/>
    <w:rsid w:val="002B0899"/>
    <w:rsid w:val="002B0EEB"/>
    <w:rsid w:val="002B1682"/>
    <w:rsid w:val="002B35A3"/>
    <w:rsid w:val="002B3E07"/>
    <w:rsid w:val="002B449F"/>
    <w:rsid w:val="002B48D6"/>
    <w:rsid w:val="002B4CAE"/>
    <w:rsid w:val="002B5A15"/>
    <w:rsid w:val="002B6295"/>
    <w:rsid w:val="002B65E7"/>
    <w:rsid w:val="002B6DF2"/>
    <w:rsid w:val="002C03A2"/>
    <w:rsid w:val="002C0D65"/>
    <w:rsid w:val="002C1695"/>
    <w:rsid w:val="002C1C6C"/>
    <w:rsid w:val="002C1EC6"/>
    <w:rsid w:val="002C422A"/>
    <w:rsid w:val="002C50B9"/>
    <w:rsid w:val="002C5B26"/>
    <w:rsid w:val="002C6A05"/>
    <w:rsid w:val="002D126E"/>
    <w:rsid w:val="002D16E2"/>
    <w:rsid w:val="002D1720"/>
    <w:rsid w:val="002D2428"/>
    <w:rsid w:val="002D33A0"/>
    <w:rsid w:val="002D424D"/>
    <w:rsid w:val="002D4B34"/>
    <w:rsid w:val="002D4B43"/>
    <w:rsid w:val="002D5B2C"/>
    <w:rsid w:val="002D76A7"/>
    <w:rsid w:val="002D78FD"/>
    <w:rsid w:val="002E0381"/>
    <w:rsid w:val="002E21B1"/>
    <w:rsid w:val="002E4E88"/>
    <w:rsid w:val="002E58F1"/>
    <w:rsid w:val="002E67E9"/>
    <w:rsid w:val="002E6B4B"/>
    <w:rsid w:val="002F16F3"/>
    <w:rsid w:val="002F1F62"/>
    <w:rsid w:val="002F331C"/>
    <w:rsid w:val="002F45A3"/>
    <w:rsid w:val="002F58AB"/>
    <w:rsid w:val="002F5F7F"/>
    <w:rsid w:val="002F6A1D"/>
    <w:rsid w:val="002F6C52"/>
    <w:rsid w:val="002F724F"/>
    <w:rsid w:val="002F7A7E"/>
    <w:rsid w:val="00300424"/>
    <w:rsid w:val="00301E0B"/>
    <w:rsid w:val="00302732"/>
    <w:rsid w:val="00303527"/>
    <w:rsid w:val="003046FF"/>
    <w:rsid w:val="003058C3"/>
    <w:rsid w:val="003066C2"/>
    <w:rsid w:val="0031211D"/>
    <w:rsid w:val="00313124"/>
    <w:rsid w:val="0031312E"/>
    <w:rsid w:val="0031369A"/>
    <w:rsid w:val="003141D8"/>
    <w:rsid w:val="003145EB"/>
    <w:rsid w:val="00314F6F"/>
    <w:rsid w:val="003158CC"/>
    <w:rsid w:val="00315EA8"/>
    <w:rsid w:val="00315F9D"/>
    <w:rsid w:val="00316561"/>
    <w:rsid w:val="00316FEE"/>
    <w:rsid w:val="00320AE9"/>
    <w:rsid w:val="00320E2C"/>
    <w:rsid w:val="003229CB"/>
    <w:rsid w:val="00324220"/>
    <w:rsid w:val="003244E5"/>
    <w:rsid w:val="0032579E"/>
    <w:rsid w:val="00326D29"/>
    <w:rsid w:val="00327808"/>
    <w:rsid w:val="00327962"/>
    <w:rsid w:val="00327EAB"/>
    <w:rsid w:val="00330A7B"/>
    <w:rsid w:val="00331E70"/>
    <w:rsid w:val="0033238D"/>
    <w:rsid w:val="00333940"/>
    <w:rsid w:val="00333AD8"/>
    <w:rsid w:val="003346A0"/>
    <w:rsid w:val="00335CBE"/>
    <w:rsid w:val="00337A16"/>
    <w:rsid w:val="00337A59"/>
    <w:rsid w:val="00340676"/>
    <w:rsid w:val="00342063"/>
    <w:rsid w:val="0034256B"/>
    <w:rsid w:val="00343159"/>
    <w:rsid w:val="00344014"/>
    <w:rsid w:val="0034472D"/>
    <w:rsid w:val="0034644B"/>
    <w:rsid w:val="003475A0"/>
    <w:rsid w:val="003475B0"/>
    <w:rsid w:val="0035033B"/>
    <w:rsid w:val="00350407"/>
    <w:rsid w:val="003504A2"/>
    <w:rsid w:val="00352BE7"/>
    <w:rsid w:val="00352F9A"/>
    <w:rsid w:val="003543FA"/>
    <w:rsid w:val="00354425"/>
    <w:rsid w:val="00355A29"/>
    <w:rsid w:val="00355DD5"/>
    <w:rsid w:val="00356152"/>
    <w:rsid w:val="00356222"/>
    <w:rsid w:val="003565A4"/>
    <w:rsid w:val="003576A4"/>
    <w:rsid w:val="003606BB"/>
    <w:rsid w:val="00361175"/>
    <w:rsid w:val="003611C7"/>
    <w:rsid w:val="00362464"/>
    <w:rsid w:val="00364999"/>
    <w:rsid w:val="00365F2F"/>
    <w:rsid w:val="00366CD4"/>
    <w:rsid w:val="00366EBD"/>
    <w:rsid w:val="0036712F"/>
    <w:rsid w:val="0036730A"/>
    <w:rsid w:val="0036778B"/>
    <w:rsid w:val="00370B87"/>
    <w:rsid w:val="00370F66"/>
    <w:rsid w:val="00372565"/>
    <w:rsid w:val="00372C8B"/>
    <w:rsid w:val="003732CD"/>
    <w:rsid w:val="00373548"/>
    <w:rsid w:val="0037378D"/>
    <w:rsid w:val="00374133"/>
    <w:rsid w:val="00374AC5"/>
    <w:rsid w:val="00375391"/>
    <w:rsid w:val="003755AC"/>
    <w:rsid w:val="00376420"/>
    <w:rsid w:val="0037728C"/>
    <w:rsid w:val="00380137"/>
    <w:rsid w:val="00380EAE"/>
    <w:rsid w:val="00382C28"/>
    <w:rsid w:val="00382D1C"/>
    <w:rsid w:val="00383164"/>
    <w:rsid w:val="00383D18"/>
    <w:rsid w:val="00384038"/>
    <w:rsid w:val="003848C2"/>
    <w:rsid w:val="00384995"/>
    <w:rsid w:val="003859B7"/>
    <w:rsid w:val="003861DD"/>
    <w:rsid w:val="003909B2"/>
    <w:rsid w:val="00390BEF"/>
    <w:rsid w:val="00390F76"/>
    <w:rsid w:val="00391080"/>
    <w:rsid w:val="00391E6C"/>
    <w:rsid w:val="0039272D"/>
    <w:rsid w:val="0039332D"/>
    <w:rsid w:val="00395A43"/>
    <w:rsid w:val="00395ABB"/>
    <w:rsid w:val="00396740"/>
    <w:rsid w:val="00396FF9"/>
    <w:rsid w:val="003A254A"/>
    <w:rsid w:val="003A4361"/>
    <w:rsid w:val="003A515E"/>
    <w:rsid w:val="003A6406"/>
    <w:rsid w:val="003A6561"/>
    <w:rsid w:val="003B1FC2"/>
    <w:rsid w:val="003B2F0B"/>
    <w:rsid w:val="003B36FD"/>
    <w:rsid w:val="003B4860"/>
    <w:rsid w:val="003B59F3"/>
    <w:rsid w:val="003B5D9D"/>
    <w:rsid w:val="003B5DFD"/>
    <w:rsid w:val="003B5EBE"/>
    <w:rsid w:val="003B5FA8"/>
    <w:rsid w:val="003B657F"/>
    <w:rsid w:val="003B6C5D"/>
    <w:rsid w:val="003B7561"/>
    <w:rsid w:val="003B7B46"/>
    <w:rsid w:val="003C092B"/>
    <w:rsid w:val="003C26F8"/>
    <w:rsid w:val="003C5A12"/>
    <w:rsid w:val="003C5B44"/>
    <w:rsid w:val="003C5CBF"/>
    <w:rsid w:val="003C5D9B"/>
    <w:rsid w:val="003C5E4F"/>
    <w:rsid w:val="003C6D90"/>
    <w:rsid w:val="003C7289"/>
    <w:rsid w:val="003C77C1"/>
    <w:rsid w:val="003D033C"/>
    <w:rsid w:val="003D3C87"/>
    <w:rsid w:val="003D3E8B"/>
    <w:rsid w:val="003D4B14"/>
    <w:rsid w:val="003D4C91"/>
    <w:rsid w:val="003D6AB9"/>
    <w:rsid w:val="003D6EEC"/>
    <w:rsid w:val="003D73F4"/>
    <w:rsid w:val="003D7F9D"/>
    <w:rsid w:val="003D7FDF"/>
    <w:rsid w:val="003E000E"/>
    <w:rsid w:val="003E0057"/>
    <w:rsid w:val="003E109C"/>
    <w:rsid w:val="003E26AE"/>
    <w:rsid w:val="003E325A"/>
    <w:rsid w:val="003E3E04"/>
    <w:rsid w:val="003E4533"/>
    <w:rsid w:val="003E47FF"/>
    <w:rsid w:val="003E48C7"/>
    <w:rsid w:val="003E498B"/>
    <w:rsid w:val="003E4C52"/>
    <w:rsid w:val="003E4D51"/>
    <w:rsid w:val="003E5044"/>
    <w:rsid w:val="003F0CC7"/>
    <w:rsid w:val="003F0DAC"/>
    <w:rsid w:val="003F1579"/>
    <w:rsid w:val="003F16F6"/>
    <w:rsid w:val="003F1E23"/>
    <w:rsid w:val="003F22B2"/>
    <w:rsid w:val="003F29EC"/>
    <w:rsid w:val="003F4CD3"/>
    <w:rsid w:val="003F5C3B"/>
    <w:rsid w:val="003F5DCE"/>
    <w:rsid w:val="003F68AC"/>
    <w:rsid w:val="003F71CE"/>
    <w:rsid w:val="003F789A"/>
    <w:rsid w:val="003F7F6D"/>
    <w:rsid w:val="004006A9"/>
    <w:rsid w:val="00403637"/>
    <w:rsid w:val="00403D12"/>
    <w:rsid w:val="00403FAA"/>
    <w:rsid w:val="004042A3"/>
    <w:rsid w:val="00404448"/>
    <w:rsid w:val="0040467E"/>
    <w:rsid w:val="00404B9B"/>
    <w:rsid w:val="00404D11"/>
    <w:rsid w:val="00404ECC"/>
    <w:rsid w:val="004050D3"/>
    <w:rsid w:val="004053FF"/>
    <w:rsid w:val="00405944"/>
    <w:rsid w:val="00410F8F"/>
    <w:rsid w:val="0041142B"/>
    <w:rsid w:val="0041162C"/>
    <w:rsid w:val="00412CD6"/>
    <w:rsid w:val="00413439"/>
    <w:rsid w:val="004144D8"/>
    <w:rsid w:val="004145F3"/>
    <w:rsid w:val="00414F43"/>
    <w:rsid w:val="004151C8"/>
    <w:rsid w:val="00415C92"/>
    <w:rsid w:val="00416642"/>
    <w:rsid w:val="00417174"/>
    <w:rsid w:val="00420E35"/>
    <w:rsid w:val="0042184A"/>
    <w:rsid w:val="00421944"/>
    <w:rsid w:val="00424093"/>
    <w:rsid w:val="00424601"/>
    <w:rsid w:val="00425CC8"/>
    <w:rsid w:val="00425F84"/>
    <w:rsid w:val="004265CE"/>
    <w:rsid w:val="0042695D"/>
    <w:rsid w:val="00427911"/>
    <w:rsid w:val="00430FA6"/>
    <w:rsid w:val="004315EB"/>
    <w:rsid w:val="004327A2"/>
    <w:rsid w:val="004345F8"/>
    <w:rsid w:val="00434743"/>
    <w:rsid w:val="00434C13"/>
    <w:rsid w:val="00435E6F"/>
    <w:rsid w:val="00437C31"/>
    <w:rsid w:val="00437D60"/>
    <w:rsid w:val="004415CC"/>
    <w:rsid w:val="00443B85"/>
    <w:rsid w:val="0044723A"/>
    <w:rsid w:val="00447AA7"/>
    <w:rsid w:val="00447F71"/>
    <w:rsid w:val="00450F4F"/>
    <w:rsid w:val="00452E95"/>
    <w:rsid w:val="004536C7"/>
    <w:rsid w:val="00453BB2"/>
    <w:rsid w:val="00453C94"/>
    <w:rsid w:val="0045448F"/>
    <w:rsid w:val="00454D8B"/>
    <w:rsid w:val="00457235"/>
    <w:rsid w:val="004572AF"/>
    <w:rsid w:val="00460300"/>
    <w:rsid w:val="00460570"/>
    <w:rsid w:val="00460A68"/>
    <w:rsid w:val="00461038"/>
    <w:rsid w:val="004616F6"/>
    <w:rsid w:val="004619F7"/>
    <w:rsid w:val="00462036"/>
    <w:rsid w:val="00462399"/>
    <w:rsid w:val="00463809"/>
    <w:rsid w:val="0046389E"/>
    <w:rsid w:val="0046392B"/>
    <w:rsid w:val="00463A50"/>
    <w:rsid w:val="004641EC"/>
    <w:rsid w:val="00467BD7"/>
    <w:rsid w:val="00470769"/>
    <w:rsid w:val="00470F95"/>
    <w:rsid w:val="00473440"/>
    <w:rsid w:val="004735F9"/>
    <w:rsid w:val="0047384E"/>
    <w:rsid w:val="0047425A"/>
    <w:rsid w:val="00475FDB"/>
    <w:rsid w:val="00475FEF"/>
    <w:rsid w:val="00476CB7"/>
    <w:rsid w:val="00477C2F"/>
    <w:rsid w:val="00480495"/>
    <w:rsid w:val="00481264"/>
    <w:rsid w:val="00482E22"/>
    <w:rsid w:val="00483770"/>
    <w:rsid w:val="0048579B"/>
    <w:rsid w:val="00485831"/>
    <w:rsid w:val="004859C2"/>
    <w:rsid w:val="00486A14"/>
    <w:rsid w:val="00486CB2"/>
    <w:rsid w:val="004872D1"/>
    <w:rsid w:val="004878AB"/>
    <w:rsid w:val="00490777"/>
    <w:rsid w:val="004907F8"/>
    <w:rsid w:val="00490AC0"/>
    <w:rsid w:val="004911D1"/>
    <w:rsid w:val="00491B75"/>
    <w:rsid w:val="00491C5E"/>
    <w:rsid w:val="0049392F"/>
    <w:rsid w:val="0049405C"/>
    <w:rsid w:val="004946D2"/>
    <w:rsid w:val="0049475D"/>
    <w:rsid w:val="0049688F"/>
    <w:rsid w:val="004975A2"/>
    <w:rsid w:val="004A0166"/>
    <w:rsid w:val="004A0484"/>
    <w:rsid w:val="004A0A23"/>
    <w:rsid w:val="004A0A69"/>
    <w:rsid w:val="004A1C8D"/>
    <w:rsid w:val="004A1E6B"/>
    <w:rsid w:val="004A21E4"/>
    <w:rsid w:val="004A30DE"/>
    <w:rsid w:val="004A3943"/>
    <w:rsid w:val="004A3CE6"/>
    <w:rsid w:val="004A3D0E"/>
    <w:rsid w:val="004A3DC4"/>
    <w:rsid w:val="004A3E9B"/>
    <w:rsid w:val="004A5737"/>
    <w:rsid w:val="004A6026"/>
    <w:rsid w:val="004A66C7"/>
    <w:rsid w:val="004A79C5"/>
    <w:rsid w:val="004B01EC"/>
    <w:rsid w:val="004B13C2"/>
    <w:rsid w:val="004B1C6E"/>
    <w:rsid w:val="004B1D3C"/>
    <w:rsid w:val="004B39CF"/>
    <w:rsid w:val="004B3AAB"/>
    <w:rsid w:val="004B4567"/>
    <w:rsid w:val="004B4897"/>
    <w:rsid w:val="004B5092"/>
    <w:rsid w:val="004B5404"/>
    <w:rsid w:val="004B6A21"/>
    <w:rsid w:val="004B6B92"/>
    <w:rsid w:val="004C05B1"/>
    <w:rsid w:val="004C08FC"/>
    <w:rsid w:val="004C0B06"/>
    <w:rsid w:val="004C1599"/>
    <w:rsid w:val="004C179C"/>
    <w:rsid w:val="004C1963"/>
    <w:rsid w:val="004C3477"/>
    <w:rsid w:val="004C5353"/>
    <w:rsid w:val="004C54C0"/>
    <w:rsid w:val="004C61DB"/>
    <w:rsid w:val="004C6B23"/>
    <w:rsid w:val="004C6B9B"/>
    <w:rsid w:val="004C77DF"/>
    <w:rsid w:val="004D097E"/>
    <w:rsid w:val="004D12C8"/>
    <w:rsid w:val="004D148B"/>
    <w:rsid w:val="004D177A"/>
    <w:rsid w:val="004D1B59"/>
    <w:rsid w:val="004D2A7F"/>
    <w:rsid w:val="004D3A7D"/>
    <w:rsid w:val="004D4354"/>
    <w:rsid w:val="004D586B"/>
    <w:rsid w:val="004D6904"/>
    <w:rsid w:val="004D6D2D"/>
    <w:rsid w:val="004D7D39"/>
    <w:rsid w:val="004E1395"/>
    <w:rsid w:val="004E2197"/>
    <w:rsid w:val="004E2757"/>
    <w:rsid w:val="004E4285"/>
    <w:rsid w:val="004E45B8"/>
    <w:rsid w:val="004E490B"/>
    <w:rsid w:val="004F0A56"/>
    <w:rsid w:val="004F1250"/>
    <w:rsid w:val="004F4242"/>
    <w:rsid w:val="004F49CC"/>
    <w:rsid w:val="004F587D"/>
    <w:rsid w:val="004F63EC"/>
    <w:rsid w:val="004F6478"/>
    <w:rsid w:val="004F68C2"/>
    <w:rsid w:val="004F77AA"/>
    <w:rsid w:val="00501592"/>
    <w:rsid w:val="00501C4D"/>
    <w:rsid w:val="00501D41"/>
    <w:rsid w:val="00501F6F"/>
    <w:rsid w:val="00502FBF"/>
    <w:rsid w:val="00503BD6"/>
    <w:rsid w:val="005049A3"/>
    <w:rsid w:val="0050558B"/>
    <w:rsid w:val="0050653A"/>
    <w:rsid w:val="00506CCB"/>
    <w:rsid w:val="0050767E"/>
    <w:rsid w:val="005076A6"/>
    <w:rsid w:val="005118EC"/>
    <w:rsid w:val="005125EC"/>
    <w:rsid w:val="00512914"/>
    <w:rsid w:val="00512F5B"/>
    <w:rsid w:val="005144F5"/>
    <w:rsid w:val="00514FCF"/>
    <w:rsid w:val="005166E1"/>
    <w:rsid w:val="00516A1C"/>
    <w:rsid w:val="00517AF8"/>
    <w:rsid w:val="00520389"/>
    <w:rsid w:val="00520602"/>
    <w:rsid w:val="005212A5"/>
    <w:rsid w:val="00521D06"/>
    <w:rsid w:val="00521EF1"/>
    <w:rsid w:val="005228ED"/>
    <w:rsid w:val="005249F9"/>
    <w:rsid w:val="00524FBC"/>
    <w:rsid w:val="00526348"/>
    <w:rsid w:val="00526762"/>
    <w:rsid w:val="00526814"/>
    <w:rsid w:val="005309E8"/>
    <w:rsid w:val="005321FE"/>
    <w:rsid w:val="00532AD3"/>
    <w:rsid w:val="00533C48"/>
    <w:rsid w:val="00533DE8"/>
    <w:rsid w:val="0053406F"/>
    <w:rsid w:val="005345D0"/>
    <w:rsid w:val="00535DDE"/>
    <w:rsid w:val="00536081"/>
    <w:rsid w:val="00536699"/>
    <w:rsid w:val="005377D8"/>
    <w:rsid w:val="005404BD"/>
    <w:rsid w:val="0054084E"/>
    <w:rsid w:val="00541C00"/>
    <w:rsid w:val="0054255B"/>
    <w:rsid w:val="00542BE1"/>
    <w:rsid w:val="005432E5"/>
    <w:rsid w:val="00543813"/>
    <w:rsid w:val="00543AFD"/>
    <w:rsid w:val="00544C85"/>
    <w:rsid w:val="005453A7"/>
    <w:rsid w:val="005458ED"/>
    <w:rsid w:val="005473B9"/>
    <w:rsid w:val="00552E0F"/>
    <w:rsid w:val="00553050"/>
    <w:rsid w:val="00553586"/>
    <w:rsid w:val="005558A5"/>
    <w:rsid w:val="0055670E"/>
    <w:rsid w:val="00560B1B"/>
    <w:rsid w:val="00561928"/>
    <w:rsid w:val="00565408"/>
    <w:rsid w:val="00565DDC"/>
    <w:rsid w:val="00567AE4"/>
    <w:rsid w:val="005704F7"/>
    <w:rsid w:val="005707AD"/>
    <w:rsid w:val="00570B42"/>
    <w:rsid w:val="005710E0"/>
    <w:rsid w:val="00571BF8"/>
    <w:rsid w:val="00571C65"/>
    <w:rsid w:val="005728BE"/>
    <w:rsid w:val="00572C6B"/>
    <w:rsid w:val="00572D64"/>
    <w:rsid w:val="00572E95"/>
    <w:rsid w:val="0057349F"/>
    <w:rsid w:val="00574748"/>
    <w:rsid w:val="00576037"/>
    <w:rsid w:val="00576426"/>
    <w:rsid w:val="00577900"/>
    <w:rsid w:val="00577AC5"/>
    <w:rsid w:val="00577BD6"/>
    <w:rsid w:val="005817B9"/>
    <w:rsid w:val="00581BC1"/>
    <w:rsid w:val="0058260D"/>
    <w:rsid w:val="00582EC3"/>
    <w:rsid w:val="005846F6"/>
    <w:rsid w:val="00586501"/>
    <w:rsid w:val="005878DC"/>
    <w:rsid w:val="00587CB8"/>
    <w:rsid w:val="00587F31"/>
    <w:rsid w:val="00587FB4"/>
    <w:rsid w:val="00590986"/>
    <w:rsid w:val="005924DB"/>
    <w:rsid w:val="00592BEF"/>
    <w:rsid w:val="00592F8A"/>
    <w:rsid w:val="00593149"/>
    <w:rsid w:val="00593B6E"/>
    <w:rsid w:val="005940B1"/>
    <w:rsid w:val="005945B4"/>
    <w:rsid w:val="0059573A"/>
    <w:rsid w:val="005958BB"/>
    <w:rsid w:val="00596B92"/>
    <w:rsid w:val="00596D39"/>
    <w:rsid w:val="005973D1"/>
    <w:rsid w:val="005A1B60"/>
    <w:rsid w:val="005A2B5A"/>
    <w:rsid w:val="005A3706"/>
    <w:rsid w:val="005A37E9"/>
    <w:rsid w:val="005A47DE"/>
    <w:rsid w:val="005A4991"/>
    <w:rsid w:val="005A5A27"/>
    <w:rsid w:val="005A69F6"/>
    <w:rsid w:val="005A70C6"/>
    <w:rsid w:val="005A7ED2"/>
    <w:rsid w:val="005B05EF"/>
    <w:rsid w:val="005B181B"/>
    <w:rsid w:val="005B25F3"/>
    <w:rsid w:val="005B3742"/>
    <w:rsid w:val="005B6203"/>
    <w:rsid w:val="005B6459"/>
    <w:rsid w:val="005B7244"/>
    <w:rsid w:val="005B7959"/>
    <w:rsid w:val="005C28C0"/>
    <w:rsid w:val="005C4DC1"/>
    <w:rsid w:val="005C4FE9"/>
    <w:rsid w:val="005C5644"/>
    <w:rsid w:val="005C569C"/>
    <w:rsid w:val="005C626A"/>
    <w:rsid w:val="005D2B93"/>
    <w:rsid w:val="005D2EB0"/>
    <w:rsid w:val="005D3AD5"/>
    <w:rsid w:val="005D40B8"/>
    <w:rsid w:val="005D49CC"/>
    <w:rsid w:val="005D4E60"/>
    <w:rsid w:val="005D604A"/>
    <w:rsid w:val="005D7C46"/>
    <w:rsid w:val="005E0243"/>
    <w:rsid w:val="005E1C95"/>
    <w:rsid w:val="005E2142"/>
    <w:rsid w:val="005E2D4E"/>
    <w:rsid w:val="005E32C3"/>
    <w:rsid w:val="005E43F5"/>
    <w:rsid w:val="005E59A1"/>
    <w:rsid w:val="005E623F"/>
    <w:rsid w:val="005E68BF"/>
    <w:rsid w:val="005F0B23"/>
    <w:rsid w:val="005F0C9C"/>
    <w:rsid w:val="005F179F"/>
    <w:rsid w:val="005F24A7"/>
    <w:rsid w:val="005F336E"/>
    <w:rsid w:val="005F477B"/>
    <w:rsid w:val="005F4D1A"/>
    <w:rsid w:val="005F4E47"/>
    <w:rsid w:val="005F5FD9"/>
    <w:rsid w:val="006004B9"/>
    <w:rsid w:val="00600B3F"/>
    <w:rsid w:val="00601216"/>
    <w:rsid w:val="00601BF1"/>
    <w:rsid w:val="00602CF9"/>
    <w:rsid w:val="00602DB3"/>
    <w:rsid w:val="00603610"/>
    <w:rsid w:val="0060460A"/>
    <w:rsid w:val="0060481E"/>
    <w:rsid w:val="00604B46"/>
    <w:rsid w:val="00605E51"/>
    <w:rsid w:val="006064BF"/>
    <w:rsid w:val="00606774"/>
    <w:rsid w:val="00606F24"/>
    <w:rsid w:val="006071E5"/>
    <w:rsid w:val="00610AF1"/>
    <w:rsid w:val="00610B8E"/>
    <w:rsid w:val="00610F89"/>
    <w:rsid w:val="00611C62"/>
    <w:rsid w:val="00612374"/>
    <w:rsid w:val="006125C5"/>
    <w:rsid w:val="00612877"/>
    <w:rsid w:val="00613333"/>
    <w:rsid w:val="00613ED7"/>
    <w:rsid w:val="006144BE"/>
    <w:rsid w:val="00614F10"/>
    <w:rsid w:val="006156DE"/>
    <w:rsid w:val="00616246"/>
    <w:rsid w:val="006163F7"/>
    <w:rsid w:val="0061640B"/>
    <w:rsid w:val="0061659A"/>
    <w:rsid w:val="0061720D"/>
    <w:rsid w:val="00617C29"/>
    <w:rsid w:val="00617D25"/>
    <w:rsid w:val="0062157D"/>
    <w:rsid w:val="00621C84"/>
    <w:rsid w:val="006221C7"/>
    <w:rsid w:val="006225D3"/>
    <w:rsid w:val="006227CD"/>
    <w:rsid w:val="00623A6F"/>
    <w:rsid w:val="00625729"/>
    <w:rsid w:val="00625A86"/>
    <w:rsid w:val="00626778"/>
    <w:rsid w:val="0062747C"/>
    <w:rsid w:val="006275DC"/>
    <w:rsid w:val="0062776C"/>
    <w:rsid w:val="006278CA"/>
    <w:rsid w:val="00627953"/>
    <w:rsid w:val="00630128"/>
    <w:rsid w:val="006305EA"/>
    <w:rsid w:val="006307E2"/>
    <w:rsid w:val="006309AD"/>
    <w:rsid w:val="00632AD1"/>
    <w:rsid w:val="0063399B"/>
    <w:rsid w:val="00633A6D"/>
    <w:rsid w:val="006345B4"/>
    <w:rsid w:val="00634823"/>
    <w:rsid w:val="00634AD4"/>
    <w:rsid w:val="00635648"/>
    <w:rsid w:val="0063629A"/>
    <w:rsid w:val="00637593"/>
    <w:rsid w:val="0064054F"/>
    <w:rsid w:val="0064068D"/>
    <w:rsid w:val="006409BC"/>
    <w:rsid w:val="00640E5E"/>
    <w:rsid w:val="00640FB2"/>
    <w:rsid w:val="006416B2"/>
    <w:rsid w:val="0064218F"/>
    <w:rsid w:val="0064223A"/>
    <w:rsid w:val="00642670"/>
    <w:rsid w:val="00642806"/>
    <w:rsid w:val="00643351"/>
    <w:rsid w:val="00644611"/>
    <w:rsid w:val="00644EA1"/>
    <w:rsid w:val="00644F1C"/>
    <w:rsid w:val="00644FCF"/>
    <w:rsid w:val="00645956"/>
    <w:rsid w:val="00646443"/>
    <w:rsid w:val="006466C5"/>
    <w:rsid w:val="0064787C"/>
    <w:rsid w:val="006506CA"/>
    <w:rsid w:val="00650945"/>
    <w:rsid w:val="00650BA3"/>
    <w:rsid w:val="00650E44"/>
    <w:rsid w:val="0065199F"/>
    <w:rsid w:val="00652652"/>
    <w:rsid w:val="006529B2"/>
    <w:rsid w:val="006576CD"/>
    <w:rsid w:val="0066166D"/>
    <w:rsid w:val="0066200C"/>
    <w:rsid w:val="00662CD9"/>
    <w:rsid w:val="00663465"/>
    <w:rsid w:val="00663A74"/>
    <w:rsid w:val="006643DA"/>
    <w:rsid w:val="00664C76"/>
    <w:rsid w:val="00664CD4"/>
    <w:rsid w:val="0066632A"/>
    <w:rsid w:val="00666BCA"/>
    <w:rsid w:val="006672A3"/>
    <w:rsid w:val="00670019"/>
    <w:rsid w:val="006704B7"/>
    <w:rsid w:val="00670636"/>
    <w:rsid w:val="00673751"/>
    <w:rsid w:val="0067494C"/>
    <w:rsid w:val="00675C64"/>
    <w:rsid w:val="0067677C"/>
    <w:rsid w:val="00676AA3"/>
    <w:rsid w:val="00676F1F"/>
    <w:rsid w:val="006802AA"/>
    <w:rsid w:val="0068076D"/>
    <w:rsid w:val="0068118F"/>
    <w:rsid w:val="00681454"/>
    <w:rsid w:val="0068170C"/>
    <w:rsid w:val="00681E48"/>
    <w:rsid w:val="006834A7"/>
    <w:rsid w:val="0068482B"/>
    <w:rsid w:val="00684FAB"/>
    <w:rsid w:val="00685E41"/>
    <w:rsid w:val="006872AC"/>
    <w:rsid w:val="006876EC"/>
    <w:rsid w:val="00687C05"/>
    <w:rsid w:val="00691194"/>
    <w:rsid w:val="006918B0"/>
    <w:rsid w:val="006931E1"/>
    <w:rsid w:val="00693662"/>
    <w:rsid w:val="0069504E"/>
    <w:rsid w:val="006962C9"/>
    <w:rsid w:val="00696E36"/>
    <w:rsid w:val="00696EA3"/>
    <w:rsid w:val="006970EC"/>
    <w:rsid w:val="006A06D7"/>
    <w:rsid w:val="006A0A56"/>
    <w:rsid w:val="006A0EB9"/>
    <w:rsid w:val="006A15B6"/>
    <w:rsid w:val="006A1896"/>
    <w:rsid w:val="006A2A90"/>
    <w:rsid w:val="006A2C72"/>
    <w:rsid w:val="006A6BA1"/>
    <w:rsid w:val="006A6CA9"/>
    <w:rsid w:val="006A7513"/>
    <w:rsid w:val="006A7938"/>
    <w:rsid w:val="006B00B7"/>
    <w:rsid w:val="006B2116"/>
    <w:rsid w:val="006B21E4"/>
    <w:rsid w:val="006B25BB"/>
    <w:rsid w:val="006B2866"/>
    <w:rsid w:val="006B2F27"/>
    <w:rsid w:val="006B33B2"/>
    <w:rsid w:val="006B3CA9"/>
    <w:rsid w:val="006B488A"/>
    <w:rsid w:val="006B50F4"/>
    <w:rsid w:val="006B6A0D"/>
    <w:rsid w:val="006B6E81"/>
    <w:rsid w:val="006C0857"/>
    <w:rsid w:val="006C192F"/>
    <w:rsid w:val="006C2C09"/>
    <w:rsid w:val="006C3103"/>
    <w:rsid w:val="006C4408"/>
    <w:rsid w:val="006C6330"/>
    <w:rsid w:val="006C6342"/>
    <w:rsid w:val="006C6454"/>
    <w:rsid w:val="006C6C28"/>
    <w:rsid w:val="006C6F76"/>
    <w:rsid w:val="006C6F95"/>
    <w:rsid w:val="006D1080"/>
    <w:rsid w:val="006D1B01"/>
    <w:rsid w:val="006D2421"/>
    <w:rsid w:val="006D26DD"/>
    <w:rsid w:val="006D39C3"/>
    <w:rsid w:val="006D3C07"/>
    <w:rsid w:val="006D56B2"/>
    <w:rsid w:val="006D58FB"/>
    <w:rsid w:val="006D6CDE"/>
    <w:rsid w:val="006D6E07"/>
    <w:rsid w:val="006E0D40"/>
    <w:rsid w:val="006E1D5F"/>
    <w:rsid w:val="006E300B"/>
    <w:rsid w:val="006E4B6D"/>
    <w:rsid w:val="006E63A8"/>
    <w:rsid w:val="006E7E13"/>
    <w:rsid w:val="006F07CF"/>
    <w:rsid w:val="006F0E11"/>
    <w:rsid w:val="006F110A"/>
    <w:rsid w:val="006F1160"/>
    <w:rsid w:val="006F1742"/>
    <w:rsid w:val="006F1E1B"/>
    <w:rsid w:val="006F3622"/>
    <w:rsid w:val="006F3AAC"/>
    <w:rsid w:val="006F3E2F"/>
    <w:rsid w:val="006F3EE4"/>
    <w:rsid w:val="006F4348"/>
    <w:rsid w:val="006F4394"/>
    <w:rsid w:val="006F68A7"/>
    <w:rsid w:val="006F6E6E"/>
    <w:rsid w:val="007005CC"/>
    <w:rsid w:val="007012AB"/>
    <w:rsid w:val="007015A1"/>
    <w:rsid w:val="0070162B"/>
    <w:rsid w:val="007016F4"/>
    <w:rsid w:val="00702EEE"/>
    <w:rsid w:val="00704589"/>
    <w:rsid w:val="0070476F"/>
    <w:rsid w:val="00704A74"/>
    <w:rsid w:val="00705F44"/>
    <w:rsid w:val="007064F7"/>
    <w:rsid w:val="00710442"/>
    <w:rsid w:val="0071269D"/>
    <w:rsid w:val="007128B1"/>
    <w:rsid w:val="007143BB"/>
    <w:rsid w:val="00715916"/>
    <w:rsid w:val="00716126"/>
    <w:rsid w:val="00716D00"/>
    <w:rsid w:val="00716E24"/>
    <w:rsid w:val="007172F2"/>
    <w:rsid w:val="00717572"/>
    <w:rsid w:val="00717C4F"/>
    <w:rsid w:val="00720DBE"/>
    <w:rsid w:val="00721E86"/>
    <w:rsid w:val="007227A9"/>
    <w:rsid w:val="0072401C"/>
    <w:rsid w:val="00724220"/>
    <w:rsid w:val="00725043"/>
    <w:rsid w:val="00726712"/>
    <w:rsid w:val="00727055"/>
    <w:rsid w:val="007270D2"/>
    <w:rsid w:val="00727714"/>
    <w:rsid w:val="00727CA1"/>
    <w:rsid w:val="007300FF"/>
    <w:rsid w:val="00731855"/>
    <w:rsid w:val="0073383C"/>
    <w:rsid w:val="0073388F"/>
    <w:rsid w:val="007344AB"/>
    <w:rsid w:val="0073743F"/>
    <w:rsid w:val="00737886"/>
    <w:rsid w:val="007401F2"/>
    <w:rsid w:val="007417E9"/>
    <w:rsid w:val="007430CE"/>
    <w:rsid w:val="007434A8"/>
    <w:rsid w:val="00743BD7"/>
    <w:rsid w:val="007442E0"/>
    <w:rsid w:val="00744408"/>
    <w:rsid w:val="007445F9"/>
    <w:rsid w:val="007450CD"/>
    <w:rsid w:val="007468E3"/>
    <w:rsid w:val="00750615"/>
    <w:rsid w:val="007511C3"/>
    <w:rsid w:val="00751C15"/>
    <w:rsid w:val="007527DF"/>
    <w:rsid w:val="00753370"/>
    <w:rsid w:val="007534B7"/>
    <w:rsid w:val="00753777"/>
    <w:rsid w:val="00753C5D"/>
    <w:rsid w:val="00754359"/>
    <w:rsid w:val="007550E8"/>
    <w:rsid w:val="007553AC"/>
    <w:rsid w:val="00755E27"/>
    <w:rsid w:val="00757359"/>
    <w:rsid w:val="007576DB"/>
    <w:rsid w:val="00757912"/>
    <w:rsid w:val="007607A1"/>
    <w:rsid w:val="0076092A"/>
    <w:rsid w:val="00762185"/>
    <w:rsid w:val="00762AE2"/>
    <w:rsid w:val="00762F80"/>
    <w:rsid w:val="00763CAC"/>
    <w:rsid w:val="00764545"/>
    <w:rsid w:val="007646DE"/>
    <w:rsid w:val="0076533B"/>
    <w:rsid w:val="007667A6"/>
    <w:rsid w:val="0076697E"/>
    <w:rsid w:val="00766E9E"/>
    <w:rsid w:val="00770031"/>
    <w:rsid w:val="0077077F"/>
    <w:rsid w:val="0077088F"/>
    <w:rsid w:val="00770FE9"/>
    <w:rsid w:val="00772A43"/>
    <w:rsid w:val="00775AAD"/>
    <w:rsid w:val="0077605F"/>
    <w:rsid w:val="007765F6"/>
    <w:rsid w:val="007767F9"/>
    <w:rsid w:val="00776B98"/>
    <w:rsid w:val="00776D0E"/>
    <w:rsid w:val="007770E3"/>
    <w:rsid w:val="00777517"/>
    <w:rsid w:val="0077788A"/>
    <w:rsid w:val="00777E4E"/>
    <w:rsid w:val="007801A1"/>
    <w:rsid w:val="00780900"/>
    <w:rsid w:val="00781130"/>
    <w:rsid w:val="00781640"/>
    <w:rsid w:val="00781A81"/>
    <w:rsid w:val="00781B36"/>
    <w:rsid w:val="00782160"/>
    <w:rsid w:val="00782A5A"/>
    <w:rsid w:val="00783142"/>
    <w:rsid w:val="00784BD2"/>
    <w:rsid w:val="00784E27"/>
    <w:rsid w:val="0078536E"/>
    <w:rsid w:val="0078558F"/>
    <w:rsid w:val="007860CC"/>
    <w:rsid w:val="007869E3"/>
    <w:rsid w:val="00787086"/>
    <w:rsid w:val="00787183"/>
    <w:rsid w:val="00787912"/>
    <w:rsid w:val="00787EDB"/>
    <w:rsid w:val="00790DA3"/>
    <w:rsid w:val="00793F52"/>
    <w:rsid w:val="0079506C"/>
    <w:rsid w:val="007953A9"/>
    <w:rsid w:val="007A0AFB"/>
    <w:rsid w:val="007A243E"/>
    <w:rsid w:val="007A27D4"/>
    <w:rsid w:val="007A467C"/>
    <w:rsid w:val="007A70EB"/>
    <w:rsid w:val="007A7262"/>
    <w:rsid w:val="007B0468"/>
    <w:rsid w:val="007B15DF"/>
    <w:rsid w:val="007B19D8"/>
    <w:rsid w:val="007B22ED"/>
    <w:rsid w:val="007B2F2E"/>
    <w:rsid w:val="007B3140"/>
    <w:rsid w:val="007B3F61"/>
    <w:rsid w:val="007B3FA4"/>
    <w:rsid w:val="007B45E3"/>
    <w:rsid w:val="007B68D2"/>
    <w:rsid w:val="007B68E7"/>
    <w:rsid w:val="007B696A"/>
    <w:rsid w:val="007B6EDB"/>
    <w:rsid w:val="007C1B36"/>
    <w:rsid w:val="007C2761"/>
    <w:rsid w:val="007C30EF"/>
    <w:rsid w:val="007C5297"/>
    <w:rsid w:val="007C6ADD"/>
    <w:rsid w:val="007C6C43"/>
    <w:rsid w:val="007C70AE"/>
    <w:rsid w:val="007C7428"/>
    <w:rsid w:val="007D0023"/>
    <w:rsid w:val="007D085D"/>
    <w:rsid w:val="007D1076"/>
    <w:rsid w:val="007D1AA3"/>
    <w:rsid w:val="007D2249"/>
    <w:rsid w:val="007D2C10"/>
    <w:rsid w:val="007D2CE9"/>
    <w:rsid w:val="007D2F63"/>
    <w:rsid w:val="007D3AC4"/>
    <w:rsid w:val="007D6D7B"/>
    <w:rsid w:val="007D6E5E"/>
    <w:rsid w:val="007E0094"/>
    <w:rsid w:val="007E0A49"/>
    <w:rsid w:val="007E1591"/>
    <w:rsid w:val="007E2064"/>
    <w:rsid w:val="007E2555"/>
    <w:rsid w:val="007E26DA"/>
    <w:rsid w:val="007E39A0"/>
    <w:rsid w:val="007E4800"/>
    <w:rsid w:val="007E4E1D"/>
    <w:rsid w:val="007E5DC8"/>
    <w:rsid w:val="007E6ACF"/>
    <w:rsid w:val="007E6B20"/>
    <w:rsid w:val="007E72A8"/>
    <w:rsid w:val="007E72E1"/>
    <w:rsid w:val="007E7894"/>
    <w:rsid w:val="007E7AFF"/>
    <w:rsid w:val="007E7B72"/>
    <w:rsid w:val="007F0598"/>
    <w:rsid w:val="007F0A14"/>
    <w:rsid w:val="007F10A3"/>
    <w:rsid w:val="007F1723"/>
    <w:rsid w:val="007F22C0"/>
    <w:rsid w:val="007F3003"/>
    <w:rsid w:val="007F46EB"/>
    <w:rsid w:val="007F49D6"/>
    <w:rsid w:val="007F5222"/>
    <w:rsid w:val="007F5307"/>
    <w:rsid w:val="007F64DF"/>
    <w:rsid w:val="008005C6"/>
    <w:rsid w:val="0080143F"/>
    <w:rsid w:val="00801530"/>
    <w:rsid w:val="0080160B"/>
    <w:rsid w:val="00802983"/>
    <w:rsid w:val="00802AE7"/>
    <w:rsid w:val="00803D9F"/>
    <w:rsid w:val="008041F9"/>
    <w:rsid w:val="00807C69"/>
    <w:rsid w:val="0081086B"/>
    <w:rsid w:val="008127AA"/>
    <w:rsid w:val="00813815"/>
    <w:rsid w:val="00815336"/>
    <w:rsid w:val="00815A12"/>
    <w:rsid w:val="008162F9"/>
    <w:rsid w:val="00816685"/>
    <w:rsid w:val="0081677B"/>
    <w:rsid w:val="00816CF9"/>
    <w:rsid w:val="00817393"/>
    <w:rsid w:val="008174AB"/>
    <w:rsid w:val="0082059D"/>
    <w:rsid w:val="00822BA0"/>
    <w:rsid w:val="00822CFE"/>
    <w:rsid w:val="008234C6"/>
    <w:rsid w:val="008235BF"/>
    <w:rsid w:val="00823E78"/>
    <w:rsid w:val="00825981"/>
    <w:rsid w:val="00825AAA"/>
    <w:rsid w:val="008265CB"/>
    <w:rsid w:val="00826C76"/>
    <w:rsid w:val="0083286D"/>
    <w:rsid w:val="00832D82"/>
    <w:rsid w:val="00833400"/>
    <w:rsid w:val="00833655"/>
    <w:rsid w:val="00833BFD"/>
    <w:rsid w:val="00833F4B"/>
    <w:rsid w:val="00834FDB"/>
    <w:rsid w:val="008352DA"/>
    <w:rsid w:val="008357C7"/>
    <w:rsid w:val="0083588A"/>
    <w:rsid w:val="0083590D"/>
    <w:rsid w:val="0083612C"/>
    <w:rsid w:val="00836F9C"/>
    <w:rsid w:val="00837EC7"/>
    <w:rsid w:val="00840CDA"/>
    <w:rsid w:val="008411F4"/>
    <w:rsid w:val="00843716"/>
    <w:rsid w:val="00843C3B"/>
    <w:rsid w:val="00844F34"/>
    <w:rsid w:val="0084686B"/>
    <w:rsid w:val="008503BD"/>
    <w:rsid w:val="00850A78"/>
    <w:rsid w:val="00850EDD"/>
    <w:rsid w:val="008520D6"/>
    <w:rsid w:val="00854318"/>
    <w:rsid w:val="00854E21"/>
    <w:rsid w:val="00854EDD"/>
    <w:rsid w:val="0085638B"/>
    <w:rsid w:val="00856B44"/>
    <w:rsid w:val="00857D46"/>
    <w:rsid w:val="0086054F"/>
    <w:rsid w:val="008609D8"/>
    <w:rsid w:val="00861A38"/>
    <w:rsid w:val="00861F9B"/>
    <w:rsid w:val="00862603"/>
    <w:rsid w:val="0086265C"/>
    <w:rsid w:val="00862D25"/>
    <w:rsid w:val="0086330C"/>
    <w:rsid w:val="00865ABD"/>
    <w:rsid w:val="008664BE"/>
    <w:rsid w:val="00867E63"/>
    <w:rsid w:val="00870087"/>
    <w:rsid w:val="008703EF"/>
    <w:rsid w:val="008735A1"/>
    <w:rsid w:val="00873BAB"/>
    <w:rsid w:val="0087551A"/>
    <w:rsid w:val="00875551"/>
    <w:rsid w:val="008762C4"/>
    <w:rsid w:val="00876FEC"/>
    <w:rsid w:val="00877242"/>
    <w:rsid w:val="00877BE5"/>
    <w:rsid w:val="008803FB"/>
    <w:rsid w:val="0088156A"/>
    <w:rsid w:val="00881613"/>
    <w:rsid w:val="00882048"/>
    <w:rsid w:val="008825C1"/>
    <w:rsid w:val="00882845"/>
    <w:rsid w:val="008838AA"/>
    <w:rsid w:val="00883BEB"/>
    <w:rsid w:val="00883E4C"/>
    <w:rsid w:val="00884733"/>
    <w:rsid w:val="00885698"/>
    <w:rsid w:val="008863D8"/>
    <w:rsid w:val="00886CC7"/>
    <w:rsid w:val="00887CB2"/>
    <w:rsid w:val="00890370"/>
    <w:rsid w:val="0089110F"/>
    <w:rsid w:val="00891C0F"/>
    <w:rsid w:val="00892060"/>
    <w:rsid w:val="0089239E"/>
    <w:rsid w:val="0089296F"/>
    <w:rsid w:val="008929ED"/>
    <w:rsid w:val="00892DDF"/>
    <w:rsid w:val="008932C1"/>
    <w:rsid w:val="00893B8D"/>
    <w:rsid w:val="00894821"/>
    <w:rsid w:val="008957C2"/>
    <w:rsid w:val="008979B3"/>
    <w:rsid w:val="00897B3F"/>
    <w:rsid w:val="00897E95"/>
    <w:rsid w:val="008A189C"/>
    <w:rsid w:val="008A2DE8"/>
    <w:rsid w:val="008A308B"/>
    <w:rsid w:val="008A3261"/>
    <w:rsid w:val="008A39EF"/>
    <w:rsid w:val="008A4503"/>
    <w:rsid w:val="008A4528"/>
    <w:rsid w:val="008A45B9"/>
    <w:rsid w:val="008A495A"/>
    <w:rsid w:val="008A57FF"/>
    <w:rsid w:val="008A5EB1"/>
    <w:rsid w:val="008A7AA0"/>
    <w:rsid w:val="008A7B7A"/>
    <w:rsid w:val="008B155E"/>
    <w:rsid w:val="008B1B54"/>
    <w:rsid w:val="008B1DA8"/>
    <w:rsid w:val="008B1E23"/>
    <w:rsid w:val="008B2120"/>
    <w:rsid w:val="008B2503"/>
    <w:rsid w:val="008B2786"/>
    <w:rsid w:val="008B3292"/>
    <w:rsid w:val="008B3747"/>
    <w:rsid w:val="008B45B6"/>
    <w:rsid w:val="008B465C"/>
    <w:rsid w:val="008B539F"/>
    <w:rsid w:val="008B5578"/>
    <w:rsid w:val="008B7502"/>
    <w:rsid w:val="008C03DB"/>
    <w:rsid w:val="008C0E02"/>
    <w:rsid w:val="008C1A1D"/>
    <w:rsid w:val="008C30AA"/>
    <w:rsid w:val="008C3383"/>
    <w:rsid w:val="008C3453"/>
    <w:rsid w:val="008C36D4"/>
    <w:rsid w:val="008C3B75"/>
    <w:rsid w:val="008C3D0A"/>
    <w:rsid w:val="008C3E01"/>
    <w:rsid w:val="008C462D"/>
    <w:rsid w:val="008C495B"/>
    <w:rsid w:val="008C769C"/>
    <w:rsid w:val="008C7932"/>
    <w:rsid w:val="008C79A3"/>
    <w:rsid w:val="008C7EDC"/>
    <w:rsid w:val="008D008D"/>
    <w:rsid w:val="008D0E8F"/>
    <w:rsid w:val="008D131A"/>
    <w:rsid w:val="008D1A60"/>
    <w:rsid w:val="008D31EF"/>
    <w:rsid w:val="008D563D"/>
    <w:rsid w:val="008D5844"/>
    <w:rsid w:val="008D6C63"/>
    <w:rsid w:val="008D710E"/>
    <w:rsid w:val="008D74C3"/>
    <w:rsid w:val="008D7966"/>
    <w:rsid w:val="008D7AB9"/>
    <w:rsid w:val="008E1040"/>
    <w:rsid w:val="008E1886"/>
    <w:rsid w:val="008E3CF2"/>
    <w:rsid w:val="008E6086"/>
    <w:rsid w:val="008E62F6"/>
    <w:rsid w:val="008E769C"/>
    <w:rsid w:val="008F0CBC"/>
    <w:rsid w:val="008F1DFA"/>
    <w:rsid w:val="008F20CD"/>
    <w:rsid w:val="008F4D35"/>
    <w:rsid w:val="008F57DF"/>
    <w:rsid w:val="008F5B1E"/>
    <w:rsid w:val="008F68F3"/>
    <w:rsid w:val="008F6CAA"/>
    <w:rsid w:val="008F795C"/>
    <w:rsid w:val="008F7A0F"/>
    <w:rsid w:val="00900632"/>
    <w:rsid w:val="00901397"/>
    <w:rsid w:val="00902BF8"/>
    <w:rsid w:val="00903449"/>
    <w:rsid w:val="009047FA"/>
    <w:rsid w:val="00905173"/>
    <w:rsid w:val="00905E54"/>
    <w:rsid w:val="00906502"/>
    <w:rsid w:val="0090701B"/>
    <w:rsid w:val="0090784B"/>
    <w:rsid w:val="00910201"/>
    <w:rsid w:val="00910C0A"/>
    <w:rsid w:val="0091189D"/>
    <w:rsid w:val="009119B4"/>
    <w:rsid w:val="009135A4"/>
    <w:rsid w:val="00914D1E"/>
    <w:rsid w:val="00914E4A"/>
    <w:rsid w:val="00914F79"/>
    <w:rsid w:val="00915219"/>
    <w:rsid w:val="0091624E"/>
    <w:rsid w:val="009170CC"/>
    <w:rsid w:val="009172E3"/>
    <w:rsid w:val="009174C4"/>
    <w:rsid w:val="00917DEC"/>
    <w:rsid w:val="00921021"/>
    <w:rsid w:val="0092119B"/>
    <w:rsid w:val="00921696"/>
    <w:rsid w:val="00921A5A"/>
    <w:rsid w:val="00921ABB"/>
    <w:rsid w:val="0092244C"/>
    <w:rsid w:val="00922A25"/>
    <w:rsid w:val="00925847"/>
    <w:rsid w:val="00927798"/>
    <w:rsid w:val="00927A51"/>
    <w:rsid w:val="00930A4C"/>
    <w:rsid w:val="009312C9"/>
    <w:rsid w:val="00932EC5"/>
    <w:rsid w:val="00935387"/>
    <w:rsid w:val="0093541E"/>
    <w:rsid w:val="0093567B"/>
    <w:rsid w:val="00935A41"/>
    <w:rsid w:val="009414AC"/>
    <w:rsid w:val="00941CB4"/>
    <w:rsid w:val="00942312"/>
    <w:rsid w:val="009432AB"/>
    <w:rsid w:val="009440DD"/>
    <w:rsid w:val="00944722"/>
    <w:rsid w:val="00944BD1"/>
    <w:rsid w:val="0094526E"/>
    <w:rsid w:val="00946198"/>
    <w:rsid w:val="00946CB7"/>
    <w:rsid w:val="009479EC"/>
    <w:rsid w:val="009515F5"/>
    <w:rsid w:val="00951BB8"/>
    <w:rsid w:val="00951DB2"/>
    <w:rsid w:val="009521A8"/>
    <w:rsid w:val="00953B4D"/>
    <w:rsid w:val="009548ED"/>
    <w:rsid w:val="0095493B"/>
    <w:rsid w:val="009550AD"/>
    <w:rsid w:val="00955FEC"/>
    <w:rsid w:val="009570A1"/>
    <w:rsid w:val="009603CB"/>
    <w:rsid w:val="00960559"/>
    <w:rsid w:val="009618E2"/>
    <w:rsid w:val="00962739"/>
    <w:rsid w:val="00965235"/>
    <w:rsid w:val="009657FD"/>
    <w:rsid w:val="00965A0E"/>
    <w:rsid w:val="00965E09"/>
    <w:rsid w:val="0096637E"/>
    <w:rsid w:val="00966D89"/>
    <w:rsid w:val="00966DCF"/>
    <w:rsid w:val="00967308"/>
    <w:rsid w:val="0096772A"/>
    <w:rsid w:val="00970DF9"/>
    <w:rsid w:val="00971565"/>
    <w:rsid w:val="0097334D"/>
    <w:rsid w:val="00973E82"/>
    <w:rsid w:val="009748D6"/>
    <w:rsid w:val="00977B16"/>
    <w:rsid w:val="00980527"/>
    <w:rsid w:val="009809C5"/>
    <w:rsid w:val="00981632"/>
    <w:rsid w:val="009839DD"/>
    <w:rsid w:val="009860BB"/>
    <w:rsid w:val="00986925"/>
    <w:rsid w:val="009871B5"/>
    <w:rsid w:val="00987391"/>
    <w:rsid w:val="0099012A"/>
    <w:rsid w:val="0099130B"/>
    <w:rsid w:val="00991915"/>
    <w:rsid w:val="00992FA8"/>
    <w:rsid w:val="00993BC5"/>
    <w:rsid w:val="00993F98"/>
    <w:rsid w:val="00997193"/>
    <w:rsid w:val="009973C9"/>
    <w:rsid w:val="009978CC"/>
    <w:rsid w:val="009A0046"/>
    <w:rsid w:val="009A0D2E"/>
    <w:rsid w:val="009A3047"/>
    <w:rsid w:val="009A426F"/>
    <w:rsid w:val="009A57FB"/>
    <w:rsid w:val="009A58CC"/>
    <w:rsid w:val="009A5A21"/>
    <w:rsid w:val="009A7153"/>
    <w:rsid w:val="009B0D0D"/>
    <w:rsid w:val="009B1398"/>
    <w:rsid w:val="009B344E"/>
    <w:rsid w:val="009B3C36"/>
    <w:rsid w:val="009B50DD"/>
    <w:rsid w:val="009B5BA6"/>
    <w:rsid w:val="009B6D8A"/>
    <w:rsid w:val="009B78F8"/>
    <w:rsid w:val="009B7C9C"/>
    <w:rsid w:val="009C2A9C"/>
    <w:rsid w:val="009C2B9A"/>
    <w:rsid w:val="009C2FB6"/>
    <w:rsid w:val="009C38A2"/>
    <w:rsid w:val="009C3A09"/>
    <w:rsid w:val="009C3CA2"/>
    <w:rsid w:val="009C3FDE"/>
    <w:rsid w:val="009C62A3"/>
    <w:rsid w:val="009C7BA4"/>
    <w:rsid w:val="009C7CDE"/>
    <w:rsid w:val="009D06B2"/>
    <w:rsid w:val="009D210C"/>
    <w:rsid w:val="009D21FA"/>
    <w:rsid w:val="009D3C3A"/>
    <w:rsid w:val="009D3D00"/>
    <w:rsid w:val="009D5528"/>
    <w:rsid w:val="009D5FE1"/>
    <w:rsid w:val="009D6498"/>
    <w:rsid w:val="009E0CC7"/>
    <w:rsid w:val="009E0DDB"/>
    <w:rsid w:val="009E0EC3"/>
    <w:rsid w:val="009E1107"/>
    <w:rsid w:val="009E320F"/>
    <w:rsid w:val="009E4D36"/>
    <w:rsid w:val="009E57B8"/>
    <w:rsid w:val="009E586D"/>
    <w:rsid w:val="009E6EBE"/>
    <w:rsid w:val="009E7EED"/>
    <w:rsid w:val="009F0110"/>
    <w:rsid w:val="009F07F6"/>
    <w:rsid w:val="009F12B6"/>
    <w:rsid w:val="009F1F50"/>
    <w:rsid w:val="009F21C5"/>
    <w:rsid w:val="009F26A3"/>
    <w:rsid w:val="009F2E24"/>
    <w:rsid w:val="009F336F"/>
    <w:rsid w:val="009F379B"/>
    <w:rsid w:val="009F42D6"/>
    <w:rsid w:val="009F456A"/>
    <w:rsid w:val="009F5024"/>
    <w:rsid w:val="009F5DDB"/>
    <w:rsid w:val="009F6576"/>
    <w:rsid w:val="009F7F42"/>
    <w:rsid w:val="00A00185"/>
    <w:rsid w:val="00A01016"/>
    <w:rsid w:val="00A016FE"/>
    <w:rsid w:val="00A01A38"/>
    <w:rsid w:val="00A01C90"/>
    <w:rsid w:val="00A02BDF"/>
    <w:rsid w:val="00A02DC7"/>
    <w:rsid w:val="00A03306"/>
    <w:rsid w:val="00A03C90"/>
    <w:rsid w:val="00A0439F"/>
    <w:rsid w:val="00A045B8"/>
    <w:rsid w:val="00A04860"/>
    <w:rsid w:val="00A0700A"/>
    <w:rsid w:val="00A078FE"/>
    <w:rsid w:val="00A111C5"/>
    <w:rsid w:val="00A11780"/>
    <w:rsid w:val="00A1203A"/>
    <w:rsid w:val="00A12469"/>
    <w:rsid w:val="00A12665"/>
    <w:rsid w:val="00A12E4F"/>
    <w:rsid w:val="00A14FA2"/>
    <w:rsid w:val="00A15056"/>
    <w:rsid w:val="00A15268"/>
    <w:rsid w:val="00A1674A"/>
    <w:rsid w:val="00A17484"/>
    <w:rsid w:val="00A205B6"/>
    <w:rsid w:val="00A214F6"/>
    <w:rsid w:val="00A22205"/>
    <w:rsid w:val="00A227CD"/>
    <w:rsid w:val="00A234B0"/>
    <w:rsid w:val="00A239F5"/>
    <w:rsid w:val="00A24035"/>
    <w:rsid w:val="00A24A0A"/>
    <w:rsid w:val="00A24C54"/>
    <w:rsid w:val="00A255F0"/>
    <w:rsid w:val="00A2636E"/>
    <w:rsid w:val="00A265FE"/>
    <w:rsid w:val="00A26F46"/>
    <w:rsid w:val="00A27925"/>
    <w:rsid w:val="00A313D4"/>
    <w:rsid w:val="00A3149C"/>
    <w:rsid w:val="00A32288"/>
    <w:rsid w:val="00A32770"/>
    <w:rsid w:val="00A327DC"/>
    <w:rsid w:val="00A33068"/>
    <w:rsid w:val="00A34157"/>
    <w:rsid w:val="00A34796"/>
    <w:rsid w:val="00A34E5F"/>
    <w:rsid w:val="00A34F1F"/>
    <w:rsid w:val="00A351C1"/>
    <w:rsid w:val="00A3536A"/>
    <w:rsid w:val="00A35749"/>
    <w:rsid w:val="00A3579B"/>
    <w:rsid w:val="00A358F6"/>
    <w:rsid w:val="00A363C8"/>
    <w:rsid w:val="00A37FA0"/>
    <w:rsid w:val="00A40931"/>
    <w:rsid w:val="00A410C6"/>
    <w:rsid w:val="00A43C19"/>
    <w:rsid w:val="00A44569"/>
    <w:rsid w:val="00A44883"/>
    <w:rsid w:val="00A44F4C"/>
    <w:rsid w:val="00A44F93"/>
    <w:rsid w:val="00A4596A"/>
    <w:rsid w:val="00A47A44"/>
    <w:rsid w:val="00A52623"/>
    <w:rsid w:val="00A544E8"/>
    <w:rsid w:val="00A5541E"/>
    <w:rsid w:val="00A55679"/>
    <w:rsid w:val="00A56770"/>
    <w:rsid w:val="00A603AE"/>
    <w:rsid w:val="00A60822"/>
    <w:rsid w:val="00A60B6F"/>
    <w:rsid w:val="00A6117F"/>
    <w:rsid w:val="00A61A11"/>
    <w:rsid w:val="00A61C72"/>
    <w:rsid w:val="00A61CD4"/>
    <w:rsid w:val="00A61EEE"/>
    <w:rsid w:val="00A6550C"/>
    <w:rsid w:val="00A65533"/>
    <w:rsid w:val="00A655A0"/>
    <w:rsid w:val="00A65D16"/>
    <w:rsid w:val="00A65DC6"/>
    <w:rsid w:val="00A66CB7"/>
    <w:rsid w:val="00A66FAB"/>
    <w:rsid w:val="00A6701E"/>
    <w:rsid w:val="00A713A0"/>
    <w:rsid w:val="00A71842"/>
    <w:rsid w:val="00A719E5"/>
    <w:rsid w:val="00A71F37"/>
    <w:rsid w:val="00A72019"/>
    <w:rsid w:val="00A721C0"/>
    <w:rsid w:val="00A725ED"/>
    <w:rsid w:val="00A73B2B"/>
    <w:rsid w:val="00A77AA4"/>
    <w:rsid w:val="00A80605"/>
    <w:rsid w:val="00A82565"/>
    <w:rsid w:val="00A839D9"/>
    <w:rsid w:val="00A8400F"/>
    <w:rsid w:val="00A84259"/>
    <w:rsid w:val="00A84E24"/>
    <w:rsid w:val="00A85322"/>
    <w:rsid w:val="00A85AB2"/>
    <w:rsid w:val="00A85F14"/>
    <w:rsid w:val="00A87C73"/>
    <w:rsid w:val="00A90C39"/>
    <w:rsid w:val="00A927B4"/>
    <w:rsid w:val="00A928A8"/>
    <w:rsid w:val="00A92EC2"/>
    <w:rsid w:val="00A9447F"/>
    <w:rsid w:val="00A94E44"/>
    <w:rsid w:val="00A951F2"/>
    <w:rsid w:val="00A96188"/>
    <w:rsid w:val="00A967E7"/>
    <w:rsid w:val="00A96806"/>
    <w:rsid w:val="00A97B1B"/>
    <w:rsid w:val="00AA04A4"/>
    <w:rsid w:val="00AA2F31"/>
    <w:rsid w:val="00AA3633"/>
    <w:rsid w:val="00AA42DA"/>
    <w:rsid w:val="00AA4470"/>
    <w:rsid w:val="00AA4497"/>
    <w:rsid w:val="00AA4F33"/>
    <w:rsid w:val="00AA63FC"/>
    <w:rsid w:val="00AA6FA2"/>
    <w:rsid w:val="00AA6FC2"/>
    <w:rsid w:val="00AA709A"/>
    <w:rsid w:val="00AB02F7"/>
    <w:rsid w:val="00AB0ABA"/>
    <w:rsid w:val="00AB0FC2"/>
    <w:rsid w:val="00AB1896"/>
    <w:rsid w:val="00AB32F5"/>
    <w:rsid w:val="00AB51BA"/>
    <w:rsid w:val="00AC2423"/>
    <w:rsid w:val="00AC3505"/>
    <w:rsid w:val="00AC4567"/>
    <w:rsid w:val="00AC4662"/>
    <w:rsid w:val="00AC4852"/>
    <w:rsid w:val="00AC4ADD"/>
    <w:rsid w:val="00AC690B"/>
    <w:rsid w:val="00AC6A52"/>
    <w:rsid w:val="00AC7E4A"/>
    <w:rsid w:val="00AD02D2"/>
    <w:rsid w:val="00AD041D"/>
    <w:rsid w:val="00AD0C8C"/>
    <w:rsid w:val="00AD0D36"/>
    <w:rsid w:val="00AD1A17"/>
    <w:rsid w:val="00AD21FF"/>
    <w:rsid w:val="00AD287C"/>
    <w:rsid w:val="00AD397E"/>
    <w:rsid w:val="00AD5D41"/>
    <w:rsid w:val="00AD60E3"/>
    <w:rsid w:val="00AD63D1"/>
    <w:rsid w:val="00AD6657"/>
    <w:rsid w:val="00AD67B4"/>
    <w:rsid w:val="00AD6C73"/>
    <w:rsid w:val="00AE0031"/>
    <w:rsid w:val="00AE0B6F"/>
    <w:rsid w:val="00AE12AE"/>
    <w:rsid w:val="00AE2ED6"/>
    <w:rsid w:val="00AE3ACF"/>
    <w:rsid w:val="00AE4044"/>
    <w:rsid w:val="00AE4807"/>
    <w:rsid w:val="00AE4CBB"/>
    <w:rsid w:val="00AE4EA3"/>
    <w:rsid w:val="00AE4F4B"/>
    <w:rsid w:val="00AE57AE"/>
    <w:rsid w:val="00AE6782"/>
    <w:rsid w:val="00AE734C"/>
    <w:rsid w:val="00AF0B69"/>
    <w:rsid w:val="00AF0BF0"/>
    <w:rsid w:val="00AF1F03"/>
    <w:rsid w:val="00AF238F"/>
    <w:rsid w:val="00AF2DEB"/>
    <w:rsid w:val="00AF3BAB"/>
    <w:rsid w:val="00AF3F7C"/>
    <w:rsid w:val="00AF6E25"/>
    <w:rsid w:val="00B02D58"/>
    <w:rsid w:val="00B02DE1"/>
    <w:rsid w:val="00B03863"/>
    <w:rsid w:val="00B04D35"/>
    <w:rsid w:val="00B05DDA"/>
    <w:rsid w:val="00B05DDD"/>
    <w:rsid w:val="00B062EC"/>
    <w:rsid w:val="00B06885"/>
    <w:rsid w:val="00B06EAF"/>
    <w:rsid w:val="00B07BE6"/>
    <w:rsid w:val="00B07CEF"/>
    <w:rsid w:val="00B108A0"/>
    <w:rsid w:val="00B11BBF"/>
    <w:rsid w:val="00B129E2"/>
    <w:rsid w:val="00B135B9"/>
    <w:rsid w:val="00B13E66"/>
    <w:rsid w:val="00B14792"/>
    <w:rsid w:val="00B15C66"/>
    <w:rsid w:val="00B16BA6"/>
    <w:rsid w:val="00B17725"/>
    <w:rsid w:val="00B20A50"/>
    <w:rsid w:val="00B21637"/>
    <w:rsid w:val="00B229A2"/>
    <w:rsid w:val="00B23435"/>
    <w:rsid w:val="00B23CFB"/>
    <w:rsid w:val="00B2431E"/>
    <w:rsid w:val="00B24F41"/>
    <w:rsid w:val="00B278D8"/>
    <w:rsid w:val="00B3031F"/>
    <w:rsid w:val="00B31032"/>
    <w:rsid w:val="00B3207D"/>
    <w:rsid w:val="00B32105"/>
    <w:rsid w:val="00B33871"/>
    <w:rsid w:val="00B33AE0"/>
    <w:rsid w:val="00B33CC7"/>
    <w:rsid w:val="00B345D3"/>
    <w:rsid w:val="00B34E5B"/>
    <w:rsid w:val="00B354B7"/>
    <w:rsid w:val="00B35833"/>
    <w:rsid w:val="00B36268"/>
    <w:rsid w:val="00B363D7"/>
    <w:rsid w:val="00B3762C"/>
    <w:rsid w:val="00B40078"/>
    <w:rsid w:val="00B404B3"/>
    <w:rsid w:val="00B40D13"/>
    <w:rsid w:val="00B40DD0"/>
    <w:rsid w:val="00B420DB"/>
    <w:rsid w:val="00B42273"/>
    <w:rsid w:val="00B43858"/>
    <w:rsid w:val="00B4424A"/>
    <w:rsid w:val="00B456F9"/>
    <w:rsid w:val="00B45B62"/>
    <w:rsid w:val="00B46AB9"/>
    <w:rsid w:val="00B46BAF"/>
    <w:rsid w:val="00B46C8D"/>
    <w:rsid w:val="00B47AA5"/>
    <w:rsid w:val="00B500E8"/>
    <w:rsid w:val="00B50F65"/>
    <w:rsid w:val="00B518F0"/>
    <w:rsid w:val="00B523EB"/>
    <w:rsid w:val="00B532AF"/>
    <w:rsid w:val="00B542BF"/>
    <w:rsid w:val="00B55BBA"/>
    <w:rsid w:val="00B5717C"/>
    <w:rsid w:val="00B57EDF"/>
    <w:rsid w:val="00B6106C"/>
    <w:rsid w:val="00B61416"/>
    <w:rsid w:val="00B617C0"/>
    <w:rsid w:val="00B619E5"/>
    <w:rsid w:val="00B61DE1"/>
    <w:rsid w:val="00B62CF4"/>
    <w:rsid w:val="00B646F8"/>
    <w:rsid w:val="00B6474F"/>
    <w:rsid w:val="00B64C2E"/>
    <w:rsid w:val="00B652E0"/>
    <w:rsid w:val="00B657FC"/>
    <w:rsid w:val="00B65977"/>
    <w:rsid w:val="00B66622"/>
    <w:rsid w:val="00B66721"/>
    <w:rsid w:val="00B67FE4"/>
    <w:rsid w:val="00B70D89"/>
    <w:rsid w:val="00B72DAC"/>
    <w:rsid w:val="00B7323E"/>
    <w:rsid w:val="00B77C2A"/>
    <w:rsid w:val="00B80913"/>
    <w:rsid w:val="00B810AB"/>
    <w:rsid w:val="00B8146D"/>
    <w:rsid w:val="00B815EA"/>
    <w:rsid w:val="00B81D73"/>
    <w:rsid w:val="00B824E1"/>
    <w:rsid w:val="00B82757"/>
    <w:rsid w:val="00B8548E"/>
    <w:rsid w:val="00B8581C"/>
    <w:rsid w:val="00B90A0C"/>
    <w:rsid w:val="00B90FCE"/>
    <w:rsid w:val="00B911A4"/>
    <w:rsid w:val="00B91B38"/>
    <w:rsid w:val="00B92217"/>
    <w:rsid w:val="00B923A3"/>
    <w:rsid w:val="00B9249F"/>
    <w:rsid w:val="00B927D0"/>
    <w:rsid w:val="00B92A22"/>
    <w:rsid w:val="00B939D6"/>
    <w:rsid w:val="00B94CB4"/>
    <w:rsid w:val="00B94EAF"/>
    <w:rsid w:val="00B9504D"/>
    <w:rsid w:val="00B951A7"/>
    <w:rsid w:val="00B953A6"/>
    <w:rsid w:val="00B95643"/>
    <w:rsid w:val="00B965DC"/>
    <w:rsid w:val="00BA2027"/>
    <w:rsid w:val="00BA30EB"/>
    <w:rsid w:val="00BA31E5"/>
    <w:rsid w:val="00BA3DBF"/>
    <w:rsid w:val="00BA48C5"/>
    <w:rsid w:val="00BA6926"/>
    <w:rsid w:val="00BA73D7"/>
    <w:rsid w:val="00BA77B6"/>
    <w:rsid w:val="00BB17FB"/>
    <w:rsid w:val="00BB1956"/>
    <w:rsid w:val="00BB1AE8"/>
    <w:rsid w:val="00BB2429"/>
    <w:rsid w:val="00BB2570"/>
    <w:rsid w:val="00BB2AD1"/>
    <w:rsid w:val="00BB32ED"/>
    <w:rsid w:val="00BB3CAF"/>
    <w:rsid w:val="00BB507F"/>
    <w:rsid w:val="00BB59B4"/>
    <w:rsid w:val="00BB5DA9"/>
    <w:rsid w:val="00BB691A"/>
    <w:rsid w:val="00BB7096"/>
    <w:rsid w:val="00BC1979"/>
    <w:rsid w:val="00BC1B63"/>
    <w:rsid w:val="00BC1FE6"/>
    <w:rsid w:val="00BC3062"/>
    <w:rsid w:val="00BC469A"/>
    <w:rsid w:val="00BC5880"/>
    <w:rsid w:val="00BC59A9"/>
    <w:rsid w:val="00BD0814"/>
    <w:rsid w:val="00BD281B"/>
    <w:rsid w:val="00BD2897"/>
    <w:rsid w:val="00BD2A20"/>
    <w:rsid w:val="00BD30C0"/>
    <w:rsid w:val="00BD441D"/>
    <w:rsid w:val="00BD4AA0"/>
    <w:rsid w:val="00BD564D"/>
    <w:rsid w:val="00BD5795"/>
    <w:rsid w:val="00BD5C77"/>
    <w:rsid w:val="00BD5D6F"/>
    <w:rsid w:val="00BD6E5B"/>
    <w:rsid w:val="00BD7000"/>
    <w:rsid w:val="00BE0A9D"/>
    <w:rsid w:val="00BE134D"/>
    <w:rsid w:val="00BE150B"/>
    <w:rsid w:val="00BE1E17"/>
    <w:rsid w:val="00BE3D51"/>
    <w:rsid w:val="00BE41D6"/>
    <w:rsid w:val="00BE4D13"/>
    <w:rsid w:val="00BE5F65"/>
    <w:rsid w:val="00BE6678"/>
    <w:rsid w:val="00BE66F3"/>
    <w:rsid w:val="00BE7CC6"/>
    <w:rsid w:val="00BE7EA2"/>
    <w:rsid w:val="00BF0014"/>
    <w:rsid w:val="00BF08F5"/>
    <w:rsid w:val="00BF3CDE"/>
    <w:rsid w:val="00BF556A"/>
    <w:rsid w:val="00BF6045"/>
    <w:rsid w:val="00BF6492"/>
    <w:rsid w:val="00BF6AE9"/>
    <w:rsid w:val="00BF7055"/>
    <w:rsid w:val="00C006AD"/>
    <w:rsid w:val="00C01B65"/>
    <w:rsid w:val="00C01F38"/>
    <w:rsid w:val="00C02BC2"/>
    <w:rsid w:val="00C02C8E"/>
    <w:rsid w:val="00C032EC"/>
    <w:rsid w:val="00C035BA"/>
    <w:rsid w:val="00C046F0"/>
    <w:rsid w:val="00C047C0"/>
    <w:rsid w:val="00C06031"/>
    <w:rsid w:val="00C06171"/>
    <w:rsid w:val="00C06FE6"/>
    <w:rsid w:val="00C07D75"/>
    <w:rsid w:val="00C105FE"/>
    <w:rsid w:val="00C106D0"/>
    <w:rsid w:val="00C110D1"/>
    <w:rsid w:val="00C12492"/>
    <w:rsid w:val="00C12CC8"/>
    <w:rsid w:val="00C12CEE"/>
    <w:rsid w:val="00C13EFC"/>
    <w:rsid w:val="00C15501"/>
    <w:rsid w:val="00C15834"/>
    <w:rsid w:val="00C15A86"/>
    <w:rsid w:val="00C20EE7"/>
    <w:rsid w:val="00C217B8"/>
    <w:rsid w:val="00C23099"/>
    <w:rsid w:val="00C234D1"/>
    <w:rsid w:val="00C235D0"/>
    <w:rsid w:val="00C23659"/>
    <w:rsid w:val="00C236EF"/>
    <w:rsid w:val="00C249D5"/>
    <w:rsid w:val="00C24B48"/>
    <w:rsid w:val="00C2551C"/>
    <w:rsid w:val="00C25ECC"/>
    <w:rsid w:val="00C25F22"/>
    <w:rsid w:val="00C262FE"/>
    <w:rsid w:val="00C2691A"/>
    <w:rsid w:val="00C26B3B"/>
    <w:rsid w:val="00C26F39"/>
    <w:rsid w:val="00C26F3A"/>
    <w:rsid w:val="00C273E0"/>
    <w:rsid w:val="00C27C5D"/>
    <w:rsid w:val="00C3017A"/>
    <w:rsid w:val="00C30524"/>
    <w:rsid w:val="00C327CA"/>
    <w:rsid w:val="00C342AA"/>
    <w:rsid w:val="00C34583"/>
    <w:rsid w:val="00C35C41"/>
    <w:rsid w:val="00C35DD2"/>
    <w:rsid w:val="00C363C7"/>
    <w:rsid w:val="00C36EFF"/>
    <w:rsid w:val="00C370A3"/>
    <w:rsid w:val="00C371A2"/>
    <w:rsid w:val="00C37282"/>
    <w:rsid w:val="00C378B2"/>
    <w:rsid w:val="00C37A52"/>
    <w:rsid w:val="00C37DBE"/>
    <w:rsid w:val="00C401EF"/>
    <w:rsid w:val="00C40E36"/>
    <w:rsid w:val="00C42005"/>
    <w:rsid w:val="00C42D46"/>
    <w:rsid w:val="00C42DB5"/>
    <w:rsid w:val="00C44A34"/>
    <w:rsid w:val="00C44A7F"/>
    <w:rsid w:val="00C45431"/>
    <w:rsid w:val="00C455BD"/>
    <w:rsid w:val="00C4560C"/>
    <w:rsid w:val="00C45B5C"/>
    <w:rsid w:val="00C45DDB"/>
    <w:rsid w:val="00C46C44"/>
    <w:rsid w:val="00C4773A"/>
    <w:rsid w:val="00C477D7"/>
    <w:rsid w:val="00C479DD"/>
    <w:rsid w:val="00C507E1"/>
    <w:rsid w:val="00C50DA1"/>
    <w:rsid w:val="00C5238C"/>
    <w:rsid w:val="00C5475F"/>
    <w:rsid w:val="00C555A3"/>
    <w:rsid w:val="00C5595F"/>
    <w:rsid w:val="00C565B0"/>
    <w:rsid w:val="00C5759D"/>
    <w:rsid w:val="00C5768F"/>
    <w:rsid w:val="00C57725"/>
    <w:rsid w:val="00C57AF0"/>
    <w:rsid w:val="00C57C46"/>
    <w:rsid w:val="00C6040E"/>
    <w:rsid w:val="00C610ED"/>
    <w:rsid w:val="00C611F2"/>
    <w:rsid w:val="00C61F8C"/>
    <w:rsid w:val="00C62061"/>
    <w:rsid w:val="00C62225"/>
    <w:rsid w:val="00C62C1A"/>
    <w:rsid w:val="00C65398"/>
    <w:rsid w:val="00C65C66"/>
    <w:rsid w:val="00C65E6E"/>
    <w:rsid w:val="00C67534"/>
    <w:rsid w:val="00C703E5"/>
    <w:rsid w:val="00C72A95"/>
    <w:rsid w:val="00C72B8E"/>
    <w:rsid w:val="00C74174"/>
    <w:rsid w:val="00C744A0"/>
    <w:rsid w:val="00C7539B"/>
    <w:rsid w:val="00C763A2"/>
    <w:rsid w:val="00C76B93"/>
    <w:rsid w:val="00C76FD1"/>
    <w:rsid w:val="00C806D8"/>
    <w:rsid w:val="00C80BB7"/>
    <w:rsid w:val="00C80CAA"/>
    <w:rsid w:val="00C811A4"/>
    <w:rsid w:val="00C82224"/>
    <w:rsid w:val="00C8227E"/>
    <w:rsid w:val="00C82643"/>
    <w:rsid w:val="00C826D1"/>
    <w:rsid w:val="00C82B32"/>
    <w:rsid w:val="00C83331"/>
    <w:rsid w:val="00C85A9D"/>
    <w:rsid w:val="00C85BD9"/>
    <w:rsid w:val="00C85CEB"/>
    <w:rsid w:val="00C8716E"/>
    <w:rsid w:val="00C9205C"/>
    <w:rsid w:val="00C9246B"/>
    <w:rsid w:val="00C92B49"/>
    <w:rsid w:val="00C95306"/>
    <w:rsid w:val="00C95458"/>
    <w:rsid w:val="00C97F12"/>
    <w:rsid w:val="00CA00EF"/>
    <w:rsid w:val="00CA03D1"/>
    <w:rsid w:val="00CA09CE"/>
    <w:rsid w:val="00CA0DAD"/>
    <w:rsid w:val="00CA164F"/>
    <w:rsid w:val="00CA1A09"/>
    <w:rsid w:val="00CA465A"/>
    <w:rsid w:val="00CA4F3D"/>
    <w:rsid w:val="00CA55E9"/>
    <w:rsid w:val="00CA61B8"/>
    <w:rsid w:val="00CB15A9"/>
    <w:rsid w:val="00CB263F"/>
    <w:rsid w:val="00CB3844"/>
    <w:rsid w:val="00CB3CF7"/>
    <w:rsid w:val="00CB3DDB"/>
    <w:rsid w:val="00CB4C66"/>
    <w:rsid w:val="00CB50B6"/>
    <w:rsid w:val="00CB5BA9"/>
    <w:rsid w:val="00CB6A32"/>
    <w:rsid w:val="00CB7107"/>
    <w:rsid w:val="00CC0156"/>
    <w:rsid w:val="00CC0622"/>
    <w:rsid w:val="00CC09E1"/>
    <w:rsid w:val="00CC0F49"/>
    <w:rsid w:val="00CC1D2E"/>
    <w:rsid w:val="00CC2D21"/>
    <w:rsid w:val="00CC311A"/>
    <w:rsid w:val="00CC3CF4"/>
    <w:rsid w:val="00CC41C1"/>
    <w:rsid w:val="00CC4349"/>
    <w:rsid w:val="00CC5E6F"/>
    <w:rsid w:val="00CC64F1"/>
    <w:rsid w:val="00CC68B5"/>
    <w:rsid w:val="00CD0D0A"/>
    <w:rsid w:val="00CD0D2F"/>
    <w:rsid w:val="00CD18E0"/>
    <w:rsid w:val="00CD1C64"/>
    <w:rsid w:val="00CD1DB4"/>
    <w:rsid w:val="00CD52B6"/>
    <w:rsid w:val="00CD6315"/>
    <w:rsid w:val="00CD6617"/>
    <w:rsid w:val="00CE14B7"/>
    <w:rsid w:val="00CE15A9"/>
    <w:rsid w:val="00CE1A2D"/>
    <w:rsid w:val="00CE28AD"/>
    <w:rsid w:val="00CE36D6"/>
    <w:rsid w:val="00CE417E"/>
    <w:rsid w:val="00CE4AD1"/>
    <w:rsid w:val="00CE5043"/>
    <w:rsid w:val="00CE5EE5"/>
    <w:rsid w:val="00CE7D10"/>
    <w:rsid w:val="00CF0770"/>
    <w:rsid w:val="00CF0FD0"/>
    <w:rsid w:val="00CF1BB1"/>
    <w:rsid w:val="00CF373A"/>
    <w:rsid w:val="00CF3A25"/>
    <w:rsid w:val="00CF3B96"/>
    <w:rsid w:val="00CF3D33"/>
    <w:rsid w:val="00CF5343"/>
    <w:rsid w:val="00CF6515"/>
    <w:rsid w:val="00CF7570"/>
    <w:rsid w:val="00CF7856"/>
    <w:rsid w:val="00D00262"/>
    <w:rsid w:val="00D006B9"/>
    <w:rsid w:val="00D0229A"/>
    <w:rsid w:val="00D02490"/>
    <w:rsid w:val="00D02BF2"/>
    <w:rsid w:val="00D0352E"/>
    <w:rsid w:val="00D03687"/>
    <w:rsid w:val="00D03694"/>
    <w:rsid w:val="00D05166"/>
    <w:rsid w:val="00D077B7"/>
    <w:rsid w:val="00D07AAA"/>
    <w:rsid w:val="00D07AED"/>
    <w:rsid w:val="00D07B4A"/>
    <w:rsid w:val="00D07B83"/>
    <w:rsid w:val="00D1030D"/>
    <w:rsid w:val="00D107CB"/>
    <w:rsid w:val="00D12A50"/>
    <w:rsid w:val="00D13609"/>
    <w:rsid w:val="00D142AA"/>
    <w:rsid w:val="00D15880"/>
    <w:rsid w:val="00D17459"/>
    <w:rsid w:val="00D17CDC"/>
    <w:rsid w:val="00D2181B"/>
    <w:rsid w:val="00D21D62"/>
    <w:rsid w:val="00D220D2"/>
    <w:rsid w:val="00D239B6"/>
    <w:rsid w:val="00D24970"/>
    <w:rsid w:val="00D25C13"/>
    <w:rsid w:val="00D269BF"/>
    <w:rsid w:val="00D27815"/>
    <w:rsid w:val="00D30428"/>
    <w:rsid w:val="00D307CA"/>
    <w:rsid w:val="00D30C2D"/>
    <w:rsid w:val="00D321F8"/>
    <w:rsid w:val="00D32C04"/>
    <w:rsid w:val="00D3463E"/>
    <w:rsid w:val="00D34DBA"/>
    <w:rsid w:val="00D34F4B"/>
    <w:rsid w:val="00D35D68"/>
    <w:rsid w:val="00D36770"/>
    <w:rsid w:val="00D376A2"/>
    <w:rsid w:val="00D3793B"/>
    <w:rsid w:val="00D40213"/>
    <w:rsid w:val="00D40313"/>
    <w:rsid w:val="00D404D2"/>
    <w:rsid w:val="00D40DF3"/>
    <w:rsid w:val="00D423A1"/>
    <w:rsid w:val="00D42F7B"/>
    <w:rsid w:val="00D43B05"/>
    <w:rsid w:val="00D43E06"/>
    <w:rsid w:val="00D43F15"/>
    <w:rsid w:val="00D44344"/>
    <w:rsid w:val="00D44545"/>
    <w:rsid w:val="00D449CE"/>
    <w:rsid w:val="00D44E6A"/>
    <w:rsid w:val="00D45057"/>
    <w:rsid w:val="00D4539E"/>
    <w:rsid w:val="00D463DE"/>
    <w:rsid w:val="00D47946"/>
    <w:rsid w:val="00D5047D"/>
    <w:rsid w:val="00D52314"/>
    <w:rsid w:val="00D53B4F"/>
    <w:rsid w:val="00D54A9A"/>
    <w:rsid w:val="00D54C2F"/>
    <w:rsid w:val="00D55C48"/>
    <w:rsid w:val="00D55EC9"/>
    <w:rsid w:val="00D55F4E"/>
    <w:rsid w:val="00D56470"/>
    <w:rsid w:val="00D565CB"/>
    <w:rsid w:val="00D56A33"/>
    <w:rsid w:val="00D5719D"/>
    <w:rsid w:val="00D5791F"/>
    <w:rsid w:val="00D6114E"/>
    <w:rsid w:val="00D61226"/>
    <w:rsid w:val="00D61B9F"/>
    <w:rsid w:val="00D62D84"/>
    <w:rsid w:val="00D639BA"/>
    <w:rsid w:val="00D640B3"/>
    <w:rsid w:val="00D640F2"/>
    <w:rsid w:val="00D64B4E"/>
    <w:rsid w:val="00D67582"/>
    <w:rsid w:val="00D70081"/>
    <w:rsid w:val="00D7043E"/>
    <w:rsid w:val="00D71E2C"/>
    <w:rsid w:val="00D72E8E"/>
    <w:rsid w:val="00D72F0C"/>
    <w:rsid w:val="00D73171"/>
    <w:rsid w:val="00D7351E"/>
    <w:rsid w:val="00D7413A"/>
    <w:rsid w:val="00D74CE0"/>
    <w:rsid w:val="00D76939"/>
    <w:rsid w:val="00D774A0"/>
    <w:rsid w:val="00D778E6"/>
    <w:rsid w:val="00D77EE5"/>
    <w:rsid w:val="00D81492"/>
    <w:rsid w:val="00D82595"/>
    <w:rsid w:val="00D82E83"/>
    <w:rsid w:val="00D82FA4"/>
    <w:rsid w:val="00D84A42"/>
    <w:rsid w:val="00D84A4A"/>
    <w:rsid w:val="00D84C64"/>
    <w:rsid w:val="00D854D1"/>
    <w:rsid w:val="00D86327"/>
    <w:rsid w:val="00D86D0C"/>
    <w:rsid w:val="00D87254"/>
    <w:rsid w:val="00D91448"/>
    <w:rsid w:val="00D916E4"/>
    <w:rsid w:val="00D920DA"/>
    <w:rsid w:val="00D92457"/>
    <w:rsid w:val="00D948FC"/>
    <w:rsid w:val="00D94DD2"/>
    <w:rsid w:val="00D94FA0"/>
    <w:rsid w:val="00D9584A"/>
    <w:rsid w:val="00D95CDF"/>
    <w:rsid w:val="00D95E3B"/>
    <w:rsid w:val="00DA17ED"/>
    <w:rsid w:val="00DA1957"/>
    <w:rsid w:val="00DA2772"/>
    <w:rsid w:val="00DA3660"/>
    <w:rsid w:val="00DA3D20"/>
    <w:rsid w:val="00DA4A54"/>
    <w:rsid w:val="00DA5724"/>
    <w:rsid w:val="00DA609D"/>
    <w:rsid w:val="00DA6B6F"/>
    <w:rsid w:val="00DB09F9"/>
    <w:rsid w:val="00DB1875"/>
    <w:rsid w:val="00DB1FD0"/>
    <w:rsid w:val="00DB3ADB"/>
    <w:rsid w:val="00DB3FFA"/>
    <w:rsid w:val="00DB4880"/>
    <w:rsid w:val="00DB4AE2"/>
    <w:rsid w:val="00DB4D3F"/>
    <w:rsid w:val="00DB75B4"/>
    <w:rsid w:val="00DC0C78"/>
    <w:rsid w:val="00DC165B"/>
    <w:rsid w:val="00DC261A"/>
    <w:rsid w:val="00DC3C17"/>
    <w:rsid w:val="00DC5B50"/>
    <w:rsid w:val="00DC5CF7"/>
    <w:rsid w:val="00DC5E97"/>
    <w:rsid w:val="00DC68F0"/>
    <w:rsid w:val="00DC6FE0"/>
    <w:rsid w:val="00DC7069"/>
    <w:rsid w:val="00DC783F"/>
    <w:rsid w:val="00DD01CA"/>
    <w:rsid w:val="00DD095F"/>
    <w:rsid w:val="00DD0B66"/>
    <w:rsid w:val="00DD1520"/>
    <w:rsid w:val="00DD26D7"/>
    <w:rsid w:val="00DD2B54"/>
    <w:rsid w:val="00DD2EBA"/>
    <w:rsid w:val="00DD3E3D"/>
    <w:rsid w:val="00DD41EF"/>
    <w:rsid w:val="00DD4BC0"/>
    <w:rsid w:val="00DD5A38"/>
    <w:rsid w:val="00DD7866"/>
    <w:rsid w:val="00DE167B"/>
    <w:rsid w:val="00DE29B1"/>
    <w:rsid w:val="00DE2EC5"/>
    <w:rsid w:val="00DE3BDA"/>
    <w:rsid w:val="00DE3C46"/>
    <w:rsid w:val="00DE3E21"/>
    <w:rsid w:val="00DE4D6C"/>
    <w:rsid w:val="00DE53FB"/>
    <w:rsid w:val="00DE564B"/>
    <w:rsid w:val="00DE6A4E"/>
    <w:rsid w:val="00DE6C51"/>
    <w:rsid w:val="00DE7558"/>
    <w:rsid w:val="00DE7B78"/>
    <w:rsid w:val="00DF040E"/>
    <w:rsid w:val="00DF0819"/>
    <w:rsid w:val="00DF309D"/>
    <w:rsid w:val="00DF3AD0"/>
    <w:rsid w:val="00DF5131"/>
    <w:rsid w:val="00DF55DD"/>
    <w:rsid w:val="00DF5784"/>
    <w:rsid w:val="00DF6CA8"/>
    <w:rsid w:val="00DF6ED7"/>
    <w:rsid w:val="00DF73BF"/>
    <w:rsid w:val="00DF7771"/>
    <w:rsid w:val="00E00DC2"/>
    <w:rsid w:val="00E01E3A"/>
    <w:rsid w:val="00E0225C"/>
    <w:rsid w:val="00E023F4"/>
    <w:rsid w:val="00E02402"/>
    <w:rsid w:val="00E03869"/>
    <w:rsid w:val="00E04975"/>
    <w:rsid w:val="00E04EE6"/>
    <w:rsid w:val="00E06064"/>
    <w:rsid w:val="00E06D4D"/>
    <w:rsid w:val="00E07884"/>
    <w:rsid w:val="00E11F91"/>
    <w:rsid w:val="00E121BD"/>
    <w:rsid w:val="00E12609"/>
    <w:rsid w:val="00E131A6"/>
    <w:rsid w:val="00E13715"/>
    <w:rsid w:val="00E14989"/>
    <w:rsid w:val="00E167DF"/>
    <w:rsid w:val="00E1688A"/>
    <w:rsid w:val="00E202B9"/>
    <w:rsid w:val="00E21AA3"/>
    <w:rsid w:val="00E21DF3"/>
    <w:rsid w:val="00E21EC7"/>
    <w:rsid w:val="00E23017"/>
    <w:rsid w:val="00E23051"/>
    <w:rsid w:val="00E2369D"/>
    <w:rsid w:val="00E238C2"/>
    <w:rsid w:val="00E23937"/>
    <w:rsid w:val="00E24D7E"/>
    <w:rsid w:val="00E257C0"/>
    <w:rsid w:val="00E25C70"/>
    <w:rsid w:val="00E26127"/>
    <w:rsid w:val="00E26DA6"/>
    <w:rsid w:val="00E27238"/>
    <w:rsid w:val="00E273BF"/>
    <w:rsid w:val="00E27FA5"/>
    <w:rsid w:val="00E30254"/>
    <w:rsid w:val="00E30909"/>
    <w:rsid w:val="00E3178D"/>
    <w:rsid w:val="00E32D6E"/>
    <w:rsid w:val="00E3361A"/>
    <w:rsid w:val="00E343A1"/>
    <w:rsid w:val="00E3451F"/>
    <w:rsid w:val="00E3559E"/>
    <w:rsid w:val="00E35A1C"/>
    <w:rsid w:val="00E35E70"/>
    <w:rsid w:val="00E366CD"/>
    <w:rsid w:val="00E42C0C"/>
    <w:rsid w:val="00E43C0D"/>
    <w:rsid w:val="00E44862"/>
    <w:rsid w:val="00E44E08"/>
    <w:rsid w:val="00E45920"/>
    <w:rsid w:val="00E45B66"/>
    <w:rsid w:val="00E45FCA"/>
    <w:rsid w:val="00E46745"/>
    <w:rsid w:val="00E47058"/>
    <w:rsid w:val="00E4796C"/>
    <w:rsid w:val="00E47DD1"/>
    <w:rsid w:val="00E51513"/>
    <w:rsid w:val="00E522DE"/>
    <w:rsid w:val="00E53C4E"/>
    <w:rsid w:val="00E53D03"/>
    <w:rsid w:val="00E545CB"/>
    <w:rsid w:val="00E558C5"/>
    <w:rsid w:val="00E56709"/>
    <w:rsid w:val="00E56840"/>
    <w:rsid w:val="00E56B19"/>
    <w:rsid w:val="00E6016B"/>
    <w:rsid w:val="00E62DDA"/>
    <w:rsid w:val="00E63335"/>
    <w:rsid w:val="00E63BF1"/>
    <w:rsid w:val="00E64109"/>
    <w:rsid w:val="00E6417D"/>
    <w:rsid w:val="00E65132"/>
    <w:rsid w:val="00E65A26"/>
    <w:rsid w:val="00E6642B"/>
    <w:rsid w:val="00E67081"/>
    <w:rsid w:val="00E6798C"/>
    <w:rsid w:val="00E679C2"/>
    <w:rsid w:val="00E67B3A"/>
    <w:rsid w:val="00E705AA"/>
    <w:rsid w:val="00E71552"/>
    <w:rsid w:val="00E71CFB"/>
    <w:rsid w:val="00E7290D"/>
    <w:rsid w:val="00E74574"/>
    <w:rsid w:val="00E74FC4"/>
    <w:rsid w:val="00E75868"/>
    <w:rsid w:val="00E76087"/>
    <w:rsid w:val="00E765C6"/>
    <w:rsid w:val="00E76B5B"/>
    <w:rsid w:val="00E7782B"/>
    <w:rsid w:val="00E77EE2"/>
    <w:rsid w:val="00E8389D"/>
    <w:rsid w:val="00E83B0D"/>
    <w:rsid w:val="00E8401B"/>
    <w:rsid w:val="00E84CB3"/>
    <w:rsid w:val="00E853D8"/>
    <w:rsid w:val="00E86D38"/>
    <w:rsid w:val="00E8702A"/>
    <w:rsid w:val="00E872FF"/>
    <w:rsid w:val="00E9029B"/>
    <w:rsid w:val="00E903AC"/>
    <w:rsid w:val="00E90B65"/>
    <w:rsid w:val="00E91072"/>
    <w:rsid w:val="00E91209"/>
    <w:rsid w:val="00E93950"/>
    <w:rsid w:val="00E93DCB"/>
    <w:rsid w:val="00E93FCA"/>
    <w:rsid w:val="00E94166"/>
    <w:rsid w:val="00E9461D"/>
    <w:rsid w:val="00E972DB"/>
    <w:rsid w:val="00E975A5"/>
    <w:rsid w:val="00EA0867"/>
    <w:rsid w:val="00EA0B15"/>
    <w:rsid w:val="00EA1D81"/>
    <w:rsid w:val="00EA4080"/>
    <w:rsid w:val="00EA41E6"/>
    <w:rsid w:val="00EA4596"/>
    <w:rsid w:val="00EA4D8A"/>
    <w:rsid w:val="00EA5B9E"/>
    <w:rsid w:val="00EA5EC8"/>
    <w:rsid w:val="00EA73EA"/>
    <w:rsid w:val="00EB01F5"/>
    <w:rsid w:val="00EB071A"/>
    <w:rsid w:val="00EB0C71"/>
    <w:rsid w:val="00EB10DB"/>
    <w:rsid w:val="00EB2C72"/>
    <w:rsid w:val="00EB32A0"/>
    <w:rsid w:val="00EB4511"/>
    <w:rsid w:val="00EB5314"/>
    <w:rsid w:val="00EB5B38"/>
    <w:rsid w:val="00EB5DF4"/>
    <w:rsid w:val="00EB6E59"/>
    <w:rsid w:val="00EB77E4"/>
    <w:rsid w:val="00EB781A"/>
    <w:rsid w:val="00EC1C99"/>
    <w:rsid w:val="00EC23C3"/>
    <w:rsid w:val="00EC24FE"/>
    <w:rsid w:val="00EC2699"/>
    <w:rsid w:val="00EC2D17"/>
    <w:rsid w:val="00EC3B82"/>
    <w:rsid w:val="00EC4A82"/>
    <w:rsid w:val="00EC4CDD"/>
    <w:rsid w:val="00EC5E1A"/>
    <w:rsid w:val="00EC5FDF"/>
    <w:rsid w:val="00EC78DB"/>
    <w:rsid w:val="00ED0B82"/>
    <w:rsid w:val="00ED427E"/>
    <w:rsid w:val="00ED4687"/>
    <w:rsid w:val="00ED54D8"/>
    <w:rsid w:val="00ED6338"/>
    <w:rsid w:val="00ED695E"/>
    <w:rsid w:val="00ED6A53"/>
    <w:rsid w:val="00EE084B"/>
    <w:rsid w:val="00EE15B6"/>
    <w:rsid w:val="00EE168B"/>
    <w:rsid w:val="00EE171D"/>
    <w:rsid w:val="00EE2586"/>
    <w:rsid w:val="00EE3C0B"/>
    <w:rsid w:val="00EE64A9"/>
    <w:rsid w:val="00EE759E"/>
    <w:rsid w:val="00EF0BBE"/>
    <w:rsid w:val="00EF0C9D"/>
    <w:rsid w:val="00EF1DBD"/>
    <w:rsid w:val="00EF1DC1"/>
    <w:rsid w:val="00EF1F53"/>
    <w:rsid w:val="00EF2065"/>
    <w:rsid w:val="00EF30F8"/>
    <w:rsid w:val="00EF3197"/>
    <w:rsid w:val="00EF34C7"/>
    <w:rsid w:val="00EF3BDE"/>
    <w:rsid w:val="00EF50AF"/>
    <w:rsid w:val="00EF5EA2"/>
    <w:rsid w:val="00EF61B9"/>
    <w:rsid w:val="00F01739"/>
    <w:rsid w:val="00F017E8"/>
    <w:rsid w:val="00F01CCA"/>
    <w:rsid w:val="00F0246F"/>
    <w:rsid w:val="00F02496"/>
    <w:rsid w:val="00F024C7"/>
    <w:rsid w:val="00F0278E"/>
    <w:rsid w:val="00F02886"/>
    <w:rsid w:val="00F030F9"/>
    <w:rsid w:val="00F036F5"/>
    <w:rsid w:val="00F03D15"/>
    <w:rsid w:val="00F041A9"/>
    <w:rsid w:val="00F04371"/>
    <w:rsid w:val="00F06BFC"/>
    <w:rsid w:val="00F07A43"/>
    <w:rsid w:val="00F07C2F"/>
    <w:rsid w:val="00F1065D"/>
    <w:rsid w:val="00F11E03"/>
    <w:rsid w:val="00F11FFE"/>
    <w:rsid w:val="00F14582"/>
    <w:rsid w:val="00F14A9C"/>
    <w:rsid w:val="00F15143"/>
    <w:rsid w:val="00F15163"/>
    <w:rsid w:val="00F16789"/>
    <w:rsid w:val="00F16874"/>
    <w:rsid w:val="00F16E17"/>
    <w:rsid w:val="00F201A3"/>
    <w:rsid w:val="00F2055F"/>
    <w:rsid w:val="00F2085D"/>
    <w:rsid w:val="00F21354"/>
    <w:rsid w:val="00F2467F"/>
    <w:rsid w:val="00F24F1F"/>
    <w:rsid w:val="00F257E1"/>
    <w:rsid w:val="00F25842"/>
    <w:rsid w:val="00F30CAA"/>
    <w:rsid w:val="00F311CE"/>
    <w:rsid w:val="00F319D2"/>
    <w:rsid w:val="00F31ADA"/>
    <w:rsid w:val="00F320FA"/>
    <w:rsid w:val="00F3425C"/>
    <w:rsid w:val="00F343F8"/>
    <w:rsid w:val="00F3698D"/>
    <w:rsid w:val="00F36EAE"/>
    <w:rsid w:val="00F40BBC"/>
    <w:rsid w:val="00F422F9"/>
    <w:rsid w:val="00F425D3"/>
    <w:rsid w:val="00F42895"/>
    <w:rsid w:val="00F431D6"/>
    <w:rsid w:val="00F43F66"/>
    <w:rsid w:val="00F44189"/>
    <w:rsid w:val="00F44493"/>
    <w:rsid w:val="00F449D4"/>
    <w:rsid w:val="00F44C3B"/>
    <w:rsid w:val="00F453A6"/>
    <w:rsid w:val="00F459E0"/>
    <w:rsid w:val="00F47673"/>
    <w:rsid w:val="00F50E6F"/>
    <w:rsid w:val="00F524AC"/>
    <w:rsid w:val="00F52D97"/>
    <w:rsid w:val="00F532B0"/>
    <w:rsid w:val="00F5378B"/>
    <w:rsid w:val="00F5392A"/>
    <w:rsid w:val="00F53F88"/>
    <w:rsid w:val="00F55693"/>
    <w:rsid w:val="00F55876"/>
    <w:rsid w:val="00F55A2A"/>
    <w:rsid w:val="00F55AF4"/>
    <w:rsid w:val="00F56889"/>
    <w:rsid w:val="00F572EE"/>
    <w:rsid w:val="00F574D7"/>
    <w:rsid w:val="00F60DA5"/>
    <w:rsid w:val="00F617EC"/>
    <w:rsid w:val="00F61CCA"/>
    <w:rsid w:val="00F63A85"/>
    <w:rsid w:val="00F63BD1"/>
    <w:rsid w:val="00F63F37"/>
    <w:rsid w:val="00F640D1"/>
    <w:rsid w:val="00F6425E"/>
    <w:rsid w:val="00F64D76"/>
    <w:rsid w:val="00F64DB0"/>
    <w:rsid w:val="00F65C94"/>
    <w:rsid w:val="00F664A1"/>
    <w:rsid w:val="00F66BEF"/>
    <w:rsid w:val="00F671C8"/>
    <w:rsid w:val="00F677C3"/>
    <w:rsid w:val="00F70D68"/>
    <w:rsid w:val="00F7208E"/>
    <w:rsid w:val="00F73769"/>
    <w:rsid w:val="00F73E16"/>
    <w:rsid w:val="00F7406A"/>
    <w:rsid w:val="00F742C5"/>
    <w:rsid w:val="00F748CC"/>
    <w:rsid w:val="00F7516F"/>
    <w:rsid w:val="00F75376"/>
    <w:rsid w:val="00F77EA9"/>
    <w:rsid w:val="00F81049"/>
    <w:rsid w:val="00F8263F"/>
    <w:rsid w:val="00F82BA7"/>
    <w:rsid w:val="00F83542"/>
    <w:rsid w:val="00F838EA"/>
    <w:rsid w:val="00F83CC4"/>
    <w:rsid w:val="00F840A3"/>
    <w:rsid w:val="00F842EE"/>
    <w:rsid w:val="00F84976"/>
    <w:rsid w:val="00F8510D"/>
    <w:rsid w:val="00F85844"/>
    <w:rsid w:val="00F85B23"/>
    <w:rsid w:val="00F86777"/>
    <w:rsid w:val="00F86A98"/>
    <w:rsid w:val="00F86B50"/>
    <w:rsid w:val="00F91703"/>
    <w:rsid w:val="00F91F29"/>
    <w:rsid w:val="00F930A3"/>
    <w:rsid w:val="00F93EBD"/>
    <w:rsid w:val="00F94249"/>
    <w:rsid w:val="00F94A24"/>
    <w:rsid w:val="00F94D26"/>
    <w:rsid w:val="00F95642"/>
    <w:rsid w:val="00F96318"/>
    <w:rsid w:val="00F964DC"/>
    <w:rsid w:val="00FA059B"/>
    <w:rsid w:val="00FA0BC1"/>
    <w:rsid w:val="00FA112C"/>
    <w:rsid w:val="00FA14FA"/>
    <w:rsid w:val="00FA2708"/>
    <w:rsid w:val="00FA372B"/>
    <w:rsid w:val="00FA3B0E"/>
    <w:rsid w:val="00FA4495"/>
    <w:rsid w:val="00FA4905"/>
    <w:rsid w:val="00FA55CB"/>
    <w:rsid w:val="00FA57E7"/>
    <w:rsid w:val="00FA5EF8"/>
    <w:rsid w:val="00FA68E2"/>
    <w:rsid w:val="00FA79BF"/>
    <w:rsid w:val="00FA7A48"/>
    <w:rsid w:val="00FB0568"/>
    <w:rsid w:val="00FB0C8B"/>
    <w:rsid w:val="00FB21C0"/>
    <w:rsid w:val="00FB29C1"/>
    <w:rsid w:val="00FB2D9A"/>
    <w:rsid w:val="00FB3BA6"/>
    <w:rsid w:val="00FB5016"/>
    <w:rsid w:val="00FB651C"/>
    <w:rsid w:val="00FB6CD5"/>
    <w:rsid w:val="00FB7D33"/>
    <w:rsid w:val="00FC06E0"/>
    <w:rsid w:val="00FC0B1C"/>
    <w:rsid w:val="00FC26A9"/>
    <w:rsid w:val="00FC3D26"/>
    <w:rsid w:val="00FC3D8A"/>
    <w:rsid w:val="00FC430A"/>
    <w:rsid w:val="00FC476B"/>
    <w:rsid w:val="00FC49FB"/>
    <w:rsid w:val="00FC5B54"/>
    <w:rsid w:val="00FC5D07"/>
    <w:rsid w:val="00FC68CB"/>
    <w:rsid w:val="00FC68F9"/>
    <w:rsid w:val="00FD0B36"/>
    <w:rsid w:val="00FD1C17"/>
    <w:rsid w:val="00FD1E89"/>
    <w:rsid w:val="00FD1F71"/>
    <w:rsid w:val="00FD235C"/>
    <w:rsid w:val="00FD24BA"/>
    <w:rsid w:val="00FD391D"/>
    <w:rsid w:val="00FD49BD"/>
    <w:rsid w:val="00FD4D8F"/>
    <w:rsid w:val="00FD51BC"/>
    <w:rsid w:val="00FD6792"/>
    <w:rsid w:val="00FD67FA"/>
    <w:rsid w:val="00FD6B30"/>
    <w:rsid w:val="00FD6F2A"/>
    <w:rsid w:val="00FE3CC1"/>
    <w:rsid w:val="00FE464D"/>
    <w:rsid w:val="00FE4DC5"/>
    <w:rsid w:val="00FE55A2"/>
    <w:rsid w:val="00FE69DE"/>
    <w:rsid w:val="00FE7AC8"/>
    <w:rsid w:val="00FE7C92"/>
    <w:rsid w:val="00FF029B"/>
    <w:rsid w:val="00FF02AC"/>
    <w:rsid w:val="00FF0644"/>
    <w:rsid w:val="00FF064B"/>
    <w:rsid w:val="00FF067A"/>
    <w:rsid w:val="00FF091D"/>
    <w:rsid w:val="00FF11C5"/>
    <w:rsid w:val="00FF21DD"/>
    <w:rsid w:val="00FF2DF6"/>
    <w:rsid w:val="00FF427D"/>
    <w:rsid w:val="00FF4832"/>
    <w:rsid w:val="00FF4FFF"/>
    <w:rsid w:val="00FF529C"/>
    <w:rsid w:val="00FF6B56"/>
    <w:rsid w:val="00FF6FA2"/>
    <w:rsid w:val="00FF73FA"/>
    <w:rsid w:val="00FF7A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BA8C950B-B3EB-4536-8F81-B6E9485E1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B3CA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425D3"/>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ae">
    <w:name w:val="字元 字元 字元"/>
    <w:basedOn w:val="a"/>
    <w:semiHidden/>
    <w:rsid w:val="00A327DC"/>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D54C2F"/>
    <w:pPr>
      <w:tabs>
        <w:tab w:val="right" w:leader="hyphen" w:pos="8505"/>
      </w:tabs>
      <w:ind w:leftChars="0" w:left="486" w:rightChars="200" w:right="566" w:hangingChars="200" w:hanging="48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5">
    <w:name w:val="(一)(二)(三) 字元"/>
    <w:link w:val="a4"/>
    <w:rsid w:val="00A327DC"/>
    <w:rPr>
      <w:rFonts w:ascii="標楷體" w:eastAsia="標楷體"/>
      <w:snapToGrid w:val="0"/>
      <w:kern w:val="2"/>
      <w:sz w:val="28"/>
      <w:szCs w:val="28"/>
      <w:lang w:val="en-US" w:eastAsia="zh-TW" w:bidi="ar-SA"/>
    </w:rPr>
  </w:style>
  <w:style w:type="character" w:customStyle="1" w:styleId="1230">
    <w:name w:val="1.2.3. 字元"/>
    <w:link w:val="123"/>
    <w:rsid w:val="00A327DC"/>
    <w:rPr>
      <w:rFonts w:ascii="標楷體" w:eastAsia="標楷體"/>
      <w:snapToGrid w:val="0"/>
      <w:kern w:val="2"/>
      <w:sz w:val="28"/>
      <w:szCs w:val="28"/>
      <w:lang w:val="en-US" w:eastAsia="zh-TW" w:bidi="ar-SA"/>
    </w:rPr>
  </w:style>
  <w:style w:type="character" w:styleId="af">
    <w:name w:val="Hyperlink"/>
    <w:uiPriority w:val="99"/>
    <w:rsid w:val="003145EB"/>
    <w:rPr>
      <w:color w:val="0000FF"/>
      <w:u w:val="single"/>
    </w:rPr>
  </w:style>
  <w:style w:type="character" w:customStyle="1" w:styleId="143">
    <w:name w:val="表格內文(14行高) 字元"/>
    <w:link w:val="142"/>
    <w:rsid w:val="00876FEC"/>
    <w:rPr>
      <w:rFonts w:ascii="標楷體" w:eastAsia="標楷體"/>
      <w:snapToGrid w:val="0"/>
      <w:kern w:val="2"/>
      <w:sz w:val="24"/>
      <w:szCs w:val="28"/>
      <w:lang w:val="en-US" w:eastAsia="zh-TW" w:bidi="ar-SA"/>
    </w:rPr>
  </w:style>
  <w:style w:type="paragraph" w:styleId="af0">
    <w:name w:val="footer"/>
    <w:basedOn w:val="a"/>
    <w:link w:val="af1"/>
    <w:uiPriority w:val="99"/>
    <w:rsid w:val="007F0598"/>
    <w:pPr>
      <w:tabs>
        <w:tab w:val="center" w:pos="4153"/>
        <w:tab w:val="right" w:pos="8306"/>
      </w:tabs>
      <w:snapToGrid w:val="0"/>
    </w:pPr>
    <w:rPr>
      <w:sz w:val="20"/>
      <w:szCs w:val="20"/>
    </w:rPr>
  </w:style>
  <w:style w:type="character" w:styleId="af2">
    <w:name w:val="page number"/>
    <w:basedOn w:val="a0"/>
    <w:rsid w:val="007F0598"/>
  </w:style>
  <w:style w:type="table" w:styleId="af3">
    <w:name w:val="Table Grid"/>
    <w:basedOn w:val="a1"/>
    <w:rsid w:val="001733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header"/>
    <w:basedOn w:val="a"/>
    <w:link w:val="af5"/>
    <w:rsid w:val="00C363C7"/>
    <w:pPr>
      <w:tabs>
        <w:tab w:val="center" w:pos="4153"/>
        <w:tab w:val="right" w:pos="8306"/>
      </w:tabs>
      <w:snapToGrid w:val="0"/>
    </w:pPr>
    <w:rPr>
      <w:sz w:val="20"/>
      <w:szCs w:val="20"/>
    </w:rPr>
  </w:style>
  <w:style w:type="paragraph" w:styleId="af6">
    <w:name w:val="footnote text"/>
    <w:basedOn w:val="a"/>
    <w:link w:val="af7"/>
    <w:uiPriority w:val="99"/>
    <w:semiHidden/>
    <w:unhideWhenUsed/>
    <w:rsid w:val="00C80BB7"/>
    <w:pPr>
      <w:snapToGrid w:val="0"/>
      <w:jc w:val="left"/>
    </w:pPr>
    <w:rPr>
      <w:sz w:val="20"/>
      <w:szCs w:val="20"/>
    </w:rPr>
  </w:style>
  <w:style w:type="character" w:customStyle="1" w:styleId="af7">
    <w:name w:val="註腳文字 字元"/>
    <w:link w:val="af6"/>
    <w:uiPriority w:val="99"/>
    <w:semiHidden/>
    <w:rsid w:val="00C80BB7"/>
    <w:rPr>
      <w:rFonts w:ascii="標楷體" w:eastAsia="標楷體"/>
      <w:snapToGrid w:val="0"/>
      <w:kern w:val="2"/>
    </w:rPr>
  </w:style>
  <w:style w:type="character" w:styleId="af8">
    <w:name w:val="footnote reference"/>
    <w:uiPriority w:val="99"/>
    <w:unhideWhenUsed/>
    <w:rsid w:val="00C80BB7"/>
    <w:rPr>
      <w:vertAlign w:val="superscript"/>
    </w:rPr>
  </w:style>
  <w:style w:type="character" w:customStyle="1" w:styleId="1410">
    <w:name w:val="表格內文(14行高) 字元1"/>
    <w:rsid w:val="008D710E"/>
    <w:rPr>
      <w:rFonts w:ascii="標楷體" w:eastAsia="標楷體"/>
      <w:snapToGrid w:val="0"/>
      <w:kern w:val="2"/>
      <w:sz w:val="24"/>
      <w:szCs w:val="28"/>
      <w:lang w:val="en-US" w:eastAsia="zh-TW" w:bidi="ar-SA"/>
    </w:rPr>
  </w:style>
  <w:style w:type="character" w:customStyle="1" w:styleId="145">
    <w:name w:val="表格內文(14行高) 字元 字元"/>
    <w:rsid w:val="008D710E"/>
    <w:rPr>
      <w:rFonts w:ascii="標楷體" w:eastAsia="標楷體"/>
      <w:snapToGrid w:val="0"/>
      <w:kern w:val="2"/>
      <w:sz w:val="24"/>
      <w:szCs w:val="28"/>
      <w:lang w:val="en-US" w:eastAsia="zh-TW" w:bidi="ar-SA"/>
    </w:rPr>
  </w:style>
  <w:style w:type="paragraph" w:styleId="HTML">
    <w:name w:val="HTML Preformatted"/>
    <w:basedOn w:val="a"/>
    <w:link w:val="HTML0"/>
    <w:uiPriority w:val="99"/>
    <w:unhideWhenUsed/>
    <w:rsid w:val="003735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373548"/>
    <w:rPr>
      <w:rFonts w:ascii="細明體" w:eastAsia="細明體" w:hAnsi="細明體" w:cs="細明體"/>
      <w:color w:val="000000"/>
      <w:sz w:val="24"/>
      <w:szCs w:val="24"/>
    </w:rPr>
  </w:style>
  <w:style w:type="character" w:customStyle="1" w:styleId="141">
    <w:name w:val="第二層(14號字) 字元1"/>
    <w:link w:val="14"/>
    <w:locked/>
    <w:rsid w:val="004A3943"/>
    <w:rPr>
      <w:rFonts w:ascii="標楷體" w:eastAsia="標楷體"/>
      <w:b/>
      <w:snapToGrid w:val="0"/>
      <w:kern w:val="2"/>
      <w:sz w:val="28"/>
    </w:rPr>
  </w:style>
  <w:style w:type="character" w:customStyle="1" w:styleId="21">
    <w:name w:val="(一)下內文縮2 字元"/>
    <w:link w:val="2"/>
    <w:locked/>
    <w:rsid w:val="004A3943"/>
    <w:rPr>
      <w:rFonts w:ascii="標楷體" w:eastAsia="標楷體"/>
      <w:snapToGrid w:val="0"/>
      <w:kern w:val="2"/>
      <w:sz w:val="28"/>
      <w:szCs w:val="28"/>
    </w:rPr>
  </w:style>
  <w:style w:type="paragraph" w:customStyle="1" w:styleId="5">
    <w:name w:val="字元 字元5"/>
    <w:basedOn w:val="a"/>
    <w:semiHidden/>
    <w:rsid w:val="00AA70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AA709A"/>
    <w:rPr>
      <w:rFonts w:ascii="標楷體" w:eastAsia="標楷體"/>
      <w:b/>
      <w:snapToGrid w:val="0"/>
      <w:kern w:val="2"/>
      <w:sz w:val="28"/>
      <w:lang w:val="en-US" w:eastAsia="zh-TW" w:bidi="ar-SA"/>
    </w:rPr>
  </w:style>
  <w:style w:type="character" w:customStyle="1" w:styleId="200">
    <w:name w:val="表格內文(20行高) 字元"/>
    <w:link w:val="20"/>
    <w:locked/>
    <w:rsid w:val="008235BF"/>
    <w:rPr>
      <w:rFonts w:ascii="標楷體" w:eastAsia="標楷體"/>
      <w:snapToGrid w:val="0"/>
      <w:kern w:val="2"/>
      <w:sz w:val="24"/>
      <w:szCs w:val="28"/>
    </w:rPr>
  </w:style>
  <w:style w:type="paragraph" w:customStyle="1" w:styleId="af9">
    <w:name w:val="報告名稱 字元"/>
    <w:basedOn w:val="a"/>
    <w:link w:val="afa"/>
    <w:rsid w:val="008235BF"/>
    <w:pPr>
      <w:adjustRightInd w:val="0"/>
      <w:ind w:leftChars="0" w:left="0" w:firstLineChars="0" w:firstLine="0"/>
    </w:pPr>
    <w:rPr>
      <w:b/>
      <w:sz w:val="36"/>
    </w:rPr>
  </w:style>
  <w:style w:type="character" w:customStyle="1" w:styleId="afa">
    <w:name w:val="報告名稱 字元 字元"/>
    <w:link w:val="af9"/>
    <w:rsid w:val="008235BF"/>
    <w:rPr>
      <w:rFonts w:ascii="標楷體" w:eastAsia="標楷體"/>
      <w:b/>
      <w:snapToGrid w:val="0"/>
      <w:kern w:val="2"/>
      <w:sz w:val="36"/>
      <w:szCs w:val="28"/>
    </w:rPr>
  </w:style>
  <w:style w:type="character" w:customStyle="1" w:styleId="10">
    <w:name w:val="標題 1 字元"/>
    <w:link w:val="1"/>
    <w:uiPriority w:val="9"/>
    <w:rsid w:val="00F425D3"/>
    <w:rPr>
      <w:rFonts w:ascii="Cambria" w:eastAsia="新細明體" w:hAnsi="Cambria" w:cs="Times New Roman"/>
      <w:b/>
      <w:bCs/>
      <w:snapToGrid w:val="0"/>
      <w:kern w:val="52"/>
      <w:sz w:val="52"/>
      <w:szCs w:val="52"/>
    </w:rPr>
  </w:style>
  <w:style w:type="paragraph" w:styleId="afb">
    <w:name w:val="Balloon Text"/>
    <w:basedOn w:val="a"/>
    <w:link w:val="afc"/>
    <w:uiPriority w:val="99"/>
    <w:semiHidden/>
    <w:unhideWhenUsed/>
    <w:rsid w:val="00CE5EE5"/>
    <w:pPr>
      <w:spacing w:line="240" w:lineRule="auto"/>
    </w:pPr>
    <w:rPr>
      <w:rFonts w:ascii="Cambria" w:eastAsia="新細明體" w:hAnsi="Cambria"/>
      <w:sz w:val="18"/>
      <w:szCs w:val="18"/>
    </w:rPr>
  </w:style>
  <w:style w:type="character" w:customStyle="1" w:styleId="afc">
    <w:name w:val="註解方塊文字 字元"/>
    <w:link w:val="afb"/>
    <w:uiPriority w:val="99"/>
    <w:semiHidden/>
    <w:rsid w:val="00CE5EE5"/>
    <w:rPr>
      <w:rFonts w:ascii="Cambria" w:eastAsia="新細明體" w:hAnsi="Cambria" w:cs="Times New Roman"/>
      <w:snapToGrid w:val="0"/>
      <w:kern w:val="2"/>
      <w:sz w:val="18"/>
      <w:szCs w:val="18"/>
    </w:rPr>
  </w:style>
  <w:style w:type="paragraph" w:customStyle="1" w:styleId="23">
    <w:name w:val="字元 字元2 字元 字元 字元"/>
    <w:basedOn w:val="a"/>
    <w:semiHidden/>
    <w:rsid w:val="007E6B2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頁尾 字元"/>
    <w:link w:val="af0"/>
    <w:uiPriority w:val="99"/>
    <w:rsid w:val="0050767E"/>
    <w:rPr>
      <w:rFonts w:ascii="標楷體" w:eastAsia="標楷體"/>
      <w:snapToGrid w:val="0"/>
      <w:kern w:val="2"/>
    </w:rPr>
  </w:style>
  <w:style w:type="character" w:customStyle="1" w:styleId="af5">
    <w:name w:val="頁首 字元"/>
    <w:link w:val="af4"/>
    <w:rsid w:val="00BB691A"/>
    <w:rPr>
      <w:rFonts w:ascii="標楷體" w:eastAsia="標楷體"/>
      <w:snapToGrid w:val="0"/>
      <w:kern w:val="2"/>
    </w:rPr>
  </w:style>
  <w:style w:type="paragraph" w:customStyle="1" w:styleId="afd">
    <w:name w:val="字元 字元 字元"/>
    <w:basedOn w:val="a"/>
    <w:semiHidden/>
    <w:rsid w:val="00BB691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0">
    <w:name w:val="字元 字元5"/>
    <w:basedOn w:val="a"/>
    <w:semiHidden/>
    <w:rsid w:val="00BB691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字元 字元 字元"/>
    <w:basedOn w:val="a"/>
    <w:semiHidden/>
    <w:rsid w:val="00BB691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Emphasis"/>
    <w:uiPriority w:val="20"/>
    <w:qFormat/>
    <w:rsid w:val="00BB691A"/>
    <w:rPr>
      <w:i/>
      <w:iCs/>
    </w:rPr>
  </w:style>
  <w:style w:type="paragraph" w:customStyle="1" w:styleId="Default">
    <w:name w:val="Default"/>
    <w:rsid w:val="00BB691A"/>
    <w:pPr>
      <w:widowControl w:val="0"/>
      <w:autoSpaceDE w:val="0"/>
      <w:autoSpaceDN w:val="0"/>
      <w:adjustRightInd w:val="0"/>
    </w:pPr>
    <w:rPr>
      <w:color w:val="000000"/>
      <w:sz w:val="24"/>
      <w:szCs w:val="24"/>
    </w:rPr>
  </w:style>
  <w:style w:type="paragraph" w:customStyle="1" w:styleId="Logo">
    <w:name w:val="Logo"/>
    <w:basedOn w:val="a"/>
    <w:rsid w:val="00BB691A"/>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
    <w:name w:val="註腳"/>
    <w:basedOn w:val="142"/>
    <w:qFormat/>
    <w:rsid w:val="00BB691A"/>
    <w:pPr>
      <w:ind w:left="224" w:hangingChars="92" w:hanging="224"/>
    </w:pPr>
  </w:style>
  <w:style w:type="character" w:styleId="aff0">
    <w:name w:val="FollowedHyperlink"/>
    <w:uiPriority w:val="99"/>
    <w:semiHidden/>
    <w:unhideWhenUsed/>
    <w:rsid w:val="00BB691A"/>
    <w:rPr>
      <w:color w:val="954F72"/>
      <w:u w:val="single"/>
    </w:rPr>
  </w:style>
  <w:style w:type="paragraph" w:styleId="Web">
    <w:name w:val="Normal (Web)"/>
    <w:basedOn w:val="a"/>
    <w:uiPriority w:val="99"/>
    <w:semiHidden/>
    <w:unhideWhenUsed/>
    <w:rsid w:val="005747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註腳(表格內文14行高左右齊)"/>
    <w:basedOn w:val="142"/>
    <w:qFormat/>
    <w:rsid w:val="00463A50"/>
    <w:pPr>
      <w:wordWrap w:val="0"/>
      <w:ind w:leftChars="-15" w:left="153" w:hangingChars="80" w:hanging="195"/>
      <w:jc w:val="both"/>
    </w:pPr>
    <w:rPr>
      <w:rFonts w:ascii="華康中黑體" w:eastAsia="華康中黑體" w:hAnsi="Calibri" w:cs="Calibri"/>
    </w:rPr>
  </w:style>
  <w:style w:type="character" w:customStyle="1" w:styleId="ac">
    <w:name w:val="姓名及分機 字元"/>
    <w:link w:val="ab"/>
    <w:rsid w:val="004345F8"/>
    <w:rPr>
      <w:rFonts w:ascii="標楷體" w:eastAsia="標楷體"/>
      <w:snapToGrid w:val="0"/>
      <w:kern w:val="2"/>
      <w:sz w:val="24"/>
      <w:szCs w:val="28"/>
    </w:rPr>
  </w:style>
  <w:style w:type="character" w:customStyle="1" w:styleId="25">
    <w:name w:val="(一)(二)(三) 字元2"/>
    <w:rsid w:val="00014129"/>
    <w:rPr>
      <w:rFonts w:ascii="標楷體" w:eastAsia="標楷體"/>
      <w:b/>
      <w:snapToGrid w:val="0"/>
      <w:kern w:val="2"/>
      <w:sz w:val="28"/>
      <w:szCs w:val="28"/>
    </w:rPr>
  </w:style>
  <w:style w:type="character" w:customStyle="1" w:styleId="201">
    <w:name w:val="表格內文(20行高) 字元1"/>
    <w:rsid w:val="00CB4C66"/>
    <w:rPr>
      <w:rFonts w:ascii="標楷體" w:eastAsia="標楷體"/>
      <w:snapToGrid w:val="0"/>
      <w:kern w:val="2"/>
      <w:sz w:val="24"/>
      <w:szCs w:val="28"/>
    </w:rPr>
  </w:style>
  <w:style w:type="paragraph" w:styleId="aff1">
    <w:name w:val="Body Text"/>
    <w:basedOn w:val="a"/>
    <w:link w:val="aff2"/>
    <w:rsid w:val="001B1994"/>
    <w:pPr>
      <w:spacing w:after="120"/>
    </w:pPr>
  </w:style>
  <w:style w:type="character" w:customStyle="1" w:styleId="aff2">
    <w:name w:val="本文 字元"/>
    <w:link w:val="aff1"/>
    <w:rsid w:val="001B1994"/>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035514">
      <w:bodyDiv w:val="1"/>
      <w:marLeft w:val="0"/>
      <w:marRight w:val="0"/>
      <w:marTop w:val="0"/>
      <w:marBottom w:val="0"/>
      <w:divBdr>
        <w:top w:val="none" w:sz="0" w:space="0" w:color="auto"/>
        <w:left w:val="none" w:sz="0" w:space="0" w:color="auto"/>
        <w:bottom w:val="none" w:sz="0" w:space="0" w:color="auto"/>
        <w:right w:val="none" w:sz="0" w:space="0" w:color="auto"/>
      </w:divBdr>
    </w:div>
    <w:div w:id="457140996">
      <w:bodyDiv w:val="1"/>
      <w:marLeft w:val="0"/>
      <w:marRight w:val="0"/>
      <w:marTop w:val="0"/>
      <w:marBottom w:val="0"/>
      <w:divBdr>
        <w:top w:val="none" w:sz="0" w:space="0" w:color="auto"/>
        <w:left w:val="none" w:sz="0" w:space="0" w:color="auto"/>
        <w:bottom w:val="none" w:sz="0" w:space="0" w:color="auto"/>
        <w:right w:val="none" w:sz="0" w:space="0" w:color="auto"/>
      </w:divBdr>
    </w:div>
    <w:div w:id="479734705">
      <w:bodyDiv w:val="1"/>
      <w:marLeft w:val="0"/>
      <w:marRight w:val="0"/>
      <w:marTop w:val="0"/>
      <w:marBottom w:val="0"/>
      <w:divBdr>
        <w:top w:val="none" w:sz="0" w:space="0" w:color="auto"/>
        <w:left w:val="none" w:sz="0" w:space="0" w:color="auto"/>
        <w:bottom w:val="none" w:sz="0" w:space="0" w:color="auto"/>
        <w:right w:val="none" w:sz="0" w:space="0" w:color="auto"/>
      </w:divBdr>
    </w:div>
    <w:div w:id="480731921">
      <w:bodyDiv w:val="1"/>
      <w:marLeft w:val="0"/>
      <w:marRight w:val="0"/>
      <w:marTop w:val="0"/>
      <w:marBottom w:val="0"/>
      <w:divBdr>
        <w:top w:val="none" w:sz="0" w:space="0" w:color="auto"/>
        <w:left w:val="none" w:sz="0" w:space="0" w:color="auto"/>
        <w:bottom w:val="none" w:sz="0" w:space="0" w:color="auto"/>
        <w:right w:val="none" w:sz="0" w:space="0" w:color="auto"/>
      </w:divBdr>
    </w:div>
    <w:div w:id="827139853">
      <w:bodyDiv w:val="1"/>
      <w:marLeft w:val="0"/>
      <w:marRight w:val="0"/>
      <w:marTop w:val="0"/>
      <w:marBottom w:val="0"/>
      <w:divBdr>
        <w:top w:val="none" w:sz="0" w:space="0" w:color="auto"/>
        <w:left w:val="none" w:sz="0" w:space="0" w:color="auto"/>
        <w:bottom w:val="none" w:sz="0" w:space="0" w:color="auto"/>
        <w:right w:val="none" w:sz="0" w:space="0" w:color="auto"/>
      </w:divBdr>
    </w:div>
    <w:div w:id="852844187">
      <w:bodyDiv w:val="1"/>
      <w:marLeft w:val="0"/>
      <w:marRight w:val="0"/>
      <w:marTop w:val="0"/>
      <w:marBottom w:val="0"/>
      <w:divBdr>
        <w:top w:val="none" w:sz="0" w:space="0" w:color="auto"/>
        <w:left w:val="none" w:sz="0" w:space="0" w:color="auto"/>
        <w:bottom w:val="none" w:sz="0" w:space="0" w:color="auto"/>
        <w:right w:val="none" w:sz="0" w:space="0" w:color="auto"/>
      </w:divBdr>
    </w:div>
    <w:div w:id="874661935">
      <w:bodyDiv w:val="1"/>
      <w:marLeft w:val="0"/>
      <w:marRight w:val="0"/>
      <w:marTop w:val="0"/>
      <w:marBottom w:val="0"/>
      <w:divBdr>
        <w:top w:val="none" w:sz="0" w:space="0" w:color="auto"/>
        <w:left w:val="none" w:sz="0" w:space="0" w:color="auto"/>
        <w:bottom w:val="none" w:sz="0" w:space="0" w:color="auto"/>
        <w:right w:val="none" w:sz="0" w:space="0" w:color="auto"/>
      </w:divBdr>
    </w:div>
    <w:div w:id="1051806328">
      <w:bodyDiv w:val="1"/>
      <w:marLeft w:val="0"/>
      <w:marRight w:val="0"/>
      <w:marTop w:val="0"/>
      <w:marBottom w:val="0"/>
      <w:divBdr>
        <w:top w:val="none" w:sz="0" w:space="0" w:color="auto"/>
        <w:left w:val="none" w:sz="0" w:space="0" w:color="auto"/>
        <w:bottom w:val="none" w:sz="0" w:space="0" w:color="auto"/>
        <w:right w:val="none" w:sz="0" w:space="0" w:color="auto"/>
      </w:divBdr>
    </w:div>
    <w:div w:id="1057707612">
      <w:bodyDiv w:val="1"/>
      <w:marLeft w:val="0"/>
      <w:marRight w:val="0"/>
      <w:marTop w:val="0"/>
      <w:marBottom w:val="0"/>
      <w:divBdr>
        <w:top w:val="none" w:sz="0" w:space="0" w:color="auto"/>
        <w:left w:val="none" w:sz="0" w:space="0" w:color="auto"/>
        <w:bottom w:val="none" w:sz="0" w:space="0" w:color="auto"/>
        <w:right w:val="none" w:sz="0" w:space="0" w:color="auto"/>
      </w:divBdr>
    </w:div>
    <w:div w:id="1166746302">
      <w:bodyDiv w:val="1"/>
      <w:marLeft w:val="0"/>
      <w:marRight w:val="0"/>
      <w:marTop w:val="0"/>
      <w:marBottom w:val="0"/>
      <w:divBdr>
        <w:top w:val="none" w:sz="0" w:space="0" w:color="auto"/>
        <w:left w:val="none" w:sz="0" w:space="0" w:color="auto"/>
        <w:bottom w:val="none" w:sz="0" w:space="0" w:color="auto"/>
        <w:right w:val="none" w:sz="0" w:space="0" w:color="auto"/>
      </w:divBdr>
    </w:div>
    <w:div w:id="1175338747">
      <w:bodyDiv w:val="1"/>
      <w:marLeft w:val="0"/>
      <w:marRight w:val="0"/>
      <w:marTop w:val="0"/>
      <w:marBottom w:val="0"/>
      <w:divBdr>
        <w:top w:val="none" w:sz="0" w:space="0" w:color="auto"/>
        <w:left w:val="none" w:sz="0" w:space="0" w:color="auto"/>
        <w:bottom w:val="none" w:sz="0" w:space="0" w:color="auto"/>
        <w:right w:val="none" w:sz="0" w:space="0" w:color="auto"/>
      </w:divBdr>
    </w:div>
    <w:div w:id="1239514266">
      <w:bodyDiv w:val="1"/>
      <w:marLeft w:val="0"/>
      <w:marRight w:val="0"/>
      <w:marTop w:val="0"/>
      <w:marBottom w:val="0"/>
      <w:divBdr>
        <w:top w:val="none" w:sz="0" w:space="0" w:color="auto"/>
        <w:left w:val="none" w:sz="0" w:space="0" w:color="auto"/>
        <w:bottom w:val="none" w:sz="0" w:space="0" w:color="auto"/>
        <w:right w:val="none" w:sz="0" w:space="0" w:color="auto"/>
      </w:divBdr>
      <w:divsChild>
        <w:div w:id="1005864119">
          <w:marLeft w:val="0"/>
          <w:marRight w:val="0"/>
          <w:marTop w:val="0"/>
          <w:marBottom w:val="0"/>
          <w:divBdr>
            <w:top w:val="none" w:sz="0" w:space="0" w:color="auto"/>
            <w:left w:val="none" w:sz="0" w:space="0" w:color="auto"/>
            <w:bottom w:val="none" w:sz="0" w:space="0" w:color="auto"/>
            <w:right w:val="none" w:sz="0" w:space="0" w:color="auto"/>
          </w:divBdr>
          <w:divsChild>
            <w:div w:id="1378431515">
              <w:marLeft w:val="0"/>
              <w:marRight w:val="0"/>
              <w:marTop w:val="100"/>
              <w:marBottom w:val="100"/>
              <w:divBdr>
                <w:top w:val="none" w:sz="0" w:space="0" w:color="auto"/>
                <w:left w:val="none" w:sz="0" w:space="0" w:color="auto"/>
                <w:bottom w:val="none" w:sz="0" w:space="0" w:color="auto"/>
                <w:right w:val="none" w:sz="0" w:space="0" w:color="auto"/>
              </w:divBdr>
              <w:divsChild>
                <w:div w:id="747072114">
                  <w:marLeft w:val="0"/>
                  <w:marRight w:val="0"/>
                  <w:marTop w:val="45"/>
                  <w:marBottom w:val="120"/>
                  <w:divBdr>
                    <w:top w:val="none" w:sz="0" w:space="0" w:color="auto"/>
                    <w:left w:val="none" w:sz="0" w:space="0" w:color="auto"/>
                    <w:bottom w:val="none" w:sz="0" w:space="0" w:color="auto"/>
                    <w:right w:val="none" w:sz="0" w:space="0" w:color="auto"/>
                  </w:divBdr>
                  <w:divsChild>
                    <w:div w:id="350618242">
                      <w:marLeft w:val="0"/>
                      <w:marRight w:val="0"/>
                      <w:marTop w:val="0"/>
                      <w:marBottom w:val="120"/>
                      <w:divBdr>
                        <w:top w:val="single" w:sz="6" w:space="0" w:color="61ADEB"/>
                        <w:left w:val="single" w:sz="6" w:space="0" w:color="61ADEB"/>
                        <w:bottom w:val="single" w:sz="6" w:space="0" w:color="61ADEB"/>
                        <w:right w:val="single" w:sz="6" w:space="0" w:color="61ADEB"/>
                      </w:divBdr>
                      <w:divsChild>
                        <w:div w:id="196811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337505">
      <w:bodyDiv w:val="1"/>
      <w:marLeft w:val="0"/>
      <w:marRight w:val="0"/>
      <w:marTop w:val="0"/>
      <w:marBottom w:val="0"/>
      <w:divBdr>
        <w:top w:val="none" w:sz="0" w:space="0" w:color="auto"/>
        <w:left w:val="none" w:sz="0" w:space="0" w:color="auto"/>
        <w:bottom w:val="none" w:sz="0" w:space="0" w:color="auto"/>
        <w:right w:val="none" w:sz="0" w:space="0" w:color="auto"/>
      </w:divBdr>
    </w:div>
    <w:div w:id="1357149421">
      <w:bodyDiv w:val="1"/>
      <w:marLeft w:val="0"/>
      <w:marRight w:val="0"/>
      <w:marTop w:val="0"/>
      <w:marBottom w:val="0"/>
      <w:divBdr>
        <w:top w:val="none" w:sz="0" w:space="0" w:color="auto"/>
        <w:left w:val="none" w:sz="0" w:space="0" w:color="auto"/>
        <w:bottom w:val="none" w:sz="0" w:space="0" w:color="auto"/>
        <w:right w:val="none" w:sz="0" w:space="0" w:color="auto"/>
      </w:divBdr>
    </w:div>
    <w:div w:id="1487429436">
      <w:bodyDiv w:val="1"/>
      <w:marLeft w:val="0"/>
      <w:marRight w:val="0"/>
      <w:marTop w:val="0"/>
      <w:marBottom w:val="0"/>
      <w:divBdr>
        <w:top w:val="none" w:sz="0" w:space="0" w:color="auto"/>
        <w:left w:val="none" w:sz="0" w:space="0" w:color="auto"/>
        <w:bottom w:val="none" w:sz="0" w:space="0" w:color="auto"/>
        <w:right w:val="none" w:sz="0" w:space="0" w:color="auto"/>
      </w:divBdr>
    </w:div>
    <w:div w:id="1502619360">
      <w:bodyDiv w:val="1"/>
      <w:marLeft w:val="0"/>
      <w:marRight w:val="0"/>
      <w:marTop w:val="0"/>
      <w:marBottom w:val="0"/>
      <w:divBdr>
        <w:top w:val="none" w:sz="0" w:space="0" w:color="auto"/>
        <w:left w:val="none" w:sz="0" w:space="0" w:color="auto"/>
        <w:bottom w:val="none" w:sz="0" w:space="0" w:color="auto"/>
        <w:right w:val="none" w:sz="0" w:space="0" w:color="auto"/>
      </w:divBdr>
    </w:div>
    <w:div w:id="1560433110">
      <w:bodyDiv w:val="1"/>
      <w:marLeft w:val="0"/>
      <w:marRight w:val="0"/>
      <w:marTop w:val="0"/>
      <w:marBottom w:val="0"/>
      <w:divBdr>
        <w:top w:val="none" w:sz="0" w:space="0" w:color="auto"/>
        <w:left w:val="none" w:sz="0" w:space="0" w:color="auto"/>
        <w:bottom w:val="none" w:sz="0" w:space="0" w:color="auto"/>
        <w:right w:val="none" w:sz="0" w:space="0" w:color="auto"/>
      </w:divBdr>
    </w:div>
    <w:div w:id="1693996511">
      <w:bodyDiv w:val="1"/>
      <w:marLeft w:val="0"/>
      <w:marRight w:val="0"/>
      <w:marTop w:val="0"/>
      <w:marBottom w:val="0"/>
      <w:divBdr>
        <w:top w:val="none" w:sz="0" w:space="0" w:color="auto"/>
        <w:left w:val="none" w:sz="0" w:space="0" w:color="auto"/>
        <w:bottom w:val="none" w:sz="0" w:space="0" w:color="auto"/>
        <w:right w:val="none" w:sz="0" w:space="0" w:color="auto"/>
      </w:divBdr>
    </w:div>
    <w:div w:id="1736119445">
      <w:bodyDiv w:val="1"/>
      <w:marLeft w:val="0"/>
      <w:marRight w:val="0"/>
      <w:marTop w:val="0"/>
      <w:marBottom w:val="0"/>
      <w:divBdr>
        <w:top w:val="none" w:sz="0" w:space="0" w:color="auto"/>
        <w:left w:val="none" w:sz="0" w:space="0" w:color="auto"/>
        <w:bottom w:val="none" w:sz="0" w:space="0" w:color="auto"/>
        <w:right w:val="none" w:sz="0" w:space="0" w:color="auto"/>
      </w:divBdr>
      <w:divsChild>
        <w:div w:id="1478914005">
          <w:marLeft w:val="0"/>
          <w:marRight w:val="0"/>
          <w:marTop w:val="0"/>
          <w:marBottom w:val="0"/>
          <w:divBdr>
            <w:top w:val="none" w:sz="0" w:space="0" w:color="auto"/>
            <w:left w:val="none" w:sz="0" w:space="0" w:color="auto"/>
            <w:bottom w:val="none" w:sz="0" w:space="0" w:color="auto"/>
            <w:right w:val="none" w:sz="0" w:space="0" w:color="auto"/>
          </w:divBdr>
          <w:divsChild>
            <w:div w:id="602955455">
              <w:marLeft w:val="0"/>
              <w:marRight w:val="0"/>
              <w:marTop w:val="100"/>
              <w:marBottom w:val="100"/>
              <w:divBdr>
                <w:top w:val="none" w:sz="0" w:space="0" w:color="auto"/>
                <w:left w:val="none" w:sz="0" w:space="0" w:color="auto"/>
                <w:bottom w:val="none" w:sz="0" w:space="0" w:color="auto"/>
                <w:right w:val="none" w:sz="0" w:space="0" w:color="auto"/>
              </w:divBdr>
              <w:divsChild>
                <w:div w:id="1209533237">
                  <w:marLeft w:val="0"/>
                  <w:marRight w:val="0"/>
                  <w:marTop w:val="45"/>
                  <w:marBottom w:val="120"/>
                  <w:divBdr>
                    <w:top w:val="none" w:sz="0" w:space="0" w:color="auto"/>
                    <w:left w:val="none" w:sz="0" w:space="0" w:color="auto"/>
                    <w:bottom w:val="none" w:sz="0" w:space="0" w:color="auto"/>
                    <w:right w:val="none" w:sz="0" w:space="0" w:color="auto"/>
                  </w:divBdr>
                  <w:divsChild>
                    <w:div w:id="1436096659">
                      <w:marLeft w:val="0"/>
                      <w:marRight w:val="0"/>
                      <w:marTop w:val="0"/>
                      <w:marBottom w:val="0"/>
                      <w:divBdr>
                        <w:top w:val="none" w:sz="0" w:space="0" w:color="auto"/>
                        <w:left w:val="none" w:sz="0" w:space="0" w:color="auto"/>
                        <w:bottom w:val="none" w:sz="0" w:space="0" w:color="auto"/>
                        <w:right w:val="none" w:sz="0" w:space="0" w:color="auto"/>
                      </w:divBdr>
                      <w:divsChild>
                        <w:div w:id="15434444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31532;&#19968;&#20491;&#20154;\&#26700;&#38754;\&#38928;&#31639;&#31684;&#26412;970520\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28894-FAF4-4266-8EA0-89024A6B8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1424</Words>
  <Characters>8118</Characters>
  <Application>Microsoft Office Word</Application>
  <DocSecurity>0</DocSecurity>
  <Lines>67</Lines>
  <Paragraphs>19</Paragraphs>
  <ScaleCrop>false</ScaleCrop>
  <Company/>
  <LinksUpToDate>false</LinksUpToDate>
  <CharactersWithSpaces>9523</CharactersWithSpaces>
  <SharedDoc>false</SharedDoc>
  <HLinks>
    <vt:vector size="30" baseType="variant">
      <vt:variant>
        <vt:i4>1835058</vt:i4>
      </vt:variant>
      <vt:variant>
        <vt:i4>26</vt:i4>
      </vt:variant>
      <vt:variant>
        <vt:i4>0</vt:i4>
      </vt:variant>
      <vt:variant>
        <vt:i4>5</vt:i4>
      </vt:variant>
      <vt:variant>
        <vt:lpwstr/>
      </vt:variant>
      <vt:variant>
        <vt:lpwstr>_Toc195717729</vt:lpwstr>
      </vt:variant>
      <vt:variant>
        <vt:i4>1835058</vt:i4>
      </vt:variant>
      <vt:variant>
        <vt:i4>20</vt:i4>
      </vt:variant>
      <vt:variant>
        <vt:i4>0</vt:i4>
      </vt:variant>
      <vt:variant>
        <vt:i4>5</vt:i4>
      </vt:variant>
      <vt:variant>
        <vt:lpwstr/>
      </vt:variant>
      <vt:variant>
        <vt:lpwstr>_Toc195717728</vt:lpwstr>
      </vt:variant>
      <vt:variant>
        <vt:i4>1835058</vt:i4>
      </vt:variant>
      <vt:variant>
        <vt:i4>14</vt:i4>
      </vt:variant>
      <vt:variant>
        <vt:i4>0</vt:i4>
      </vt:variant>
      <vt:variant>
        <vt:i4>5</vt:i4>
      </vt:variant>
      <vt:variant>
        <vt:lpwstr/>
      </vt:variant>
      <vt:variant>
        <vt:lpwstr>_Toc195717727</vt:lpwstr>
      </vt:variant>
      <vt:variant>
        <vt:i4>1835058</vt:i4>
      </vt:variant>
      <vt:variant>
        <vt:i4>8</vt:i4>
      </vt:variant>
      <vt:variant>
        <vt:i4>0</vt:i4>
      </vt:variant>
      <vt:variant>
        <vt:i4>5</vt:i4>
      </vt:variant>
      <vt:variant>
        <vt:lpwstr/>
      </vt:variant>
      <vt:variant>
        <vt:lpwstr>_Toc195717726</vt:lpwstr>
      </vt:variant>
      <vt:variant>
        <vt:i4>1835058</vt:i4>
      </vt:variant>
      <vt:variant>
        <vt:i4>2</vt:i4>
      </vt:variant>
      <vt:variant>
        <vt:i4>0</vt:i4>
      </vt:variant>
      <vt:variant>
        <vt:i4>5</vt:i4>
      </vt:variant>
      <vt:variant>
        <vt:lpwstr/>
      </vt:variant>
      <vt:variant>
        <vt:lpwstr>_Toc195717725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醫療財團法人病理發展基金會100年度預算評估報告 頁次</dc:title>
  <dc:subject/>
  <dc:creator>第一個人</dc:creator>
  <cp:keywords/>
  <cp:lastModifiedBy>Administrator</cp:lastModifiedBy>
  <cp:revision>2</cp:revision>
  <cp:lastPrinted>2025-04-23T03:25:00Z</cp:lastPrinted>
  <dcterms:created xsi:type="dcterms:W3CDTF">2025-04-24T06:25:00Z</dcterms:created>
  <dcterms:modified xsi:type="dcterms:W3CDTF">2025-04-24T06:25:00Z</dcterms:modified>
</cp:coreProperties>
</file>