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FE" w:rsidRPr="00207A8B" w:rsidRDefault="00B735F9" w:rsidP="00B735F9">
      <w:pPr>
        <w:pStyle w:val="ac"/>
        <w:rPr>
          <w:rFonts w:hint="eastAsia"/>
        </w:rPr>
      </w:pPr>
      <w:bookmarkStart w:id="0" w:name="_GoBack"/>
      <w:bookmarkEnd w:id="0"/>
      <w:r w:rsidRPr="00207A8B">
        <w:rPr>
          <w:rFonts w:hint="eastAsia"/>
        </w:rPr>
        <w:t>財團法人生物技術開發中心11</w:t>
      </w:r>
      <w:r w:rsidR="00311321" w:rsidRPr="00207A8B">
        <w:rPr>
          <w:rFonts w:hint="eastAsia"/>
        </w:rPr>
        <w:t>4</w:t>
      </w:r>
      <w:r w:rsidRPr="00207A8B">
        <w:rPr>
          <w:rFonts w:hint="eastAsia"/>
        </w:rPr>
        <w:t>年度預算評估報告</w:t>
      </w:r>
    </w:p>
    <w:p w:rsidR="00FC0E94" w:rsidRPr="00207A8B" w:rsidRDefault="00FC0E94" w:rsidP="0048071B">
      <w:pPr>
        <w:adjustRightInd w:val="0"/>
        <w:ind w:leftChars="0" w:left="0" w:firstLine="566"/>
        <w:rPr>
          <w:rFonts w:hAnsi="標楷體"/>
          <w:snapToGrid/>
        </w:rPr>
      </w:pPr>
      <w:bookmarkStart w:id="1" w:name="_Toc92071462"/>
      <w:bookmarkStart w:id="2" w:name="_Toc217201320"/>
      <w:bookmarkStart w:id="3" w:name="_Toc4664207"/>
      <w:bookmarkStart w:id="4" w:name="_Toc4508251"/>
      <w:bookmarkStart w:id="5" w:name="_Toc36216559"/>
      <w:bookmarkStart w:id="6" w:name="_Toc402172620"/>
      <w:bookmarkStart w:id="7" w:name="_Toc432422474"/>
      <w:bookmarkStart w:id="8" w:name="_Toc445969807"/>
      <w:bookmarkStart w:id="9" w:name="_Toc164411841"/>
      <w:bookmarkStart w:id="10" w:name="_Toc318790367"/>
      <w:bookmarkStart w:id="11" w:name="_Toc474228466"/>
      <w:bookmarkStart w:id="12" w:name="_Toc246413261"/>
      <w:bookmarkStart w:id="13" w:name="_Toc94707423"/>
      <w:bookmarkStart w:id="14" w:name="_Toc59537551"/>
      <w:bookmarkStart w:id="15" w:name="_Toc59507476"/>
      <w:bookmarkStart w:id="16" w:name="_Toc93770451"/>
      <w:bookmarkStart w:id="17" w:name="_Toc61147923"/>
      <w:bookmarkStart w:id="18" w:name="_Toc58646211"/>
      <w:bookmarkStart w:id="19" w:name="_Toc58645593"/>
      <w:bookmarkStart w:id="20" w:name="_Toc441483533"/>
      <w:bookmarkStart w:id="21" w:name="_Toc474228462"/>
      <w:r w:rsidRPr="00207A8B">
        <w:rPr>
          <w:rFonts w:hint="eastAsia"/>
          <w:snapToGrid/>
        </w:rPr>
        <w:t>財團法人生物技術開發中心</w:t>
      </w:r>
      <w:r w:rsidRPr="00207A8B">
        <w:rPr>
          <w:snapToGrid/>
        </w:rPr>
        <w:t>(</w:t>
      </w:r>
      <w:r w:rsidRPr="00207A8B">
        <w:rPr>
          <w:rFonts w:hint="eastAsia"/>
          <w:snapToGrid/>
        </w:rPr>
        <w:t>以下簡稱生技中心</w:t>
      </w:r>
      <w:r w:rsidRPr="00207A8B">
        <w:rPr>
          <w:snapToGrid/>
        </w:rPr>
        <w:t>)</w:t>
      </w:r>
      <w:r w:rsidRPr="00207A8B">
        <w:rPr>
          <w:rFonts w:hint="eastAsia"/>
          <w:snapToGrid/>
        </w:rPr>
        <w:t>於</w:t>
      </w:r>
      <w:r w:rsidRPr="00207A8B">
        <w:rPr>
          <w:snapToGrid/>
        </w:rPr>
        <w:t>73</w:t>
      </w:r>
      <w:r w:rsidRPr="00207A8B">
        <w:rPr>
          <w:rFonts w:hint="eastAsia"/>
          <w:snapToGrid/>
        </w:rPr>
        <w:t>年設立</w:t>
      </w:r>
      <w:r w:rsidRPr="00207A8B">
        <w:rPr>
          <w:rFonts w:hAnsi="標楷體" w:hint="eastAsia"/>
          <w:snapToGrid/>
        </w:rPr>
        <w:t>，</w:t>
      </w:r>
      <w:r w:rsidRPr="00207A8B">
        <w:rPr>
          <w:rFonts w:hint="eastAsia"/>
          <w:snapToGrid/>
        </w:rPr>
        <w:t>以促進我國生物製藥科技技術之研究</w:t>
      </w:r>
      <w:r w:rsidRPr="00207A8B">
        <w:rPr>
          <w:rFonts w:hAnsi="標楷體" w:hint="eastAsia"/>
          <w:snapToGrid/>
        </w:rPr>
        <w:t>、</w:t>
      </w:r>
      <w:r w:rsidRPr="00207A8B">
        <w:rPr>
          <w:rFonts w:hint="eastAsia"/>
          <w:snapToGrid/>
        </w:rPr>
        <w:t>發展及工業化</w:t>
      </w:r>
      <w:r w:rsidRPr="00207A8B">
        <w:rPr>
          <w:rFonts w:hAnsi="標楷體" w:hint="eastAsia"/>
          <w:snapToGrid/>
        </w:rPr>
        <w:t>，</w:t>
      </w:r>
      <w:r w:rsidRPr="00207A8B">
        <w:rPr>
          <w:rFonts w:hint="eastAsia"/>
          <w:snapToGrid/>
        </w:rPr>
        <w:t>並配合政府科技政策</w:t>
      </w:r>
      <w:r w:rsidRPr="00207A8B">
        <w:rPr>
          <w:rFonts w:hAnsi="標楷體" w:hint="eastAsia"/>
          <w:snapToGrid/>
        </w:rPr>
        <w:t>、</w:t>
      </w:r>
      <w:r w:rsidRPr="00207A8B">
        <w:rPr>
          <w:rFonts w:hint="eastAsia"/>
          <w:snapToGrid/>
        </w:rPr>
        <w:t>產業升級所需進行之製造</w:t>
      </w:r>
      <w:r w:rsidRPr="00207A8B">
        <w:rPr>
          <w:rFonts w:hAnsi="標楷體" w:hint="eastAsia"/>
          <w:snapToGrid/>
        </w:rPr>
        <w:t>、</w:t>
      </w:r>
      <w:r w:rsidRPr="00207A8B">
        <w:rPr>
          <w:rFonts w:hint="eastAsia"/>
          <w:snapToGrid/>
        </w:rPr>
        <w:t>加工事宜</w:t>
      </w:r>
      <w:r w:rsidRPr="00207A8B">
        <w:rPr>
          <w:rFonts w:hAnsi="標楷體" w:hint="eastAsia"/>
          <w:snapToGrid/>
        </w:rPr>
        <w:t>，期</w:t>
      </w:r>
      <w:r w:rsidRPr="00207A8B">
        <w:rPr>
          <w:rFonts w:hint="eastAsia"/>
          <w:snapToGrid/>
        </w:rPr>
        <w:t>奠定我國生技產業基礎為目的</w:t>
      </w:r>
      <w:r w:rsidRPr="00207A8B">
        <w:rPr>
          <w:rFonts w:hAnsi="標楷體" w:hint="eastAsia"/>
          <w:snapToGrid/>
        </w:rPr>
        <w:t>。</w:t>
      </w:r>
    </w:p>
    <w:p w:rsidR="00FC0E94" w:rsidRPr="00207A8B" w:rsidRDefault="00FC0E94" w:rsidP="0048071B">
      <w:pPr>
        <w:adjustRightInd w:val="0"/>
        <w:ind w:leftChars="0" w:left="0" w:firstLine="566"/>
        <w:rPr>
          <w:snapToGrid/>
        </w:rPr>
      </w:pPr>
      <w:r w:rsidRPr="00207A8B">
        <w:rPr>
          <w:rFonts w:hint="eastAsia"/>
          <w:snapToGrid/>
        </w:rPr>
        <w:t>生技中心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14年度預算案編列</w:t>
      </w:r>
      <w:r w:rsidR="00C0034A">
        <w:rPr>
          <w:rFonts w:hint="eastAsia"/>
          <w:snapToGrid/>
        </w:rPr>
        <w:t>「</w:t>
      </w:r>
      <w:r w:rsidRPr="00207A8B">
        <w:rPr>
          <w:rFonts w:hint="eastAsia"/>
          <w:snapToGrid/>
        </w:rPr>
        <w:t>收入</w:t>
      </w:r>
      <w:r w:rsidR="00C0034A">
        <w:rPr>
          <w:rFonts w:hint="eastAsia"/>
          <w:snapToGrid/>
        </w:rPr>
        <w:t>」</w:t>
      </w:r>
      <w:r w:rsidRPr="00207A8B">
        <w:rPr>
          <w:rFonts w:hint="eastAsia"/>
          <w:snapToGrid/>
        </w:rPr>
        <w:t>8億9</w:t>
      </w:r>
      <w:r w:rsidRPr="00207A8B">
        <w:rPr>
          <w:snapToGrid/>
        </w:rPr>
        <w:t>,166</w:t>
      </w:r>
      <w:r w:rsidRPr="00207A8B">
        <w:rPr>
          <w:rFonts w:hint="eastAsia"/>
          <w:snapToGrid/>
        </w:rPr>
        <w:t>萬5千元，較</w:t>
      </w:r>
      <w:r w:rsidRPr="00207A8B">
        <w:rPr>
          <w:snapToGrid/>
        </w:rPr>
        <w:t>113</w:t>
      </w:r>
      <w:r w:rsidRPr="00207A8B">
        <w:rPr>
          <w:rFonts w:hint="eastAsia"/>
          <w:snapToGrid/>
        </w:rPr>
        <w:t>年度</w:t>
      </w:r>
      <w:r w:rsidRPr="00207A8B">
        <w:rPr>
          <w:rFonts w:hAnsi="標楷體" w:hint="eastAsia"/>
          <w:snapToGrid/>
        </w:rPr>
        <w:t>預算</w:t>
      </w:r>
      <w:r w:rsidRPr="00207A8B">
        <w:rPr>
          <w:rFonts w:hint="eastAsia"/>
          <w:snapToGrid/>
        </w:rPr>
        <w:t>9億51萬3千元</w:t>
      </w:r>
      <w:r w:rsidRPr="00207A8B">
        <w:rPr>
          <w:rFonts w:hAnsi="標楷體" w:hint="eastAsia"/>
          <w:snapToGrid/>
        </w:rPr>
        <w:t>減少8</w:t>
      </w:r>
      <w:r w:rsidRPr="00207A8B">
        <w:rPr>
          <w:rFonts w:hAnsi="標楷體"/>
          <w:snapToGrid/>
        </w:rPr>
        <w:t>84</w:t>
      </w:r>
      <w:r w:rsidRPr="00207A8B">
        <w:rPr>
          <w:rFonts w:hint="eastAsia"/>
          <w:snapToGrid/>
        </w:rPr>
        <w:t>萬8千元</w:t>
      </w:r>
      <w:r w:rsidRPr="00207A8B">
        <w:rPr>
          <w:snapToGrid/>
        </w:rPr>
        <w:t>(</w:t>
      </w:r>
      <w:r w:rsidRPr="00207A8B">
        <w:rPr>
          <w:rFonts w:hint="eastAsia"/>
          <w:snapToGrid/>
        </w:rPr>
        <w:t>減幅0.98</w:t>
      </w:r>
      <w:r w:rsidRPr="00207A8B">
        <w:rPr>
          <w:snapToGrid/>
        </w:rPr>
        <w:t>%)</w:t>
      </w:r>
      <w:r w:rsidRPr="00207A8B">
        <w:rPr>
          <w:rFonts w:hint="eastAsia"/>
          <w:snapToGrid/>
        </w:rPr>
        <w:t>；</w:t>
      </w:r>
      <w:r w:rsidR="00C0034A" w:rsidRPr="00207A8B">
        <w:rPr>
          <w:snapToGrid/>
        </w:rPr>
        <w:t>1</w:t>
      </w:r>
      <w:r w:rsidR="00C0034A" w:rsidRPr="00207A8B">
        <w:rPr>
          <w:rFonts w:hint="eastAsia"/>
          <w:snapToGrid/>
        </w:rPr>
        <w:t>14年度預算案</w:t>
      </w:r>
      <w:r w:rsidR="00C0034A">
        <w:rPr>
          <w:rFonts w:hint="eastAsia"/>
          <w:snapToGrid/>
        </w:rPr>
        <w:t>「</w:t>
      </w:r>
      <w:r w:rsidRPr="00207A8B">
        <w:rPr>
          <w:rFonts w:hint="eastAsia"/>
          <w:snapToGrid/>
        </w:rPr>
        <w:t>支出</w:t>
      </w:r>
      <w:r w:rsidR="00C0034A">
        <w:rPr>
          <w:rFonts w:hint="eastAsia"/>
          <w:snapToGrid/>
        </w:rPr>
        <w:t>」</w:t>
      </w:r>
      <w:r w:rsidRPr="00207A8B">
        <w:rPr>
          <w:rFonts w:hint="eastAsia"/>
          <w:snapToGrid/>
        </w:rPr>
        <w:t>編列8億8</w:t>
      </w:r>
      <w:r w:rsidRPr="00207A8B">
        <w:rPr>
          <w:snapToGrid/>
        </w:rPr>
        <w:t>,647</w:t>
      </w:r>
      <w:r w:rsidRPr="00207A8B">
        <w:rPr>
          <w:rFonts w:hint="eastAsia"/>
          <w:snapToGrid/>
        </w:rPr>
        <w:t>萬6千元，較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13年度</w:t>
      </w:r>
      <w:r w:rsidRPr="00207A8B">
        <w:rPr>
          <w:rFonts w:hAnsi="標楷體" w:hint="eastAsia"/>
          <w:snapToGrid/>
        </w:rPr>
        <w:t>預算</w:t>
      </w:r>
      <w:r w:rsidRPr="00207A8B">
        <w:rPr>
          <w:rFonts w:hint="eastAsia"/>
          <w:snapToGrid/>
        </w:rPr>
        <w:t>8億9</w:t>
      </w:r>
      <w:r w:rsidRPr="00207A8B">
        <w:rPr>
          <w:snapToGrid/>
        </w:rPr>
        <w:t>,</w:t>
      </w:r>
      <w:r w:rsidRPr="00207A8B">
        <w:rPr>
          <w:rFonts w:hint="eastAsia"/>
          <w:snapToGrid/>
        </w:rPr>
        <w:t>639萬9千元</w:t>
      </w:r>
      <w:r w:rsidRPr="00207A8B">
        <w:rPr>
          <w:rFonts w:hAnsi="標楷體" w:hint="eastAsia"/>
          <w:snapToGrid/>
        </w:rPr>
        <w:t>減少9</w:t>
      </w:r>
      <w:r w:rsidRPr="00207A8B">
        <w:rPr>
          <w:snapToGrid/>
        </w:rPr>
        <w:t>92</w:t>
      </w:r>
      <w:r w:rsidRPr="00207A8B">
        <w:rPr>
          <w:rFonts w:hint="eastAsia"/>
          <w:snapToGrid/>
        </w:rPr>
        <w:t>萬3千元</w:t>
      </w:r>
      <w:r w:rsidRPr="00207A8B">
        <w:rPr>
          <w:snapToGrid/>
        </w:rPr>
        <w:t>(</w:t>
      </w:r>
      <w:r w:rsidRPr="00207A8B">
        <w:rPr>
          <w:rFonts w:hint="eastAsia"/>
          <w:snapToGrid/>
        </w:rPr>
        <w:t>減幅1.11</w:t>
      </w:r>
      <w:r w:rsidRPr="00207A8B">
        <w:rPr>
          <w:snapToGrid/>
        </w:rPr>
        <w:t>%)</w:t>
      </w:r>
      <w:r w:rsidRPr="00207A8B">
        <w:rPr>
          <w:rFonts w:hint="eastAsia"/>
          <w:snapToGrid/>
        </w:rPr>
        <w:t>；收支相抵後預計賸餘518萬9千元，較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13年度</w:t>
      </w:r>
      <w:r w:rsidRPr="00207A8B">
        <w:rPr>
          <w:rFonts w:hAnsi="標楷體" w:hint="eastAsia"/>
          <w:snapToGrid/>
        </w:rPr>
        <w:t>預算賸餘</w:t>
      </w:r>
      <w:r w:rsidRPr="00207A8B">
        <w:rPr>
          <w:rFonts w:hint="eastAsia"/>
          <w:snapToGrid/>
        </w:rPr>
        <w:t>411萬4千元增加107萬5千元</w:t>
      </w:r>
      <w:r w:rsidRPr="00207A8B">
        <w:rPr>
          <w:snapToGrid/>
        </w:rPr>
        <w:t>(增幅</w:t>
      </w:r>
      <w:r w:rsidRPr="00207A8B">
        <w:rPr>
          <w:rFonts w:hint="eastAsia"/>
          <w:snapToGrid/>
        </w:rPr>
        <w:t>26</w:t>
      </w:r>
      <w:r w:rsidRPr="00207A8B">
        <w:rPr>
          <w:snapToGrid/>
        </w:rPr>
        <w:t>.13%)</w:t>
      </w:r>
      <w:r w:rsidRPr="00207A8B">
        <w:rPr>
          <w:rFonts w:hint="eastAsia"/>
          <w:snapToGrid/>
        </w:rPr>
        <w:t>。謹就生技中心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14年度預算案相關問題評估如下：</w:t>
      </w:r>
    </w:p>
    <w:p w:rsidR="00FC0E94" w:rsidRPr="00207A8B" w:rsidRDefault="00FC0E94" w:rsidP="004B6D74">
      <w:pPr>
        <w:pStyle w:val="14"/>
        <w:ind w:left="567" w:hanging="567"/>
        <w:rPr>
          <w:rFonts w:hint="eastAsia"/>
        </w:rPr>
      </w:pPr>
      <w:bookmarkStart w:id="22" w:name="_Toc19525533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9"/>
      <w:bookmarkEnd w:id="8"/>
      <w:bookmarkEnd w:id="6"/>
      <w:bookmarkEnd w:id="7"/>
      <w:r>
        <w:rPr>
          <w:rFonts w:hint="eastAsia"/>
        </w:rPr>
        <w:t>三</w:t>
      </w:r>
      <w:r w:rsidRPr="00207A8B">
        <w:rPr>
          <w:rFonts w:hint="eastAsia"/>
        </w:rPr>
        <w:t>、</w:t>
      </w:r>
      <w:r w:rsidR="004A4BC8">
        <w:rPr>
          <w:rFonts w:hint="eastAsia"/>
        </w:rPr>
        <w:t>為</w:t>
      </w:r>
      <w:r w:rsidR="004A4BC8" w:rsidRPr="00207A8B">
        <w:rPr>
          <w:rFonts w:hint="eastAsia"/>
        </w:rPr>
        <w:t>增益轉投資效益</w:t>
      </w:r>
      <w:r w:rsidR="004A4BC8">
        <w:rPr>
          <w:rFonts w:hint="eastAsia"/>
        </w:rPr>
        <w:t>，</w:t>
      </w:r>
      <w:r w:rsidRPr="00207A8B">
        <w:rPr>
          <w:rFonts w:hint="eastAsia"/>
        </w:rPr>
        <w:t>允宜關注各轉投資公司之技術運用及營運情形，並依風險管理及前景預估情形適時調整投資金額及權重</w:t>
      </w:r>
      <w:bookmarkEnd w:id="22"/>
    </w:p>
    <w:bookmarkEnd w:id="4"/>
    <w:bookmarkEnd w:id="5"/>
    <w:p w:rsidR="00FC0E94" w:rsidRPr="00207A8B" w:rsidRDefault="00FC0E94" w:rsidP="0033302B">
      <w:pPr>
        <w:ind w:left="566" w:firstLine="566"/>
        <w:rPr>
          <w:rFonts w:hAnsi="標楷體"/>
        </w:rPr>
      </w:pPr>
      <w:r w:rsidRPr="00207A8B">
        <w:rPr>
          <w:rFonts w:hAnsi="標楷體" w:hint="eastAsia"/>
        </w:rPr>
        <w:t>生技中心預計114年底轉投資金額5億9</w:t>
      </w:r>
      <w:r w:rsidRPr="00207A8B">
        <w:rPr>
          <w:rFonts w:hAnsi="標楷體"/>
        </w:rPr>
        <w:t>,302</w:t>
      </w:r>
      <w:r w:rsidRPr="00207A8B">
        <w:rPr>
          <w:rFonts w:hAnsi="標楷體" w:hint="eastAsia"/>
        </w:rPr>
        <w:t>萬6千元，包括：</w:t>
      </w:r>
      <w:r>
        <w:rPr>
          <w:rFonts w:hAnsi="標楷體" w:hint="eastAsia"/>
        </w:rPr>
        <w:t>臺</w:t>
      </w:r>
      <w:r w:rsidRPr="00207A8B">
        <w:rPr>
          <w:rFonts w:hAnsi="標楷體" w:hint="eastAsia"/>
        </w:rPr>
        <w:t>康生技股份有限公司(以下簡稱</w:t>
      </w:r>
      <w:r>
        <w:rPr>
          <w:rFonts w:hAnsi="標楷體" w:hint="eastAsia"/>
        </w:rPr>
        <w:t>臺</w:t>
      </w:r>
      <w:r w:rsidRPr="00207A8B">
        <w:rPr>
          <w:rFonts w:hAnsi="標楷體" w:hint="eastAsia"/>
        </w:rPr>
        <w:t>康生技)、啟弘生物科技股份有限公司(以下簡稱啟弘生技)、邁高生物科技股份有限公司(以下簡稱邁高生技)、嘉正生物科技股份有限公司(以下簡稱嘉正生技)、上毅生物科技股份有限公司(以下簡稱上毅生技)、</w:t>
      </w:r>
      <w:r>
        <w:rPr>
          <w:rFonts w:hAnsi="標楷體" w:hint="eastAsia"/>
        </w:rPr>
        <w:t>臺</w:t>
      </w:r>
      <w:r w:rsidRPr="00207A8B">
        <w:rPr>
          <w:rFonts w:hAnsi="標楷體" w:hint="eastAsia"/>
        </w:rPr>
        <w:t>灣生物醫藥製造股份有限公司(以下簡稱</w:t>
      </w:r>
      <w:r>
        <w:rPr>
          <w:rFonts w:hAnsi="標楷體" w:hint="eastAsia"/>
        </w:rPr>
        <w:t>臺</w:t>
      </w:r>
      <w:r w:rsidRPr="00207A8B">
        <w:rPr>
          <w:rFonts w:hAnsi="標楷體" w:hint="eastAsia"/>
        </w:rPr>
        <w:t>灣生物醫藥製造)、朗齊生物醫學股份有限公司(以下簡稱朗齊生物醫學)及瑞玉智慧細胞股份有限公司(以下簡稱瑞玉)，其中瑞玉係於114年度新增投資，投資金額10萬元(詳表1)。經查：</w:t>
      </w:r>
    </w:p>
    <w:p w:rsidR="00FC0E94" w:rsidRPr="00207A8B" w:rsidRDefault="00FC0E94" w:rsidP="00AA1E1E">
      <w:pPr>
        <w:spacing w:line="480" w:lineRule="exact"/>
        <w:ind w:left="566" w:firstLineChars="7" w:firstLine="20"/>
        <w:rPr>
          <w:szCs w:val="24"/>
        </w:rPr>
      </w:pPr>
      <w:r w:rsidRPr="00207A8B">
        <w:rPr>
          <w:rFonts w:hAnsi="標楷體" w:hint="eastAsia"/>
          <w:b/>
        </w:rPr>
        <w:t xml:space="preserve">表1  生技中心114年底轉投資明細表         </w:t>
      </w:r>
      <w:r w:rsidRPr="00207A8B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</w:t>
      </w:r>
      <w:r w:rsidRPr="00207A8B">
        <w:rPr>
          <w:rFonts w:hint="eastAsia"/>
          <w:sz w:val="24"/>
          <w:szCs w:val="24"/>
        </w:rPr>
        <w:t>幣千元</w:t>
      </w:r>
    </w:p>
    <w:tbl>
      <w:tblPr>
        <w:tblW w:w="7938" w:type="dxa"/>
        <w:tblInd w:w="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850"/>
        <w:gridCol w:w="993"/>
        <w:gridCol w:w="709"/>
        <w:gridCol w:w="2409"/>
      </w:tblGrid>
      <w:tr w:rsidR="00FC0E94" w:rsidRPr="00207A8B" w:rsidTr="00B031A8">
        <w:trPr>
          <w:trHeight w:val="20"/>
          <w:tblHeader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投 資 事 業 名 稱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C0E94" w:rsidRPr="00207A8B" w:rsidRDefault="00FC0E94" w:rsidP="002F1546">
            <w:pPr>
              <w:pStyle w:val="142"/>
              <w:jc w:val="distribute"/>
              <w:rPr>
                <w:rFonts w:hint="eastAsia"/>
                <w:spacing w:val="-20"/>
              </w:rPr>
            </w:pPr>
            <w:r w:rsidRPr="00207A8B">
              <w:rPr>
                <w:rFonts w:hint="eastAsia"/>
                <w:spacing w:val="-20"/>
              </w:rPr>
              <w:t>114年度增減數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C0E94" w:rsidRPr="00207A8B" w:rsidRDefault="00FC0E94" w:rsidP="002F1546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114年底</w:t>
            </w:r>
            <w:r w:rsidRPr="00207A8B">
              <w:rPr>
                <w:rFonts w:hint="eastAsia"/>
              </w:rPr>
              <w:br/>
              <w:t>投資淨額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F1546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持股比率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說明</w:t>
            </w: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臺</w:t>
            </w:r>
            <w:r w:rsidRPr="00207A8B">
              <w:rPr>
                <w:rFonts w:hint="eastAsia"/>
              </w:rPr>
              <w:t>康生技股份有限公司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383,502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1.47%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FC0E94" w:rsidRPr="00207A8B" w:rsidRDefault="00FC0E94" w:rsidP="008B360B">
            <w:pPr>
              <w:pStyle w:val="142"/>
              <w:jc w:val="both"/>
              <w:rPr>
                <w:rFonts w:hint="eastAsia"/>
              </w:rPr>
            </w:pPr>
            <w:r w:rsidRPr="00207A8B">
              <w:rPr>
                <w:rFonts w:hint="eastAsia"/>
              </w:rPr>
              <w:t>帳列於資產負債表之〝透過其他綜合餘絀按公允價值衡量之金融資產〞項下。</w:t>
            </w: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lastRenderedPageBreak/>
              <w:t>啟弘生物科技股份有限公司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30,312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2.69%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  <w:hideMark/>
          </w:tcPr>
          <w:p w:rsidR="00FC0E94" w:rsidRPr="00207A8B" w:rsidRDefault="00FC0E94" w:rsidP="008B360B">
            <w:pPr>
              <w:pStyle w:val="142"/>
              <w:jc w:val="both"/>
              <w:rPr>
                <w:rFonts w:hint="eastAsia"/>
              </w:rPr>
            </w:pPr>
            <w:r w:rsidRPr="00207A8B">
              <w:rPr>
                <w:rFonts w:hint="eastAsia"/>
              </w:rPr>
              <w:t>帳列於資產負債表之〝以成本衡量之金融資產 -非流動〞項下。</w:t>
            </w: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邁高生物科技股份有限公司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3,000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3.00%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嘉正生物科技股份有限公司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18,000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6.29%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上毅生物科技股份有限公司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3,252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0.40%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臺</w:t>
            </w:r>
            <w:r w:rsidRPr="00207A8B">
              <w:rPr>
                <w:rFonts w:hint="eastAsia"/>
              </w:rPr>
              <w:t>灣生物醫藥製造股份有限公司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150,000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2.33%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朗齊生物醫學股份有限公司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4,860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1.01%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瑞玉智慧細胞股份有限公司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100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100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2.00%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</w:p>
        </w:tc>
      </w:tr>
      <w:tr w:rsidR="00FC0E94" w:rsidRPr="00207A8B" w:rsidTr="00E8286C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總計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100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593,026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043A0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270DE1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 xml:space="preserve">　</w:t>
            </w:r>
          </w:p>
        </w:tc>
      </w:tr>
    </w:tbl>
    <w:p w:rsidR="00FC0E94" w:rsidRPr="00207A8B" w:rsidRDefault="00FC0E94" w:rsidP="000469C2">
      <w:pPr>
        <w:pStyle w:val="142"/>
        <w:tabs>
          <w:tab w:val="left" w:pos="3402"/>
          <w:tab w:val="left" w:pos="4395"/>
          <w:tab w:val="left" w:pos="5505"/>
        </w:tabs>
        <w:ind w:leftChars="198" w:left="1777" w:hangingChars="500" w:hanging="1216"/>
        <w:rPr>
          <w:rFonts w:hAnsi="標楷體"/>
          <w:sz w:val="20"/>
          <w:szCs w:val="20"/>
        </w:rPr>
      </w:pPr>
      <w:r w:rsidRPr="00207A8B">
        <w:rPr>
          <w:rFonts w:hAnsi="標楷體" w:hint="eastAsia"/>
        </w:rPr>
        <w:t>說    明：表內「持股比率」係114年底預計數。</w:t>
      </w:r>
    </w:p>
    <w:p w:rsidR="00FC0E94" w:rsidRPr="00207A8B" w:rsidRDefault="00FC0E94" w:rsidP="000469C2">
      <w:pPr>
        <w:pStyle w:val="142"/>
        <w:tabs>
          <w:tab w:val="left" w:pos="3402"/>
          <w:tab w:val="left" w:pos="4395"/>
          <w:tab w:val="left" w:pos="5505"/>
        </w:tabs>
        <w:ind w:leftChars="198" w:left="1777" w:hangingChars="500" w:hanging="1216"/>
        <w:rPr>
          <w:rFonts w:hAnsi="標楷體"/>
        </w:rPr>
      </w:pPr>
      <w:r w:rsidRPr="00207A8B">
        <w:rPr>
          <w:rFonts w:hAnsi="標楷體" w:hint="eastAsia"/>
        </w:rPr>
        <w:t>資料來源：生技中心114年度預算書。</w:t>
      </w:r>
    </w:p>
    <w:p w:rsidR="00FC0E94" w:rsidRPr="00207A8B" w:rsidRDefault="00FC0E94" w:rsidP="00416886">
      <w:pPr>
        <w:pStyle w:val="a4"/>
        <w:ind w:left="849" w:hanging="283"/>
        <w:rPr>
          <w:b/>
          <w:snapToGrid/>
        </w:rPr>
      </w:pPr>
      <w:r w:rsidRPr="00207A8B">
        <w:rPr>
          <w:b/>
          <w:snapToGrid/>
        </w:rPr>
        <w:t>(</w:t>
      </w:r>
      <w:r w:rsidRPr="00207A8B">
        <w:rPr>
          <w:rFonts w:hint="eastAsia"/>
          <w:b/>
          <w:snapToGrid/>
        </w:rPr>
        <w:t>一</w:t>
      </w:r>
      <w:r w:rsidRPr="00207A8B">
        <w:rPr>
          <w:b/>
          <w:snapToGrid/>
        </w:rPr>
        <w:t>)</w:t>
      </w:r>
      <w:r w:rsidR="00BB7A02">
        <w:rPr>
          <w:rFonts w:hint="eastAsia"/>
          <w:b/>
          <w:snapToGrid/>
        </w:rPr>
        <w:t>為</w:t>
      </w:r>
      <w:r w:rsidR="00BB7A02" w:rsidRPr="00207A8B">
        <w:rPr>
          <w:rFonts w:hint="eastAsia"/>
          <w:b/>
          <w:snapToGrid/>
        </w:rPr>
        <w:t>有效增益轉投資收益</w:t>
      </w:r>
      <w:r w:rsidR="00BB7A02">
        <w:rPr>
          <w:rFonts w:hint="eastAsia"/>
          <w:b/>
          <w:snapToGrid/>
        </w:rPr>
        <w:t>，</w:t>
      </w:r>
      <w:r w:rsidRPr="00207A8B">
        <w:rPr>
          <w:rFonts w:hint="eastAsia"/>
          <w:b/>
          <w:snapToGrid/>
        </w:rPr>
        <w:t>允宜妥為關注轉投資公司之技術運用及營運情形</w:t>
      </w:r>
    </w:p>
    <w:p w:rsidR="00FC0E94" w:rsidRPr="00207A8B" w:rsidRDefault="00FC0E94" w:rsidP="009F2BF8">
      <w:pPr>
        <w:pStyle w:val="2"/>
        <w:ind w:left="850" w:firstLine="566"/>
      </w:pPr>
      <w:r w:rsidRPr="00207A8B">
        <w:rPr>
          <w:rFonts w:hint="eastAsia"/>
          <w:snapToGrid/>
        </w:rPr>
        <w:t>生技中心之轉投資自110至113年度之投資損益情形，包括：110及111年度處分</w:t>
      </w:r>
      <w:r>
        <w:rPr>
          <w:rFonts w:hint="eastAsia"/>
          <w:snapToGrid/>
        </w:rPr>
        <w:t>臺</w:t>
      </w:r>
      <w:r w:rsidRPr="00207A8B">
        <w:rPr>
          <w:rFonts w:hint="eastAsia"/>
          <w:snapToGrid/>
        </w:rPr>
        <w:t>康生技股票之處分投資利益9</w:t>
      </w:r>
      <w:r w:rsidRPr="00207A8B">
        <w:rPr>
          <w:snapToGrid/>
        </w:rPr>
        <w:t>,605</w:t>
      </w:r>
      <w:r w:rsidRPr="00207A8B">
        <w:rPr>
          <w:rFonts w:hint="eastAsia"/>
          <w:snapToGrid/>
        </w:rPr>
        <w:t>萬</w:t>
      </w:r>
      <w:r w:rsidRPr="00207A8B">
        <w:rPr>
          <w:snapToGrid/>
        </w:rPr>
        <w:t>4</w:t>
      </w:r>
      <w:r w:rsidRPr="00207A8B">
        <w:rPr>
          <w:rFonts w:hint="eastAsia"/>
          <w:snapToGrid/>
        </w:rPr>
        <w:t>千元及5</w:t>
      </w:r>
      <w:r w:rsidRPr="00207A8B">
        <w:rPr>
          <w:snapToGrid/>
        </w:rPr>
        <w:t>,420</w:t>
      </w:r>
      <w:r w:rsidRPr="00207A8B">
        <w:rPr>
          <w:rFonts w:hint="eastAsia"/>
          <w:snapToGrid/>
        </w:rPr>
        <w:t>萬7千元，以及啟弘生技於112及113年度分別配發之現金股利9萬元及4萬7千元(詳表2)；惟</w:t>
      </w:r>
      <w:r w:rsidRPr="00207A8B">
        <w:rPr>
          <w:rFonts w:hint="eastAsia"/>
        </w:rPr>
        <w:t>其餘轉投資公司包括邁高生技、嘉正生技、上毅生技、</w:t>
      </w:r>
      <w:r>
        <w:rPr>
          <w:rFonts w:hint="eastAsia"/>
        </w:rPr>
        <w:t>臺</w:t>
      </w:r>
      <w:r w:rsidRPr="00207A8B">
        <w:rPr>
          <w:rFonts w:hint="eastAsia"/>
        </w:rPr>
        <w:t>灣生物醫藥製造及朗齊生物醫學</w:t>
      </w:r>
      <w:r w:rsidRPr="00207A8B">
        <w:rPr>
          <w:rStyle w:val="af9"/>
        </w:rPr>
        <w:footnoteReference w:id="1"/>
      </w:r>
      <w:r w:rsidRPr="00207A8B">
        <w:rPr>
          <w:rFonts w:hint="eastAsia"/>
        </w:rPr>
        <w:t>，迄113年底均未配發股利，詢據生技中心表示，係因上開轉投資公司帳上尚有待彌補虧損，致無法發放股利。基於生技中心114年底對上開5家公司之轉投資金額達1億7</w:t>
      </w:r>
      <w:r w:rsidRPr="00207A8B">
        <w:t>,</w:t>
      </w:r>
      <w:r w:rsidRPr="00207A8B">
        <w:rPr>
          <w:rFonts w:hint="eastAsia"/>
        </w:rPr>
        <w:t>911萬2千元，金額頗高，允宜妥為關注上開公司之技術運用及營運情形，俾有效增進轉投資收益。</w:t>
      </w:r>
    </w:p>
    <w:p w:rsidR="00FC0E94" w:rsidRPr="00207A8B" w:rsidRDefault="00FC0E94" w:rsidP="00616CC8">
      <w:pPr>
        <w:pStyle w:val="142"/>
        <w:spacing w:line="400" w:lineRule="exact"/>
        <w:ind w:leftChars="300" w:left="1596" w:hangingChars="263" w:hanging="746"/>
      </w:pPr>
      <w:r w:rsidRPr="00207A8B">
        <w:rPr>
          <w:rFonts w:hAnsi="標楷體" w:hint="eastAsia"/>
          <w:b/>
          <w:sz w:val="28"/>
        </w:rPr>
        <w:t>表2  生技中心110至113年度轉投資公司處分投資利益及現金股利配發情形表</w:t>
      </w:r>
      <w:r w:rsidRPr="00207A8B">
        <w:rPr>
          <w:rFonts w:hint="eastAsia"/>
        </w:rPr>
        <w:t xml:space="preserve">                         單位：新</w:t>
      </w:r>
      <w:r>
        <w:rPr>
          <w:rFonts w:hint="eastAsia"/>
        </w:rPr>
        <w:t>臺</w:t>
      </w:r>
      <w:r w:rsidRPr="00207A8B">
        <w:rPr>
          <w:rFonts w:hint="eastAsia"/>
        </w:rPr>
        <w:t>幣千元</w:t>
      </w:r>
    </w:p>
    <w:tbl>
      <w:tblPr>
        <w:tblW w:w="7659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660"/>
        <w:gridCol w:w="2519"/>
        <w:gridCol w:w="2520"/>
      </w:tblGrid>
      <w:tr w:rsidR="00FC0E94" w:rsidRPr="00207A8B" w:rsidTr="00B031A8">
        <w:trPr>
          <w:trHeight w:val="324"/>
          <w:tblHeader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distribute"/>
              <w:rPr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投資事業名稱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distribute"/>
              <w:rPr>
                <w:rFonts w:hint="eastAsia"/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處分投資利益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distribute"/>
              <w:rPr>
                <w:rFonts w:hint="eastAsia"/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現金股利</w:t>
            </w:r>
          </w:p>
        </w:tc>
      </w:tr>
      <w:tr w:rsidR="00FC0E94" w:rsidRPr="00207A8B" w:rsidTr="00DD13DC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110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臺</w:t>
            </w:r>
            <w:r w:rsidRPr="00207A8B">
              <w:rPr>
                <w:rFonts w:hint="eastAsia"/>
                <w:snapToGrid/>
              </w:rPr>
              <w:t>康生技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96,054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-</w:t>
            </w:r>
          </w:p>
        </w:tc>
      </w:tr>
      <w:tr w:rsidR="00FC0E94" w:rsidRPr="00207A8B" w:rsidTr="00DD13DC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111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臺</w:t>
            </w:r>
            <w:r w:rsidRPr="00207A8B">
              <w:rPr>
                <w:rFonts w:hint="eastAsia"/>
                <w:snapToGrid/>
              </w:rPr>
              <w:t>康生技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54,207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-</w:t>
            </w:r>
          </w:p>
        </w:tc>
      </w:tr>
      <w:tr w:rsidR="00FC0E94" w:rsidRPr="00207A8B" w:rsidTr="00DD13DC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112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啟弘生技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-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90</w:t>
            </w:r>
          </w:p>
        </w:tc>
      </w:tr>
      <w:tr w:rsidR="00FC0E94" w:rsidRPr="00207A8B" w:rsidTr="00DD13DC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113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啟弘生技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-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47</w:t>
            </w:r>
          </w:p>
        </w:tc>
      </w:tr>
    </w:tbl>
    <w:p w:rsidR="00FC0E94" w:rsidRPr="00207A8B" w:rsidRDefault="00FC0E94" w:rsidP="00616CC8">
      <w:pPr>
        <w:pStyle w:val="142"/>
        <w:tabs>
          <w:tab w:val="left" w:pos="3402"/>
          <w:tab w:val="left" w:pos="4395"/>
          <w:tab w:val="left" w:pos="5505"/>
        </w:tabs>
        <w:ind w:leftChars="300" w:left="1777" w:hangingChars="381" w:hanging="927"/>
        <w:rPr>
          <w:rFonts w:hAnsi="標楷體"/>
        </w:rPr>
      </w:pPr>
      <w:r w:rsidRPr="00207A8B">
        <w:rPr>
          <w:rFonts w:hAnsi="標楷體" w:hint="eastAsia"/>
        </w:rPr>
        <w:t>資料來源：依生技中心提供資料整理。</w:t>
      </w:r>
    </w:p>
    <w:p w:rsidR="00FC0E94" w:rsidRPr="00207A8B" w:rsidRDefault="00FC0E94" w:rsidP="00643AC5">
      <w:pPr>
        <w:pStyle w:val="a4"/>
        <w:ind w:left="849" w:hanging="283"/>
        <w:rPr>
          <w:b/>
          <w:snapToGrid/>
        </w:rPr>
      </w:pPr>
      <w:r w:rsidRPr="00207A8B">
        <w:rPr>
          <w:b/>
          <w:snapToGrid/>
        </w:rPr>
        <w:lastRenderedPageBreak/>
        <w:t>(</w:t>
      </w:r>
      <w:r w:rsidRPr="00207A8B">
        <w:rPr>
          <w:rFonts w:hint="eastAsia"/>
          <w:b/>
          <w:snapToGrid/>
        </w:rPr>
        <w:t>二</w:t>
      </w:r>
      <w:r w:rsidRPr="00207A8B">
        <w:rPr>
          <w:b/>
          <w:snapToGrid/>
        </w:rPr>
        <w:t>)</w:t>
      </w:r>
      <w:r w:rsidR="00BB7A02">
        <w:rPr>
          <w:rFonts w:hint="eastAsia"/>
          <w:b/>
          <w:snapToGrid/>
        </w:rPr>
        <w:t>為提高資金運用績效，</w:t>
      </w:r>
      <w:r w:rsidRPr="00207A8B">
        <w:rPr>
          <w:rFonts w:hint="eastAsia"/>
          <w:b/>
          <w:snapToGrid/>
        </w:rPr>
        <w:t>允宜著重轉投資之風險管理及前景預估，並適時調整投資金額及權重</w:t>
      </w:r>
    </w:p>
    <w:p w:rsidR="00FC0E94" w:rsidRPr="00207A8B" w:rsidRDefault="00FC0E94" w:rsidP="00643AC5">
      <w:pPr>
        <w:pStyle w:val="2"/>
        <w:ind w:left="850" w:firstLine="566"/>
      </w:pPr>
      <w:r w:rsidRPr="00207A8B">
        <w:rPr>
          <w:rFonts w:hint="eastAsia"/>
          <w:snapToGrid/>
        </w:rPr>
        <w:t>有關生技中心轉投資之</w:t>
      </w:r>
      <w:r>
        <w:rPr>
          <w:rFonts w:hint="eastAsia"/>
          <w:snapToGrid/>
        </w:rPr>
        <w:t>臺</w:t>
      </w:r>
      <w:r w:rsidRPr="00207A8B">
        <w:rPr>
          <w:rFonts w:hint="eastAsia"/>
          <w:snapToGrid/>
        </w:rPr>
        <w:t>康生技股票，因帳列於資產負債表之「透過其他綜合餘絀按公允價值衡量之金融資產」項下，爰各年底需認列</w:t>
      </w:r>
      <w:bookmarkStart w:id="23" w:name="OLE_LINK1"/>
      <w:r w:rsidRPr="00207A8B">
        <w:rPr>
          <w:rFonts w:hint="eastAsia"/>
          <w:snapToGrid/>
        </w:rPr>
        <w:t>公允價值增減之未實現評價調整</w:t>
      </w:r>
      <w:bookmarkEnd w:id="23"/>
      <w:r w:rsidRPr="00207A8B">
        <w:rPr>
          <w:rFonts w:hint="eastAsia"/>
          <w:snapToGrid/>
        </w:rPr>
        <w:t>，包括：110至111年度分別認列年底評價調整之未實現賸餘2億8</w:t>
      </w:r>
      <w:r w:rsidRPr="00207A8B">
        <w:rPr>
          <w:snapToGrid/>
        </w:rPr>
        <w:t>,340</w:t>
      </w:r>
      <w:r w:rsidRPr="00207A8B">
        <w:rPr>
          <w:rFonts w:hint="eastAsia"/>
          <w:snapToGrid/>
        </w:rPr>
        <w:t>萬1千元及181萬6千元，112及113年底則分別認列年底評價調整之未實現短絀1億139萬6千元及1億2</w:t>
      </w:r>
      <w:r w:rsidRPr="00207A8B">
        <w:rPr>
          <w:snapToGrid/>
        </w:rPr>
        <w:t>,</w:t>
      </w:r>
      <w:r w:rsidRPr="00207A8B">
        <w:rPr>
          <w:rFonts w:hint="eastAsia"/>
          <w:snapToGrid/>
        </w:rPr>
        <w:t>843萬5千元(詳表3)。依上開所述，生技中心轉投資</w:t>
      </w:r>
      <w:r>
        <w:rPr>
          <w:rFonts w:hint="eastAsia"/>
          <w:snapToGrid/>
        </w:rPr>
        <w:t>臺</w:t>
      </w:r>
      <w:r w:rsidRPr="00207A8B">
        <w:rPr>
          <w:rFonts w:hint="eastAsia"/>
          <w:snapToGrid/>
        </w:rPr>
        <w:t>康生技部分，110及111年度雖認列未實現賸餘，惟112及113年度連續兩年因市價下跌所認列之未實現短絀，分別占各年初投資金額5億5</w:t>
      </w:r>
      <w:r w:rsidRPr="00207A8B">
        <w:rPr>
          <w:snapToGrid/>
        </w:rPr>
        <w:t>,</w:t>
      </w:r>
      <w:r w:rsidRPr="00207A8B">
        <w:rPr>
          <w:rFonts w:hint="eastAsia"/>
          <w:snapToGrid/>
        </w:rPr>
        <w:t>429萬8千元及4億5</w:t>
      </w:r>
      <w:r w:rsidRPr="00207A8B">
        <w:rPr>
          <w:snapToGrid/>
        </w:rPr>
        <w:t>,290</w:t>
      </w:r>
      <w:r w:rsidRPr="00207A8B">
        <w:rPr>
          <w:rFonts w:hint="eastAsia"/>
          <w:snapToGrid/>
        </w:rPr>
        <w:t>萬2千元之18.29%及28.36%，占比頗高，允宜著重該項轉投資之風險管理，俾</w:t>
      </w:r>
      <w:r w:rsidRPr="00207A8B">
        <w:rPr>
          <w:rFonts w:hint="eastAsia"/>
        </w:rPr>
        <w:t>利提高資金運用績效並增裕投資收入。</w:t>
      </w:r>
    </w:p>
    <w:p w:rsidR="00FC0E94" w:rsidRPr="00207A8B" w:rsidRDefault="00FC0E94" w:rsidP="00643AC5">
      <w:pPr>
        <w:pStyle w:val="2"/>
        <w:ind w:left="850" w:firstLine="566"/>
        <w:rPr>
          <w:rFonts w:hint="eastAsia"/>
          <w:snapToGrid/>
        </w:rPr>
      </w:pPr>
      <w:r w:rsidRPr="00207A8B">
        <w:rPr>
          <w:rFonts w:hint="eastAsia"/>
        </w:rPr>
        <w:t>再者，生技中心114年度預計新增投資瑞玉10萬元，持股比率2%(詳表1)，</w:t>
      </w:r>
      <w:r w:rsidR="0086079B">
        <w:rPr>
          <w:rFonts w:hint="eastAsia"/>
        </w:rPr>
        <w:t>據</w:t>
      </w:r>
      <w:r w:rsidR="009D6188">
        <w:rPr>
          <w:rFonts w:hint="eastAsia"/>
        </w:rPr>
        <w:t>生技中心表示，</w:t>
      </w:r>
      <w:r w:rsidR="009D6188" w:rsidRPr="009D6188">
        <w:rPr>
          <w:rFonts w:hint="eastAsia"/>
        </w:rPr>
        <w:t>該公司已於113年成立，並技轉</w:t>
      </w:r>
      <w:r w:rsidR="0086079B">
        <w:rPr>
          <w:rFonts w:hint="eastAsia"/>
        </w:rPr>
        <w:t>該</w:t>
      </w:r>
      <w:r w:rsidR="009D6188" w:rsidRPr="009D6188">
        <w:rPr>
          <w:rFonts w:hint="eastAsia"/>
        </w:rPr>
        <w:t>中心自有研發成果進行接續開發及商品化。</w:t>
      </w:r>
      <w:r w:rsidR="0086079B">
        <w:rPr>
          <w:rFonts w:hint="eastAsia"/>
        </w:rPr>
        <w:t>基於該公司甫成立，</w:t>
      </w:r>
      <w:r w:rsidRPr="00207A8B">
        <w:rPr>
          <w:rFonts w:hint="eastAsia"/>
        </w:rPr>
        <w:t>允宜賡續注重該項投資之風險管理及前景預估，據以適時調整增減投資金額及持股比重，俾增進轉投資效益。</w:t>
      </w:r>
    </w:p>
    <w:p w:rsidR="00FC0E94" w:rsidRPr="00207A8B" w:rsidRDefault="00FC0E94" w:rsidP="00616CC8">
      <w:pPr>
        <w:pStyle w:val="142"/>
        <w:spacing w:line="400" w:lineRule="exact"/>
        <w:ind w:leftChars="300" w:left="850"/>
      </w:pPr>
      <w:r w:rsidRPr="00207A8B">
        <w:rPr>
          <w:rFonts w:hAnsi="標楷體" w:hint="eastAsia"/>
          <w:b/>
          <w:sz w:val="28"/>
        </w:rPr>
        <w:t>表3 生技中心110至113年認列轉投資公司之評價調整情形表</w:t>
      </w:r>
      <w:r w:rsidRPr="00207A8B">
        <w:rPr>
          <w:rFonts w:hint="eastAsia"/>
        </w:rPr>
        <w:t xml:space="preserve">  </w:t>
      </w:r>
    </w:p>
    <w:p w:rsidR="00FC0E94" w:rsidRPr="00207A8B" w:rsidRDefault="00FC0E94" w:rsidP="00281FCB">
      <w:pPr>
        <w:pStyle w:val="142"/>
        <w:ind w:leftChars="300" w:left="850"/>
        <w:jc w:val="right"/>
      </w:pPr>
      <w:r w:rsidRPr="00207A8B">
        <w:rPr>
          <w:rFonts w:hint="eastAsia"/>
        </w:rPr>
        <w:t>單位：新</w:t>
      </w:r>
      <w:r>
        <w:rPr>
          <w:rFonts w:hint="eastAsia"/>
        </w:rPr>
        <w:t>臺</w:t>
      </w:r>
      <w:r w:rsidRPr="00207A8B">
        <w:rPr>
          <w:rFonts w:hint="eastAsia"/>
        </w:rPr>
        <w:t>幣千元</w:t>
      </w:r>
    </w:p>
    <w:tbl>
      <w:tblPr>
        <w:tblW w:w="7646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2300"/>
        <w:gridCol w:w="4386"/>
      </w:tblGrid>
      <w:tr w:rsidR="00FC0E94" w:rsidRPr="00207A8B" w:rsidTr="00B031A8">
        <w:trPr>
          <w:trHeight w:val="324"/>
          <w:tblHeader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DD13DC">
            <w:pPr>
              <w:pStyle w:val="142"/>
              <w:jc w:val="distribute"/>
              <w:rPr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DD13DC">
            <w:pPr>
              <w:pStyle w:val="142"/>
              <w:jc w:val="distribute"/>
              <w:rPr>
                <w:rFonts w:hint="eastAsia"/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投資事業名稱</w:t>
            </w:r>
          </w:p>
        </w:tc>
        <w:tc>
          <w:tcPr>
            <w:tcW w:w="4386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DD13DC">
            <w:pPr>
              <w:pStyle w:val="142"/>
              <w:jc w:val="distribute"/>
              <w:rPr>
                <w:rFonts w:hint="eastAsia"/>
                <w:b/>
                <w:snapToGrid/>
              </w:rPr>
            </w:pPr>
            <w:r w:rsidRPr="00207A8B">
              <w:rPr>
                <w:rFonts w:hint="eastAsia"/>
                <w:b/>
                <w:snapToGrid/>
              </w:rPr>
              <w:t>公允價值增減之未實現評價調整</w:t>
            </w:r>
          </w:p>
        </w:tc>
      </w:tr>
      <w:tr w:rsidR="00FC0E94" w:rsidRPr="00207A8B" w:rsidTr="00DD13DC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center"/>
              <w:rPr>
                <w:snapToGrid/>
              </w:rPr>
            </w:pPr>
            <w:r w:rsidRPr="00207A8B">
              <w:rPr>
                <w:rFonts w:hint="eastAsia"/>
                <w:snapToGrid/>
              </w:rPr>
              <w:t>110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臺</w:t>
            </w:r>
            <w:r w:rsidRPr="00207A8B">
              <w:rPr>
                <w:rFonts w:hint="eastAsia"/>
                <w:snapToGrid/>
              </w:rPr>
              <w:t>康生技</w:t>
            </w:r>
          </w:p>
        </w:tc>
        <w:tc>
          <w:tcPr>
            <w:tcW w:w="4386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283,401</w:t>
            </w:r>
          </w:p>
        </w:tc>
      </w:tr>
      <w:tr w:rsidR="00FC0E94" w:rsidRPr="00207A8B" w:rsidTr="00DD13DC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center"/>
              <w:rPr>
                <w:snapToGrid/>
              </w:rPr>
            </w:pPr>
            <w:r w:rsidRPr="00207A8B">
              <w:rPr>
                <w:rFonts w:hint="eastAsia"/>
                <w:snapToGrid/>
              </w:rPr>
              <w:t>111</w:t>
            </w:r>
          </w:p>
        </w:tc>
        <w:tc>
          <w:tcPr>
            <w:tcW w:w="230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9A76C3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臺</w:t>
            </w:r>
            <w:r w:rsidRPr="00207A8B">
              <w:rPr>
                <w:rFonts w:hint="eastAsia"/>
                <w:snapToGrid/>
              </w:rPr>
              <w:t>康生技</w:t>
            </w:r>
          </w:p>
        </w:tc>
        <w:tc>
          <w:tcPr>
            <w:tcW w:w="4386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FA7695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1,816</w:t>
            </w:r>
          </w:p>
        </w:tc>
      </w:tr>
      <w:tr w:rsidR="00FC0E94" w:rsidRPr="00207A8B" w:rsidTr="00CE0CAE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616CC8">
            <w:pPr>
              <w:pStyle w:val="142"/>
              <w:jc w:val="center"/>
              <w:rPr>
                <w:snapToGrid/>
              </w:rPr>
            </w:pPr>
            <w:r w:rsidRPr="00207A8B">
              <w:rPr>
                <w:rFonts w:hint="eastAsia"/>
                <w:snapToGrid/>
              </w:rPr>
              <w:t>112</w:t>
            </w:r>
          </w:p>
        </w:tc>
        <w:tc>
          <w:tcPr>
            <w:tcW w:w="2300" w:type="dxa"/>
            <w:shd w:val="clear" w:color="auto" w:fill="auto"/>
            <w:noWrap/>
            <w:hideMark/>
          </w:tcPr>
          <w:p w:rsidR="00FC0E94" w:rsidRPr="00207A8B" w:rsidRDefault="00FC0E94" w:rsidP="00616CC8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臺</w:t>
            </w:r>
            <w:r w:rsidRPr="00207A8B">
              <w:rPr>
                <w:rFonts w:hint="eastAsia"/>
                <w:snapToGrid/>
              </w:rPr>
              <w:t>康生技</w:t>
            </w:r>
          </w:p>
        </w:tc>
        <w:tc>
          <w:tcPr>
            <w:tcW w:w="4386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616CC8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-101,396</w:t>
            </w:r>
          </w:p>
        </w:tc>
      </w:tr>
      <w:tr w:rsidR="00FC0E94" w:rsidRPr="00207A8B" w:rsidTr="00CE0CAE">
        <w:trPr>
          <w:trHeight w:val="32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616CC8">
            <w:pPr>
              <w:pStyle w:val="142"/>
              <w:jc w:val="center"/>
              <w:rPr>
                <w:snapToGrid/>
              </w:rPr>
            </w:pPr>
            <w:r w:rsidRPr="00207A8B">
              <w:rPr>
                <w:rFonts w:hint="eastAsia"/>
                <w:snapToGrid/>
              </w:rPr>
              <w:t>113</w:t>
            </w:r>
          </w:p>
        </w:tc>
        <w:tc>
          <w:tcPr>
            <w:tcW w:w="2300" w:type="dxa"/>
            <w:shd w:val="clear" w:color="auto" w:fill="auto"/>
            <w:noWrap/>
            <w:hideMark/>
          </w:tcPr>
          <w:p w:rsidR="00FC0E94" w:rsidRPr="00207A8B" w:rsidRDefault="00FC0E94" w:rsidP="00616CC8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臺</w:t>
            </w:r>
            <w:r w:rsidRPr="00207A8B">
              <w:rPr>
                <w:rFonts w:hint="eastAsia"/>
                <w:snapToGrid/>
              </w:rPr>
              <w:t>康生技</w:t>
            </w:r>
          </w:p>
        </w:tc>
        <w:tc>
          <w:tcPr>
            <w:tcW w:w="4386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616CC8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207A8B">
              <w:rPr>
                <w:rFonts w:hAnsi="標楷體" w:hint="eastAsia"/>
                <w:snapToGrid/>
              </w:rPr>
              <w:t>-128,435</w:t>
            </w:r>
          </w:p>
        </w:tc>
      </w:tr>
    </w:tbl>
    <w:p w:rsidR="00FC0E94" w:rsidRPr="00207A8B" w:rsidRDefault="00FC0E94" w:rsidP="00616CC8">
      <w:pPr>
        <w:pStyle w:val="142"/>
        <w:tabs>
          <w:tab w:val="left" w:pos="3402"/>
          <w:tab w:val="left" w:pos="4395"/>
          <w:tab w:val="left" w:pos="5505"/>
        </w:tabs>
        <w:ind w:leftChars="300" w:left="1777" w:hangingChars="381" w:hanging="927"/>
        <w:rPr>
          <w:rFonts w:hAnsi="標楷體"/>
        </w:rPr>
      </w:pPr>
      <w:r w:rsidRPr="00207A8B">
        <w:rPr>
          <w:rFonts w:hAnsi="標楷體" w:hint="eastAsia"/>
        </w:rPr>
        <w:t>資料來源：依生技中心提供資料整理。</w:t>
      </w:r>
    </w:p>
    <w:p w:rsidR="00FC0E94" w:rsidRPr="00207A8B" w:rsidRDefault="00FC0E94" w:rsidP="008B5CE9">
      <w:pPr>
        <w:ind w:left="566" w:firstLine="566"/>
      </w:pPr>
      <w:r w:rsidRPr="00207A8B">
        <w:rPr>
          <w:rFonts w:hint="eastAsia"/>
        </w:rPr>
        <w:t>綜上，生技中心預計114年底轉投資金額5億9,302萬6千元，惟邁高生技、嘉正生技、上毅生技、</w:t>
      </w:r>
      <w:r>
        <w:rPr>
          <w:rFonts w:hint="eastAsia"/>
        </w:rPr>
        <w:t>臺</w:t>
      </w:r>
      <w:r w:rsidRPr="00207A8B">
        <w:rPr>
          <w:rFonts w:hint="eastAsia"/>
        </w:rPr>
        <w:t>灣生物醫藥製造及朗</w:t>
      </w:r>
      <w:r w:rsidRPr="00207A8B">
        <w:rPr>
          <w:rFonts w:hint="eastAsia"/>
        </w:rPr>
        <w:lastRenderedPageBreak/>
        <w:t>齊生物醫學迄113年底均未發放股利，基此，允宜妥為關注上開公司之技術運用及營運情形；另</w:t>
      </w:r>
      <w:r>
        <w:rPr>
          <w:rFonts w:hint="eastAsia"/>
        </w:rPr>
        <w:t>臺</w:t>
      </w:r>
      <w:r w:rsidRPr="00207A8B">
        <w:rPr>
          <w:rFonts w:hint="eastAsia"/>
        </w:rPr>
        <w:t>康生技112及113年度連續因市價下跌而認列未實現短絀，由於金額及占比頗高，允宜著重其該項轉投資之風險管理，並檢視各項轉投資之前景預估及業務績效，俾提高資金運用效益。</w:t>
      </w:r>
    </w:p>
    <w:bookmarkEnd w:id="3"/>
    <w:bookmarkEnd w:id="1"/>
    <w:bookmarkEnd w:id="2"/>
    <w:sectPr w:rsidR="00FC0E94" w:rsidRPr="00207A8B" w:rsidSect="00CE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25F" w:rsidRDefault="00DC325F" w:rsidP="003E5CE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C325F" w:rsidRDefault="00DC325F" w:rsidP="003E5CE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Pr="004A4BC8" w:rsidRDefault="003921BE" w:rsidP="00CE074A">
    <w:pPr>
      <w:pStyle w:val="af2"/>
      <w:ind w:leftChars="0" w:left="0" w:firstLineChars="0" w:firstLine="0"/>
      <w:jc w:val="center"/>
    </w:pPr>
    <w:r>
      <w:rPr>
        <w:rFonts w:hint="eastAsia"/>
      </w:rPr>
      <w:t>77-</w:t>
    </w:r>
    <w:r w:rsidR="00CE0CAE" w:rsidRPr="004A4BC8">
      <w:fldChar w:fldCharType="begin"/>
    </w:r>
    <w:r w:rsidR="00CE0CAE" w:rsidRPr="004A4BC8">
      <w:instrText>PAGE   \* MERGEFORMAT</w:instrText>
    </w:r>
    <w:r w:rsidR="00CE0CAE" w:rsidRPr="004A4BC8">
      <w:fldChar w:fldCharType="separate"/>
    </w:r>
    <w:r w:rsidR="00E42BD0" w:rsidRPr="00E42BD0">
      <w:rPr>
        <w:noProof/>
        <w:lang w:val="zh-TW"/>
      </w:rPr>
      <w:t>3</w:t>
    </w:r>
    <w:r w:rsidR="00CE0CAE" w:rsidRPr="004A4BC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25F" w:rsidRDefault="00DC325F" w:rsidP="003E5CE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C325F" w:rsidRDefault="00DC325F" w:rsidP="003E5CEB">
      <w:pPr>
        <w:spacing w:line="240" w:lineRule="auto"/>
        <w:ind w:left="560" w:firstLine="560"/>
      </w:pPr>
      <w:r>
        <w:continuationSeparator/>
      </w:r>
    </w:p>
  </w:footnote>
  <w:footnote w:id="1">
    <w:p w:rsidR="00FC0E94" w:rsidRPr="00885193" w:rsidRDefault="00FC0E94" w:rsidP="00D13C9D">
      <w:pPr>
        <w:pStyle w:val="142"/>
        <w:ind w:left="180" w:hangingChars="74" w:hanging="180"/>
        <w:jc w:val="both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885193">
        <w:rPr>
          <w:rFonts w:hint="eastAsia"/>
        </w:rPr>
        <w:t>瑞玉</w:t>
      </w:r>
      <w:r>
        <w:rPr>
          <w:rFonts w:hint="eastAsia"/>
        </w:rPr>
        <w:t>智慧細胞公司</w:t>
      </w:r>
      <w:r w:rsidRPr="00885193">
        <w:rPr>
          <w:rFonts w:hint="eastAsia"/>
        </w:rPr>
        <w:t>係於114年度新增投資</w:t>
      </w:r>
      <w:r>
        <w:rPr>
          <w:rFonts w:hint="eastAsia"/>
        </w:rPr>
        <w:t>，爰不列入113年底轉投資公司。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C93"/>
    <w:multiLevelType w:val="hybridMultilevel"/>
    <w:tmpl w:val="D5C6CD08"/>
    <w:lvl w:ilvl="0" w:tplc="1D7A28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BD6521C"/>
    <w:multiLevelType w:val="hybridMultilevel"/>
    <w:tmpl w:val="47F4C7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1FD0BA5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DF6DFC"/>
    <w:multiLevelType w:val="hybridMultilevel"/>
    <w:tmpl w:val="7D98C9CC"/>
    <w:lvl w:ilvl="0" w:tplc="70BC5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0F1E1A64"/>
    <w:multiLevelType w:val="hybridMultilevel"/>
    <w:tmpl w:val="1130C68C"/>
    <w:lvl w:ilvl="0" w:tplc="46EA0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0485BC5"/>
    <w:multiLevelType w:val="hybridMultilevel"/>
    <w:tmpl w:val="34421E8C"/>
    <w:lvl w:ilvl="0" w:tplc="D3A2A5AC">
      <w:start w:val="1"/>
      <w:numFmt w:val="decimal"/>
      <w:lvlText w:val="%1."/>
      <w:lvlJc w:val="left"/>
      <w:pPr>
        <w:tabs>
          <w:tab w:val="num" w:pos="838"/>
        </w:tabs>
        <w:ind w:left="838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38"/>
        </w:tabs>
        <w:ind w:left="143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5" w15:restartNumberingAfterBreak="0">
    <w:nsid w:val="106F37DC"/>
    <w:multiLevelType w:val="hybridMultilevel"/>
    <w:tmpl w:val="30E2CAA2"/>
    <w:lvl w:ilvl="0" w:tplc="E35AA8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585C8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3B82FB7"/>
    <w:multiLevelType w:val="hybridMultilevel"/>
    <w:tmpl w:val="60309118"/>
    <w:lvl w:ilvl="0" w:tplc="9B964A92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51B5C15"/>
    <w:multiLevelType w:val="hybridMultilevel"/>
    <w:tmpl w:val="9C227456"/>
    <w:lvl w:ilvl="0" w:tplc="4E5CA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0BC50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A63E4B4C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6A601A4"/>
    <w:multiLevelType w:val="hybridMultilevel"/>
    <w:tmpl w:val="2A64BEF0"/>
    <w:lvl w:ilvl="0" w:tplc="AF4EB04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18C73297"/>
    <w:multiLevelType w:val="hybridMultilevel"/>
    <w:tmpl w:val="F1A4AFCC"/>
    <w:lvl w:ilvl="0" w:tplc="70BC5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27A87F8D"/>
    <w:multiLevelType w:val="hybridMultilevel"/>
    <w:tmpl w:val="B9B2961C"/>
    <w:lvl w:ilvl="0" w:tplc="02E09F4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661740E"/>
    <w:multiLevelType w:val="hybridMultilevel"/>
    <w:tmpl w:val="CC6A989A"/>
    <w:lvl w:ilvl="0" w:tplc="D57470D2">
      <w:start w:val="2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B864D32"/>
    <w:multiLevelType w:val="hybridMultilevel"/>
    <w:tmpl w:val="61E05C08"/>
    <w:lvl w:ilvl="0" w:tplc="AB1A88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DC6C3F"/>
    <w:multiLevelType w:val="hybridMultilevel"/>
    <w:tmpl w:val="E7706534"/>
    <w:lvl w:ilvl="0" w:tplc="AB1A88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B24508"/>
    <w:multiLevelType w:val="hybridMultilevel"/>
    <w:tmpl w:val="C8921F74"/>
    <w:lvl w:ilvl="0" w:tplc="3A2E750C">
      <w:start w:val="4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88604F4"/>
    <w:multiLevelType w:val="hybridMultilevel"/>
    <w:tmpl w:val="1842EABA"/>
    <w:lvl w:ilvl="0" w:tplc="5888DE00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9C850B8"/>
    <w:multiLevelType w:val="hybridMultilevel"/>
    <w:tmpl w:val="1A4897C8"/>
    <w:lvl w:ilvl="0" w:tplc="CF687C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EDB5FF2"/>
    <w:multiLevelType w:val="hybridMultilevel"/>
    <w:tmpl w:val="ACB89C98"/>
    <w:lvl w:ilvl="0" w:tplc="E3EA122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3DE38C2"/>
    <w:multiLevelType w:val="hybridMultilevel"/>
    <w:tmpl w:val="E5847E24"/>
    <w:lvl w:ilvl="0" w:tplc="423A1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970725F"/>
    <w:multiLevelType w:val="hybridMultilevel"/>
    <w:tmpl w:val="EB80148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05618D4"/>
    <w:multiLevelType w:val="hybridMultilevel"/>
    <w:tmpl w:val="7F8C7D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0725176"/>
    <w:multiLevelType w:val="hybridMultilevel"/>
    <w:tmpl w:val="66A093BA"/>
    <w:lvl w:ilvl="0" w:tplc="7A245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60CC48FB"/>
    <w:multiLevelType w:val="hybridMultilevel"/>
    <w:tmpl w:val="317CF2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2D56CA"/>
    <w:multiLevelType w:val="hybridMultilevel"/>
    <w:tmpl w:val="7E1EBA4A"/>
    <w:lvl w:ilvl="0" w:tplc="017404B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DC5745F"/>
    <w:multiLevelType w:val="hybridMultilevel"/>
    <w:tmpl w:val="94D665AC"/>
    <w:lvl w:ilvl="0" w:tplc="A01E05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76347CBB"/>
    <w:multiLevelType w:val="hybridMultilevel"/>
    <w:tmpl w:val="9E36E3C8"/>
    <w:lvl w:ilvl="0" w:tplc="06844878">
      <w:start w:val="1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華康細明體外字集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D9C18D0"/>
    <w:multiLevelType w:val="hybridMultilevel"/>
    <w:tmpl w:val="12E059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ECA63E6"/>
    <w:multiLevelType w:val="hybridMultilevel"/>
    <w:tmpl w:val="59F68FAC"/>
    <w:lvl w:ilvl="0" w:tplc="328C7B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27"/>
  </w:num>
  <w:num w:numId="4">
    <w:abstractNumId w:val="25"/>
  </w:num>
  <w:num w:numId="5">
    <w:abstractNumId w:val="11"/>
  </w:num>
  <w:num w:numId="6">
    <w:abstractNumId w:val="14"/>
  </w:num>
  <w:num w:numId="7">
    <w:abstractNumId w:val="5"/>
  </w:num>
  <w:num w:numId="8">
    <w:abstractNumId w:val="4"/>
  </w:num>
  <w:num w:numId="9">
    <w:abstractNumId w:val="17"/>
  </w:num>
  <w:num w:numId="10">
    <w:abstractNumId w:val="23"/>
  </w:num>
  <w:num w:numId="11">
    <w:abstractNumId w:val="6"/>
  </w:num>
  <w:num w:numId="12">
    <w:abstractNumId w:val="18"/>
  </w:num>
  <w:num w:numId="13">
    <w:abstractNumId w:val="19"/>
  </w:num>
  <w:num w:numId="14">
    <w:abstractNumId w:val="26"/>
  </w:num>
  <w:num w:numId="15">
    <w:abstractNumId w:val="20"/>
  </w:num>
  <w:num w:numId="16">
    <w:abstractNumId w:val="1"/>
  </w:num>
  <w:num w:numId="17">
    <w:abstractNumId w:val="0"/>
  </w:num>
  <w:num w:numId="18">
    <w:abstractNumId w:val="24"/>
  </w:num>
  <w:num w:numId="19">
    <w:abstractNumId w:val="9"/>
  </w:num>
  <w:num w:numId="20">
    <w:abstractNumId w:val="2"/>
  </w:num>
  <w:num w:numId="21">
    <w:abstractNumId w:val="21"/>
  </w:num>
  <w:num w:numId="22">
    <w:abstractNumId w:val="3"/>
  </w:num>
  <w:num w:numId="23">
    <w:abstractNumId w:val="7"/>
  </w:num>
  <w:num w:numId="24">
    <w:abstractNumId w:val="8"/>
  </w:num>
  <w:num w:numId="25">
    <w:abstractNumId w:val="22"/>
  </w:num>
  <w:num w:numId="26">
    <w:abstractNumId w:val="13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3DFE"/>
    <w:rsid w:val="00000951"/>
    <w:rsid w:val="000011C5"/>
    <w:rsid w:val="000052EA"/>
    <w:rsid w:val="00006777"/>
    <w:rsid w:val="00010456"/>
    <w:rsid w:val="00015B6A"/>
    <w:rsid w:val="00015E94"/>
    <w:rsid w:val="00020B5E"/>
    <w:rsid w:val="00021C5A"/>
    <w:rsid w:val="00022798"/>
    <w:rsid w:val="000245D1"/>
    <w:rsid w:val="00030640"/>
    <w:rsid w:val="000328D7"/>
    <w:rsid w:val="0003530F"/>
    <w:rsid w:val="00043119"/>
    <w:rsid w:val="00043A0D"/>
    <w:rsid w:val="000445FB"/>
    <w:rsid w:val="000469C2"/>
    <w:rsid w:val="0005201E"/>
    <w:rsid w:val="00054D7A"/>
    <w:rsid w:val="0006128A"/>
    <w:rsid w:val="00063A98"/>
    <w:rsid w:val="00063CB5"/>
    <w:rsid w:val="00067578"/>
    <w:rsid w:val="000735B6"/>
    <w:rsid w:val="00082416"/>
    <w:rsid w:val="000905DA"/>
    <w:rsid w:val="000922D3"/>
    <w:rsid w:val="000A4B60"/>
    <w:rsid w:val="000A4FF5"/>
    <w:rsid w:val="000A5A17"/>
    <w:rsid w:val="000B0F56"/>
    <w:rsid w:val="000B24A6"/>
    <w:rsid w:val="000B3553"/>
    <w:rsid w:val="000B70A2"/>
    <w:rsid w:val="000C20DE"/>
    <w:rsid w:val="000C433D"/>
    <w:rsid w:val="000C52FA"/>
    <w:rsid w:val="000C7558"/>
    <w:rsid w:val="000D33DB"/>
    <w:rsid w:val="000D3FDC"/>
    <w:rsid w:val="000D4E91"/>
    <w:rsid w:val="000D5793"/>
    <w:rsid w:val="000E010A"/>
    <w:rsid w:val="000E2FB3"/>
    <w:rsid w:val="000E406C"/>
    <w:rsid w:val="000E617A"/>
    <w:rsid w:val="000F68DE"/>
    <w:rsid w:val="000F7234"/>
    <w:rsid w:val="000F7DFD"/>
    <w:rsid w:val="00103E69"/>
    <w:rsid w:val="00104C90"/>
    <w:rsid w:val="00107530"/>
    <w:rsid w:val="00110063"/>
    <w:rsid w:val="0011218D"/>
    <w:rsid w:val="00115894"/>
    <w:rsid w:val="00120591"/>
    <w:rsid w:val="00121166"/>
    <w:rsid w:val="00123D27"/>
    <w:rsid w:val="00126C0C"/>
    <w:rsid w:val="00154EB0"/>
    <w:rsid w:val="00156D61"/>
    <w:rsid w:val="001640F2"/>
    <w:rsid w:val="00166F88"/>
    <w:rsid w:val="00181FAA"/>
    <w:rsid w:val="00182629"/>
    <w:rsid w:val="00182F42"/>
    <w:rsid w:val="00183538"/>
    <w:rsid w:val="00183585"/>
    <w:rsid w:val="00190B7E"/>
    <w:rsid w:val="00192B0C"/>
    <w:rsid w:val="001B0BF7"/>
    <w:rsid w:val="001B5862"/>
    <w:rsid w:val="001C19BC"/>
    <w:rsid w:val="001C1B4D"/>
    <w:rsid w:val="001C26A0"/>
    <w:rsid w:val="001D471C"/>
    <w:rsid w:val="001D5EE7"/>
    <w:rsid w:val="001D7FE1"/>
    <w:rsid w:val="001E429A"/>
    <w:rsid w:val="001E6E29"/>
    <w:rsid w:val="001E7BED"/>
    <w:rsid w:val="001F48AF"/>
    <w:rsid w:val="0020160B"/>
    <w:rsid w:val="002018AE"/>
    <w:rsid w:val="00203B4A"/>
    <w:rsid w:val="002052E2"/>
    <w:rsid w:val="00207A8B"/>
    <w:rsid w:val="002154D9"/>
    <w:rsid w:val="00216094"/>
    <w:rsid w:val="00222143"/>
    <w:rsid w:val="00223B28"/>
    <w:rsid w:val="00230491"/>
    <w:rsid w:val="00234FFE"/>
    <w:rsid w:val="00237C8B"/>
    <w:rsid w:val="002435A6"/>
    <w:rsid w:val="002436F0"/>
    <w:rsid w:val="00252A7C"/>
    <w:rsid w:val="002533E9"/>
    <w:rsid w:val="0025477E"/>
    <w:rsid w:val="00254D16"/>
    <w:rsid w:val="002626D6"/>
    <w:rsid w:val="00264708"/>
    <w:rsid w:val="002701CB"/>
    <w:rsid w:val="00270DE1"/>
    <w:rsid w:val="00270ECB"/>
    <w:rsid w:val="0027782C"/>
    <w:rsid w:val="00277D55"/>
    <w:rsid w:val="00280CB2"/>
    <w:rsid w:val="00281FCB"/>
    <w:rsid w:val="0028449B"/>
    <w:rsid w:val="00284AE6"/>
    <w:rsid w:val="0028700A"/>
    <w:rsid w:val="002A01EC"/>
    <w:rsid w:val="002A5E2B"/>
    <w:rsid w:val="002B27D5"/>
    <w:rsid w:val="002B3B64"/>
    <w:rsid w:val="002B7ACB"/>
    <w:rsid w:val="002C5BFC"/>
    <w:rsid w:val="002C5C86"/>
    <w:rsid w:val="002C6587"/>
    <w:rsid w:val="002D7B0D"/>
    <w:rsid w:val="002D7D6A"/>
    <w:rsid w:val="002E3CE1"/>
    <w:rsid w:val="002E62EE"/>
    <w:rsid w:val="002E646F"/>
    <w:rsid w:val="002F05BD"/>
    <w:rsid w:val="002F1546"/>
    <w:rsid w:val="00303D34"/>
    <w:rsid w:val="003067FD"/>
    <w:rsid w:val="00307A9F"/>
    <w:rsid w:val="00311321"/>
    <w:rsid w:val="00311BBB"/>
    <w:rsid w:val="00316748"/>
    <w:rsid w:val="003220BF"/>
    <w:rsid w:val="00324A60"/>
    <w:rsid w:val="003260EF"/>
    <w:rsid w:val="00327865"/>
    <w:rsid w:val="0033302B"/>
    <w:rsid w:val="00345AB1"/>
    <w:rsid w:val="003479A9"/>
    <w:rsid w:val="003503F1"/>
    <w:rsid w:val="00361805"/>
    <w:rsid w:val="00362F7E"/>
    <w:rsid w:val="00375351"/>
    <w:rsid w:val="0037660A"/>
    <w:rsid w:val="00376BE5"/>
    <w:rsid w:val="00377BF9"/>
    <w:rsid w:val="00380DAA"/>
    <w:rsid w:val="00381EFE"/>
    <w:rsid w:val="00383DFE"/>
    <w:rsid w:val="003844FB"/>
    <w:rsid w:val="003921BE"/>
    <w:rsid w:val="00393F9A"/>
    <w:rsid w:val="003A037E"/>
    <w:rsid w:val="003A056D"/>
    <w:rsid w:val="003A0CCC"/>
    <w:rsid w:val="003B19E7"/>
    <w:rsid w:val="003B6AE3"/>
    <w:rsid w:val="003B6F2F"/>
    <w:rsid w:val="003C57B2"/>
    <w:rsid w:val="003D3CC4"/>
    <w:rsid w:val="003D565A"/>
    <w:rsid w:val="003D741C"/>
    <w:rsid w:val="003E101A"/>
    <w:rsid w:val="003E16F4"/>
    <w:rsid w:val="003E42B8"/>
    <w:rsid w:val="003E4EC1"/>
    <w:rsid w:val="003E5CEB"/>
    <w:rsid w:val="003E5F90"/>
    <w:rsid w:val="003F4FCD"/>
    <w:rsid w:val="003F7A4E"/>
    <w:rsid w:val="00402B4F"/>
    <w:rsid w:val="0041001B"/>
    <w:rsid w:val="00413FF2"/>
    <w:rsid w:val="00416886"/>
    <w:rsid w:val="004214BE"/>
    <w:rsid w:val="00423045"/>
    <w:rsid w:val="00431FE6"/>
    <w:rsid w:val="00441ADA"/>
    <w:rsid w:val="00445A66"/>
    <w:rsid w:val="00447F16"/>
    <w:rsid w:val="00451C98"/>
    <w:rsid w:val="00453E87"/>
    <w:rsid w:val="00460624"/>
    <w:rsid w:val="00461F50"/>
    <w:rsid w:val="004728EE"/>
    <w:rsid w:val="004753DF"/>
    <w:rsid w:val="0048071B"/>
    <w:rsid w:val="00485931"/>
    <w:rsid w:val="00487F4A"/>
    <w:rsid w:val="00492294"/>
    <w:rsid w:val="00492CC0"/>
    <w:rsid w:val="004955FD"/>
    <w:rsid w:val="00495B8C"/>
    <w:rsid w:val="004962C8"/>
    <w:rsid w:val="004A4BC8"/>
    <w:rsid w:val="004B24B2"/>
    <w:rsid w:val="004B6D74"/>
    <w:rsid w:val="004B719C"/>
    <w:rsid w:val="004D5C7B"/>
    <w:rsid w:val="004D7862"/>
    <w:rsid w:val="004E59B7"/>
    <w:rsid w:val="004E66D6"/>
    <w:rsid w:val="004F2916"/>
    <w:rsid w:val="004F3299"/>
    <w:rsid w:val="004F3751"/>
    <w:rsid w:val="004F4EEE"/>
    <w:rsid w:val="004F567E"/>
    <w:rsid w:val="005006A5"/>
    <w:rsid w:val="00500CB4"/>
    <w:rsid w:val="00500F81"/>
    <w:rsid w:val="00504C05"/>
    <w:rsid w:val="00513161"/>
    <w:rsid w:val="00513881"/>
    <w:rsid w:val="0052277E"/>
    <w:rsid w:val="005227BE"/>
    <w:rsid w:val="00522DA1"/>
    <w:rsid w:val="00523C6C"/>
    <w:rsid w:val="00541342"/>
    <w:rsid w:val="00542268"/>
    <w:rsid w:val="00546714"/>
    <w:rsid w:val="00546896"/>
    <w:rsid w:val="00547758"/>
    <w:rsid w:val="00547B91"/>
    <w:rsid w:val="005533F9"/>
    <w:rsid w:val="00553495"/>
    <w:rsid w:val="0056562F"/>
    <w:rsid w:val="005704E2"/>
    <w:rsid w:val="005725B5"/>
    <w:rsid w:val="00576121"/>
    <w:rsid w:val="00582A8E"/>
    <w:rsid w:val="00583972"/>
    <w:rsid w:val="00583E9F"/>
    <w:rsid w:val="005845BC"/>
    <w:rsid w:val="005950F3"/>
    <w:rsid w:val="00595545"/>
    <w:rsid w:val="005A3666"/>
    <w:rsid w:val="005A60AE"/>
    <w:rsid w:val="005B0B8F"/>
    <w:rsid w:val="005B2AA5"/>
    <w:rsid w:val="005C1CCC"/>
    <w:rsid w:val="005D6054"/>
    <w:rsid w:val="005E067B"/>
    <w:rsid w:val="005E2578"/>
    <w:rsid w:val="005F443A"/>
    <w:rsid w:val="00600B00"/>
    <w:rsid w:val="0060615F"/>
    <w:rsid w:val="00607FCB"/>
    <w:rsid w:val="006106BD"/>
    <w:rsid w:val="006110B5"/>
    <w:rsid w:val="00616CC8"/>
    <w:rsid w:val="00630C02"/>
    <w:rsid w:val="00635DBD"/>
    <w:rsid w:val="00643AC5"/>
    <w:rsid w:val="00647419"/>
    <w:rsid w:val="00651432"/>
    <w:rsid w:val="0065238D"/>
    <w:rsid w:val="00657921"/>
    <w:rsid w:val="00661F93"/>
    <w:rsid w:val="00661FD4"/>
    <w:rsid w:val="006629DE"/>
    <w:rsid w:val="00674BD3"/>
    <w:rsid w:val="00680523"/>
    <w:rsid w:val="00681B3D"/>
    <w:rsid w:val="006953DF"/>
    <w:rsid w:val="00696B3F"/>
    <w:rsid w:val="006A28FB"/>
    <w:rsid w:val="006A3566"/>
    <w:rsid w:val="006A36F3"/>
    <w:rsid w:val="006A491E"/>
    <w:rsid w:val="006A7E13"/>
    <w:rsid w:val="006B07ED"/>
    <w:rsid w:val="006C0D62"/>
    <w:rsid w:val="006C3F4A"/>
    <w:rsid w:val="006D5488"/>
    <w:rsid w:val="006D5F45"/>
    <w:rsid w:val="006E0A04"/>
    <w:rsid w:val="006E34DB"/>
    <w:rsid w:val="006E468D"/>
    <w:rsid w:val="006E4C14"/>
    <w:rsid w:val="006E4EEF"/>
    <w:rsid w:val="006E7FEC"/>
    <w:rsid w:val="006F177A"/>
    <w:rsid w:val="006F503B"/>
    <w:rsid w:val="007015A1"/>
    <w:rsid w:val="00713D92"/>
    <w:rsid w:val="0072487B"/>
    <w:rsid w:val="00730C35"/>
    <w:rsid w:val="007365BC"/>
    <w:rsid w:val="00744408"/>
    <w:rsid w:val="0075053D"/>
    <w:rsid w:val="007544C2"/>
    <w:rsid w:val="007613A3"/>
    <w:rsid w:val="00761C14"/>
    <w:rsid w:val="00764DBF"/>
    <w:rsid w:val="00772E55"/>
    <w:rsid w:val="00773285"/>
    <w:rsid w:val="007861BA"/>
    <w:rsid w:val="00787496"/>
    <w:rsid w:val="00787E6A"/>
    <w:rsid w:val="00791A5F"/>
    <w:rsid w:val="00793861"/>
    <w:rsid w:val="00795344"/>
    <w:rsid w:val="007956F2"/>
    <w:rsid w:val="007A3DDC"/>
    <w:rsid w:val="007A4C0A"/>
    <w:rsid w:val="007A522A"/>
    <w:rsid w:val="007A6259"/>
    <w:rsid w:val="007B08A6"/>
    <w:rsid w:val="007D0C27"/>
    <w:rsid w:val="007D30BD"/>
    <w:rsid w:val="007D3A89"/>
    <w:rsid w:val="007D6301"/>
    <w:rsid w:val="007D65E4"/>
    <w:rsid w:val="007E3826"/>
    <w:rsid w:val="007E7895"/>
    <w:rsid w:val="007F4207"/>
    <w:rsid w:val="007F7820"/>
    <w:rsid w:val="00804C3B"/>
    <w:rsid w:val="008061A2"/>
    <w:rsid w:val="00811FAF"/>
    <w:rsid w:val="00812BD5"/>
    <w:rsid w:val="0081631E"/>
    <w:rsid w:val="008208C9"/>
    <w:rsid w:val="0082240D"/>
    <w:rsid w:val="00825D8B"/>
    <w:rsid w:val="00831B50"/>
    <w:rsid w:val="00832EB6"/>
    <w:rsid w:val="00833E50"/>
    <w:rsid w:val="00835536"/>
    <w:rsid w:val="00836818"/>
    <w:rsid w:val="00836A05"/>
    <w:rsid w:val="00840978"/>
    <w:rsid w:val="00840A8B"/>
    <w:rsid w:val="00851A0F"/>
    <w:rsid w:val="00855202"/>
    <w:rsid w:val="0086079B"/>
    <w:rsid w:val="00860FF1"/>
    <w:rsid w:val="008623B7"/>
    <w:rsid w:val="008631D9"/>
    <w:rsid w:val="008639F9"/>
    <w:rsid w:val="0086595E"/>
    <w:rsid w:val="008706E1"/>
    <w:rsid w:val="008735D5"/>
    <w:rsid w:val="00877597"/>
    <w:rsid w:val="00880768"/>
    <w:rsid w:val="0088284A"/>
    <w:rsid w:val="00882B23"/>
    <w:rsid w:val="00883B43"/>
    <w:rsid w:val="00884D2A"/>
    <w:rsid w:val="00885193"/>
    <w:rsid w:val="00885420"/>
    <w:rsid w:val="00890C3C"/>
    <w:rsid w:val="00891113"/>
    <w:rsid w:val="00892502"/>
    <w:rsid w:val="00892585"/>
    <w:rsid w:val="008953FA"/>
    <w:rsid w:val="008B0A80"/>
    <w:rsid w:val="008B360B"/>
    <w:rsid w:val="008B3D41"/>
    <w:rsid w:val="008B5CE9"/>
    <w:rsid w:val="008C18AC"/>
    <w:rsid w:val="008D5D02"/>
    <w:rsid w:val="008E1029"/>
    <w:rsid w:val="008E228C"/>
    <w:rsid w:val="008E4E3C"/>
    <w:rsid w:val="008E7D11"/>
    <w:rsid w:val="008E7E38"/>
    <w:rsid w:val="008F170C"/>
    <w:rsid w:val="008F4741"/>
    <w:rsid w:val="009023AC"/>
    <w:rsid w:val="0090428E"/>
    <w:rsid w:val="0091240D"/>
    <w:rsid w:val="00914AB7"/>
    <w:rsid w:val="0092697F"/>
    <w:rsid w:val="00930723"/>
    <w:rsid w:val="00935B59"/>
    <w:rsid w:val="0095348C"/>
    <w:rsid w:val="00954567"/>
    <w:rsid w:val="00974B5F"/>
    <w:rsid w:val="009816C6"/>
    <w:rsid w:val="00982B48"/>
    <w:rsid w:val="0098580E"/>
    <w:rsid w:val="00987265"/>
    <w:rsid w:val="009905AD"/>
    <w:rsid w:val="009A1EFB"/>
    <w:rsid w:val="009A31DE"/>
    <w:rsid w:val="009A76C3"/>
    <w:rsid w:val="009B012B"/>
    <w:rsid w:val="009B54B1"/>
    <w:rsid w:val="009B7803"/>
    <w:rsid w:val="009C1F74"/>
    <w:rsid w:val="009D52E7"/>
    <w:rsid w:val="009D579A"/>
    <w:rsid w:val="009D5EE4"/>
    <w:rsid w:val="009D6188"/>
    <w:rsid w:val="009E24D3"/>
    <w:rsid w:val="009E50A5"/>
    <w:rsid w:val="009E7396"/>
    <w:rsid w:val="009F06B2"/>
    <w:rsid w:val="009F08D8"/>
    <w:rsid w:val="009F1604"/>
    <w:rsid w:val="009F1B54"/>
    <w:rsid w:val="009F2BF8"/>
    <w:rsid w:val="009F4053"/>
    <w:rsid w:val="009F442D"/>
    <w:rsid w:val="009F588B"/>
    <w:rsid w:val="00A02040"/>
    <w:rsid w:val="00A02145"/>
    <w:rsid w:val="00A03146"/>
    <w:rsid w:val="00A110D1"/>
    <w:rsid w:val="00A15E27"/>
    <w:rsid w:val="00A27676"/>
    <w:rsid w:val="00A44C11"/>
    <w:rsid w:val="00A529E1"/>
    <w:rsid w:val="00A53E24"/>
    <w:rsid w:val="00A57932"/>
    <w:rsid w:val="00A6523B"/>
    <w:rsid w:val="00A833DF"/>
    <w:rsid w:val="00A83F3E"/>
    <w:rsid w:val="00A9371A"/>
    <w:rsid w:val="00A95A9E"/>
    <w:rsid w:val="00A97370"/>
    <w:rsid w:val="00AA1E1E"/>
    <w:rsid w:val="00AA21C0"/>
    <w:rsid w:val="00AA6EAE"/>
    <w:rsid w:val="00AB5934"/>
    <w:rsid w:val="00AC3CB3"/>
    <w:rsid w:val="00AD25F3"/>
    <w:rsid w:val="00AD395C"/>
    <w:rsid w:val="00AD4AAC"/>
    <w:rsid w:val="00AE4FD6"/>
    <w:rsid w:val="00AE6796"/>
    <w:rsid w:val="00AF225C"/>
    <w:rsid w:val="00AF2556"/>
    <w:rsid w:val="00AF2C9A"/>
    <w:rsid w:val="00AF4377"/>
    <w:rsid w:val="00AF44CC"/>
    <w:rsid w:val="00B031A8"/>
    <w:rsid w:val="00B06F7D"/>
    <w:rsid w:val="00B128FC"/>
    <w:rsid w:val="00B13462"/>
    <w:rsid w:val="00B13B33"/>
    <w:rsid w:val="00B159F5"/>
    <w:rsid w:val="00B1681B"/>
    <w:rsid w:val="00B21DC7"/>
    <w:rsid w:val="00B2679D"/>
    <w:rsid w:val="00B3055B"/>
    <w:rsid w:val="00B33AD3"/>
    <w:rsid w:val="00B41C0D"/>
    <w:rsid w:val="00B42A14"/>
    <w:rsid w:val="00B45B90"/>
    <w:rsid w:val="00B50DCB"/>
    <w:rsid w:val="00B524F7"/>
    <w:rsid w:val="00B55B1C"/>
    <w:rsid w:val="00B641BC"/>
    <w:rsid w:val="00B66591"/>
    <w:rsid w:val="00B72FDB"/>
    <w:rsid w:val="00B735F9"/>
    <w:rsid w:val="00B91054"/>
    <w:rsid w:val="00B92682"/>
    <w:rsid w:val="00BA29A1"/>
    <w:rsid w:val="00BA4F21"/>
    <w:rsid w:val="00BB689E"/>
    <w:rsid w:val="00BB7A02"/>
    <w:rsid w:val="00BC1F35"/>
    <w:rsid w:val="00BC6D2D"/>
    <w:rsid w:val="00BD4217"/>
    <w:rsid w:val="00BD5A8E"/>
    <w:rsid w:val="00BD7CCD"/>
    <w:rsid w:val="00BE130D"/>
    <w:rsid w:val="00BF3B9C"/>
    <w:rsid w:val="00BF69D2"/>
    <w:rsid w:val="00C000FB"/>
    <w:rsid w:val="00C0034A"/>
    <w:rsid w:val="00C22F06"/>
    <w:rsid w:val="00C26320"/>
    <w:rsid w:val="00C32EBA"/>
    <w:rsid w:val="00C33DD6"/>
    <w:rsid w:val="00C35964"/>
    <w:rsid w:val="00C370E1"/>
    <w:rsid w:val="00C40C6F"/>
    <w:rsid w:val="00C440B2"/>
    <w:rsid w:val="00C462F0"/>
    <w:rsid w:val="00C47ABA"/>
    <w:rsid w:val="00C553A7"/>
    <w:rsid w:val="00C62BDB"/>
    <w:rsid w:val="00C63E62"/>
    <w:rsid w:val="00C76EA0"/>
    <w:rsid w:val="00C82D2B"/>
    <w:rsid w:val="00C909F2"/>
    <w:rsid w:val="00CA472A"/>
    <w:rsid w:val="00CB22DF"/>
    <w:rsid w:val="00CB3C37"/>
    <w:rsid w:val="00CC312F"/>
    <w:rsid w:val="00CD47D4"/>
    <w:rsid w:val="00CE0743"/>
    <w:rsid w:val="00CE074A"/>
    <w:rsid w:val="00CE0CAE"/>
    <w:rsid w:val="00CF2654"/>
    <w:rsid w:val="00CF6088"/>
    <w:rsid w:val="00D02E2D"/>
    <w:rsid w:val="00D0328A"/>
    <w:rsid w:val="00D05ADA"/>
    <w:rsid w:val="00D0782E"/>
    <w:rsid w:val="00D13C9D"/>
    <w:rsid w:val="00D1704D"/>
    <w:rsid w:val="00D32177"/>
    <w:rsid w:val="00D33D0F"/>
    <w:rsid w:val="00D33DEE"/>
    <w:rsid w:val="00D3789F"/>
    <w:rsid w:val="00D45513"/>
    <w:rsid w:val="00D47DCD"/>
    <w:rsid w:val="00D51E10"/>
    <w:rsid w:val="00D53A9E"/>
    <w:rsid w:val="00D57F79"/>
    <w:rsid w:val="00D63A69"/>
    <w:rsid w:val="00D65825"/>
    <w:rsid w:val="00D717A9"/>
    <w:rsid w:val="00D722D6"/>
    <w:rsid w:val="00D72DE8"/>
    <w:rsid w:val="00D73044"/>
    <w:rsid w:val="00D762DB"/>
    <w:rsid w:val="00D77DFC"/>
    <w:rsid w:val="00D84D9F"/>
    <w:rsid w:val="00D91314"/>
    <w:rsid w:val="00D91A78"/>
    <w:rsid w:val="00D9231E"/>
    <w:rsid w:val="00DA2487"/>
    <w:rsid w:val="00DA42DA"/>
    <w:rsid w:val="00DA6DE4"/>
    <w:rsid w:val="00DB0575"/>
    <w:rsid w:val="00DB1216"/>
    <w:rsid w:val="00DB5FF3"/>
    <w:rsid w:val="00DC08BD"/>
    <w:rsid w:val="00DC325F"/>
    <w:rsid w:val="00DC36AC"/>
    <w:rsid w:val="00DC7149"/>
    <w:rsid w:val="00DD13DC"/>
    <w:rsid w:val="00DD2CE6"/>
    <w:rsid w:val="00DE0E4E"/>
    <w:rsid w:val="00DE58E3"/>
    <w:rsid w:val="00DF21BC"/>
    <w:rsid w:val="00DF56F1"/>
    <w:rsid w:val="00DF7A17"/>
    <w:rsid w:val="00E00774"/>
    <w:rsid w:val="00E007C1"/>
    <w:rsid w:val="00E041F1"/>
    <w:rsid w:val="00E0518B"/>
    <w:rsid w:val="00E07FB9"/>
    <w:rsid w:val="00E10723"/>
    <w:rsid w:val="00E1394B"/>
    <w:rsid w:val="00E242EF"/>
    <w:rsid w:val="00E25809"/>
    <w:rsid w:val="00E27BC4"/>
    <w:rsid w:val="00E30AA9"/>
    <w:rsid w:val="00E31F99"/>
    <w:rsid w:val="00E37695"/>
    <w:rsid w:val="00E37FA6"/>
    <w:rsid w:val="00E41DE7"/>
    <w:rsid w:val="00E421A3"/>
    <w:rsid w:val="00E42BD0"/>
    <w:rsid w:val="00E43E43"/>
    <w:rsid w:val="00E51255"/>
    <w:rsid w:val="00E551AD"/>
    <w:rsid w:val="00E56241"/>
    <w:rsid w:val="00E6306A"/>
    <w:rsid w:val="00E63263"/>
    <w:rsid w:val="00E639E6"/>
    <w:rsid w:val="00E73930"/>
    <w:rsid w:val="00E75C72"/>
    <w:rsid w:val="00E8286C"/>
    <w:rsid w:val="00E86EF3"/>
    <w:rsid w:val="00E87800"/>
    <w:rsid w:val="00E93130"/>
    <w:rsid w:val="00E94730"/>
    <w:rsid w:val="00E94A0A"/>
    <w:rsid w:val="00EB13B8"/>
    <w:rsid w:val="00EC0F2A"/>
    <w:rsid w:val="00EC7CCB"/>
    <w:rsid w:val="00ED3D95"/>
    <w:rsid w:val="00ED69B9"/>
    <w:rsid w:val="00ED7C10"/>
    <w:rsid w:val="00EE053D"/>
    <w:rsid w:val="00EE5788"/>
    <w:rsid w:val="00EE5D48"/>
    <w:rsid w:val="00EE7F73"/>
    <w:rsid w:val="00EF3A93"/>
    <w:rsid w:val="00F036BD"/>
    <w:rsid w:val="00F03708"/>
    <w:rsid w:val="00F1010E"/>
    <w:rsid w:val="00F1013F"/>
    <w:rsid w:val="00F13A43"/>
    <w:rsid w:val="00F23847"/>
    <w:rsid w:val="00F263B4"/>
    <w:rsid w:val="00F43351"/>
    <w:rsid w:val="00F4457D"/>
    <w:rsid w:val="00F53FD8"/>
    <w:rsid w:val="00F60DE4"/>
    <w:rsid w:val="00F62777"/>
    <w:rsid w:val="00F63E57"/>
    <w:rsid w:val="00F65DC9"/>
    <w:rsid w:val="00F7170E"/>
    <w:rsid w:val="00F7798C"/>
    <w:rsid w:val="00F812B9"/>
    <w:rsid w:val="00F86014"/>
    <w:rsid w:val="00F87B1F"/>
    <w:rsid w:val="00F922F1"/>
    <w:rsid w:val="00F96FF8"/>
    <w:rsid w:val="00FA075E"/>
    <w:rsid w:val="00FA46EF"/>
    <w:rsid w:val="00FA7695"/>
    <w:rsid w:val="00FA76A6"/>
    <w:rsid w:val="00FB09C1"/>
    <w:rsid w:val="00FC0E94"/>
    <w:rsid w:val="00FC1C41"/>
    <w:rsid w:val="00FC515F"/>
    <w:rsid w:val="00FC7EF8"/>
    <w:rsid w:val="00FD1D74"/>
    <w:rsid w:val="00FD5972"/>
    <w:rsid w:val="00FE3857"/>
    <w:rsid w:val="00FF0846"/>
    <w:rsid w:val="00FF45B0"/>
    <w:rsid w:val="00FF554D"/>
    <w:rsid w:val="00FF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96344F-99A1-47E8-9B31-86D651D5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33E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83DFE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f0">
    <w:name w:val="header"/>
    <w:basedOn w:val="a"/>
    <w:link w:val="af1"/>
    <w:uiPriority w:val="99"/>
    <w:unhideWhenUsed/>
    <w:rsid w:val="00B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546896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3921BE"/>
    <w:pPr>
      <w:tabs>
        <w:tab w:val="right" w:leader="hyphen" w:pos="8490"/>
      </w:tabs>
      <w:ind w:leftChars="0" w:left="487" w:rightChars="200" w:right="567" w:hangingChars="200" w:hanging="487"/>
    </w:pPr>
    <w:rPr>
      <w:sz w:val="24"/>
    </w:rPr>
  </w:style>
  <w:style w:type="character" w:customStyle="1" w:styleId="af1">
    <w:name w:val="頁首 字元"/>
    <w:link w:val="af0"/>
    <w:uiPriority w:val="99"/>
    <w:rsid w:val="00BC6D2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B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BC6D2D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rsid w:val="00383DFE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4">
    <w:name w:val=" 字元 字元 字元"/>
    <w:basedOn w:val="a"/>
    <w:semiHidden/>
    <w:rsid w:val="00383DF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383DFE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383DF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383DFE"/>
    <w:rPr>
      <w:rFonts w:ascii="標楷體" w:eastAsia="標楷體"/>
      <w:b/>
      <w:snapToGrid w:val="0"/>
      <w:kern w:val="2"/>
      <w:sz w:val="28"/>
    </w:rPr>
  </w:style>
  <w:style w:type="character" w:customStyle="1" w:styleId="ae">
    <w:name w:val="姓名及分機 字元"/>
    <w:link w:val="ad"/>
    <w:rsid w:val="00383DF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383DFE"/>
    <w:rPr>
      <w:rFonts w:ascii="標楷體" w:eastAsia="標楷體"/>
      <w:snapToGrid w:val="0"/>
      <w:kern w:val="2"/>
      <w:sz w:val="24"/>
      <w:szCs w:val="28"/>
    </w:rPr>
  </w:style>
  <w:style w:type="character" w:styleId="af5">
    <w:name w:val="Hyperlink"/>
    <w:uiPriority w:val="99"/>
    <w:rsid w:val="00383DFE"/>
    <w:rPr>
      <w:color w:val="0000FF"/>
      <w:u w:val="single"/>
    </w:rPr>
  </w:style>
  <w:style w:type="character" w:customStyle="1" w:styleId="21">
    <w:name w:val="(一)下內文縮2 字元"/>
    <w:link w:val="2"/>
    <w:rsid w:val="00383DFE"/>
    <w:rPr>
      <w:rFonts w:ascii="標楷體" w:eastAsia="標楷體"/>
      <w:snapToGrid w:val="0"/>
      <w:kern w:val="2"/>
      <w:sz w:val="28"/>
      <w:szCs w:val="28"/>
    </w:rPr>
  </w:style>
  <w:style w:type="table" w:styleId="af6">
    <w:name w:val="Table Grid"/>
    <w:basedOn w:val="a1"/>
    <w:rsid w:val="00383DF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footnote text"/>
    <w:basedOn w:val="a"/>
    <w:link w:val="af8"/>
    <w:uiPriority w:val="99"/>
    <w:unhideWhenUsed/>
    <w:rsid w:val="00383DFE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qFormat/>
    <w:rsid w:val="00383DFE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383DFE"/>
    <w:rPr>
      <w:vertAlign w:val="superscript"/>
    </w:rPr>
  </w:style>
  <w:style w:type="paragraph" w:customStyle="1" w:styleId="12">
    <w:name w:val=" 字元 字元1"/>
    <w:basedOn w:val="a"/>
    <w:semiHidden/>
    <w:rsid w:val="00383DF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3">
    <w:name w:val=" 字元 字元2 字元 字元 字元"/>
    <w:basedOn w:val="a"/>
    <w:semiHidden/>
    <w:rsid w:val="00383DF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Balloon Text"/>
    <w:basedOn w:val="a"/>
    <w:link w:val="afb"/>
    <w:uiPriority w:val="99"/>
    <w:semiHidden/>
    <w:unhideWhenUsed/>
    <w:rsid w:val="00661F9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661F9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2C5BFC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2C5BFC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EE7F73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EE7F73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EE7F73"/>
    <w:rPr>
      <w:rFonts w:ascii="標楷體" w:eastAsia="標楷體"/>
      <w:snapToGrid w:val="0"/>
      <w:kern w:val="2"/>
      <w:sz w:val="28"/>
      <w:szCs w:val="28"/>
    </w:rPr>
  </w:style>
  <w:style w:type="paragraph" w:styleId="afc">
    <w:name w:val="Date"/>
    <w:basedOn w:val="a"/>
    <w:next w:val="a"/>
    <w:link w:val="afd"/>
    <w:uiPriority w:val="99"/>
    <w:semiHidden/>
    <w:unhideWhenUsed/>
    <w:rsid w:val="00C000FB"/>
    <w:pPr>
      <w:jc w:val="right"/>
    </w:pPr>
  </w:style>
  <w:style w:type="character" w:customStyle="1" w:styleId="afd">
    <w:name w:val="日期 字元"/>
    <w:link w:val="afc"/>
    <w:uiPriority w:val="99"/>
    <w:semiHidden/>
    <w:rsid w:val="00C000F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6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24515;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D1A8-A91E-4669-B504-27935B30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預心範本2003.dot</Template>
  <TotalTime>0</TotalTime>
  <Pages>4</Pages>
  <Words>365</Words>
  <Characters>2084</Characters>
  <Application>Microsoft Office Word</Application>
  <DocSecurity>0</DocSecurity>
  <Lines>17</Lines>
  <Paragraphs>4</Paragraphs>
  <ScaleCrop>false</ScaleCrop>
  <Company>HOME</Company>
  <LinksUpToDate>false</LinksUpToDate>
  <CharactersWithSpaces>2445</CharactersWithSpaces>
  <SharedDoc>false</SharedDoc>
  <HLinks>
    <vt:vector size="24" baseType="variant"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_Toc195255333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_Toc195255332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_Toc195255331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_Toc195255330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2025-03-21T02:29:00Z</cp:lastPrinted>
  <dcterms:created xsi:type="dcterms:W3CDTF">2025-04-24T07:25:00Z</dcterms:created>
  <dcterms:modified xsi:type="dcterms:W3CDTF">2025-04-24T07:25:00Z</dcterms:modified>
</cp:coreProperties>
</file>