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A53BBA" w:rsidRDefault="00AA4BCD" w:rsidP="00EC3502">
      <w:pPr>
        <w:pStyle w:val="144"/>
        <w:ind w:left="567" w:hanging="567"/>
        <w:rPr>
          <w:rFonts w:hAnsi="標楷體" w:hint="eastAsia"/>
        </w:rPr>
      </w:pPr>
      <w:bookmarkStart w:id="1" w:name="_Toc323889984"/>
      <w:bookmarkStart w:id="2" w:name="_Toc202451165"/>
      <w:r>
        <w:rPr>
          <w:rFonts w:hint="eastAsia"/>
        </w:rPr>
        <w:t>貳</w:t>
      </w:r>
      <w:r>
        <w:rPr>
          <w:rFonts w:hAnsi="標楷體" w:hint="eastAsia"/>
        </w:rPr>
        <w:t>、</w:t>
      </w:r>
      <w:bookmarkEnd w:id="1"/>
      <w:r w:rsidR="000225C7" w:rsidRPr="000225C7">
        <w:rPr>
          <w:rFonts w:hAnsi="標楷體" w:hint="eastAsia"/>
        </w:rPr>
        <w:t>中央政府行政法人設立情形及近年預、決算狀況</w:t>
      </w:r>
      <w:bookmarkEnd w:id="2"/>
    </w:p>
    <w:p w:rsidR="00F72D42" w:rsidRDefault="0041439F" w:rsidP="00DF3B37">
      <w:pPr>
        <w:ind w:leftChars="0" w:left="0" w:firstLine="566"/>
        <w:rPr>
          <w:rFonts w:hAnsi="標楷體"/>
        </w:rPr>
      </w:pPr>
      <w:r w:rsidRPr="0041439F">
        <w:rPr>
          <w:rFonts w:hAnsi="標楷體" w:hint="eastAsia"/>
        </w:rPr>
        <w:t>行政法人法於100年4月間公布施行，</w:t>
      </w:r>
      <w:r w:rsidR="002019FB">
        <w:rPr>
          <w:rFonts w:hAnsi="標楷體" w:hint="eastAsia"/>
        </w:rPr>
        <w:t>旨在</w:t>
      </w:r>
      <w:r w:rsidRPr="0041439F">
        <w:rPr>
          <w:rFonts w:hAnsi="標楷體" w:hint="eastAsia"/>
        </w:rPr>
        <w:t>提升特定公共事務執行效率</w:t>
      </w:r>
      <w:r w:rsidR="003C5706" w:rsidRPr="0041439F">
        <w:rPr>
          <w:rFonts w:hAnsi="標楷體" w:hint="eastAsia"/>
        </w:rPr>
        <w:t>；</w:t>
      </w:r>
      <w:r w:rsidR="001E00BC" w:rsidRPr="0041439F">
        <w:rPr>
          <w:rFonts w:hAnsi="標楷體" w:hint="eastAsia"/>
        </w:rPr>
        <w:t>以下說明</w:t>
      </w:r>
      <w:r w:rsidRPr="0041439F">
        <w:rPr>
          <w:rFonts w:hAnsi="標楷體" w:hint="eastAsia"/>
        </w:rPr>
        <w:t>中央政府行政法人設立狀況，預、決算編製規範，</w:t>
      </w:r>
      <w:r w:rsidR="00C13ED2" w:rsidRPr="0041439F">
        <w:rPr>
          <w:rFonts w:hAnsi="標楷體" w:hint="eastAsia"/>
        </w:rPr>
        <w:t>與</w:t>
      </w:r>
      <w:r w:rsidR="006B74C1" w:rsidRPr="0041439F">
        <w:rPr>
          <w:rFonts w:hAnsi="標楷體" w:hint="eastAsia"/>
        </w:rPr>
        <w:t>近年預算編列及執行</w:t>
      </w:r>
      <w:r w:rsidR="00436009" w:rsidRPr="0041439F">
        <w:rPr>
          <w:rFonts w:hAnsi="標楷體" w:hint="eastAsia"/>
        </w:rPr>
        <w:t>情形</w:t>
      </w:r>
      <w:r w:rsidR="001E00BC" w:rsidRPr="0041439F">
        <w:rPr>
          <w:rFonts w:hAnsi="標楷體" w:hint="eastAsia"/>
        </w:rPr>
        <w:t>：</w:t>
      </w:r>
    </w:p>
    <w:sectPr w:rsidR="00F72D42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DF3B37" w:rsidRPr="00DF3B3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B37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5642AFE0-4939-4EF6-B1DA-E79CA684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A66BA-0703-4651-8156-F2C1354E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