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2BA" w:rsidRPr="00EB7364" w:rsidRDefault="00AA42BA" w:rsidP="00FD452B">
      <w:pPr>
        <w:pStyle w:val="aa"/>
        <w:rPr>
          <w:b w:val="0"/>
          <w:spacing w:val="-6"/>
          <w:sz w:val="32"/>
          <w:szCs w:val="20"/>
        </w:rPr>
      </w:pPr>
      <w:bookmarkStart w:id="0" w:name="_GoBack"/>
      <w:bookmarkEnd w:id="0"/>
      <w:r w:rsidRPr="00EB7364">
        <w:rPr>
          <w:rFonts w:hint="eastAsia"/>
        </w:rPr>
        <w:t>科學園區</w:t>
      </w:r>
      <w:bookmarkStart w:id="1" w:name="_Hlk194994709"/>
      <w:r w:rsidRPr="00EB7364">
        <w:rPr>
          <w:rFonts w:hint="eastAsia"/>
        </w:rPr>
        <w:t>財務及營運</w:t>
      </w:r>
      <w:bookmarkEnd w:id="1"/>
      <w:r w:rsidRPr="00EB7364">
        <w:rPr>
          <w:rFonts w:hint="eastAsia"/>
        </w:rPr>
        <w:t>相關問題之探討</w:t>
      </w:r>
      <w:r w:rsidRPr="00EB7364">
        <w:rPr>
          <w:rFonts w:hint="eastAsia"/>
          <w:b w:val="0"/>
          <w:spacing w:val="-6"/>
          <w:sz w:val="32"/>
          <w:szCs w:val="20"/>
        </w:rPr>
        <w:t xml:space="preserve"> </w:t>
      </w:r>
    </w:p>
    <w:p w:rsidR="00577925" w:rsidRPr="00EB7364" w:rsidRDefault="00577925" w:rsidP="00577925">
      <w:pPr>
        <w:pStyle w:val="14"/>
        <w:ind w:left="567" w:hanging="567"/>
        <w:rPr>
          <w:rFonts w:hAnsi="標楷體"/>
        </w:rPr>
      </w:pPr>
      <w:bookmarkStart w:id="2" w:name="_Toc203480946"/>
      <w:r w:rsidRPr="00EB7364">
        <w:rPr>
          <w:rFonts w:hint="eastAsia"/>
        </w:rPr>
        <w:t>二、1</w:t>
      </w:r>
      <w:r w:rsidR="005E56CD">
        <w:rPr>
          <w:rFonts w:hint="eastAsia"/>
        </w:rPr>
        <w:t>09</w:t>
      </w:r>
      <w:r w:rsidRPr="00EB7364">
        <w:rPr>
          <w:rFonts w:hint="eastAsia"/>
        </w:rPr>
        <w:t>至114年度</w:t>
      </w:r>
      <w:r w:rsidR="006F1169" w:rsidRPr="00EB7364">
        <w:rPr>
          <w:rFonts w:hint="eastAsia"/>
        </w:rPr>
        <w:t>債</w:t>
      </w:r>
      <w:r w:rsidR="008301A5" w:rsidRPr="00FE3B66">
        <w:rPr>
          <w:rFonts w:hint="eastAsia"/>
        </w:rPr>
        <w:t>務</w:t>
      </w:r>
      <w:r w:rsidR="006F1169" w:rsidRPr="00EB7364">
        <w:rPr>
          <w:rFonts w:hint="eastAsia"/>
        </w:rPr>
        <w:t>總額累增</w:t>
      </w:r>
      <w:r w:rsidRPr="00EB7364">
        <w:rPr>
          <w:rFonts w:hint="eastAsia"/>
        </w:rPr>
        <w:t>逾610億元，</w:t>
      </w:r>
      <w:r w:rsidR="005E56CD">
        <w:rPr>
          <w:rFonts w:hint="eastAsia"/>
        </w:rPr>
        <w:t>114年度平均</w:t>
      </w:r>
      <w:r w:rsidRPr="00EB7364">
        <w:rPr>
          <w:rFonts w:hint="eastAsia"/>
        </w:rPr>
        <w:t>每月</w:t>
      </w:r>
      <w:r w:rsidR="004058A2">
        <w:rPr>
          <w:rFonts w:hint="eastAsia"/>
        </w:rPr>
        <w:t>利息</w:t>
      </w:r>
      <w:r w:rsidRPr="00EB7364">
        <w:rPr>
          <w:rFonts w:hint="eastAsia"/>
        </w:rPr>
        <w:t>達2億元</w:t>
      </w:r>
      <w:r w:rsidRPr="00EB7364">
        <w:rPr>
          <w:rFonts w:hAnsi="標楷體" w:hint="eastAsia"/>
        </w:rPr>
        <w:t>，</w:t>
      </w:r>
      <w:r w:rsidR="005E56CD">
        <w:rPr>
          <w:rFonts w:hAnsi="標楷體" w:hint="eastAsia"/>
        </w:rPr>
        <w:t>且</w:t>
      </w:r>
      <w:r w:rsidR="00683E12" w:rsidRPr="00EB7364">
        <w:rPr>
          <w:rFonts w:hAnsi="標楷體" w:hint="eastAsia"/>
          <w:bCs/>
        </w:rPr>
        <w:t>預計</w:t>
      </w:r>
      <w:r w:rsidR="00F66444" w:rsidRPr="00EB7364">
        <w:rPr>
          <w:rFonts w:hAnsi="標楷體" w:hint="eastAsia"/>
          <w:bCs/>
        </w:rPr>
        <w:t>115年度以後再增加逾1</w:t>
      </w:r>
      <w:r w:rsidR="005E56CD">
        <w:rPr>
          <w:rFonts w:hAnsi="標楷體"/>
          <w:bCs/>
        </w:rPr>
        <w:t>,</w:t>
      </w:r>
      <w:r w:rsidR="00F66444" w:rsidRPr="00EB7364">
        <w:rPr>
          <w:rFonts w:hAnsi="標楷體" w:hint="eastAsia"/>
          <w:bCs/>
        </w:rPr>
        <w:t>400億元債務，</w:t>
      </w:r>
      <w:r w:rsidRPr="00EB7364">
        <w:rPr>
          <w:rFonts w:hint="eastAsia"/>
        </w:rPr>
        <w:t>允宜</w:t>
      </w:r>
      <w:r w:rsidR="005E56CD">
        <w:rPr>
          <w:rFonts w:hint="eastAsia"/>
        </w:rPr>
        <w:t>妥為規劃債務配置及</w:t>
      </w:r>
      <w:r w:rsidRPr="00EB7364">
        <w:rPr>
          <w:rFonts w:hint="eastAsia"/>
        </w:rPr>
        <w:t>強化管理措施，以減輕債息負擔</w:t>
      </w:r>
      <w:bookmarkEnd w:id="2"/>
    </w:p>
    <w:p w:rsidR="00577925" w:rsidRPr="00EB7364" w:rsidRDefault="00577925" w:rsidP="00577925">
      <w:pPr>
        <w:ind w:left="566" w:firstLine="566"/>
        <w:rPr>
          <w:rFonts w:hint="eastAsia"/>
        </w:rPr>
      </w:pPr>
      <w:r w:rsidRPr="00EB7364">
        <w:rPr>
          <w:snapToGrid/>
        </w:rPr>
        <w:t>科學園區</w:t>
      </w:r>
      <w:r w:rsidRPr="00EB7364">
        <w:rPr>
          <w:rFonts w:hint="eastAsia"/>
          <w:snapToGrid/>
        </w:rPr>
        <w:t>之</w:t>
      </w:r>
      <w:r w:rsidRPr="00EB7364">
        <w:rPr>
          <w:snapToGrid/>
        </w:rPr>
        <w:t>開發、擴充、改良及維護需要大量資金，尤其在初期建設階段，單靠政府預算撥補及園區本身收入（如租金、管理費等）往往無法即時支應龐大</w:t>
      </w:r>
      <w:r w:rsidRPr="00EB7364">
        <w:rPr>
          <w:rFonts w:hint="eastAsia"/>
          <w:snapToGrid/>
        </w:rPr>
        <w:t>之</w:t>
      </w:r>
      <w:r w:rsidRPr="00EB7364">
        <w:rPr>
          <w:snapToGrid/>
        </w:rPr>
        <w:t>資本支出，因此必須透過舉債方式籌措資金</w:t>
      </w:r>
      <w:r w:rsidRPr="00EB7364">
        <w:rPr>
          <w:rFonts w:hint="eastAsia"/>
          <w:snapToGrid/>
        </w:rPr>
        <w:t>。經查：</w:t>
      </w:r>
    </w:p>
    <w:p w:rsidR="00577925" w:rsidRPr="00EB7364" w:rsidRDefault="00577925" w:rsidP="00577925">
      <w:pPr>
        <w:pStyle w:val="a4"/>
        <w:ind w:left="849" w:hanging="283"/>
        <w:rPr>
          <w:rFonts w:hAnsi="標楷體"/>
          <w:b/>
          <w:bCs/>
        </w:rPr>
      </w:pPr>
      <w:bookmarkStart w:id="3" w:name="_Hlk201072693"/>
      <w:r w:rsidRPr="00EB7364">
        <w:rPr>
          <w:rFonts w:hint="eastAsia"/>
          <w:b/>
          <w:bCs/>
        </w:rPr>
        <w:t>(一)109至114年度基金債務總額增加612.94億元</w:t>
      </w:r>
      <w:r w:rsidRPr="00EB7364">
        <w:rPr>
          <w:rFonts w:hAnsi="標楷體" w:hint="eastAsia"/>
          <w:b/>
          <w:bCs/>
        </w:rPr>
        <w:t>，</w:t>
      </w:r>
      <w:r w:rsidR="005E56CD">
        <w:rPr>
          <w:rFonts w:hAnsi="標楷體" w:hint="eastAsia"/>
          <w:b/>
          <w:bCs/>
        </w:rPr>
        <w:t>其中</w:t>
      </w:r>
      <w:r w:rsidRPr="00EB7364">
        <w:rPr>
          <w:rFonts w:hint="eastAsia"/>
          <w:b/>
          <w:bCs/>
        </w:rPr>
        <w:t>以竹科</w:t>
      </w:r>
      <w:r w:rsidRPr="00EB7364">
        <w:rPr>
          <w:rFonts w:hint="eastAsia"/>
          <w:b/>
          <w:bCs/>
        </w:rPr>
        <w:lastRenderedPageBreak/>
        <w:t>增加246.36億元最多</w:t>
      </w:r>
      <w:r w:rsidR="00F66444" w:rsidRPr="00EB7364">
        <w:rPr>
          <w:rFonts w:hAnsi="標楷體" w:hint="eastAsia"/>
          <w:b/>
          <w:bCs/>
        </w:rPr>
        <w:t>，</w:t>
      </w:r>
      <w:bookmarkStart w:id="4" w:name="_Hlk201218230"/>
      <w:r w:rsidR="00683E12" w:rsidRPr="00EB7364">
        <w:rPr>
          <w:rFonts w:hint="eastAsia"/>
          <w:b/>
          <w:bCs/>
        </w:rPr>
        <w:t>預計</w:t>
      </w:r>
      <w:r w:rsidR="00F66444" w:rsidRPr="00EB7364">
        <w:rPr>
          <w:rFonts w:hint="eastAsia"/>
          <w:b/>
          <w:bCs/>
        </w:rPr>
        <w:t>115年度以後再增加逾1</w:t>
      </w:r>
      <w:r w:rsidR="005E56CD">
        <w:rPr>
          <w:b/>
          <w:bCs/>
        </w:rPr>
        <w:t>,</w:t>
      </w:r>
      <w:r w:rsidR="00F66444" w:rsidRPr="00EB7364">
        <w:rPr>
          <w:rFonts w:hint="eastAsia"/>
          <w:b/>
          <w:bCs/>
        </w:rPr>
        <w:t>400億元債務</w:t>
      </w:r>
      <w:bookmarkEnd w:id="4"/>
    </w:p>
    <w:p w:rsidR="00577925" w:rsidRPr="00EB7364" w:rsidRDefault="005E56CD" w:rsidP="00577925">
      <w:pPr>
        <w:pStyle w:val="21"/>
        <w:spacing w:line="480" w:lineRule="exact"/>
        <w:ind w:left="850" w:firstLine="566"/>
      </w:pPr>
      <w:r>
        <w:rPr>
          <w:rFonts w:hint="eastAsia"/>
        </w:rPr>
        <w:t>園區</w:t>
      </w:r>
      <w:r w:rsidR="00577925" w:rsidRPr="00EB7364">
        <w:rPr>
          <w:rFonts w:hint="eastAsia"/>
        </w:rPr>
        <w:t>作業基金</w:t>
      </w:r>
      <w:r w:rsidR="00577925" w:rsidRPr="00EB7364">
        <w:t>財務計畫</w:t>
      </w:r>
      <w:r w:rsidR="00577925" w:rsidRPr="00EB7364">
        <w:rPr>
          <w:rFonts w:hint="eastAsia"/>
        </w:rPr>
        <w:t>之</w:t>
      </w:r>
      <w:r w:rsidR="00577925" w:rsidRPr="00EB7364">
        <w:t>自償率約</w:t>
      </w:r>
      <w:r>
        <w:rPr>
          <w:rFonts w:hint="eastAsia"/>
        </w:rPr>
        <w:t>九</w:t>
      </w:r>
      <w:r w:rsidR="00577925" w:rsidRPr="00EB7364">
        <w:t>成</w:t>
      </w:r>
      <w:r w:rsidR="00577925" w:rsidRPr="00EB7364">
        <w:rPr>
          <w:rFonts w:hint="eastAsia"/>
        </w:rPr>
        <w:t>左右</w:t>
      </w:r>
      <w:r w:rsidR="00577925" w:rsidRPr="00EB7364">
        <w:t>，僅有</w:t>
      </w:r>
      <w:r>
        <w:rPr>
          <w:rFonts w:hint="eastAsia"/>
        </w:rPr>
        <w:t>一</w:t>
      </w:r>
      <w:r w:rsidR="00577925" w:rsidRPr="00EB7364">
        <w:rPr>
          <w:rFonts w:hint="eastAsia"/>
        </w:rPr>
        <w:t>成</w:t>
      </w:r>
      <w:r w:rsidR="00577925" w:rsidRPr="00EB7364">
        <w:t>由國庫</w:t>
      </w:r>
      <w:r w:rsidR="008301A5" w:rsidRPr="00FE3B66">
        <w:rPr>
          <w:rFonts w:hint="eastAsia"/>
        </w:rPr>
        <w:t>撥</w:t>
      </w:r>
      <w:r w:rsidR="00577925" w:rsidRPr="008301A5">
        <w:t>補</w:t>
      </w:r>
      <w:r w:rsidR="00577925" w:rsidRPr="00EB7364">
        <w:t>，</w:t>
      </w:r>
      <w:r w:rsidR="00577925" w:rsidRPr="00EB7364">
        <w:rPr>
          <w:rFonts w:hint="eastAsia"/>
        </w:rPr>
        <w:t>國庫</w:t>
      </w:r>
      <w:r w:rsidR="00577925" w:rsidRPr="00EB7364">
        <w:t>對園區</w:t>
      </w:r>
      <w:r w:rsidR="00577925" w:rsidRPr="00EB7364">
        <w:rPr>
          <w:rFonts w:hint="eastAsia"/>
        </w:rPr>
        <w:t>作業基金之</w:t>
      </w:r>
      <w:r w:rsidR="00577925" w:rsidRPr="00EB7364">
        <w:t>撥補比</w:t>
      </w:r>
      <w:r w:rsidR="00683E12">
        <w:rPr>
          <w:rFonts w:hint="eastAsia"/>
        </w:rPr>
        <w:t>率</w:t>
      </w:r>
      <w:r w:rsidR="00577925" w:rsidRPr="00EB7364">
        <w:t>有限，</w:t>
      </w:r>
      <w:r>
        <w:rPr>
          <w:rFonts w:hint="eastAsia"/>
        </w:rPr>
        <w:t>且</w:t>
      </w:r>
      <w:r w:rsidR="00577925" w:rsidRPr="00EB7364">
        <w:t>因</w:t>
      </w:r>
      <w:r>
        <w:rPr>
          <w:rFonts w:hint="eastAsia"/>
        </w:rPr>
        <w:t>應</w:t>
      </w:r>
      <w:r w:rsidR="00577925" w:rsidRPr="00EB7364">
        <w:t>園區</w:t>
      </w:r>
      <w:r>
        <w:rPr>
          <w:rFonts w:hint="eastAsia"/>
        </w:rPr>
        <w:t>持續</w:t>
      </w:r>
      <w:r w:rsidR="00577925" w:rsidRPr="00EB7364">
        <w:t>開發</w:t>
      </w:r>
      <w:r>
        <w:rPr>
          <w:rFonts w:hint="eastAsia"/>
        </w:rPr>
        <w:t>或擴建</w:t>
      </w:r>
      <w:r w:rsidR="00577925" w:rsidRPr="00EB7364">
        <w:t>，為避免資金壓力過大，基金以短期或中長期</w:t>
      </w:r>
      <w:bookmarkEnd w:id="3"/>
      <w:r w:rsidR="00577925" w:rsidRPr="00EB7364">
        <w:t>借款靈活調度</w:t>
      </w:r>
      <w:r w:rsidR="00577925" w:rsidRPr="00EB7364">
        <w:rPr>
          <w:rFonts w:hAnsi="標楷體" w:hint="eastAsia"/>
        </w:rPr>
        <w:t>，</w:t>
      </w:r>
      <w:r>
        <w:rPr>
          <w:rFonts w:hAnsi="標楷體" w:hint="eastAsia"/>
        </w:rPr>
        <w:t>以</w:t>
      </w:r>
      <w:r w:rsidR="00577925" w:rsidRPr="00EB7364">
        <w:t>舉債補足資金</w:t>
      </w:r>
      <w:r w:rsidR="00577925" w:rsidRPr="00EB7364">
        <w:rPr>
          <w:rFonts w:hint="eastAsia"/>
        </w:rPr>
        <w:t>缺口</w:t>
      </w:r>
      <w:r w:rsidR="00577925" w:rsidRPr="00EB7364">
        <w:rPr>
          <w:rFonts w:hAnsi="標楷體" w:hint="eastAsia"/>
        </w:rPr>
        <w:t>，</w:t>
      </w:r>
      <w:r w:rsidR="00577925" w:rsidRPr="00EB7364">
        <w:rPr>
          <w:rFonts w:hAnsi="標楷體"/>
        </w:rPr>
        <w:t>待園區完工營運後，透過向進駐廠商收取房地租金及管理費等，逐步償還借款本息</w:t>
      </w:r>
      <w:r w:rsidR="00577925" w:rsidRPr="00EB7364">
        <w:rPr>
          <w:rFonts w:hAnsi="標楷體" w:hint="eastAsia"/>
        </w:rPr>
        <w:t>。109至113年度園區作業基金債務</w:t>
      </w:r>
      <w:r w:rsidR="003E7ECD" w:rsidRPr="00FE3B66">
        <w:rPr>
          <w:rFonts w:hAnsi="標楷體" w:hint="eastAsia"/>
        </w:rPr>
        <w:t>總額</w:t>
      </w:r>
      <w:r w:rsidR="00577925" w:rsidRPr="00EB7364">
        <w:rPr>
          <w:rFonts w:hAnsi="標楷體" w:hint="eastAsia"/>
        </w:rPr>
        <w:t>自993.5</w:t>
      </w:r>
      <w:r>
        <w:rPr>
          <w:rFonts w:hAnsi="標楷體" w:hint="eastAsia"/>
        </w:rPr>
        <w:t>0</w:t>
      </w:r>
      <w:r w:rsidR="00577925" w:rsidRPr="00EB7364">
        <w:rPr>
          <w:rFonts w:hAnsi="標楷體" w:hint="eastAsia"/>
        </w:rPr>
        <w:t>億元增加至1</w:t>
      </w:r>
      <w:r w:rsidR="00577925" w:rsidRPr="00EB7364">
        <w:rPr>
          <w:rFonts w:hAnsi="標楷體"/>
        </w:rPr>
        <w:t>,</w:t>
      </w:r>
      <w:r w:rsidR="00577925" w:rsidRPr="00EB7364">
        <w:rPr>
          <w:rFonts w:hAnsi="標楷體" w:hint="eastAsia"/>
        </w:rPr>
        <w:t>221.41億元</w:t>
      </w:r>
      <w:bookmarkStart w:id="5" w:name="_Hlk201073095"/>
      <w:r w:rsidR="00577925" w:rsidRPr="00EB7364">
        <w:rPr>
          <w:rFonts w:hAnsi="標楷體" w:hint="eastAsia"/>
        </w:rPr>
        <w:t>，114年度預算</w:t>
      </w:r>
      <w:r>
        <w:rPr>
          <w:rFonts w:hAnsi="標楷體" w:hint="eastAsia"/>
        </w:rPr>
        <w:t>案</w:t>
      </w:r>
      <w:r w:rsidR="00577925" w:rsidRPr="00EB7364">
        <w:rPr>
          <w:rFonts w:hAnsi="標楷體" w:hint="eastAsia"/>
        </w:rPr>
        <w:t>再增加至1</w:t>
      </w:r>
      <w:r w:rsidR="00577925" w:rsidRPr="00EB7364">
        <w:rPr>
          <w:rFonts w:hAnsi="標楷體"/>
        </w:rPr>
        <w:t>,</w:t>
      </w:r>
      <w:r w:rsidR="00577925" w:rsidRPr="00EB7364">
        <w:rPr>
          <w:rFonts w:hAnsi="標楷體" w:hint="eastAsia"/>
        </w:rPr>
        <w:t>606.44億元， 109至114年度6年期間共增加612.94億元</w:t>
      </w:r>
      <w:bookmarkEnd w:id="5"/>
      <w:r w:rsidR="00577925" w:rsidRPr="00EB7364">
        <w:rPr>
          <w:rFonts w:hAnsi="標楷體" w:hint="eastAsia"/>
        </w:rPr>
        <w:t>，同期間竹科債務自0元增加至246.36億元，中科債務自645.5</w:t>
      </w:r>
      <w:r>
        <w:rPr>
          <w:rFonts w:hAnsi="標楷體" w:hint="eastAsia"/>
        </w:rPr>
        <w:t>0</w:t>
      </w:r>
      <w:r w:rsidR="00577925" w:rsidRPr="00EB7364">
        <w:rPr>
          <w:rFonts w:hAnsi="標楷體" w:hint="eastAsia"/>
        </w:rPr>
        <w:t>億元增加至878.53億元(增加233.03億元)，南科債務自348億元增加至481.55億元(增加133.55億元)，其中債務增加金額以竹科增加246.36億元最多，而債務</w:t>
      </w:r>
      <w:r>
        <w:rPr>
          <w:rFonts w:hAnsi="標楷體" w:hint="eastAsia"/>
        </w:rPr>
        <w:t>金額</w:t>
      </w:r>
      <w:r w:rsidR="00577925" w:rsidRPr="00EB7364">
        <w:rPr>
          <w:rFonts w:hAnsi="標楷體" w:hint="eastAsia"/>
        </w:rPr>
        <w:t>以中科878.53億元最高 (詳表</w:t>
      </w:r>
      <w:r w:rsidR="004611E7" w:rsidRPr="00EB7364">
        <w:rPr>
          <w:rFonts w:hAnsi="標楷體" w:hint="eastAsia"/>
        </w:rPr>
        <w:t>6</w:t>
      </w:r>
      <w:r w:rsidR="00577925" w:rsidRPr="00EB7364">
        <w:rPr>
          <w:rFonts w:hAnsi="標楷體" w:hint="eastAsia"/>
        </w:rPr>
        <w:t>)。</w:t>
      </w:r>
    </w:p>
    <w:p w:rsidR="00577925" w:rsidRPr="00EB7364" w:rsidRDefault="00577925" w:rsidP="006A7433">
      <w:pPr>
        <w:spacing w:line="400" w:lineRule="exact"/>
        <w:ind w:leftChars="-1" w:left="666" w:rightChars="-17" w:right="-48" w:hangingChars="236" w:hanging="669"/>
        <w:jc w:val="left"/>
        <w:rPr>
          <w:rFonts w:hint="eastAsia"/>
        </w:rPr>
      </w:pPr>
      <w:r w:rsidRPr="00EB7364">
        <w:rPr>
          <w:rFonts w:hAnsi="標楷體" w:hint="eastAsia"/>
          <w:b/>
        </w:rPr>
        <w:t>表</w:t>
      </w:r>
      <w:r w:rsidR="004611E7" w:rsidRPr="00EB7364">
        <w:rPr>
          <w:rFonts w:hAnsi="標楷體" w:hint="eastAsia"/>
          <w:b/>
        </w:rPr>
        <w:t>6</w:t>
      </w:r>
      <w:r w:rsidRPr="00EB7364">
        <w:rPr>
          <w:rFonts w:hAnsi="標楷體" w:hint="eastAsia"/>
          <w:b/>
        </w:rPr>
        <w:t xml:space="preserve">  109至114年度園區</w:t>
      </w:r>
      <w:r w:rsidR="006A7433">
        <w:rPr>
          <w:rFonts w:hAnsi="標楷體" w:hint="eastAsia"/>
          <w:b/>
        </w:rPr>
        <w:t>作業基金</w:t>
      </w:r>
      <w:r w:rsidRPr="00EB7364">
        <w:rPr>
          <w:rFonts w:hAnsi="標楷體" w:hint="eastAsia"/>
          <w:b/>
        </w:rPr>
        <w:t>債務統計表</w:t>
      </w:r>
      <w:r w:rsidR="006A7433">
        <w:rPr>
          <w:rFonts w:hAnsi="標楷體" w:hint="eastAsia"/>
          <w:b/>
        </w:rPr>
        <w:t xml:space="preserve">      </w:t>
      </w:r>
      <w:r w:rsidRPr="006A7433">
        <w:rPr>
          <w:rFonts w:hint="eastAsia"/>
          <w:snapToGrid/>
          <w:sz w:val="24"/>
          <w:szCs w:val="24"/>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276"/>
        <w:gridCol w:w="992"/>
        <w:gridCol w:w="992"/>
        <w:gridCol w:w="1276"/>
        <w:gridCol w:w="1086"/>
        <w:gridCol w:w="1087"/>
        <w:gridCol w:w="1087"/>
      </w:tblGrid>
      <w:tr w:rsidR="00577925" w:rsidRPr="00EB7364" w:rsidTr="00680AB0">
        <w:trPr>
          <w:tblHeader/>
        </w:trPr>
        <w:tc>
          <w:tcPr>
            <w:tcW w:w="709" w:type="dxa"/>
            <w:vMerge w:val="restart"/>
            <w:tcBorders>
              <w:top w:val="single" w:sz="12" w:space="0" w:color="auto"/>
              <w:bottom w:val="single" w:sz="6" w:space="0" w:color="auto"/>
              <w:tl2br w:val="single" w:sz="6" w:space="0" w:color="auto"/>
            </w:tcBorders>
            <w:shd w:val="clear" w:color="auto" w:fill="auto"/>
            <w:vAlign w:val="center"/>
          </w:tcPr>
          <w:p w:rsidR="00577925" w:rsidRPr="00EB7364" w:rsidRDefault="005E56CD" w:rsidP="00FA5E91">
            <w:pPr>
              <w:pStyle w:val="142"/>
              <w:ind w:rightChars="-30" w:right="-85"/>
              <w:jc w:val="right"/>
            </w:pPr>
            <w:r>
              <w:rPr>
                <w:rFonts w:hint="eastAsia"/>
              </w:rPr>
              <w:t>項目</w:t>
            </w:r>
          </w:p>
          <w:p w:rsidR="00577925" w:rsidRPr="00EB7364" w:rsidRDefault="00577925" w:rsidP="00FA5E91">
            <w:pPr>
              <w:pStyle w:val="142"/>
              <w:jc w:val="right"/>
              <w:rPr>
                <w:rFonts w:hint="eastAsia"/>
              </w:rPr>
            </w:pPr>
          </w:p>
          <w:p w:rsidR="00577925" w:rsidRPr="00EB7364" w:rsidRDefault="00577925" w:rsidP="00FA5E91">
            <w:pPr>
              <w:pStyle w:val="142"/>
              <w:ind w:leftChars="-30" w:left="-85"/>
              <w:rPr>
                <w:rFonts w:hint="eastAsia"/>
              </w:rPr>
            </w:pPr>
            <w:r w:rsidRPr="00EB7364">
              <w:rPr>
                <w:rFonts w:hint="eastAsia"/>
              </w:rPr>
              <w:t>年度</w:t>
            </w:r>
          </w:p>
        </w:tc>
        <w:tc>
          <w:tcPr>
            <w:tcW w:w="1276" w:type="dxa"/>
            <w:shd w:val="clear" w:color="auto" w:fill="auto"/>
            <w:vAlign w:val="center"/>
          </w:tcPr>
          <w:p w:rsidR="00577925" w:rsidRPr="00EB7364" w:rsidRDefault="00577925" w:rsidP="00FA5E91">
            <w:pPr>
              <w:pStyle w:val="142"/>
              <w:jc w:val="center"/>
            </w:pPr>
            <w:r w:rsidRPr="00EB7364">
              <w:rPr>
                <w:rFonts w:hint="eastAsia"/>
              </w:rPr>
              <w:t>短期債務</w:t>
            </w:r>
          </w:p>
        </w:tc>
        <w:tc>
          <w:tcPr>
            <w:tcW w:w="1984" w:type="dxa"/>
            <w:gridSpan w:val="2"/>
            <w:shd w:val="clear" w:color="auto" w:fill="auto"/>
            <w:vAlign w:val="center"/>
          </w:tcPr>
          <w:p w:rsidR="00577925" w:rsidRPr="00EB7364" w:rsidRDefault="00577925" w:rsidP="00FA5E91">
            <w:pPr>
              <w:pStyle w:val="142"/>
              <w:jc w:val="center"/>
            </w:pPr>
            <w:r w:rsidRPr="00EB7364">
              <w:rPr>
                <w:rFonts w:hint="eastAsia"/>
              </w:rPr>
              <w:t>長期債務</w:t>
            </w:r>
          </w:p>
        </w:tc>
        <w:tc>
          <w:tcPr>
            <w:tcW w:w="4536" w:type="dxa"/>
            <w:gridSpan w:val="4"/>
            <w:shd w:val="clear" w:color="auto" w:fill="auto"/>
            <w:vAlign w:val="center"/>
          </w:tcPr>
          <w:p w:rsidR="00577925" w:rsidRPr="00EB7364" w:rsidRDefault="00577925" w:rsidP="00FA5E91">
            <w:pPr>
              <w:pStyle w:val="142"/>
              <w:jc w:val="center"/>
            </w:pPr>
            <w:r w:rsidRPr="00EB7364">
              <w:rPr>
                <w:rFonts w:hint="eastAsia"/>
              </w:rPr>
              <w:t>債務總額</w:t>
            </w:r>
          </w:p>
        </w:tc>
      </w:tr>
      <w:tr w:rsidR="00577925" w:rsidRPr="00EB7364" w:rsidTr="00680AB0">
        <w:trPr>
          <w:tblHeader/>
        </w:trPr>
        <w:tc>
          <w:tcPr>
            <w:tcW w:w="709" w:type="dxa"/>
            <w:vMerge/>
            <w:tcBorders>
              <w:top w:val="single" w:sz="6" w:space="0" w:color="auto"/>
              <w:bottom w:val="single" w:sz="6" w:space="0" w:color="auto"/>
              <w:tl2br w:val="single" w:sz="6" w:space="0" w:color="auto"/>
            </w:tcBorders>
            <w:shd w:val="clear" w:color="auto" w:fill="auto"/>
            <w:vAlign w:val="center"/>
          </w:tcPr>
          <w:p w:rsidR="00577925" w:rsidRPr="00EB7364" w:rsidRDefault="00577925" w:rsidP="00FA5E91">
            <w:pPr>
              <w:pStyle w:val="142"/>
              <w:jc w:val="center"/>
            </w:pPr>
          </w:p>
        </w:tc>
        <w:tc>
          <w:tcPr>
            <w:tcW w:w="1276" w:type="dxa"/>
            <w:shd w:val="clear" w:color="auto" w:fill="auto"/>
            <w:vAlign w:val="center"/>
          </w:tcPr>
          <w:p w:rsidR="00577925" w:rsidRPr="00EB7364" w:rsidRDefault="00577925" w:rsidP="00FA5E91">
            <w:pPr>
              <w:pStyle w:val="142"/>
              <w:jc w:val="center"/>
            </w:pPr>
            <w:r w:rsidRPr="00EB7364">
              <w:rPr>
                <w:rFonts w:hint="eastAsia"/>
              </w:rPr>
              <w:t>短期</w:t>
            </w:r>
            <w:r w:rsidRPr="00EB7364">
              <w:t>借款</w:t>
            </w:r>
          </w:p>
        </w:tc>
        <w:tc>
          <w:tcPr>
            <w:tcW w:w="992" w:type="dxa"/>
            <w:shd w:val="clear" w:color="auto" w:fill="auto"/>
            <w:vAlign w:val="center"/>
          </w:tcPr>
          <w:p w:rsidR="00577925" w:rsidRPr="00EB7364" w:rsidRDefault="00577925" w:rsidP="00FA5E91">
            <w:pPr>
              <w:pStyle w:val="142"/>
              <w:jc w:val="center"/>
            </w:pPr>
            <w:r w:rsidRPr="00EB7364">
              <w:rPr>
                <w:rFonts w:hint="eastAsia"/>
              </w:rPr>
              <w:t>長期</w:t>
            </w:r>
          </w:p>
          <w:p w:rsidR="00577925" w:rsidRPr="00EB7364" w:rsidRDefault="00577925" w:rsidP="00FA5E91">
            <w:pPr>
              <w:pStyle w:val="142"/>
              <w:jc w:val="center"/>
            </w:pPr>
            <w:r w:rsidRPr="00EB7364">
              <w:rPr>
                <w:rFonts w:hint="eastAsia"/>
              </w:rPr>
              <w:t>借款</w:t>
            </w:r>
          </w:p>
        </w:tc>
        <w:tc>
          <w:tcPr>
            <w:tcW w:w="992" w:type="dxa"/>
            <w:shd w:val="clear" w:color="auto" w:fill="auto"/>
            <w:vAlign w:val="center"/>
          </w:tcPr>
          <w:p w:rsidR="00577925" w:rsidRPr="00EB7364" w:rsidRDefault="00577925" w:rsidP="00FA5E91">
            <w:pPr>
              <w:pStyle w:val="142"/>
              <w:jc w:val="center"/>
            </w:pPr>
            <w:r w:rsidRPr="00EB7364">
              <w:rPr>
                <w:rFonts w:hint="eastAsia"/>
              </w:rPr>
              <w:t>其他長期負債</w:t>
            </w:r>
          </w:p>
        </w:tc>
        <w:tc>
          <w:tcPr>
            <w:tcW w:w="1276" w:type="dxa"/>
            <w:shd w:val="clear" w:color="auto" w:fill="auto"/>
            <w:vAlign w:val="center"/>
          </w:tcPr>
          <w:p w:rsidR="00577925" w:rsidRPr="00EB7364" w:rsidRDefault="00577925" w:rsidP="00FA5E91">
            <w:pPr>
              <w:pStyle w:val="142"/>
              <w:jc w:val="center"/>
            </w:pPr>
            <w:r w:rsidRPr="00EB7364">
              <w:rPr>
                <w:rFonts w:hint="eastAsia"/>
              </w:rPr>
              <w:t>合計</w:t>
            </w:r>
          </w:p>
        </w:tc>
        <w:tc>
          <w:tcPr>
            <w:tcW w:w="1086" w:type="dxa"/>
            <w:shd w:val="clear" w:color="auto" w:fill="auto"/>
            <w:vAlign w:val="center"/>
          </w:tcPr>
          <w:p w:rsidR="00577925" w:rsidRPr="00EB7364" w:rsidRDefault="00577925" w:rsidP="00FA5E91">
            <w:pPr>
              <w:pStyle w:val="142"/>
              <w:jc w:val="center"/>
            </w:pPr>
            <w:r w:rsidRPr="00EB7364">
              <w:rPr>
                <w:rFonts w:hAnsi="標楷體"/>
              </w:rPr>
              <w:t>竹</w:t>
            </w:r>
            <w:r w:rsidRPr="00EB7364">
              <w:rPr>
                <w:rFonts w:hAnsi="標楷體" w:hint="eastAsia"/>
              </w:rPr>
              <w:t>科</w:t>
            </w:r>
          </w:p>
        </w:tc>
        <w:tc>
          <w:tcPr>
            <w:tcW w:w="1087" w:type="dxa"/>
            <w:shd w:val="clear" w:color="auto" w:fill="auto"/>
            <w:vAlign w:val="center"/>
          </w:tcPr>
          <w:p w:rsidR="00577925" w:rsidRPr="00EB7364" w:rsidRDefault="00577925" w:rsidP="00FA5E91">
            <w:pPr>
              <w:pStyle w:val="142"/>
              <w:jc w:val="center"/>
            </w:pPr>
            <w:r w:rsidRPr="00EB7364">
              <w:rPr>
                <w:rFonts w:hAnsi="標楷體"/>
              </w:rPr>
              <w:t>中</w:t>
            </w:r>
            <w:r w:rsidRPr="00EB7364">
              <w:rPr>
                <w:rFonts w:hAnsi="標楷體" w:hint="eastAsia"/>
              </w:rPr>
              <w:t>科</w:t>
            </w:r>
          </w:p>
        </w:tc>
        <w:tc>
          <w:tcPr>
            <w:tcW w:w="1087" w:type="dxa"/>
            <w:shd w:val="clear" w:color="auto" w:fill="auto"/>
            <w:vAlign w:val="center"/>
          </w:tcPr>
          <w:p w:rsidR="00577925" w:rsidRPr="00EB7364" w:rsidRDefault="00577925" w:rsidP="00FA5E91">
            <w:pPr>
              <w:pStyle w:val="142"/>
              <w:jc w:val="center"/>
            </w:pPr>
            <w:r w:rsidRPr="00EB7364">
              <w:rPr>
                <w:rFonts w:hAnsi="標楷體"/>
              </w:rPr>
              <w:t>南</w:t>
            </w:r>
            <w:r w:rsidRPr="00EB7364">
              <w:rPr>
                <w:rFonts w:hAnsi="標楷體" w:hint="eastAsia"/>
              </w:rPr>
              <w:t>科</w:t>
            </w:r>
          </w:p>
        </w:tc>
      </w:tr>
      <w:tr w:rsidR="00577925" w:rsidRPr="00EB7364" w:rsidTr="00680AB0">
        <w:trPr>
          <w:trHeight w:hRule="exact" w:val="340"/>
        </w:trPr>
        <w:tc>
          <w:tcPr>
            <w:tcW w:w="709" w:type="dxa"/>
            <w:shd w:val="clear" w:color="auto" w:fill="auto"/>
            <w:vAlign w:val="center"/>
          </w:tcPr>
          <w:p w:rsidR="00577925" w:rsidRPr="00EB7364" w:rsidRDefault="00577925" w:rsidP="00FA5E91">
            <w:pPr>
              <w:pStyle w:val="142"/>
              <w:jc w:val="center"/>
            </w:pPr>
            <w:r w:rsidRPr="00EB7364">
              <w:t>109</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993.50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0</w:t>
            </w:r>
          </w:p>
        </w:tc>
        <w:tc>
          <w:tcPr>
            <w:tcW w:w="992" w:type="dxa"/>
            <w:shd w:val="clear" w:color="auto" w:fill="auto"/>
            <w:vAlign w:val="center"/>
          </w:tcPr>
          <w:p w:rsidR="00577925" w:rsidRPr="00EB7364" w:rsidRDefault="00577925" w:rsidP="00FA5E91">
            <w:pPr>
              <w:pStyle w:val="142"/>
              <w:jc w:val="right"/>
            </w:pPr>
            <w:r w:rsidRPr="00EB7364">
              <w:rPr>
                <w:rFonts w:hint="eastAsia"/>
              </w:rPr>
              <w:t>0</w:t>
            </w:r>
          </w:p>
        </w:tc>
        <w:tc>
          <w:tcPr>
            <w:tcW w:w="1276" w:type="dxa"/>
            <w:shd w:val="clear" w:color="auto" w:fill="auto"/>
            <w:vAlign w:val="center"/>
          </w:tcPr>
          <w:p w:rsidR="00577925" w:rsidRPr="00EB7364" w:rsidRDefault="00577925" w:rsidP="00FA5E91">
            <w:pPr>
              <w:pStyle w:val="142"/>
              <w:jc w:val="right"/>
            </w:pPr>
            <w:r w:rsidRPr="00EB7364">
              <w:rPr>
                <w:rFonts w:hint="eastAsia"/>
              </w:rPr>
              <w:t>993.50</w:t>
            </w:r>
          </w:p>
        </w:tc>
        <w:tc>
          <w:tcPr>
            <w:tcW w:w="1086"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0</w:t>
            </w:r>
          </w:p>
        </w:tc>
        <w:tc>
          <w:tcPr>
            <w:tcW w:w="1087" w:type="dxa"/>
            <w:shd w:val="clear" w:color="auto" w:fill="auto"/>
            <w:vAlign w:val="center"/>
          </w:tcPr>
          <w:p w:rsidR="00577925" w:rsidRPr="00EB7364" w:rsidRDefault="00577925" w:rsidP="00FA5E91">
            <w:pPr>
              <w:pStyle w:val="142"/>
              <w:jc w:val="right"/>
            </w:pPr>
            <w:r w:rsidRPr="00EB7364">
              <w:rPr>
                <w:rFonts w:hAnsi="標楷體" w:hint="eastAsia"/>
              </w:rPr>
              <w:t>645.50</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348.00</w:t>
            </w:r>
          </w:p>
        </w:tc>
      </w:tr>
      <w:tr w:rsidR="00577925" w:rsidRPr="00EB7364" w:rsidTr="00680AB0">
        <w:trPr>
          <w:trHeight w:hRule="exact" w:val="340"/>
        </w:trPr>
        <w:tc>
          <w:tcPr>
            <w:tcW w:w="709" w:type="dxa"/>
            <w:shd w:val="clear" w:color="auto" w:fill="auto"/>
            <w:vAlign w:val="center"/>
          </w:tcPr>
          <w:p w:rsidR="00577925" w:rsidRPr="00EB7364" w:rsidRDefault="00577925" w:rsidP="00FA5E91">
            <w:pPr>
              <w:pStyle w:val="142"/>
              <w:jc w:val="center"/>
              <w:rPr>
                <w:rFonts w:hint="eastAsia"/>
              </w:rPr>
            </w:pPr>
            <w:r w:rsidRPr="00EB7364">
              <w:rPr>
                <w:rFonts w:hint="eastAsia"/>
              </w:rPr>
              <w:t>110</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977.70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24.16</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001.86</w:t>
            </w:r>
          </w:p>
        </w:tc>
        <w:tc>
          <w:tcPr>
            <w:tcW w:w="1086"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24.16</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633.00</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344.70</w:t>
            </w:r>
          </w:p>
        </w:tc>
      </w:tr>
      <w:tr w:rsidR="00577925" w:rsidRPr="00EB7364" w:rsidTr="00680AB0">
        <w:trPr>
          <w:trHeight w:hRule="exact" w:val="340"/>
        </w:trPr>
        <w:tc>
          <w:tcPr>
            <w:tcW w:w="709" w:type="dxa"/>
            <w:shd w:val="clear" w:color="auto" w:fill="auto"/>
            <w:vAlign w:val="center"/>
          </w:tcPr>
          <w:p w:rsidR="00577925" w:rsidRPr="00EB7364" w:rsidRDefault="00577925" w:rsidP="00FA5E91">
            <w:pPr>
              <w:pStyle w:val="142"/>
              <w:jc w:val="center"/>
              <w:rPr>
                <w:rFonts w:hint="eastAsia"/>
              </w:rPr>
            </w:pPr>
            <w:r w:rsidRPr="00EB7364">
              <w:rPr>
                <w:rFonts w:hint="eastAsia"/>
              </w:rPr>
              <w:lastRenderedPageBreak/>
              <w:t>111</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838.30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200.00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22.41</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060.71</w:t>
            </w:r>
          </w:p>
        </w:tc>
        <w:tc>
          <w:tcPr>
            <w:tcW w:w="1086"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61.71</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632.00</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367.00</w:t>
            </w:r>
          </w:p>
        </w:tc>
      </w:tr>
      <w:tr w:rsidR="00577925" w:rsidRPr="00EB7364" w:rsidTr="00680AB0">
        <w:trPr>
          <w:trHeight w:hRule="exact" w:val="340"/>
        </w:trPr>
        <w:tc>
          <w:tcPr>
            <w:tcW w:w="709" w:type="dxa"/>
            <w:shd w:val="clear" w:color="auto" w:fill="auto"/>
            <w:vAlign w:val="center"/>
          </w:tcPr>
          <w:p w:rsidR="00577925" w:rsidRPr="00EB7364" w:rsidRDefault="00577925" w:rsidP="00FA5E91">
            <w:pPr>
              <w:pStyle w:val="142"/>
              <w:jc w:val="center"/>
            </w:pPr>
            <w:r w:rsidRPr="00EB7364">
              <w:t>112</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905.70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200.00</w:t>
            </w:r>
          </w:p>
        </w:tc>
        <w:tc>
          <w:tcPr>
            <w:tcW w:w="992" w:type="dxa"/>
            <w:shd w:val="clear" w:color="auto" w:fill="auto"/>
            <w:vAlign w:val="center"/>
          </w:tcPr>
          <w:p w:rsidR="00577925" w:rsidRPr="00EB7364" w:rsidRDefault="00577925" w:rsidP="00FA5E91">
            <w:pPr>
              <w:pStyle w:val="142"/>
              <w:jc w:val="right"/>
            </w:pPr>
            <w:r w:rsidRPr="00EB7364">
              <w:rPr>
                <w:rFonts w:hint="eastAsia"/>
              </w:rPr>
              <w:t>20.66</w:t>
            </w:r>
          </w:p>
        </w:tc>
        <w:tc>
          <w:tcPr>
            <w:tcW w:w="1276" w:type="dxa"/>
            <w:shd w:val="clear" w:color="auto" w:fill="auto"/>
            <w:vAlign w:val="center"/>
          </w:tcPr>
          <w:p w:rsidR="00577925" w:rsidRPr="00EB7364" w:rsidRDefault="00577925" w:rsidP="00FA5E91">
            <w:pPr>
              <w:pStyle w:val="142"/>
              <w:jc w:val="right"/>
            </w:pPr>
            <w:r w:rsidRPr="00EB7364">
              <w:rPr>
                <w:rFonts w:hint="eastAsia"/>
              </w:rPr>
              <w:t>1</w:t>
            </w:r>
            <w:r w:rsidRPr="00EB7364">
              <w:t>,</w:t>
            </w:r>
            <w:r w:rsidRPr="00EB7364">
              <w:rPr>
                <w:rFonts w:hint="eastAsia"/>
              </w:rPr>
              <w:t>126.36</w:t>
            </w:r>
          </w:p>
        </w:tc>
        <w:tc>
          <w:tcPr>
            <w:tcW w:w="1086"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110.86</w:t>
            </w:r>
          </w:p>
        </w:tc>
        <w:tc>
          <w:tcPr>
            <w:tcW w:w="1087" w:type="dxa"/>
            <w:shd w:val="clear" w:color="auto" w:fill="auto"/>
            <w:vAlign w:val="center"/>
          </w:tcPr>
          <w:p w:rsidR="00577925" w:rsidRPr="00EB7364" w:rsidRDefault="00577925" w:rsidP="00FA5E91">
            <w:pPr>
              <w:pStyle w:val="142"/>
              <w:jc w:val="right"/>
            </w:pPr>
            <w:r w:rsidRPr="00EB7364">
              <w:rPr>
                <w:rFonts w:hAnsi="標楷體" w:hint="eastAsia"/>
              </w:rPr>
              <w:t>625.50</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390.00</w:t>
            </w:r>
          </w:p>
        </w:tc>
      </w:tr>
      <w:tr w:rsidR="00577925" w:rsidRPr="00EB7364" w:rsidTr="00680AB0">
        <w:trPr>
          <w:trHeight w:hRule="exact" w:val="340"/>
        </w:trPr>
        <w:tc>
          <w:tcPr>
            <w:tcW w:w="709" w:type="dxa"/>
            <w:shd w:val="clear" w:color="auto" w:fill="auto"/>
            <w:vAlign w:val="center"/>
          </w:tcPr>
          <w:p w:rsidR="00577925" w:rsidRPr="00EB7364" w:rsidRDefault="00577925" w:rsidP="00FA5E91">
            <w:pPr>
              <w:pStyle w:val="142"/>
              <w:jc w:val="center"/>
              <w:rPr>
                <w:rFonts w:hint="eastAsia"/>
              </w:rPr>
            </w:pPr>
            <w:r w:rsidRPr="00EB7364">
              <w:rPr>
                <w:rFonts w:hint="eastAsia"/>
              </w:rPr>
              <w:t>113</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202.50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18.91</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221.41</w:t>
            </w:r>
          </w:p>
        </w:tc>
        <w:tc>
          <w:tcPr>
            <w:tcW w:w="1086"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158.91</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659.00</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403.50</w:t>
            </w:r>
          </w:p>
        </w:tc>
      </w:tr>
      <w:tr w:rsidR="00577925" w:rsidRPr="00EB7364" w:rsidTr="003F27AD">
        <w:trPr>
          <w:trHeight w:hRule="exact" w:val="340"/>
        </w:trPr>
        <w:tc>
          <w:tcPr>
            <w:tcW w:w="709" w:type="dxa"/>
            <w:tcBorders>
              <w:bottom w:val="double" w:sz="4" w:space="0" w:color="auto"/>
            </w:tcBorders>
            <w:shd w:val="clear" w:color="auto" w:fill="auto"/>
            <w:vAlign w:val="center"/>
          </w:tcPr>
          <w:p w:rsidR="00577925" w:rsidRPr="00EB7364" w:rsidRDefault="00577925" w:rsidP="00FA5E91">
            <w:pPr>
              <w:pStyle w:val="142"/>
              <w:jc w:val="center"/>
              <w:rPr>
                <w:rFonts w:hint="eastAsia"/>
              </w:rPr>
            </w:pPr>
            <w:r w:rsidRPr="00EB7364">
              <w:rPr>
                <w:rFonts w:hint="eastAsia"/>
              </w:rPr>
              <w:t>114</w:t>
            </w:r>
          </w:p>
        </w:tc>
        <w:tc>
          <w:tcPr>
            <w:tcW w:w="1276" w:type="dxa"/>
            <w:tcBorders>
              <w:bottom w:val="double" w:sz="4" w:space="0" w:color="auto"/>
            </w:tcBorders>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589.28</w:t>
            </w:r>
          </w:p>
        </w:tc>
        <w:tc>
          <w:tcPr>
            <w:tcW w:w="992" w:type="dxa"/>
            <w:tcBorders>
              <w:bottom w:val="double" w:sz="4" w:space="0" w:color="auto"/>
            </w:tcBorders>
            <w:shd w:val="clear" w:color="auto" w:fill="auto"/>
            <w:vAlign w:val="center"/>
          </w:tcPr>
          <w:p w:rsidR="00577925" w:rsidRPr="00EB7364" w:rsidRDefault="00577925" w:rsidP="00FA5E91">
            <w:pPr>
              <w:pStyle w:val="142"/>
              <w:jc w:val="right"/>
              <w:rPr>
                <w:rFonts w:hint="eastAsia"/>
              </w:rPr>
            </w:pPr>
            <w:r w:rsidRPr="00EB7364">
              <w:rPr>
                <w:rFonts w:hint="eastAsia"/>
              </w:rPr>
              <w:t>0</w:t>
            </w:r>
          </w:p>
        </w:tc>
        <w:tc>
          <w:tcPr>
            <w:tcW w:w="992" w:type="dxa"/>
            <w:tcBorders>
              <w:bottom w:val="double" w:sz="4" w:space="0" w:color="auto"/>
            </w:tcBorders>
            <w:shd w:val="clear" w:color="auto" w:fill="auto"/>
            <w:vAlign w:val="center"/>
          </w:tcPr>
          <w:p w:rsidR="00577925" w:rsidRPr="00EB7364" w:rsidRDefault="00577925" w:rsidP="00FA5E91">
            <w:pPr>
              <w:pStyle w:val="142"/>
              <w:jc w:val="right"/>
              <w:rPr>
                <w:rFonts w:hint="eastAsia"/>
              </w:rPr>
            </w:pPr>
            <w:r w:rsidRPr="00EB7364">
              <w:rPr>
                <w:rFonts w:hint="eastAsia"/>
              </w:rPr>
              <w:t>17.16</w:t>
            </w:r>
          </w:p>
        </w:tc>
        <w:tc>
          <w:tcPr>
            <w:tcW w:w="1276" w:type="dxa"/>
            <w:tcBorders>
              <w:bottom w:val="double" w:sz="4" w:space="0" w:color="auto"/>
            </w:tcBorders>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606.44</w:t>
            </w:r>
          </w:p>
        </w:tc>
        <w:tc>
          <w:tcPr>
            <w:tcW w:w="1086" w:type="dxa"/>
            <w:tcBorders>
              <w:bottom w:val="double" w:sz="4" w:space="0" w:color="auto"/>
            </w:tcBorders>
            <w:shd w:val="clear" w:color="auto" w:fill="auto"/>
            <w:vAlign w:val="center"/>
          </w:tcPr>
          <w:p w:rsidR="00577925" w:rsidRPr="00EB7364" w:rsidRDefault="00577925" w:rsidP="00FA5E91">
            <w:pPr>
              <w:pStyle w:val="142"/>
              <w:jc w:val="right"/>
              <w:rPr>
                <w:rFonts w:hint="eastAsia"/>
              </w:rPr>
            </w:pPr>
            <w:r w:rsidRPr="00EB7364">
              <w:rPr>
                <w:rFonts w:hAnsi="標楷體" w:hint="eastAsia"/>
              </w:rPr>
              <w:t>246.36</w:t>
            </w:r>
          </w:p>
        </w:tc>
        <w:tc>
          <w:tcPr>
            <w:tcW w:w="1087" w:type="dxa"/>
            <w:tcBorders>
              <w:bottom w:val="double" w:sz="4" w:space="0" w:color="auto"/>
            </w:tcBorders>
            <w:shd w:val="clear" w:color="auto" w:fill="auto"/>
            <w:vAlign w:val="center"/>
          </w:tcPr>
          <w:p w:rsidR="00577925" w:rsidRPr="00EB7364" w:rsidRDefault="00577925" w:rsidP="00FA5E91">
            <w:pPr>
              <w:pStyle w:val="142"/>
              <w:jc w:val="right"/>
              <w:rPr>
                <w:rFonts w:hint="eastAsia"/>
              </w:rPr>
            </w:pPr>
            <w:r w:rsidRPr="00EB7364">
              <w:rPr>
                <w:rFonts w:hAnsi="標楷體" w:hint="eastAsia"/>
              </w:rPr>
              <w:t>878.53</w:t>
            </w:r>
          </w:p>
        </w:tc>
        <w:tc>
          <w:tcPr>
            <w:tcW w:w="1087" w:type="dxa"/>
            <w:tcBorders>
              <w:bottom w:val="double" w:sz="4" w:space="0" w:color="auto"/>
            </w:tcBorders>
            <w:shd w:val="clear" w:color="auto" w:fill="auto"/>
            <w:vAlign w:val="center"/>
          </w:tcPr>
          <w:p w:rsidR="00577925" w:rsidRPr="00EB7364" w:rsidRDefault="00577925" w:rsidP="00FA5E91">
            <w:pPr>
              <w:pStyle w:val="142"/>
              <w:jc w:val="right"/>
              <w:rPr>
                <w:rFonts w:hint="eastAsia"/>
              </w:rPr>
            </w:pPr>
            <w:r w:rsidRPr="00EB7364">
              <w:rPr>
                <w:rFonts w:hAnsi="標楷體" w:hint="eastAsia"/>
              </w:rPr>
              <w:t>481.55</w:t>
            </w:r>
          </w:p>
        </w:tc>
      </w:tr>
      <w:tr w:rsidR="003F27AD" w:rsidRPr="00EB7364" w:rsidTr="003F27AD">
        <w:trPr>
          <w:trHeight w:hRule="exact" w:val="340"/>
        </w:trPr>
        <w:tc>
          <w:tcPr>
            <w:tcW w:w="3969" w:type="dxa"/>
            <w:gridSpan w:val="4"/>
            <w:tcBorders>
              <w:top w:val="double" w:sz="4" w:space="0" w:color="auto"/>
              <w:bottom w:val="single" w:sz="12" w:space="0" w:color="auto"/>
            </w:tcBorders>
            <w:shd w:val="clear" w:color="auto" w:fill="auto"/>
            <w:vAlign w:val="center"/>
          </w:tcPr>
          <w:p w:rsidR="003F27AD" w:rsidRPr="00EB7364" w:rsidRDefault="003F27AD" w:rsidP="003F27AD">
            <w:pPr>
              <w:pStyle w:val="142"/>
              <w:jc w:val="center"/>
              <w:rPr>
                <w:rFonts w:hint="eastAsia"/>
              </w:rPr>
            </w:pPr>
            <w:r>
              <w:rPr>
                <w:rFonts w:hint="eastAsia"/>
              </w:rPr>
              <w:t>109至114年度增加</w:t>
            </w:r>
          </w:p>
        </w:tc>
        <w:tc>
          <w:tcPr>
            <w:tcW w:w="1276" w:type="dxa"/>
            <w:tcBorders>
              <w:top w:val="double" w:sz="4" w:space="0" w:color="auto"/>
              <w:bottom w:val="single" w:sz="12" w:space="0" w:color="auto"/>
            </w:tcBorders>
            <w:shd w:val="clear" w:color="auto" w:fill="auto"/>
            <w:vAlign w:val="center"/>
          </w:tcPr>
          <w:p w:rsidR="003F27AD" w:rsidRPr="00EB7364" w:rsidRDefault="003F27AD" w:rsidP="00FA5E91">
            <w:pPr>
              <w:pStyle w:val="142"/>
              <w:jc w:val="right"/>
              <w:rPr>
                <w:rFonts w:hint="eastAsia"/>
              </w:rPr>
            </w:pPr>
            <w:r>
              <w:rPr>
                <w:rFonts w:hint="eastAsia"/>
              </w:rPr>
              <w:t>612.94</w:t>
            </w:r>
          </w:p>
        </w:tc>
        <w:tc>
          <w:tcPr>
            <w:tcW w:w="1086" w:type="dxa"/>
            <w:tcBorders>
              <w:top w:val="double" w:sz="4" w:space="0" w:color="auto"/>
              <w:bottom w:val="single" w:sz="12" w:space="0" w:color="auto"/>
            </w:tcBorders>
            <w:shd w:val="clear" w:color="auto" w:fill="auto"/>
            <w:vAlign w:val="center"/>
          </w:tcPr>
          <w:p w:rsidR="003F27AD" w:rsidRPr="00EB7364" w:rsidRDefault="003F27AD" w:rsidP="00FA5E91">
            <w:pPr>
              <w:pStyle w:val="142"/>
              <w:jc w:val="right"/>
              <w:rPr>
                <w:rFonts w:hAnsi="標楷體" w:hint="eastAsia"/>
              </w:rPr>
            </w:pPr>
            <w:r>
              <w:rPr>
                <w:rFonts w:hAnsi="標楷體" w:hint="eastAsia"/>
              </w:rPr>
              <w:t>246.36</w:t>
            </w:r>
          </w:p>
        </w:tc>
        <w:tc>
          <w:tcPr>
            <w:tcW w:w="1087" w:type="dxa"/>
            <w:tcBorders>
              <w:top w:val="double" w:sz="4" w:space="0" w:color="auto"/>
              <w:bottom w:val="single" w:sz="12" w:space="0" w:color="auto"/>
            </w:tcBorders>
            <w:shd w:val="clear" w:color="auto" w:fill="auto"/>
            <w:vAlign w:val="center"/>
          </w:tcPr>
          <w:p w:rsidR="003F27AD" w:rsidRPr="00EB7364" w:rsidRDefault="003F27AD" w:rsidP="00FA5E91">
            <w:pPr>
              <w:pStyle w:val="142"/>
              <w:jc w:val="right"/>
              <w:rPr>
                <w:rFonts w:hAnsi="標楷體" w:hint="eastAsia"/>
              </w:rPr>
            </w:pPr>
            <w:r>
              <w:rPr>
                <w:rFonts w:hAnsi="標楷體" w:hint="eastAsia"/>
              </w:rPr>
              <w:t>233.03</w:t>
            </w:r>
          </w:p>
        </w:tc>
        <w:tc>
          <w:tcPr>
            <w:tcW w:w="1087" w:type="dxa"/>
            <w:tcBorders>
              <w:top w:val="double" w:sz="4" w:space="0" w:color="auto"/>
              <w:bottom w:val="single" w:sz="12" w:space="0" w:color="auto"/>
            </w:tcBorders>
            <w:shd w:val="clear" w:color="auto" w:fill="auto"/>
            <w:vAlign w:val="center"/>
          </w:tcPr>
          <w:p w:rsidR="003F27AD" w:rsidRPr="00EB7364" w:rsidRDefault="003F27AD" w:rsidP="00FA5E91">
            <w:pPr>
              <w:pStyle w:val="142"/>
              <w:jc w:val="right"/>
              <w:rPr>
                <w:rFonts w:hAnsi="標楷體" w:hint="eastAsia"/>
              </w:rPr>
            </w:pPr>
            <w:r>
              <w:rPr>
                <w:rFonts w:hAnsi="標楷體" w:hint="eastAsia"/>
              </w:rPr>
              <w:t>133.55</w:t>
            </w:r>
          </w:p>
        </w:tc>
      </w:tr>
    </w:tbl>
    <w:p w:rsidR="00577925" w:rsidRPr="00EB7364" w:rsidRDefault="005E56CD" w:rsidP="007353DD">
      <w:pPr>
        <w:pStyle w:val="142"/>
        <w:ind w:left="1411" w:hangingChars="580" w:hanging="1411"/>
        <w:jc w:val="both"/>
        <w:rPr>
          <w:rFonts w:hAnsi="標楷體"/>
        </w:rPr>
      </w:pPr>
      <w:bookmarkStart w:id="6" w:name="_Hlk201065041"/>
      <w:r>
        <w:rPr>
          <w:rFonts w:hint="eastAsia"/>
        </w:rPr>
        <w:t>說    明</w:t>
      </w:r>
      <w:r w:rsidR="00577925" w:rsidRPr="00EB7364">
        <w:rPr>
          <w:rFonts w:hAnsi="標楷體" w:hint="eastAsia"/>
        </w:rPr>
        <w:t>：1.據科學園區管理局表示，111及112年度長期借款200億元係中科之借款，中科</w:t>
      </w:r>
      <w:r w:rsidR="00577925" w:rsidRPr="00EB7364">
        <w:rPr>
          <w:rFonts w:hAnsi="標楷體"/>
        </w:rPr>
        <w:t>每年辦理授信公開招標，依決標利率高低彈性調度資金，110年度</w:t>
      </w:r>
      <w:r w:rsidR="00577925" w:rsidRPr="00EB7364">
        <w:rPr>
          <w:rFonts w:hAnsi="標楷體" w:hint="eastAsia"/>
        </w:rPr>
        <w:t>時</w:t>
      </w:r>
      <w:r w:rsidR="00577925" w:rsidRPr="00EB7364">
        <w:rPr>
          <w:rFonts w:hAnsi="標楷體"/>
        </w:rPr>
        <w:t>辦理3年期固定利率招標，111年央行升息致短期借款機動利率上升高於長期借款，旋即調度長期借款償還短期借款，</w:t>
      </w:r>
      <w:r w:rsidR="00577925" w:rsidRPr="00EB7364">
        <w:rPr>
          <w:rFonts w:hAnsi="標楷體" w:hint="eastAsia"/>
        </w:rPr>
        <w:t>以</w:t>
      </w:r>
      <w:r w:rsidR="00577925" w:rsidRPr="00EB7364">
        <w:rPr>
          <w:rFonts w:hAnsi="標楷體"/>
        </w:rPr>
        <w:t>節省利息支出。</w:t>
      </w:r>
    </w:p>
    <w:p w:rsidR="00577925" w:rsidRPr="00EB7364" w:rsidRDefault="00577925" w:rsidP="00577925">
      <w:pPr>
        <w:pStyle w:val="142"/>
        <w:ind w:leftChars="425" w:left="1447" w:hangingChars="100" w:hanging="243"/>
        <w:rPr>
          <w:rFonts w:hAnsi="標楷體"/>
        </w:rPr>
      </w:pPr>
      <w:r w:rsidRPr="00EB7364">
        <w:rPr>
          <w:rFonts w:hAnsi="標楷體" w:hint="eastAsia"/>
        </w:rPr>
        <w:t>2.</w:t>
      </w:r>
      <w:bookmarkStart w:id="7" w:name="_Hlk201072754"/>
      <w:r w:rsidRPr="00EB7364">
        <w:rPr>
          <w:rFonts w:hAnsi="標楷體"/>
        </w:rPr>
        <w:t>110至114年度長期</w:t>
      </w:r>
      <w:r w:rsidRPr="00A95DD0">
        <w:rPr>
          <w:rFonts w:hAnsi="標楷體"/>
        </w:rPr>
        <w:t>債</w:t>
      </w:r>
      <w:r w:rsidR="00A95DD0" w:rsidRPr="00FE3B66">
        <w:rPr>
          <w:rFonts w:hAnsi="標楷體" w:hint="eastAsia"/>
        </w:rPr>
        <w:t>務</w:t>
      </w:r>
      <w:r w:rsidRPr="00EB7364">
        <w:rPr>
          <w:rFonts w:hAnsi="標楷體"/>
        </w:rPr>
        <w:t>中「其他長期負債」，係依行政院109年3月27日院臺科字第1090008939號暨109年5月22日院授主基營字第1090200493號函同意「新竹生物醫學園區第二生技大樓」由園區作業基金以價購方式取得，價購金額27.66億元，採16年無息分期付款方式，自110年至125年每年償還1</w:t>
      </w:r>
      <w:r w:rsidR="006A7433">
        <w:rPr>
          <w:rFonts w:hAnsi="標楷體" w:hint="eastAsia"/>
        </w:rPr>
        <w:t>.75</w:t>
      </w:r>
      <w:r w:rsidR="00204236">
        <w:rPr>
          <w:rFonts w:hAnsi="標楷體" w:hint="eastAsia"/>
        </w:rPr>
        <w:t>億</w:t>
      </w:r>
      <w:r w:rsidRPr="00EB7364">
        <w:rPr>
          <w:rFonts w:hAnsi="標楷體"/>
        </w:rPr>
        <w:t>元</w:t>
      </w:r>
      <w:bookmarkEnd w:id="7"/>
      <w:r w:rsidRPr="00EB7364">
        <w:rPr>
          <w:rFonts w:hAnsi="標楷體" w:hint="eastAsia"/>
        </w:rPr>
        <w:t>。</w:t>
      </w:r>
    </w:p>
    <w:p w:rsidR="00577925" w:rsidRPr="00EB7364" w:rsidRDefault="00577925" w:rsidP="00577925">
      <w:pPr>
        <w:pStyle w:val="142"/>
        <w:ind w:leftChars="425" w:left="1447" w:hangingChars="100" w:hanging="243"/>
        <w:rPr>
          <w:rFonts w:hint="eastAsia"/>
        </w:rPr>
      </w:pPr>
      <w:r w:rsidRPr="00EB7364">
        <w:rPr>
          <w:rFonts w:hint="eastAsia"/>
        </w:rPr>
        <w:lastRenderedPageBreak/>
        <w:t>3.</w:t>
      </w:r>
      <w:r w:rsidR="007C230B">
        <w:rPr>
          <w:rFonts w:hint="eastAsia"/>
        </w:rPr>
        <w:t>109至</w:t>
      </w:r>
      <w:r w:rsidRPr="00EB7364">
        <w:rPr>
          <w:rFonts w:hint="eastAsia"/>
        </w:rPr>
        <w:t>113年度係決算</w:t>
      </w:r>
      <w:r w:rsidR="007C230B">
        <w:rPr>
          <w:rFonts w:hint="eastAsia"/>
        </w:rPr>
        <w:t>審定</w:t>
      </w:r>
      <w:r w:rsidRPr="00EB7364">
        <w:rPr>
          <w:rFonts w:hint="eastAsia"/>
        </w:rPr>
        <w:t>數</w:t>
      </w:r>
      <w:r w:rsidRPr="00EB7364">
        <w:rPr>
          <w:rFonts w:hAnsi="標楷體" w:hint="eastAsia"/>
        </w:rPr>
        <w:t>，</w:t>
      </w:r>
      <w:r w:rsidRPr="00EB7364">
        <w:rPr>
          <w:rFonts w:hint="eastAsia"/>
        </w:rPr>
        <w:t>114年度為預算</w:t>
      </w:r>
      <w:r w:rsidR="007C230B">
        <w:rPr>
          <w:rFonts w:hint="eastAsia"/>
        </w:rPr>
        <w:t>案</w:t>
      </w:r>
      <w:r w:rsidRPr="00EB7364">
        <w:rPr>
          <w:rFonts w:hint="eastAsia"/>
        </w:rPr>
        <w:t>數</w:t>
      </w:r>
      <w:r w:rsidRPr="00EB7364">
        <w:rPr>
          <w:rFonts w:hAnsi="標楷體" w:hint="eastAsia"/>
        </w:rPr>
        <w:t>。</w:t>
      </w:r>
    </w:p>
    <w:p w:rsidR="00577925" w:rsidRPr="00EB7364" w:rsidRDefault="00577925" w:rsidP="00577925">
      <w:pPr>
        <w:pStyle w:val="142"/>
        <w:ind w:left="647" w:hanging="647"/>
      </w:pPr>
      <w:r w:rsidRPr="00EB7364">
        <w:rPr>
          <w:rFonts w:hint="eastAsia"/>
        </w:rPr>
        <w:t>資料來源：</w:t>
      </w:r>
      <w:r w:rsidR="00556925">
        <w:rPr>
          <w:rFonts w:hint="eastAsia"/>
        </w:rPr>
        <w:t>國科會</w:t>
      </w:r>
      <w:r w:rsidRPr="00EB7364">
        <w:rPr>
          <w:rFonts w:hint="eastAsia"/>
        </w:rPr>
        <w:t>提供。</w:t>
      </w:r>
    </w:p>
    <w:bookmarkEnd w:id="6"/>
    <w:p w:rsidR="00577925" w:rsidRPr="00EB7364" w:rsidRDefault="00577925" w:rsidP="00577925">
      <w:pPr>
        <w:pStyle w:val="a4"/>
        <w:ind w:left="849" w:hanging="283"/>
        <w:rPr>
          <w:rFonts w:hAnsi="標楷體"/>
          <w:b/>
          <w:bCs/>
        </w:rPr>
      </w:pPr>
      <w:r w:rsidRPr="00EB7364">
        <w:rPr>
          <w:rFonts w:hint="eastAsia"/>
          <w:b/>
          <w:bCs/>
        </w:rPr>
        <w:t>(二)109至114年度借款金額增加595.78億元</w:t>
      </w:r>
      <w:r w:rsidRPr="00EB7364">
        <w:rPr>
          <w:rFonts w:hAnsi="標楷體" w:hint="eastAsia"/>
          <w:b/>
          <w:bCs/>
        </w:rPr>
        <w:t>，利息增幅5.42倍，</w:t>
      </w:r>
      <w:r w:rsidR="007C230B">
        <w:rPr>
          <w:rFonts w:hAnsi="標楷體" w:hint="eastAsia"/>
          <w:b/>
          <w:bCs/>
        </w:rPr>
        <w:t>114年度預計</w:t>
      </w:r>
      <w:r w:rsidRPr="00EB7364">
        <w:rPr>
          <w:rFonts w:hAnsi="標楷體" w:hint="eastAsia"/>
          <w:b/>
          <w:bCs/>
        </w:rPr>
        <w:t>平均每月利息支出2.09億元</w:t>
      </w:r>
      <w:r w:rsidR="00BA5BE8" w:rsidRPr="00EB7364">
        <w:rPr>
          <w:rFonts w:hAnsi="標楷體" w:hint="eastAsia"/>
          <w:b/>
          <w:bCs/>
        </w:rPr>
        <w:t>，允宜留意</w:t>
      </w:r>
      <w:r w:rsidR="007C230B">
        <w:rPr>
          <w:rFonts w:hAnsi="標楷體" w:hint="eastAsia"/>
          <w:b/>
          <w:bCs/>
        </w:rPr>
        <w:t>長短期</w:t>
      </w:r>
      <w:r w:rsidR="00BA5BE8" w:rsidRPr="00EB7364">
        <w:rPr>
          <w:rFonts w:hAnsi="標楷體" w:hint="eastAsia"/>
          <w:b/>
          <w:bCs/>
        </w:rPr>
        <w:t>借貸利率變化趨勢，</w:t>
      </w:r>
      <w:bookmarkStart w:id="8" w:name="_Hlk202427977"/>
      <w:r w:rsidR="007C230B">
        <w:rPr>
          <w:rFonts w:hAnsi="標楷體" w:hint="eastAsia"/>
          <w:b/>
          <w:bCs/>
        </w:rPr>
        <w:t>妥為規劃債務配置及</w:t>
      </w:r>
      <w:bookmarkEnd w:id="8"/>
      <w:r w:rsidR="00BA5BE8" w:rsidRPr="00EB7364">
        <w:rPr>
          <w:rFonts w:hAnsi="標楷體" w:hint="eastAsia"/>
          <w:b/>
          <w:bCs/>
        </w:rPr>
        <w:t>強化管理措施，俾減輕債息負擔</w:t>
      </w:r>
    </w:p>
    <w:p w:rsidR="00577925" w:rsidRPr="00EB7364" w:rsidRDefault="007C230B" w:rsidP="006A7433">
      <w:pPr>
        <w:pStyle w:val="21"/>
        <w:ind w:left="850" w:firstLine="566"/>
        <w:rPr>
          <w:snapToGrid/>
        </w:rPr>
      </w:pPr>
      <w:r>
        <w:rPr>
          <w:rFonts w:hint="eastAsia"/>
        </w:rPr>
        <w:t>園區</w:t>
      </w:r>
      <w:r w:rsidR="00577925" w:rsidRPr="00EB7364">
        <w:rPr>
          <w:rFonts w:hint="eastAsia"/>
        </w:rPr>
        <w:t>作業基金債務中除</w:t>
      </w:r>
      <w:r w:rsidR="00577925" w:rsidRPr="00EB7364">
        <w:t>「其他長期負債」</w:t>
      </w:r>
      <w:r>
        <w:rPr>
          <w:rFonts w:hint="eastAsia"/>
        </w:rPr>
        <w:t>係</w:t>
      </w:r>
      <w:r w:rsidR="00577925" w:rsidRPr="00EB7364">
        <w:t>新竹生物醫學園區第二生技大樓價購</w:t>
      </w:r>
      <w:r w:rsidR="00577925" w:rsidRPr="00EB7364">
        <w:rPr>
          <w:rFonts w:hint="eastAsia"/>
        </w:rPr>
        <w:t>經費外</w:t>
      </w:r>
      <w:r w:rsidR="00577925" w:rsidRPr="00EB7364">
        <w:t>，</w:t>
      </w:r>
      <w:r w:rsidR="00577925" w:rsidRPr="00EB7364">
        <w:rPr>
          <w:rFonts w:hint="eastAsia"/>
        </w:rPr>
        <w:t>其餘皆為向</w:t>
      </w:r>
      <w:r w:rsidR="00577925" w:rsidRPr="00EB7364">
        <w:t>金融機構</w:t>
      </w:r>
      <w:r w:rsidR="00577925" w:rsidRPr="00EB7364">
        <w:rPr>
          <w:rFonts w:hint="eastAsia"/>
        </w:rPr>
        <w:t>借款，借款金額自109年度993.5</w:t>
      </w:r>
      <w:r>
        <w:rPr>
          <w:rFonts w:hint="eastAsia"/>
        </w:rPr>
        <w:t>0</w:t>
      </w:r>
      <w:r w:rsidR="00577925" w:rsidRPr="00EB7364">
        <w:rPr>
          <w:rFonts w:hint="eastAsia"/>
        </w:rPr>
        <w:t>億元成長至113年度1</w:t>
      </w:r>
      <w:r w:rsidR="00577925" w:rsidRPr="00EB7364">
        <w:t>,</w:t>
      </w:r>
      <w:r w:rsidR="00577925" w:rsidRPr="00EB7364">
        <w:rPr>
          <w:rFonts w:hint="eastAsia"/>
        </w:rPr>
        <w:t>202.5</w:t>
      </w:r>
      <w:r w:rsidR="00A5696E">
        <w:rPr>
          <w:rFonts w:hint="eastAsia"/>
        </w:rPr>
        <w:t>0</w:t>
      </w:r>
      <w:r w:rsidR="00577925" w:rsidRPr="00EB7364">
        <w:rPr>
          <w:rFonts w:hint="eastAsia"/>
        </w:rPr>
        <w:t>億元，114年度預算</w:t>
      </w:r>
      <w:r>
        <w:rPr>
          <w:rFonts w:hint="eastAsia"/>
        </w:rPr>
        <w:t>案</w:t>
      </w:r>
      <w:r w:rsidR="00577925" w:rsidRPr="00EB7364">
        <w:rPr>
          <w:rFonts w:hint="eastAsia"/>
        </w:rPr>
        <w:t>再增加至1</w:t>
      </w:r>
      <w:r w:rsidR="00577925" w:rsidRPr="00EB7364">
        <w:t>,589.28</w:t>
      </w:r>
      <w:r w:rsidR="00577925" w:rsidRPr="00EB7364">
        <w:rPr>
          <w:rFonts w:hint="eastAsia"/>
        </w:rPr>
        <w:t>億元， 109至114年度6年間共增加</w:t>
      </w:r>
      <w:r w:rsidR="00577925" w:rsidRPr="00EB7364">
        <w:t>595.78</w:t>
      </w:r>
      <w:r w:rsidR="00577925" w:rsidRPr="00EB7364">
        <w:rPr>
          <w:rFonts w:hint="eastAsia"/>
        </w:rPr>
        <w:t>億元，</w:t>
      </w:r>
      <w:r>
        <w:rPr>
          <w:rFonts w:hint="eastAsia"/>
        </w:rPr>
        <w:t>且</w:t>
      </w:r>
      <w:r w:rsidR="000E5D65" w:rsidRPr="00EB7364">
        <w:rPr>
          <w:rFonts w:hint="eastAsia"/>
        </w:rPr>
        <w:t>同期間平均借貸利率</w:t>
      </w:r>
      <w:r>
        <w:rPr>
          <w:rFonts w:hint="eastAsia"/>
        </w:rPr>
        <w:t>亦</w:t>
      </w:r>
      <w:r w:rsidR="00446001" w:rsidRPr="00EB7364">
        <w:rPr>
          <w:rFonts w:hint="eastAsia"/>
        </w:rPr>
        <w:t>自0.39%上升至1.58%，</w:t>
      </w:r>
      <w:r>
        <w:rPr>
          <w:rFonts w:hint="eastAsia"/>
        </w:rPr>
        <w:t>致</w:t>
      </w:r>
      <w:r w:rsidR="00577925" w:rsidRPr="00EB7364">
        <w:rPr>
          <w:rFonts w:hint="eastAsia"/>
        </w:rPr>
        <w:t>利息</w:t>
      </w:r>
      <w:r>
        <w:rPr>
          <w:rFonts w:hint="eastAsia"/>
        </w:rPr>
        <w:t>負擔攀升</w:t>
      </w:r>
      <w:r w:rsidR="00577925" w:rsidRPr="00EB7364">
        <w:rPr>
          <w:rFonts w:hint="eastAsia"/>
        </w:rPr>
        <w:t>，109年度利息為3.9</w:t>
      </w:r>
      <w:r w:rsidR="006A7433">
        <w:rPr>
          <w:rFonts w:hint="eastAsia"/>
        </w:rPr>
        <w:t>0</w:t>
      </w:r>
      <w:r w:rsidR="00577925" w:rsidRPr="00EB7364">
        <w:rPr>
          <w:rFonts w:hint="eastAsia"/>
        </w:rPr>
        <w:t>億元，113年度增加至17.12億元，114年度預算</w:t>
      </w:r>
      <w:r>
        <w:rPr>
          <w:rFonts w:hint="eastAsia"/>
        </w:rPr>
        <w:t>案</w:t>
      </w:r>
      <w:r w:rsidR="006A7433">
        <w:rPr>
          <w:rFonts w:hint="eastAsia"/>
        </w:rPr>
        <w:t>已達</w:t>
      </w:r>
      <w:r w:rsidR="00577925" w:rsidRPr="00EB7364">
        <w:rPr>
          <w:rFonts w:hint="eastAsia"/>
        </w:rPr>
        <w:t>25.05億元，6年間利息支出大幅增加21.15億元(增幅542.31%)，以114年度</w:t>
      </w:r>
      <w:r>
        <w:rPr>
          <w:rFonts w:hint="eastAsia"/>
        </w:rPr>
        <w:t>預計利息費用</w:t>
      </w:r>
      <w:r w:rsidR="00577925" w:rsidRPr="00EB7364">
        <w:rPr>
          <w:rFonts w:hint="eastAsia"/>
        </w:rPr>
        <w:t>25.05億元</w:t>
      </w:r>
      <w:r>
        <w:rPr>
          <w:rFonts w:hint="eastAsia"/>
        </w:rPr>
        <w:t>為例</w:t>
      </w:r>
      <w:r w:rsidR="00577925" w:rsidRPr="00EB7364">
        <w:rPr>
          <w:rFonts w:hint="eastAsia"/>
        </w:rPr>
        <w:t>，平均每月利息支出</w:t>
      </w:r>
      <w:r>
        <w:rPr>
          <w:rFonts w:hint="eastAsia"/>
        </w:rPr>
        <w:t>為</w:t>
      </w:r>
      <w:r w:rsidR="00577925" w:rsidRPr="00EB7364">
        <w:rPr>
          <w:rFonts w:hint="eastAsia"/>
        </w:rPr>
        <w:t>2.09億元</w:t>
      </w:r>
      <w:r w:rsidR="00154DBF" w:rsidRPr="00EB7364">
        <w:rPr>
          <w:rFonts w:hint="eastAsia"/>
        </w:rPr>
        <w:t>(詳表</w:t>
      </w:r>
      <w:r w:rsidR="004611E7" w:rsidRPr="00EB7364">
        <w:rPr>
          <w:rFonts w:hint="eastAsia"/>
        </w:rPr>
        <w:t>7</w:t>
      </w:r>
      <w:r w:rsidR="00154DBF" w:rsidRPr="00EB7364">
        <w:rPr>
          <w:rFonts w:hint="eastAsia"/>
        </w:rPr>
        <w:t>)</w:t>
      </w:r>
      <w:r>
        <w:rPr>
          <w:rFonts w:hint="eastAsia"/>
        </w:rPr>
        <w:t>。該基金主要以短期借款支應長期建設所需資金，</w:t>
      </w:r>
      <w:r w:rsidR="00092E8B" w:rsidRPr="00EB7364">
        <w:rPr>
          <w:rFonts w:hint="eastAsia"/>
        </w:rPr>
        <w:t>允宜</w:t>
      </w:r>
      <w:r w:rsidR="00BA5BE8" w:rsidRPr="00EB7364">
        <w:rPr>
          <w:rFonts w:hint="eastAsia"/>
        </w:rPr>
        <w:t>留</w:t>
      </w:r>
      <w:r w:rsidR="00BA5BE8" w:rsidRPr="00EB7364">
        <w:rPr>
          <w:rFonts w:hint="eastAsia"/>
        </w:rPr>
        <w:lastRenderedPageBreak/>
        <w:t>意</w:t>
      </w:r>
      <w:r>
        <w:rPr>
          <w:rFonts w:hint="eastAsia"/>
        </w:rPr>
        <w:t>長短期</w:t>
      </w:r>
      <w:r w:rsidR="00BA5BE8" w:rsidRPr="00EB7364">
        <w:rPr>
          <w:rFonts w:hint="eastAsia"/>
        </w:rPr>
        <w:t>借貸利率變化趨勢，</w:t>
      </w:r>
      <w:r w:rsidRPr="007C230B">
        <w:rPr>
          <w:rFonts w:hint="eastAsia"/>
        </w:rPr>
        <w:t>妥為規劃債務配置及</w:t>
      </w:r>
      <w:r w:rsidR="00092E8B" w:rsidRPr="00EB7364">
        <w:rPr>
          <w:rFonts w:hint="eastAsia"/>
        </w:rPr>
        <w:t>強化管理措施，</w:t>
      </w:r>
      <w:r w:rsidR="00BA5BE8" w:rsidRPr="00EB7364">
        <w:rPr>
          <w:rFonts w:hint="eastAsia"/>
        </w:rPr>
        <w:t>俾</w:t>
      </w:r>
      <w:r w:rsidR="00092E8B" w:rsidRPr="00EB7364">
        <w:rPr>
          <w:rFonts w:hint="eastAsia"/>
        </w:rPr>
        <w:t>減輕債息負擔</w:t>
      </w:r>
      <w:r w:rsidR="00577925" w:rsidRPr="00EB7364">
        <w:rPr>
          <w:rFonts w:hint="eastAsia"/>
        </w:rPr>
        <w:t>。</w:t>
      </w:r>
    </w:p>
    <w:p w:rsidR="00577925" w:rsidRPr="00EB7364" w:rsidRDefault="00577925" w:rsidP="00577925">
      <w:pPr>
        <w:spacing w:line="400" w:lineRule="exact"/>
        <w:ind w:leftChars="-1" w:left="666" w:rightChars="-17" w:right="-48" w:hangingChars="236" w:hanging="669"/>
        <w:jc w:val="left"/>
        <w:rPr>
          <w:rFonts w:hAnsi="標楷體"/>
          <w:b/>
        </w:rPr>
      </w:pPr>
      <w:bookmarkStart w:id="9" w:name="_Hlk201222754"/>
      <w:r w:rsidRPr="00EB7364">
        <w:rPr>
          <w:rFonts w:hAnsi="標楷體" w:hint="eastAsia"/>
          <w:b/>
        </w:rPr>
        <w:t>表</w:t>
      </w:r>
      <w:r w:rsidR="004611E7" w:rsidRPr="00EB7364">
        <w:rPr>
          <w:rFonts w:hAnsi="標楷體" w:hint="eastAsia"/>
          <w:b/>
        </w:rPr>
        <w:t>7</w:t>
      </w:r>
      <w:r w:rsidRPr="00EB7364">
        <w:rPr>
          <w:rFonts w:hAnsi="標楷體" w:hint="eastAsia"/>
          <w:b/>
        </w:rPr>
        <w:t xml:space="preserve">  </w:t>
      </w:r>
      <w:r w:rsidR="00A7393F" w:rsidRPr="00EB7364">
        <w:rPr>
          <w:rFonts w:hAnsi="標楷體"/>
          <w:b/>
        </w:rPr>
        <w:t>109</w:t>
      </w:r>
      <w:r w:rsidR="00A7393F" w:rsidRPr="00EB7364">
        <w:rPr>
          <w:rFonts w:hAnsi="標楷體" w:hint="eastAsia"/>
          <w:b/>
        </w:rPr>
        <w:t>至114年度</w:t>
      </w:r>
      <w:r w:rsidRPr="00EB7364">
        <w:rPr>
          <w:rFonts w:hAnsi="標楷體" w:hint="eastAsia"/>
          <w:b/>
        </w:rPr>
        <w:t>各科學園區借款及利息統計表</w:t>
      </w:r>
    </w:p>
    <w:p w:rsidR="00577925" w:rsidRPr="00EB7364" w:rsidRDefault="00577925" w:rsidP="00577925">
      <w:pPr>
        <w:pStyle w:val="142"/>
        <w:ind w:left="647" w:hanging="647"/>
        <w:jc w:val="right"/>
        <w:rPr>
          <w:rFonts w:hint="eastAsia"/>
        </w:rPr>
      </w:pPr>
      <w:r w:rsidRPr="00EB7364">
        <w:rPr>
          <w:rFonts w:hint="eastAsia"/>
          <w:snapToGrid/>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15"/>
        <w:gridCol w:w="1215"/>
        <w:gridCol w:w="1215"/>
        <w:gridCol w:w="1215"/>
        <w:gridCol w:w="1215"/>
        <w:gridCol w:w="1215"/>
        <w:gridCol w:w="1215"/>
      </w:tblGrid>
      <w:tr w:rsidR="00577925" w:rsidRPr="00EB7364" w:rsidTr="00FA5E91">
        <w:trPr>
          <w:trHeight w:hRule="exact" w:val="340"/>
          <w:tblHeader/>
        </w:trPr>
        <w:tc>
          <w:tcPr>
            <w:tcW w:w="1215" w:type="dxa"/>
            <w:vMerge w:val="restart"/>
            <w:tcBorders>
              <w:top w:val="single" w:sz="12" w:space="0" w:color="auto"/>
              <w:bottom w:val="single" w:sz="6" w:space="0" w:color="auto"/>
              <w:tl2br w:val="single" w:sz="6" w:space="0" w:color="auto"/>
            </w:tcBorders>
            <w:shd w:val="clear" w:color="auto" w:fill="auto"/>
            <w:vAlign w:val="center"/>
          </w:tcPr>
          <w:bookmarkEnd w:id="9"/>
          <w:p w:rsidR="00577925" w:rsidRPr="00EB7364" w:rsidRDefault="00577925" w:rsidP="00FA5E91">
            <w:pPr>
              <w:pStyle w:val="142"/>
              <w:jc w:val="center"/>
            </w:pPr>
            <w:r w:rsidRPr="00EB7364">
              <w:rPr>
                <w:rFonts w:hint="eastAsia"/>
              </w:rPr>
              <w:t xml:space="preserve">    </w:t>
            </w:r>
            <w:r w:rsidRPr="00EB7364">
              <w:t>項目</w:t>
            </w:r>
          </w:p>
          <w:p w:rsidR="00577925" w:rsidRPr="00EB7364" w:rsidRDefault="00577925" w:rsidP="00FA5E91">
            <w:pPr>
              <w:pStyle w:val="142"/>
            </w:pPr>
            <w:r w:rsidRPr="00EB7364">
              <w:rPr>
                <w:rFonts w:hint="eastAsia"/>
              </w:rPr>
              <w:t>年度</w:t>
            </w:r>
          </w:p>
        </w:tc>
        <w:tc>
          <w:tcPr>
            <w:tcW w:w="1215" w:type="dxa"/>
            <w:vMerge w:val="restart"/>
            <w:shd w:val="clear" w:color="auto" w:fill="auto"/>
            <w:vAlign w:val="center"/>
          </w:tcPr>
          <w:p w:rsidR="00577925" w:rsidRPr="00EB7364" w:rsidRDefault="00577925" w:rsidP="00FA5E91">
            <w:pPr>
              <w:pStyle w:val="142"/>
              <w:jc w:val="center"/>
            </w:pPr>
            <w:r w:rsidRPr="00EB7364">
              <w:rPr>
                <w:rFonts w:hint="eastAsia"/>
              </w:rPr>
              <w:t>借款(</w:t>
            </w:r>
            <w:r w:rsidRPr="00EB7364">
              <w:t>A</w:t>
            </w:r>
            <w:r w:rsidRPr="00EB7364">
              <w:rPr>
                <w:rFonts w:hint="eastAsia"/>
              </w:rPr>
              <w:t>)</w:t>
            </w:r>
          </w:p>
        </w:tc>
        <w:tc>
          <w:tcPr>
            <w:tcW w:w="4860" w:type="dxa"/>
            <w:gridSpan w:val="4"/>
            <w:shd w:val="clear" w:color="auto" w:fill="auto"/>
            <w:vAlign w:val="center"/>
          </w:tcPr>
          <w:p w:rsidR="00577925" w:rsidRPr="00EB7364" w:rsidRDefault="00577925" w:rsidP="00FA5E91">
            <w:pPr>
              <w:pStyle w:val="142"/>
              <w:jc w:val="center"/>
            </w:pPr>
            <w:r w:rsidRPr="00EB7364">
              <w:rPr>
                <w:rFonts w:hint="eastAsia"/>
              </w:rPr>
              <w:t>利息</w:t>
            </w:r>
          </w:p>
        </w:tc>
        <w:tc>
          <w:tcPr>
            <w:tcW w:w="1215" w:type="dxa"/>
            <w:vMerge w:val="restart"/>
            <w:vAlign w:val="center"/>
          </w:tcPr>
          <w:p w:rsidR="00577925" w:rsidRPr="00EB7364" w:rsidRDefault="00577925" w:rsidP="00FA5E91">
            <w:pPr>
              <w:pStyle w:val="142"/>
              <w:jc w:val="center"/>
            </w:pPr>
            <w:r w:rsidRPr="00EB7364">
              <w:t>平均利率</w:t>
            </w:r>
          </w:p>
          <w:p w:rsidR="00577925" w:rsidRPr="00EB7364" w:rsidRDefault="00577925" w:rsidP="00FA5E91">
            <w:pPr>
              <w:pStyle w:val="142"/>
              <w:jc w:val="center"/>
              <w:rPr>
                <w:rFonts w:hint="eastAsia"/>
              </w:rPr>
            </w:pPr>
            <w:r w:rsidRPr="00EB7364">
              <w:rPr>
                <w:rFonts w:hint="eastAsia"/>
              </w:rPr>
              <w:t>(</w:t>
            </w:r>
            <w:r w:rsidRPr="00EB7364">
              <w:t>B/A)</w:t>
            </w:r>
          </w:p>
        </w:tc>
      </w:tr>
      <w:tr w:rsidR="00577925" w:rsidRPr="00EB7364" w:rsidTr="00FA5E91">
        <w:trPr>
          <w:trHeight w:hRule="exact" w:val="340"/>
          <w:tblHeader/>
        </w:trPr>
        <w:tc>
          <w:tcPr>
            <w:tcW w:w="1215" w:type="dxa"/>
            <w:vMerge/>
            <w:tcBorders>
              <w:top w:val="single" w:sz="6" w:space="0" w:color="auto"/>
              <w:bottom w:val="single" w:sz="6" w:space="0" w:color="auto"/>
              <w:tl2br w:val="single" w:sz="6" w:space="0" w:color="auto"/>
            </w:tcBorders>
            <w:shd w:val="clear" w:color="auto" w:fill="auto"/>
            <w:vAlign w:val="center"/>
          </w:tcPr>
          <w:p w:rsidR="00577925" w:rsidRPr="00EB7364" w:rsidRDefault="00577925" w:rsidP="00FA5E91">
            <w:pPr>
              <w:pStyle w:val="142"/>
              <w:jc w:val="center"/>
            </w:pPr>
          </w:p>
        </w:tc>
        <w:tc>
          <w:tcPr>
            <w:tcW w:w="1215" w:type="dxa"/>
            <w:vMerge/>
            <w:shd w:val="clear" w:color="auto" w:fill="auto"/>
            <w:vAlign w:val="center"/>
          </w:tcPr>
          <w:p w:rsidR="00577925" w:rsidRPr="00EB7364" w:rsidRDefault="00577925" w:rsidP="00FA5E91">
            <w:pPr>
              <w:pStyle w:val="142"/>
              <w:jc w:val="center"/>
            </w:pPr>
          </w:p>
        </w:tc>
        <w:tc>
          <w:tcPr>
            <w:tcW w:w="1215" w:type="dxa"/>
            <w:shd w:val="clear" w:color="auto" w:fill="auto"/>
            <w:vAlign w:val="center"/>
          </w:tcPr>
          <w:p w:rsidR="00577925" w:rsidRPr="00EB7364" w:rsidRDefault="00577925" w:rsidP="00FA5E91">
            <w:pPr>
              <w:pStyle w:val="142"/>
              <w:jc w:val="center"/>
            </w:pPr>
            <w:r w:rsidRPr="00EB7364">
              <w:t>竹科</w:t>
            </w:r>
          </w:p>
        </w:tc>
        <w:tc>
          <w:tcPr>
            <w:tcW w:w="1215" w:type="dxa"/>
            <w:shd w:val="clear" w:color="auto" w:fill="auto"/>
            <w:vAlign w:val="center"/>
          </w:tcPr>
          <w:p w:rsidR="00577925" w:rsidRPr="00EB7364" w:rsidRDefault="00577925" w:rsidP="00FA5E91">
            <w:pPr>
              <w:pStyle w:val="142"/>
              <w:jc w:val="center"/>
            </w:pPr>
            <w:r w:rsidRPr="00EB7364">
              <w:t>中科</w:t>
            </w:r>
          </w:p>
        </w:tc>
        <w:tc>
          <w:tcPr>
            <w:tcW w:w="1215" w:type="dxa"/>
            <w:shd w:val="clear" w:color="auto" w:fill="auto"/>
            <w:vAlign w:val="center"/>
          </w:tcPr>
          <w:p w:rsidR="00577925" w:rsidRPr="00EB7364" w:rsidRDefault="00577925" w:rsidP="00FA5E91">
            <w:pPr>
              <w:pStyle w:val="142"/>
              <w:jc w:val="center"/>
            </w:pPr>
            <w:r w:rsidRPr="00EB7364">
              <w:t>南科</w:t>
            </w:r>
          </w:p>
        </w:tc>
        <w:tc>
          <w:tcPr>
            <w:tcW w:w="1215" w:type="dxa"/>
            <w:vAlign w:val="center"/>
          </w:tcPr>
          <w:p w:rsidR="00577925" w:rsidRPr="00EB7364" w:rsidRDefault="00577925" w:rsidP="00FA5E91">
            <w:pPr>
              <w:pStyle w:val="142"/>
              <w:jc w:val="center"/>
            </w:pPr>
            <w:r w:rsidRPr="00EB7364">
              <w:rPr>
                <w:rFonts w:hint="eastAsia"/>
              </w:rPr>
              <w:t>合計(</w:t>
            </w:r>
            <w:r w:rsidRPr="00EB7364">
              <w:t>B)</w:t>
            </w:r>
          </w:p>
        </w:tc>
        <w:tc>
          <w:tcPr>
            <w:tcW w:w="1215" w:type="dxa"/>
            <w:vMerge/>
            <w:shd w:val="clear" w:color="auto" w:fill="auto"/>
            <w:vAlign w:val="center"/>
          </w:tcPr>
          <w:p w:rsidR="00577925" w:rsidRPr="00EB7364" w:rsidRDefault="00577925" w:rsidP="00FA5E91">
            <w:pPr>
              <w:pStyle w:val="142"/>
              <w:jc w:val="center"/>
              <w:rPr>
                <w:rFonts w:hint="eastAsia"/>
              </w:rPr>
            </w:pPr>
          </w:p>
        </w:tc>
      </w:tr>
      <w:tr w:rsidR="00577925" w:rsidRPr="00EB7364" w:rsidTr="00FA5E91">
        <w:trPr>
          <w:trHeight w:hRule="exact" w:val="340"/>
        </w:trPr>
        <w:tc>
          <w:tcPr>
            <w:tcW w:w="1215" w:type="dxa"/>
            <w:shd w:val="clear" w:color="auto" w:fill="auto"/>
            <w:vAlign w:val="center"/>
          </w:tcPr>
          <w:p w:rsidR="00577925" w:rsidRPr="00EB7364" w:rsidRDefault="00577925" w:rsidP="00FA5E91">
            <w:pPr>
              <w:pStyle w:val="142"/>
              <w:jc w:val="center"/>
            </w:pPr>
            <w:r w:rsidRPr="00EB7364">
              <w:t>109</w:t>
            </w:r>
          </w:p>
        </w:tc>
        <w:tc>
          <w:tcPr>
            <w:tcW w:w="1215" w:type="dxa"/>
            <w:shd w:val="clear" w:color="auto" w:fill="auto"/>
            <w:vAlign w:val="center"/>
          </w:tcPr>
          <w:p w:rsidR="00577925" w:rsidRPr="00EB7364" w:rsidRDefault="00577925" w:rsidP="00FA5E91">
            <w:pPr>
              <w:pStyle w:val="142"/>
              <w:jc w:val="right"/>
            </w:pPr>
            <w:r w:rsidRPr="00EB7364">
              <w:rPr>
                <w:rFonts w:hint="eastAsia"/>
              </w:rPr>
              <w:t>993.50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0</w:t>
            </w:r>
          </w:p>
        </w:tc>
        <w:tc>
          <w:tcPr>
            <w:tcW w:w="1215" w:type="dxa"/>
            <w:shd w:val="clear" w:color="auto" w:fill="auto"/>
            <w:vAlign w:val="center"/>
          </w:tcPr>
          <w:p w:rsidR="00577925" w:rsidRPr="00EB7364" w:rsidRDefault="00577925" w:rsidP="00FA5E91">
            <w:pPr>
              <w:pStyle w:val="142"/>
              <w:jc w:val="right"/>
            </w:pPr>
            <w:r w:rsidRPr="00EB7364">
              <w:rPr>
                <w:rFonts w:hint="eastAsia"/>
              </w:rPr>
              <w:t>2.60</w:t>
            </w:r>
          </w:p>
        </w:tc>
        <w:tc>
          <w:tcPr>
            <w:tcW w:w="1215" w:type="dxa"/>
            <w:shd w:val="clear" w:color="auto" w:fill="auto"/>
            <w:vAlign w:val="center"/>
          </w:tcPr>
          <w:p w:rsidR="00577925" w:rsidRPr="00EB7364" w:rsidRDefault="00577925" w:rsidP="00FA5E91">
            <w:pPr>
              <w:pStyle w:val="142"/>
              <w:jc w:val="right"/>
            </w:pPr>
            <w:r w:rsidRPr="00EB7364">
              <w:rPr>
                <w:rFonts w:hint="eastAsia"/>
              </w:rPr>
              <w:t>1.30</w:t>
            </w:r>
          </w:p>
        </w:tc>
        <w:tc>
          <w:tcPr>
            <w:tcW w:w="1215" w:type="dxa"/>
            <w:vAlign w:val="center"/>
          </w:tcPr>
          <w:p w:rsidR="00577925" w:rsidRPr="00EB7364" w:rsidRDefault="00577925" w:rsidP="00FA5E91">
            <w:pPr>
              <w:pStyle w:val="142"/>
              <w:jc w:val="right"/>
              <w:rPr>
                <w:rFonts w:hint="eastAsia"/>
              </w:rPr>
            </w:pPr>
            <w:r w:rsidRPr="00EB7364">
              <w:rPr>
                <w:rFonts w:hint="eastAsia"/>
              </w:rPr>
              <w:t>3.90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0.39</w:t>
            </w:r>
          </w:p>
        </w:tc>
      </w:tr>
      <w:tr w:rsidR="00577925" w:rsidRPr="00EB7364" w:rsidTr="00FA5E91">
        <w:trPr>
          <w:trHeight w:hRule="exact" w:val="340"/>
        </w:trPr>
        <w:tc>
          <w:tcPr>
            <w:tcW w:w="1215" w:type="dxa"/>
            <w:shd w:val="clear" w:color="auto" w:fill="auto"/>
            <w:vAlign w:val="center"/>
          </w:tcPr>
          <w:p w:rsidR="00577925" w:rsidRPr="00EB7364" w:rsidRDefault="00577925" w:rsidP="00FA5E91">
            <w:pPr>
              <w:pStyle w:val="142"/>
              <w:jc w:val="center"/>
              <w:rPr>
                <w:rFonts w:hint="eastAsia"/>
              </w:rPr>
            </w:pPr>
            <w:r w:rsidRPr="00EB7364">
              <w:rPr>
                <w:rFonts w:hint="eastAsia"/>
              </w:rPr>
              <w:t>110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977.70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3.04</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1.52</w:t>
            </w:r>
          </w:p>
        </w:tc>
        <w:tc>
          <w:tcPr>
            <w:tcW w:w="1215" w:type="dxa"/>
            <w:vAlign w:val="center"/>
          </w:tcPr>
          <w:p w:rsidR="00577925" w:rsidRPr="00EB7364" w:rsidRDefault="00577925" w:rsidP="00FA5E91">
            <w:pPr>
              <w:pStyle w:val="142"/>
              <w:jc w:val="right"/>
              <w:rPr>
                <w:rFonts w:hint="eastAsia"/>
              </w:rPr>
            </w:pPr>
            <w:r w:rsidRPr="00EB7364">
              <w:rPr>
                <w:rFonts w:hint="eastAsia"/>
              </w:rPr>
              <w:t>4.56</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0.47</w:t>
            </w:r>
          </w:p>
        </w:tc>
      </w:tr>
      <w:tr w:rsidR="00577925" w:rsidRPr="00EB7364" w:rsidTr="00FA5E91">
        <w:trPr>
          <w:trHeight w:hRule="exact" w:val="340"/>
        </w:trPr>
        <w:tc>
          <w:tcPr>
            <w:tcW w:w="1215" w:type="dxa"/>
            <w:shd w:val="clear" w:color="auto" w:fill="auto"/>
            <w:vAlign w:val="center"/>
          </w:tcPr>
          <w:p w:rsidR="00577925" w:rsidRPr="00EB7364" w:rsidRDefault="00577925" w:rsidP="00FA5E91">
            <w:pPr>
              <w:pStyle w:val="142"/>
              <w:jc w:val="center"/>
              <w:rPr>
                <w:rFonts w:hint="eastAsia"/>
              </w:rPr>
            </w:pPr>
            <w:r w:rsidRPr="00EB7364">
              <w:rPr>
                <w:rFonts w:hint="eastAsia"/>
              </w:rPr>
              <w:t>111</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038.30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0.13</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4.13</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2.59</w:t>
            </w:r>
          </w:p>
        </w:tc>
        <w:tc>
          <w:tcPr>
            <w:tcW w:w="1215" w:type="dxa"/>
            <w:vAlign w:val="center"/>
          </w:tcPr>
          <w:p w:rsidR="00577925" w:rsidRPr="00EB7364" w:rsidRDefault="00577925" w:rsidP="00FA5E91">
            <w:pPr>
              <w:pStyle w:val="142"/>
              <w:jc w:val="right"/>
              <w:rPr>
                <w:rFonts w:hint="eastAsia"/>
              </w:rPr>
            </w:pPr>
            <w:r w:rsidRPr="00EB7364">
              <w:rPr>
                <w:rFonts w:hint="eastAsia"/>
              </w:rPr>
              <w:t>6.85</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0.66</w:t>
            </w:r>
          </w:p>
        </w:tc>
      </w:tr>
      <w:tr w:rsidR="00577925" w:rsidRPr="00EB7364" w:rsidTr="00FA5E91">
        <w:trPr>
          <w:trHeight w:hRule="exact" w:val="340"/>
        </w:trPr>
        <w:tc>
          <w:tcPr>
            <w:tcW w:w="1215" w:type="dxa"/>
            <w:shd w:val="clear" w:color="auto" w:fill="auto"/>
            <w:vAlign w:val="center"/>
          </w:tcPr>
          <w:p w:rsidR="00577925" w:rsidRPr="00EB7364" w:rsidRDefault="00577925" w:rsidP="00FA5E91">
            <w:pPr>
              <w:pStyle w:val="142"/>
              <w:jc w:val="center"/>
            </w:pPr>
            <w:r w:rsidRPr="00EB7364">
              <w:t>112</w:t>
            </w:r>
          </w:p>
        </w:tc>
        <w:tc>
          <w:tcPr>
            <w:tcW w:w="1215" w:type="dxa"/>
            <w:shd w:val="clear" w:color="auto" w:fill="auto"/>
            <w:vAlign w:val="center"/>
          </w:tcPr>
          <w:p w:rsidR="00577925" w:rsidRPr="00EB7364" w:rsidRDefault="00577925" w:rsidP="00FA5E91">
            <w:pPr>
              <w:pStyle w:val="142"/>
              <w:jc w:val="right"/>
            </w:pPr>
            <w:r w:rsidRPr="00EB7364">
              <w:rPr>
                <w:rFonts w:hint="eastAsia"/>
              </w:rPr>
              <w:t>1</w:t>
            </w:r>
            <w:r w:rsidRPr="00EB7364">
              <w:t>,</w:t>
            </w:r>
            <w:r w:rsidRPr="00EB7364">
              <w:rPr>
                <w:rFonts w:hint="eastAsia"/>
              </w:rPr>
              <w:t>105.70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0.80</w:t>
            </w:r>
          </w:p>
        </w:tc>
        <w:tc>
          <w:tcPr>
            <w:tcW w:w="1215" w:type="dxa"/>
            <w:shd w:val="clear" w:color="auto" w:fill="auto"/>
            <w:vAlign w:val="center"/>
          </w:tcPr>
          <w:p w:rsidR="00577925" w:rsidRPr="00EB7364" w:rsidRDefault="00577925" w:rsidP="00FA5E91">
            <w:pPr>
              <w:pStyle w:val="142"/>
              <w:jc w:val="right"/>
            </w:pPr>
            <w:r w:rsidRPr="00EB7364">
              <w:rPr>
                <w:rFonts w:hint="eastAsia"/>
              </w:rPr>
              <w:t>7.12</w:t>
            </w:r>
          </w:p>
        </w:tc>
        <w:tc>
          <w:tcPr>
            <w:tcW w:w="1215" w:type="dxa"/>
            <w:shd w:val="clear" w:color="auto" w:fill="auto"/>
            <w:vAlign w:val="center"/>
          </w:tcPr>
          <w:p w:rsidR="00577925" w:rsidRPr="00EB7364" w:rsidRDefault="00577925" w:rsidP="00FA5E91">
            <w:pPr>
              <w:pStyle w:val="142"/>
              <w:jc w:val="right"/>
            </w:pPr>
            <w:r w:rsidRPr="00EB7364">
              <w:rPr>
                <w:rFonts w:hint="eastAsia"/>
              </w:rPr>
              <w:t>5.06</w:t>
            </w:r>
          </w:p>
        </w:tc>
        <w:tc>
          <w:tcPr>
            <w:tcW w:w="1215" w:type="dxa"/>
            <w:vAlign w:val="center"/>
          </w:tcPr>
          <w:p w:rsidR="00577925" w:rsidRPr="00EB7364" w:rsidRDefault="00577925" w:rsidP="00FA5E91">
            <w:pPr>
              <w:pStyle w:val="142"/>
              <w:jc w:val="right"/>
              <w:rPr>
                <w:rFonts w:hint="eastAsia"/>
              </w:rPr>
            </w:pPr>
            <w:r w:rsidRPr="00EB7364">
              <w:rPr>
                <w:rFonts w:hint="eastAsia"/>
              </w:rPr>
              <w:t>12.98</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1.17</w:t>
            </w:r>
          </w:p>
        </w:tc>
      </w:tr>
      <w:tr w:rsidR="00577925" w:rsidRPr="00EB7364" w:rsidTr="00FA5E91">
        <w:trPr>
          <w:trHeight w:hRule="exact" w:val="340"/>
        </w:trPr>
        <w:tc>
          <w:tcPr>
            <w:tcW w:w="1215" w:type="dxa"/>
            <w:shd w:val="clear" w:color="auto" w:fill="auto"/>
            <w:vAlign w:val="center"/>
          </w:tcPr>
          <w:p w:rsidR="00577925" w:rsidRPr="00EB7364" w:rsidRDefault="00577925" w:rsidP="00FA5E91">
            <w:pPr>
              <w:pStyle w:val="142"/>
              <w:jc w:val="center"/>
              <w:rPr>
                <w:rFonts w:hint="eastAsia"/>
              </w:rPr>
            </w:pPr>
            <w:r w:rsidRPr="00EB7364">
              <w:rPr>
                <w:rFonts w:hint="eastAsia"/>
              </w:rPr>
              <w:t>113</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202.50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1.52</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8.79</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6.81</w:t>
            </w:r>
          </w:p>
        </w:tc>
        <w:tc>
          <w:tcPr>
            <w:tcW w:w="1215" w:type="dxa"/>
            <w:vAlign w:val="center"/>
          </w:tcPr>
          <w:p w:rsidR="00577925" w:rsidRPr="00EB7364" w:rsidRDefault="00577925" w:rsidP="00FA5E91">
            <w:pPr>
              <w:pStyle w:val="142"/>
              <w:jc w:val="right"/>
              <w:rPr>
                <w:rFonts w:hint="eastAsia"/>
              </w:rPr>
            </w:pPr>
            <w:r w:rsidRPr="00EB7364">
              <w:rPr>
                <w:rFonts w:hint="eastAsia"/>
              </w:rPr>
              <w:t>17.12</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1.42</w:t>
            </w:r>
          </w:p>
        </w:tc>
      </w:tr>
      <w:tr w:rsidR="00577925" w:rsidRPr="00EB7364" w:rsidTr="00FA5E91">
        <w:trPr>
          <w:trHeight w:hRule="exact" w:val="340"/>
        </w:trPr>
        <w:tc>
          <w:tcPr>
            <w:tcW w:w="1215" w:type="dxa"/>
            <w:shd w:val="clear" w:color="auto" w:fill="auto"/>
            <w:vAlign w:val="center"/>
          </w:tcPr>
          <w:p w:rsidR="00577925" w:rsidRPr="00EB7364" w:rsidRDefault="00577925" w:rsidP="00FA5E91">
            <w:pPr>
              <w:pStyle w:val="142"/>
              <w:jc w:val="center"/>
              <w:rPr>
                <w:rFonts w:hint="eastAsia"/>
              </w:rPr>
            </w:pPr>
            <w:r w:rsidRPr="00EB7364">
              <w:rPr>
                <w:rFonts w:hint="eastAsia"/>
              </w:rPr>
              <w:t>114</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589.28</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2.95</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14.05</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8.05</w:t>
            </w:r>
          </w:p>
        </w:tc>
        <w:tc>
          <w:tcPr>
            <w:tcW w:w="1215" w:type="dxa"/>
            <w:vAlign w:val="center"/>
          </w:tcPr>
          <w:p w:rsidR="00577925" w:rsidRPr="00EB7364" w:rsidRDefault="00577925" w:rsidP="00FA5E91">
            <w:pPr>
              <w:pStyle w:val="142"/>
              <w:jc w:val="right"/>
              <w:rPr>
                <w:rFonts w:hint="eastAsia"/>
              </w:rPr>
            </w:pPr>
            <w:r w:rsidRPr="00EB7364">
              <w:rPr>
                <w:rFonts w:hint="eastAsia"/>
              </w:rPr>
              <w:t>25.05</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1.58</w:t>
            </w:r>
          </w:p>
        </w:tc>
      </w:tr>
    </w:tbl>
    <w:p w:rsidR="00577925" w:rsidRPr="00EB7364" w:rsidRDefault="007C230B" w:rsidP="00577925">
      <w:pPr>
        <w:pStyle w:val="142"/>
        <w:ind w:left="1216" w:hangingChars="500" w:hanging="1216"/>
        <w:rPr>
          <w:rFonts w:hAnsi="標楷體"/>
        </w:rPr>
      </w:pPr>
      <w:r>
        <w:rPr>
          <w:rFonts w:hint="eastAsia"/>
        </w:rPr>
        <w:t>說</w:t>
      </w:r>
      <w:r w:rsidR="00577925" w:rsidRPr="00EB7364">
        <w:rPr>
          <w:rFonts w:hint="eastAsia"/>
        </w:rPr>
        <w:t xml:space="preserve">    </w:t>
      </w:r>
      <w:r>
        <w:rPr>
          <w:rFonts w:hint="eastAsia"/>
        </w:rPr>
        <w:t>明</w:t>
      </w:r>
      <w:r w:rsidR="00577925" w:rsidRPr="00EB7364">
        <w:rPr>
          <w:rFonts w:hAnsi="標楷體" w:hint="eastAsia"/>
        </w:rPr>
        <w:t>：1.</w:t>
      </w:r>
      <w:r w:rsidR="00144FEB">
        <w:rPr>
          <w:rFonts w:hAnsi="標楷體" w:hint="eastAsia"/>
        </w:rPr>
        <w:t>109至</w:t>
      </w:r>
      <w:r w:rsidR="00577925" w:rsidRPr="00EB7364">
        <w:rPr>
          <w:rFonts w:hAnsi="標楷體" w:hint="eastAsia"/>
        </w:rPr>
        <w:t>113年度為決算</w:t>
      </w:r>
      <w:r>
        <w:rPr>
          <w:rFonts w:hAnsi="標楷體" w:hint="eastAsia"/>
        </w:rPr>
        <w:t>審定</w:t>
      </w:r>
      <w:r w:rsidR="00577925" w:rsidRPr="00EB7364">
        <w:rPr>
          <w:rFonts w:hAnsi="標楷體" w:hint="eastAsia"/>
        </w:rPr>
        <w:t>數，114年度為預算</w:t>
      </w:r>
      <w:r>
        <w:rPr>
          <w:rFonts w:hAnsi="標楷體" w:hint="eastAsia"/>
        </w:rPr>
        <w:t>案</w:t>
      </w:r>
      <w:r w:rsidR="00577925" w:rsidRPr="00EB7364">
        <w:rPr>
          <w:rFonts w:hAnsi="標楷體" w:hint="eastAsia"/>
        </w:rPr>
        <w:t>數</w:t>
      </w:r>
      <w:r w:rsidR="00577925" w:rsidRPr="00EB7364">
        <w:rPr>
          <w:rFonts w:hAnsi="標楷體"/>
        </w:rPr>
        <w:t>。</w:t>
      </w:r>
    </w:p>
    <w:p w:rsidR="00577925" w:rsidRPr="00EB7364" w:rsidRDefault="00577925" w:rsidP="00577925">
      <w:pPr>
        <w:pStyle w:val="142"/>
        <w:ind w:leftChars="425" w:left="1447" w:hangingChars="100" w:hanging="243"/>
        <w:rPr>
          <w:rFonts w:hint="eastAsia"/>
        </w:rPr>
      </w:pPr>
      <w:r w:rsidRPr="00EB7364">
        <w:rPr>
          <w:rFonts w:hAnsi="標楷體" w:hint="eastAsia"/>
        </w:rPr>
        <w:t>2.113及114年度利息金額已包含利息資本化之金額。</w:t>
      </w:r>
    </w:p>
    <w:p w:rsidR="00577925" w:rsidRPr="00EB7364" w:rsidRDefault="00577925" w:rsidP="00577925">
      <w:pPr>
        <w:pStyle w:val="142"/>
        <w:ind w:left="647" w:hanging="647"/>
      </w:pPr>
      <w:r w:rsidRPr="00EB7364">
        <w:rPr>
          <w:rFonts w:hint="eastAsia"/>
        </w:rPr>
        <w:t>資料來源：</w:t>
      </w:r>
      <w:r w:rsidR="00680AB0" w:rsidRPr="00EB7364">
        <w:rPr>
          <w:rFonts w:hint="eastAsia"/>
        </w:rPr>
        <w:t>國科會</w:t>
      </w:r>
      <w:r w:rsidRPr="00EB7364">
        <w:rPr>
          <w:rFonts w:hint="eastAsia"/>
        </w:rPr>
        <w:t>提供。</w:t>
      </w:r>
    </w:p>
    <w:p w:rsidR="006A7433" w:rsidRDefault="006A7433" w:rsidP="003A403E">
      <w:pPr>
        <w:pStyle w:val="a4"/>
        <w:ind w:left="849" w:hanging="283"/>
        <w:rPr>
          <w:b/>
          <w:bCs/>
        </w:rPr>
      </w:pPr>
    </w:p>
    <w:p w:rsidR="003A403E" w:rsidRPr="00EB7364" w:rsidRDefault="003A403E" w:rsidP="003A403E">
      <w:pPr>
        <w:pStyle w:val="a4"/>
        <w:ind w:left="849" w:hanging="283"/>
        <w:rPr>
          <w:b/>
          <w:bCs/>
        </w:rPr>
      </w:pPr>
      <w:r w:rsidRPr="00EB7364">
        <w:rPr>
          <w:rFonts w:hint="eastAsia"/>
          <w:b/>
          <w:bCs/>
        </w:rPr>
        <w:lastRenderedPageBreak/>
        <w:t>(三</w:t>
      </w:r>
      <w:r w:rsidRPr="00EB7364">
        <w:rPr>
          <w:b/>
          <w:bCs/>
        </w:rPr>
        <w:t>)</w:t>
      </w:r>
      <w:r w:rsidR="00FE3B66">
        <w:rPr>
          <w:rFonts w:hint="eastAsia"/>
          <w:b/>
          <w:bCs/>
        </w:rPr>
        <w:t>近年</w:t>
      </w:r>
      <w:r w:rsidR="003526E4" w:rsidRPr="00EB7364">
        <w:rPr>
          <w:rFonts w:hint="eastAsia"/>
          <w:b/>
          <w:bCs/>
        </w:rPr>
        <w:t>債務清償所需</w:t>
      </w:r>
      <w:r w:rsidR="00173A80" w:rsidRPr="00EB7364">
        <w:rPr>
          <w:rFonts w:hint="eastAsia"/>
          <w:b/>
          <w:bCs/>
        </w:rPr>
        <w:t>時程</w:t>
      </w:r>
      <w:r w:rsidR="00FE3B66">
        <w:rPr>
          <w:rFonts w:hint="eastAsia"/>
          <w:b/>
          <w:bCs/>
        </w:rPr>
        <w:t>略見下降趨勢</w:t>
      </w:r>
      <w:r w:rsidR="003526E4" w:rsidRPr="00EB7364">
        <w:rPr>
          <w:rFonts w:hAnsi="標楷體" w:hint="eastAsia"/>
          <w:b/>
          <w:bCs/>
        </w:rPr>
        <w:t>，惟</w:t>
      </w:r>
      <w:r w:rsidR="006A7433" w:rsidRPr="00EB7364">
        <w:rPr>
          <w:rFonts w:hint="eastAsia"/>
          <w:b/>
          <w:bCs/>
        </w:rPr>
        <w:t>預計</w:t>
      </w:r>
      <w:r w:rsidR="003526E4" w:rsidRPr="00EB7364">
        <w:rPr>
          <w:rFonts w:hint="eastAsia"/>
          <w:b/>
          <w:bCs/>
        </w:rPr>
        <w:t>115年度以後</w:t>
      </w:r>
      <w:r w:rsidR="006A7433">
        <w:rPr>
          <w:rFonts w:hint="eastAsia"/>
          <w:b/>
          <w:bCs/>
        </w:rPr>
        <w:t>將</w:t>
      </w:r>
      <w:r w:rsidR="003526E4" w:rsidRPr="00EB7364">
        <w:rPr>
          <w:rFonts w:hint="eastAsia"/>
          <w:b/>
          <w:bCs/>
        </w:rPr>
        <w:t>新增債務逾1</w:t>
      </w:r>
      <w:r w:rsidR="00173A80" w:rsidRPr="00EB7364">
        <w:rPr>
          <w:b/>
          <w:bCs/>
        </w:rPr>
        <w:t>,</w:t>
      </w:r>
      <w:r w:rsidR="003526E4" w:rsidRPr="00EB7364">
        <w:rPr>
          <w:rFonts w:hint="eastAsia"/>
          <w:b/>
          <w:bCs/>
        </w:rPr>
        <w:t>400億元</w:t>
      </w:r>
      <w:r w:rsidR="003526E4" w:rsidRPr="00EB7364">
        <w:rPr>
          <w:rFonts w:hAnsi="標楷體" w:hint="eastAsia"/>
          <w:b/>
          <w:bCs/>
        </w:rPr>
        <w:t>，</w:t>
      </w:r>
      <w:r w:rsidR="00DB4038">
        <w:rPr>
          <w:rFonts w:hAnsi="標楷體" w:hint="eastAsia"/>
          <w:b/>
          <w:bCs/>
        </w:rPr>
        <w:t>經推估</w:t>
      </w:r>
      <w:r w:rsidR="00173A80" w:rsidRPr="00EB7364">
        <w:rPr>
          <w:rFonts w:hAnsi="標楷體" w:hint="eastAsia"/>
          <w:b/>
          <w:bCs/>
        </w:rPr>
        <w:t>整體</w:t>
      </w:r>
      <w:bookmarkStart w:id="10" w:name="_Hlk201222249"/>
      <w:r w:rsidR="003526E4" w:rsidRPr="00EB7364">
        <w:rPr>
          <w:rFonts w:hAnsi="標楷體" w:hint="eastAsia"/>
          <w:b/>
          <w:bCs/>
        </w:rPr>
        <w:t>債務清償所需</w:t>
      </w:r>
      <w:r w:rsidR="00173A80" w:rsidRPr="00EB7364">
        <w:rPr>
          <w:rFonts w:hAnsi="標楷體" w:hint="eastAsia"/>
          <w:b/>
          <w:bCs/>
        </w:rPr>
        <w:t>時程</w:t>
      </w:r>
      <w:r w:rsidR="003526E4" w:rsidRPr="00EB7364">
        <w:rPr>
          <w:rFonts w:hint="eastAsia"/>
          <w:b/>
          <w:bCs/>
        </w:rPr>
        <w:t>將大幅增加</w:t>
      </w:r>
      <w:bookmarkEnd w:id="10"/>
    </w:p>
    <w:p w:rsidR="00577925" w:rsidRPr="00EB7364" w:rsidRDefault="00DB4038" w:rsidP="0037146B">
      <w:pPr>
        <w:pStyle w:val="21"/>
        <w:ind w:left="850" w:firstLine="566"/>
      </w:pPr>
      <w:r>
        <w:rPr>
          <w:rFonts w:hint="eastAsia"/>
        </w:rPr>
        <w:t>若</w:t>
      </w:r>
      <w:r w:rsidR="0037146B" w:rsidRPr="00EB7364">
        <w:rPr>
          <w:rFonts w:hint="eastAsia"/>
        </w:rPr>
        <w:t>以</w:t>
      </w:r>
      <w:r w:rsidR="003F27AD">
        <w:rPr>
          <w:rFonts w:hint="eastAsia"/>
        </w:rPr>
        <w:t>當年度</w:t>
      </w:r>
      <w:r>
        <w:rPr>
          <w:rFonts w:hint="eastAsia"/>
        </w:rPr>
        <w:t>園區</w:t>
      </w:r>
      <w:r w:rsidR="0037146B" w:rsidRPr="00EB7364">
        <w:rPr>
          <w:rFonts w:hint="eastAsia"/>
        </w:rPr>
        <w:t>作業基金收支賸餘數全數撥充基金計算債務清償所需時程</w:t>
      </w:r>
      <w:r w:rsidR="0037146B" w:rsidRPr="00EB7364">
        <w:rPr>
          <w:rFonts w:hAnsi="標楷體" w:hint="eastAsia"/>
        </w:rPr>
        <w:t>，</w:t>
      </w:r>
      <w:r w:rsidR="007B3C17" w:rsidRPr="00EB7364">
        <w:rPr>
          <w:rFonts w:hAnsi="標楷體" w:hint="eastAsia"/>
        </w:rPr>
        <w:t>自109年度24.43年縮短至113年度15.59年，</w:t>
      </w:r>
      <w:r w:rsidR="00C06D20" w:rsidRPr="00EB7364">
        <w:rPr>
          <w:rFonts w:hAnsi="標楷體" w:hint="eastAsia"/>
        </w:rPr>
        <w:t>惟</w:t>
      </w:r>
      <w:r w:rsidR="007B3C17" w:rsidRPr="00EB7364">
        <w:rPr>
          <w:rFonts w:hAnsi="標楷體" w:hint="eastAsia"/>
        </w:rPr>
        <w:t>114年度預算</w:t>
      </w:r>
      <w:r>
        <w:rPr>
          <w:rFonts w:hAnsi="標楷體" w:hint="eastAsia"/>
        </w:rPr>
        <w:t>案</w:t>
      </w:r>
      <w:r w:rsidR="007B3C17" w:rsidRPr="00EB7364">
        <w:rPr>
          <w:rFonts w:hAnsi="標楷體" w:hint="eastAsia"/>
        </w:rPr>
        <w:t>數編列債務增加</w:t>
      </w:r>
      <w:r w:rsidR="00BA5BE8" w:rsidRPr="00EB7364">
        <w:rPr>
          <w:rFonts w:hAnsi="標楷體" w:hint="eastAsia"/>
        </w:rPr>
        <w:t>及</w:t>
      </w:r>
      <w:r w:rsidR="007B3C17" w:rsidRPr="00EB7364">
        <w:rPr>
          <w:rFonts w:hAnsi="標楷體" w:hint="eastAsia"/>
        </w:rPr>
        <w:t>收支賸餘數減少，致債務清償所需時程</w:t>
      </w:r>
      <w:r>
        <w:rPr>
          <w:rFonts w:hAnsi="標楷體" w:hint="eastAsia"/>
        </w:rPr>
        <w:t>將</w:t>
      </w:r>
      <w:r w:rsidR="007B3C17" w:rsidRPr="00EB7364">
        <w:rPr>
          <w:rFonts w:hAnsi="標楷體" w:hint="eastAsia"/>
        </w:rPr>
        <w:t>增加至33.03年，再</w:t>
      </w:r>
      <w:r w:rsidR="003A403E" w:rsidRPr="00EB7364">
        <w:rPr>
          <w:rFonts w:hint="eastAsia"/>
        </w:rPr>
        <w:t>依</w:t>
      </w:r>
      <w:r>
        <w:rPr>
          <w:rFonts w:hint="eastAsia"/>
        </w:rPr>
        <w:t>該</w:t>
      </w:r>
      <w:r w:rsidR="003A403E" w:rsidRPr="00EB7364">
        <w:rPr>
          <w:rFonts w:hint="eastAsia"/>
        </w:rPr>
        <w:t>基金114年度預算書所載，115年度以後中科</w:t>
      </w:r>
      <w:r w:rsidR="00C06D20" w:rsidRPr="00EB7364">
        <w:rPr>
          <w:rFonts w:hint="eastAsia"/>
        </w:rPr>
        <w:t>及南科</w:t>
      </w:r>
      <w:r w:rsidR="003A403E" w:rsidRPr="00EB7364">
        <w:rPr>
          <w:rFonts w:hint="eastAsia"/>
        </w:rPr>
        <w:t>預計</w:t>
      </w:r>
      <w:r w:rsidR="00C06D20" w:rsidRPr="00EB7364">
        <w:rPr>
          <w:rFonts w:hint="eastAsia"/>
        </w:rPr>
        <w:t>分別</w:t>
      </w:r>
      <w:r w:rsidR="003A403E" w:rsidRPr="00EB7364">
        <w:rPr>
          <w:rFonts w:hint="eastAsia"/>
        </w:rPr>
        <w:t>再增加370.35</w:t>
      </w:r>
      <w:r w:rsidR="00C06D20" w:rsidRPr="00EB7364">
        <w:rPr>
          <w:rFonts w:hint="eastAsia"/>
        </w:rPr>
        <w:t>及</w:t>
      </w:r>
      <w:r w:rsidR="003A403E" w:rsidRPr="00EB7364">
        <w:rPr>
          <w:rFonts w:hint="eastAsia"/>
        </w:rPr>
        <w:t>1,073.99億元債務，合計1</w:t>
      </w:r>
      <w:r w:rsidR="00C06D20" w:rsidRPr="00EB7364">
        <w:t>,</w:t>
      </w:r>
      <w:r w:rsidR="003A403E" w:rsidRPr="00EB7364">
        <w:rPr>
          <w:rFonts w:hint="eastAsia"/>
        </w:rPr>
        <w:t>444.34億元</w:t>
      </w:r>
      <w:r w:rsidR="0037146B" w:rsidRPr="00EB7364">
        <w:rPr>
          <w:rFonts w:hAnsi="標楷體" w:hint="eastAsia"/>
        </w:rPr>
        <w:t>，</w:t>
      </w:r>
      <w:r w:rsidR="0037146B" w:rsidRPr="00EB7364">
        <w:rPr>
          <w:rFonts w:hint="eastAsia"/>
        </w:rPr>
        <w:t>加計114年度預算</w:t>
      </w:r>
      <w:r>
        <w:rPr>
          <w:rFonts w:hint="eastAsia"/>
        </w:rPr>
        <w:t>案</w:t>
      </w:r>
      <w:r w:rsidR="0037146B" w:rsidRPr="00EB7364">
        <w:rPr>
          <w:rFonts w:hint="eastAsia"/>
        </w:rPr>
        <w:t>數</w:t>
      </w:r>
      <w:r w:rsidR="00C06D20" w:rsidRPr="00EB7364">
        <w:rPr>
          <w:rFonts w:hint="eastAsia"/>
        </w:rPr>
        <w:t>後</w:t>
      </w:r>
      <w:r w:rsidR="0037146B" w:rsidRPr="00EB7364">
        <w:rPr>
          <w:rFonts w:hint="eastAsia"/>
        </w:rPr>
        <w:t>整體債務為3</w:t>
      </w:r>
      <w:r>
        <w:t>,</w:t>
      </w:r>
      <w:r w:rsidR="0037146B" w:rsidRPr="00EB7364">
        <w:rPr>
          <w:rFonts w:hint="eastAsia"/>
        </w:rPr>
        <w:t>050.78億元</w:t>
      </w:r>
      <w:r w:rsidR="007B3C17" w:rsidRPr="00EB7364">
        <w:rPr>
          <w:rFonts w:hAnsi="標楷體" w:hint="eastAsia"/>
        </w:rPr>
        <w:t>，若以113</w:t>
      </w:r>
      <w:r w:rsidR="00C06D20" w:rsidRPr="00EB7364">
        <w:rPr>
          <w:rFonts w:hAnsi="標楷體" w:hint="eastAsia"/>
        </w:rPr>
        <w:t>及114</w:t>
      </w:r>
      <w:r w:rsidR="007B3C17" w:rsidRPr="00EB7364">
        <w:rPr>
          <w:rFonts w:hAnsi="標楷體" w:hint="eastAsia"/>
        </w:rPr>
        <w:t>年度收支賸餘數</w:t>
      </w:r>
      <w:r w:rsidR="004058A2">
        <w:rPr>
          <w:rFonts w:hAnsi="標楷體" w:hint="eastAsia"/>
        </w:rPr>
        <w:t>分別</w:t>
      </w:r>
      <w:r w:rsidR="007B3C17" w:rsidRPr="00EB7364">
        <w:rPr>
          <w:rFonts w:hAnsi="標楷體" w:hint="eastAsia"/>
        </w:rPr>
        <w:t>計算，債務清償所需時程</w:t>
      </w:r>
      <w:r w:rsidR="00C06D20" w:rsidRPr="00EB7364">
        <w:rPr>
          <w:rFonts w:hAnsi="標楷體" w:hint="eastAsia"/>
        </w:rPr>
        <w:t>分別為</w:t>
      </w:r>
      <w:r w:rsidR="007B3C17" w:rsidRPr="00EB7364">
        <w:rPr>
          <w:rFonts w:hAnsi="標楷體" w:hint="eastAsia"/>
        </w:rPr>
        <w:t>38.93</w:t>
      </w:r>
      <w:r w:rsidR="00C06D20" w:rsidRPr="00EB7364">
        <w:rPr>
          <w:rFonts w:hAnsi="標楷體" w:hint="eastAsia"/>
        </w:rPr>
        <w:t>及</w:t>
      </w:r>
      <w:r w:rsidR="007B3C17" w:rsidRPr="00EB7364">
        <w:rPr>
          <w:rFonts w:hAnsi="標楷體" w:hint="eastAsia"/>
        </w:rPr>
        <w:t>62.73年</w:t>
      </w:r>
      <w:r w:rsidR="004611E7" w:rsidRPr="00EB7364">
        <w:rPr>
          <w:rFonts w:hAnsi="標楷體" w:hint="eastAsia"/>
        </w:rPr>
        <w:t>(詳表8)</w:t>
      </w:r>
      <w:r w:rsidR="003A403E" w:rsidRPr="00EB7364">
        <w:rPr>
          <w:rFonts w:hint="eastAsia"/>
        </w:rPr>
        <w:t>。</w:t>
      </w:r>
    </w:p>
    <w:p w:rsidR="0037146B" w:rsidRPr="00EB7364" w:rsidRDefault="0037146B" w:rsidP="0037146B">
      <w:pPr>
        <w:spacing w:line="400" w:lineRule="exact"/>
        <w:ind w:leftChars="-1" w:left="666" w:rightChars="-17" w:right="-48" w:hangingChars="236" w:hanging="669"/>
        <w:jc w:val="left"/>
        <w:rPr>
          <w:rFonts w:hAnsi="標楷體"/>
          <w:b/>
        </w:rPr>
      </w:pPr>
      <w:r w:rsidRPr="00EB7364">
        <w:rPr>
          <w:rFonts w:hAnsi="標楷體" w:hint="eastAsia"/>
          <w:b/>
        </w:rPr>
        <w:t>表</w:t>
      </w:r>
      <w:r w:rsidR="004611E7" w:rsidRPr="00EB7364">
        <w:rPr>
          <w:rFonts w:hAnsi="標楷體" w:hint="eastAsia"/>
          <w:b/>
        </w:rPr>
        <w:t>8</w:t>
      </w:r>
      <w:r w:rsidRPr="00EB7364">
        <w:rPr>
          <w:rFonts w:hAnsi="標楷體" w:hint="eastAsia"/>
          <w:b/>
        </w:rPr>
        <w:t xml:space="preserve">  </w:t>
      </w:r>
      <w:r w:rsidRPr="00EB7364">
        <w:rPr>
          <w:rFonts w:hAnsi="標楷體"/>
          <w:b/>
        </w:rPr>
        <w:t>109</w:t>
      </w:r>
      <w:r w:rsidRPr="00EB7364">
        <w:rPr>
          <w:rFonts w:hAnsi="標楷體" w:hint="eastAsia"/>
          <w:b/>
        </w:rPr>
        <w:t>至114年度各科學園區借款及利息統計表</w:t>
      </w:r>
    </w:p>
    <w:p w:rsidR="003A403E" w:rsidRPr="00EB7364" w:rsidRDefault="0037146B" w:rsidP="0037146B">
      <w:pPr>
        <w:pStyle w:val="142"/>
        <w:ind w:left="647" w:hanging="647"/>
        <w:jc w:val="right"/>
      </w:pPr>
      <w:r w:rsidRPr="00EB7364">
        <w:rPr>
          <w:rFonts w:hint="eastAsia"/>
          <w:snapToGrid/>
        </w:rPr>
        <w:t>單位：新臺幣億元；年</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2273"/>
        <w:gridCol w:w="2273"/>
        <w:gridCol w:w="2273"/>
      </w:tblGrid>
      <w:tr w:rsidR="003526E4" w:rsidRPr="00EB7364" w:rsidTr="00680AB0">
        <w:tc>
          <w:tcPr>
            <w:tcW w:w="1701" w:type="dxa"/>
            <w:shd w:val="clear" w:color="auto" w:fill="auto"/>
            <w:noWrap/>
            <w:vAlign w:val="center"/>
            <w:hideMark/>
          </w:tcPr>
          <w:p w:rsidR="003A403E" w:rsidRPr="00EB7364" w:rsidRDefault="003A403E" w:rsidP="00840F08">
            <w:pPr>
              <w:pStyle w:val="142"/>
              <w:jc w:val="center"/>
            </w:pPr>
            <w:r w:rsidRPr="00EB7364">
              <w:rPr>
                <w:rFonts w:hint="eastAsia"/>
              </w:rPr>
              <w:t>年度</w:t>
            </w:r>
          </w:p>
        </w:tc>
        <w:tc>
          <w:tcPr>
            <w:tcW w:w="2273" w:type="dxa"/>
            <w:shd w:val="clear" w:color="auto" w:fill="auto"/>
            <w:noWrap/>
            <w:vAlign w:val="center"/>
            <w:hideMark/>
          </w:tcPr>
          <w:p w:rsidR="003A403E" w:rsidRPr="00EB7364" w:rsidRDefault="003A403E" w:rsidP="00840F08">
            <w:pPr>
              <w:pStyle w:val="142"/>
              <w:jc w:val="center"/>
            </w:pPr>
            <w:r w:rsidRPr="00EB7364">
              <w:rPr>
                <w:rFonts w:hint="eastAsia"/>
              </w:rPr>
              <w:t>債務</w:t>
            </w:r>
            <w:r w:rsidR="0037146B" w:rsidRPr="00EB7364">
              <w:rPr>
                <w:rFonts w:hint="eastAsia"/>
              </w:rPr>
              <w:t>總額</w:t>
            </w:r>
          </w:p>
          <w:p w:rsidR="0037146B" w:rsidRPr="00EB7364" w:rsidRDefault="0037146B" w:rsidP="00840F08">
            <w:pPr>
              <w:pStyle w:val="142"/>
              <w:jc w:val="center"/>
              <w:rPr>
                <w:rFonts w:hint="eastAsia"/>
              </w:rPr>
            </w:pPr>
            <w:r w:rsidRPr="00EB7364">
              <w:t>(A)</w:t>
            </w:r>
          </w:p>
        </w:tc>
        <w:tc>
          <w:tcPr>
            <w:tcW w:w="2273" w:type="dxa"/>
            <w:shd w:val="clear" w:color="auto" w:fill="auto"/>
            <w:noWrap/>
            <w:vAlign w:val="center"/>
            <w:hideMark/>
          </w:tcPr>
          <w:p w:rsidR="003A403E" w:rsidRPr="00EB7364" w:rsidRDefault="0037146B" w:rsidP="00840F08">
            <w:pPr>
              <w:pStyle w:val="142"/>
              <w:jc w:val="center"/>
            </w:pPr>
            <w:r w:rsidRPr="00EB7364">
              <w:rPr>
                <w:rFonts w:hint="eastAsia"/>
              </w:rPr>
              <w:t>收支賸餘數</w:t>
            </w:r>
          </w:p>
          <w:p w:rsidR="0037146B" w:rsidRPr="00EB7364" w:rsidRDefault="0037146B" w:rsidP="00840F08">
            <w:pPr>
              <w:pStyle w:val="142"/>
              <w:jc w:val="center"/>
              <w:rPr>
                <w:rFonts w:hint="eastAsia"/>
              </w:rPr>
            </w:pPr>
            <w:r w:rsidRPr="00EB7364">
              <w:t>(B)</w:t>
            </w:r>
          </w:p>
        </w:tc>
        <w:tc>
          <w:tcPr>
            <w:tcW w:w="2273" w:type="dxa"/>
            <w:shd w:val="clear" w:color="auto" w:fill="auto"/>
            <w:noWrap/>
            <w:vAlign w:val="center"/>
            <w:hideMark/>
          </w:tcPr>
          <w:p w:rsidR="0037146B" w:rsidRPr="00EB7364" w:rsidRDefault="0037146B" w:rsidP="00840F08">
            <w:pPr>
              <w:pStyle w:val="142"/>
              <w:jc w:val="center"/>
            </w:pPr>
            <w:r w:rsidRPr="00EB7364">
              <w:rPr>
                <w:rFonts w:hint="eastAsia"/>
              </w:rPr>
              <w:t>債務清償</w:t>
            </w:r>
          </w:p>
          <w:p w:rsidR="003A403E" w:rsidRPr="00EB7364" w:rsidRDefault="0037146B" w:rsidP="00840F08">
            <w:pPr>
              <w:pStyle w:val="142"/>
              <w:jc w:val="center"/>
            </w:pPr>
            <w:r w:rsidRPr="00EB7364">
              <w:rPr>
                <w:rFonts w:hint="eastAsia"/>
              </w:rPr>
              <w:t>所需時程(</w:t>
            </w:r>
            <w:r w:rsidRPr="00EB7364">
              <w:t>A/B)</w:t>
            </w:r>
          </w:p>
        </w:tc>
      </w:tr>
      <w:tr w:rsidR="003526E4" w:rsidRPr="00EB7364" w:rsidTr="00680AB0">
        <w:trPr>
          <w:trHeight w:val="340"/>
        </w:trPr>
        <w:tc>
          <w:tcPr>
            <w:tcW w:w="1701" w:type="dxa"/>
            <w:shd w:val="clear" w:color="auto" w:fill="auto"/>
            <w:noWrap/>
            <w:vAlign w:val="center"/>
            <w:hideMark/>
          </w:tcPr>
          <w:p w:rsidR="003A403E" w:rsidRPr="00EB7364" w:rsidRDefault="003A403E" w:rsidP="00840F08">
            <w:pPr>
              <w:pStyle w:val="142"/>
              <w:jc w:val="center"/>
              <w:rPr>
                <w:rFonts w:hint="eastAsia"/>
              </w:rPr>
            </w:pPr>
            <w:r w:rsidRPr="00EB7364">
              <w:rPr>
                <w:rFonts w:hint="eastAsia"/>
              </w:rPr>
              <w:t>109</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993.5</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40.67 </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24.43 </w:t>
            </w:r>
          </w:p>
        </w:tc>
      </w:tr>
      <w:tr w:rsidR="003526E4" w:rsidRPr="00EB7364" w:rsidTr="00680AB0">
        <w:trPr>
          <w:trHeight w:val="340"/>
        </w:trPr>
        <w:tc>
          <w:tcPr>
            <w:tcW w:w="1701" w:type="dxa"/>
            <w:shd w:val="clear" w:color="auto" w:fill="auto"/>
            <w:noWrap/>
            <w:vAlign w:val="center"/>
            <w:hideMark/>
          </w:tcPr>
          <w:p w:rsidR="003A403E" w:rsidRPr="00EB7364" w:rsidRDefault="003A403E" w:rsidP="00840F08">
            <w:pPr>
              <w:pStyle w:val="142"/>
              <w:jc w:val="center"/>
              <w:rPr>
                <w:rFonts w:hint="eastAsia"/>
              </w:rPr>
            </w:pPr>
            <w:r w:rsidRPr="00EB7364">
              <w:rPr>
                <w:rFonts w:hint="eastAsia"/>
              </w:rPr>
              <w:lastRenderedPageBreak/>
              <w:t>110</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1,001.86</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53.98 </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18.56 </w:t>
            </w:r>
          </w:p>
        </w:tc>
      </w:tr>
      <w:tr w:rsidR="003526E4" w:rsidRPr="00EB7364" w:rsidTr="00680AB0">
        <w:trPr>
          <w:trHeight w:val="340"/>
        </w:trPr>
        <w:tc>
          <w:tcPr>
            <w:tcW w:w="1701" w:type="dxa"/>
            <w:shd w:val="clear" w:color="auto" w:fill="auto"/>
            <w:noWrap/>
            <w:vAlign w:val="center"/>
            <w:hideMark/>
          </w:tcPr>
          <w:p w:rsidR="003A403E" w:rsidRPr="00EB7364" w:rsidRDefault="003A403E" w:rsidP="00840F08">
            <w:pPr>
              <w:pStyle w:val="142"/>
              <w:jc w:val="center"/>
              <w:rPr>
                <w:rFonts w:hint="eastAsia"/>
              </w:rPr>
            </w:pPr>
            <w:r w:rsidRPr="00EB7364">
              <w:rPr>
                <w:rFonts w:hint="eastAsia"/>
              </w:rPr>
              <w:t>111</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1,060.71</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58.87 </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18.02 </w:t>
            </w:r>
          </w:p>
        </w:tc>
      </w:tr>
      <w:tr w:rsidR="003526E4" w:rsidRPr="00EB7364" w:rsidTr="00680AB0">
        <w:trPr>
          <w:trHeight w:val="340"/>
        </w:trPr>
        <w:tc>
          <w:tcPr>
            <w:tcW w:w="1701" w:type="dxa"/>
            <w:shd w:val="clear" w:color="auto" w:fill="auto"/>
            <w:noWrap/>
            <w:vAlign w:val="center"/>
            <w:hideMark/>
          </w:tcPr>
          <w:p w:rsidR="003A403E" w:rsidRPr="00EB7364" w:rsidRDefault="003A403E" w:rsidP="00840F08">
            <w:pPr>
              <w:pStyle w:val="142"/>
              <w:jc w:val="center"/>
              <w:rPr>
                <w:rFonts w:hint="eastAsia"/>
              </w:rPr>
            </w:pPr>
            <w:r w:rsidRPr="00EB7364">
              <w:rPr>
                <w:rFonts w:hint="eastAsia"/>
              </w:rPr>
              <w:t>112</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1,126.36</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53.16 </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21.19 </w:t>
            </w:r>
          </w:p>
        </w:tc>
      </w:tr>
      <w:tr w:rsidR="003526E4" w:rsidRPr="00EB7364" w:rsidTr="00680AB0">
        <w:trPr>
          <w:trHeight w:val="340"/>
        </w:trPr>
        <w:tc>
          <w:tcPr>
            <w:tcW w:w="1701" w:type="dxa"/>
            <w:shd w:val="clear" w:color="auto" w:fill="auto"/>
            <w:noWrap/>
            <w:vAlign w:val="center"/>
            <w:hideMark/>
          </w:tcPr>
          <w:p w:rsidR="003A403E" w:rsidRPr="00EB7364" w:rsidRDefault="003A403E" w:rsidP="00840F08">
            <w:pPr>
              <w:pStyle w:val="142"/>
              <w:jc w:val="center"/>
              <w:rPr>
                <w:rFonts w:hint="eastAsia"/>
              </w:rPr>
            </w:pPr>
            <w:r w:rsidRPr="00EB7364">
              <w:rPr>
                <w:rFonts w:hint="eastAsia"/>
              </w:rPr>
              <w:t>113</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1,221.41</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78.37 </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15.59 </w:t>
            </w:r>
          </w:p>
        </w:tc>
      </w:tr>
      <w:tr w:rsidR="003526E4" w:rsidRPr="00EB7364" w:rsidTr="00680AB0">
        <w:trPr>
          <w:trHeight w:val="340"/>
        </w:trPr>
        <w:tc>
          <w:tcPr>
            <w:tcW w:w="1701" w:type="dxa"/>
            <w:tcBorders>
              <w:bottom w:val="double" w:sz="4" w:space="0" w:color="auto"/>
            </w:tcBorders>
            <w:shd w:val="clear" w:color="auto" w:fill="auto"/>
            <w:noWrap/>
            <w:vAlign w:val="center"/>
            <w:hideMark/>
          </w:tcPr>
          <w:p w:rsidR="003A403E" w:rsidRPr="00EB7364" w:rsidRDefault="003A403E" w:rsidP="00840F08">
            <w:pPr>
              <w:pStyle w:val="142"/>
              <w:jc w:val="center"/>
              <w:rPr>
                <w:rFonts w:hint="eastAsia"/>
              </w:rPr>
            </w:pPr>
            <w:r w:rsidRPr="00EB7364">
              <w:rPr>
                <w:rFonts w:hint="eastAsia"/>
              </w:rPr>
              <w:t>114</w:t>
            </w:r>
          </w:p>
        </w:tc>
        <w:tc>
          <w:tcPr>
            <w:tcW w:w="2273" w:type="dxa"/>
            <w:tcBorders>
              <w:bottom w:val="double" w:sz="4" w:space="0" w:color="auto"/>
            </w:tcBorders>
            <w:shd w:val="clear" w:color="auto" w:fill="auto"/>
            <w:noWrap/>
            <w:vAlign w:val="center"/>
            <w:hideMark/>
          </w:tcPr>
          <w:p w:rsidR="003A403E" w:rsidRPr="00EB7364" w:rsidRDefault="003A403E" w:rsidP="00840F08">
            <w:pPr>
              <w:pStyle w:val="142"/>
              <w:jc w:val="right"/>
              <w:rPr>
                <w:rFonts w:hint="eastAsia"/>
              </w:rPr>
            </w:pPr>
            <w:r w:rsidRPr="00EB7364">
              <w:rPr>
                <w:rFonts w:hint="eastAsia"/>
              </w:rPr>
              <w:t>1,606.44</w:t>
            </w:r>
          </w:p>
        </w:tc>
        <w:tc>
          <w:tcPr>
            <w:tcW w:w="2273" w:type="dxa"/>
            <w:tcBorders>
              <w:bottom w:val="double" w:sz="4" w:space="0" w:color="auto"/>
            </w:tcBorders>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48.63 </w:t>
            </w:r>
          </w:p>
        </w:tc>
        <w:tc>
          <w:tcPr>
            <w:tcW w:w="2273" w:type="dxa"/>
            <w:tcBorders>
              <w:bottom w:val="double" w:sz="4" w:space="0" w:color="auto"/>
            </w:tcBorders>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33.03 </w:t>
            </w:r>
          </w:p>
        </w:tc>
      </w:tr>
      <w:tr w:rsidR="003526E4" w:rsidRPr="00EB7364" w:rsidTr="00680AB0">
        <w:tc>
          <w:tcPr>
            <w:tcW w:w="1701" w:type="dxa"/>
            <w:tcBorders>
              <w:top w:val="double" w:sz="4" w:space="0" w:color="auto"/>
              <w:bottom w:val="single" w:sz="12" w:space="0" w:color="auto"/>
            </w:tcBorders>
            <w:shd w:val="clear" w:color="auto" w:fill="auto"/>
            <w:noWrap/>
            <w:vAlign w:val="center"/>
            <w:hideMark/>
          </w:tcPr>
          <w:p w:rsidR="003A403E" w:rsidRPr="00EB7364" w:rsidRDefault="003A403E" w:rsidP="00840F08">
            <w:pPr>
              <w:pStyle w:val="142"/>
              <w:jc w:val="center"/>
              <w:rPr>
                <w:rFonts w:hint="eastAsia"/>
              </w:rPr>
            </w:pPr>
            <w:r w:rsidRPr="00EB7364">
              <w:rPr>
                <w:rFonts w:hint="eastAsia"/>
              </w:rPr>
              <w:t>115</w:t>
            </w:r>
            <w:r w:rsidR="00173A80" w:rsidRPr="00EB7364">
              <w:rPr>
                <w:rFonts w:hint="eastAsia"/>
              </w:rPr>
              <w:t>以</w:t>
            </w:r>
            <w:r w:rsidRPr="00EB7364">
              <w:rPr>
                <w:rFonts w:hint="eastAsia"/>
              </w:rPr>
              <w:t>後</w:t>
            </w:r>
          </w:p>
        </w:tc>
        <w:tc>
          <w:tcPr>
            <w:tcW w:w="2273" w:type="dxa"/>
            <w:tcBorders>
              <w:top w:val="double" w:sz="4" w:space="0" w:color="auto"/>
              <w:bottom w:val="single" w:sz="12" w:space="0" w:color="auto"/>
            </w:tcBorders>
            <w:shd w:val="clear" w:color="auto" w:fill="auto"/>
            <w:noWrap/>
            <w:vAlign w:val="center"/>
            <w:hideMark/>
          </w:tcPr>
          <w:p w:rsidR="00173A80" w:rsidRPr="00EB7364" w:rsidRDefault="00173A80" w:rsidP="00840F08">
            <w:pPr>
              <w:pStyle w:val="142"/>
              <w:jc w:val="right"/>
              <w:rPr>
                <w:rFonts w:hint="eastAsia"/>
              </w:rPr>
            </w:pPr>
            <w:r w:rsidRPr="00EB7364">
              <w:rPr>
                <w:rFonts w:hint="eastAsia"/>
              </w:rPr>
              <w:t>3</w:t>
            </w:r>
            <w:r w:rsidRPr="00EB7364">
              <w:t>,</w:t>
            </w:r>
            <w:r w:rsidRPr="00EB7364">
              <w:rPr>
                <w:rFonts w:hint="eastAsia"/>
              </w:rPr>
              <w:t>050.78</w:t>
            </w:r>
          </w:p>
        </w:tc>
        <w:tc>
          <w:tcPr>
            <w:tcW w:w="2273" w:type="dxa"/>
            <w:tcBorders>
              <w:top w:val="double" w:sz="4" w:space="0" w:color="auto"/>
              <w:bottom w:val="single" w:sz="12" w:space="0" w:color="auto"/>
            </w:tcBorders>
            <w:shd w:val="clear" w:color="auto" w:fill="auto"/>
            <w:noWrap/>
            <w:vAlign w:val="center"/>
            <w:hideMark/>
          </w:tcPr>
          <w:p w:rsidR="003A403E" w:rsidRPr="000F09DE" w:rsidRDefault="00173A80" w:rsidP="00840F08">
            <w:pPr>
              <w:pStyle w:val="142"/>
              <w:jc w:val="right"/>
            </w:pPr>
            <w:r w:rsidRPr="000F09DE">
              <w:rPr>
                <w:rFonts w:hint="eastAsia"/>
              </w:rPr>
              <w:t>78.</w:t>
            </w:r>
            <w:r w:rsidR="00263702" w:rsidRPr="000F09DE">
              <w:rPr>
                <w:rFonts w:hint="eastAsia"/>
              </w:rPr>
              <w:t>37</w:t>
            </w:r>
            <w:r w:rsidR="00652A6C" w:rsidRPr="000F09DE">
              <w:rPr>
                <w:rFonts w:hint="eastAsia"/>
              </w:rPr>
              <w:t>(113年度)</w:t>
            </w:r>
          </w:p>
          <w:p w:rsidR="00173A80" w:rsidRPr="00EB7364" w:rsidRDefault="00173A80" w:rsidP="00840F08">
            <w:pPr>
              <w:pStyle w:val="142"/>
              <w:jc w:val="right"/>
              <w:rPr>
                <w:rFonts w:hint="eastAsia"/>
              </w:rPr>
            </w:pPr>
            <w:r w:rsidRPr="00EB7364">
              <w:rPr>
                <w:rFonts w:hint="eastAsia"/>
              </w:rPr>
              <w:t>48.63</w:t>
            </w:r>
            <w:r w:rsidR="00652A6C" w:rsidRPr="00EB7364">
              <w:rPr>
                <w:rFonts w:hint="eastAsia"/>
              </w:rPr>
              <w:t>(114年度)</w:t>
            </w:r>
          </w:p>
        </w:tc>
        <w:tc>
          <w:tcPr>
            <w:tcW w:w="2273" w:type="dxa"/>
            <w:tcBorders>
              <w:top w:val="double" w:sz="4" w:space="0" w:color="auto"/>
              <w:bottom w:val="single" w:sz="12" w:space="0" w:color="auto"/>
            </w:tcBorders>
            <w:shd w:val="clear" w:color="auto" w:fill="auto"/>
            <w:noWrap/>
            <w:vAlign w:val="center"/>
            <w:hideMark/>
          </w:tcPr>
          <w:p w:rsidR="003A403E" w:rsidRPr="00EB7364" w:rsidRDefault="00173A80" w:rsidP="00840F08">
            <w:pPr>
              <w:pStyle w:val="142"/>
              <w:jc w:val="right"/>
            </w:pPr>
            <w:r w:rsidRPr="00EB7364">
              <w:rPr>
                <w:rFonts w:hint="eastAsia"/>
              </w:rPr>
              <w:t>38.93</w:t>
            </w:r>
          </w:p>
          <w:p w:rsidR="00173A80" w:rsidRPr="00EB7364" w:rsidRDefault="00173A80" w:rsidP="00840F08">
            <w:pPr>
              <w:pStyle w:val="142"/>
              <w:jc w:val="right"/>
            </w:pPr>
            <w:r w:rsidRPr="00EB7364">
              <w:rPr>
                <w:rFonts w:hint="eastAsia"/>
              </w:rPr>
              <w:t>62.73</w:t>
            </w:r>
          </w:p>
        </w:tc>
      </w:tr>
    </w:tbl>
    <w:p w:rsidR="0037146B" w:rsidRPr="00EB7364" w:rsidRDefault="00DB4038" w:rsidP="0037146B">
      <w:pPr>
        <w:pStyle w:val="142"/>
        <w:ind w:left="1216" w:hangingChars="500" w:hanging="1216"/>
        <w:rPr>
          <w:rFonts w:hAnsi="標楷體"/>
        </w:rPr>
      </w:pPr>
      <w:r>
        <w:rPr>
          <w:rFonts w:hint="eastAsia"/>
        </w:rPr>
        <w:t>說    明</w:t>
      </w:r>
      <w:r w:rsidR="0037146B" w:rsidRPr="00EB7364">
        <w:rPr>
          <w:rFonts w:hAnsi="標楷體" w:hint="eastAsia"/>
        </w:rPr>
        <w:t>：1.</w:t>
      </w:r>
      <w:r>
        <w:rPr>
          <w:rFonts w:hAnsi="標楷體" w:hint="eastAsia"/>
        </w:rPr>
        <w:t>109至</w:t>
      </w:r>
      <w:r w:rsidR="0037146B" w:rsidRPr="00EB7364">
        <w:rPr>
          <w:rFonts w:hAnsi="標楷體" w:hint="eastAsia"/>
        </w:rPr>
        <w:t>113年度為決算</w:t>
      </w:r>
      <w:r>
        <w:rPr>
          <w:rFonts w:hAnsi="標楷體" w:hint="eastAsia"/>
        </w:rPr>
        <w:t>審定</w:t>
      </w:r>
      <w:r w:rsidR="0037146B" w:rsidRPr="00EB7364">
        <w:rPr>
          <w:rFonts w:hAnsi="標楷體" w:hint="eastAsia"/>
        </w:rPr>
        <w:t>數，114年度為預算</w:t>
      </w:r>
      <w:r>
        <w:rPr>
          <w:rFonts w:hAnsi="標楷體" w:hint="eastAsia"/>
        </w:rPr>
        <w:t>案</w:t>
      </w:r>
      <w:r w:rsidR="0037146B" w:rsidRPr="00EB7364">
        <w:rPr>
          <w:rFonts w:hAnsi="標楷體" w:hint="eastAsia"/>
        </w:rPr>
        <w:t>數</w:t>
      </w:r>
      <w:r w:rsidR="0037146B" w:rsidRPr="00EB7364">
        <w:rPr>
          <w:rFonts w:hAnsi="標楷體"/>
        </w:rPr>
        <w:t>。</w:t>
      </w:r>
    </w:p>
    <w:p w:rsidR="0037146B" w:rsidRPr="00EB7364" w:rsidRDefault="0037146B" w:rsidP="0037146B">
      <w:pPr>
        <w:pStyle w:val="142"/>
        <w:ind w:leftChars="425" w:left="1447" w:hangingChars="100" w:hanging="243"/>
        <w:rPr>
          <w:rFonts w:hint="eastAsia"/>
        </w:rPr>
      </w:pPr>
      <w:r w:rsidRPr="00EB7364">
        <w:rPr>
          <w:rFonts w:hAnsi="標楷體" w:hint="eastAsia"/>
        </w:rPr>
        <w:t>2.115</w:t>
      </w:r>
      <w:r w:rsidR="004058A2">
        <w:rPr>
          <w:rFonts w:hAnsi="標楷體" w:hint="eastAsia"/>
        </w:rPr>
        <w:t>年度</w:t>
      </w:r>
      <w:r w:rsidRPr="00EB7364">
        <w:rPr>
          <w:rFonts w:hAnsi="標楷體" w:hint="eastAsia"/>
        </w:rPr>
        <w:t>以後</w:t>
      </w:r>
      <w:r w:rsidR="00DB4038">
        <w:rPr>
          <w:rFonts w:hAnsi="標楷體" w:hint="eastAsia"/>
        </w:rPr>
        <w:t>係依</w:t>
      </w:r>
      <w:r w:rsidR="004058A2">
        <w:rPr>
          <w:rFonts w:hAnsi="標楷體" w:hint="eastAsia"/>
        </w:rPr>
        <w:t>114年度預算書</w:t>
      </w:r>
      <w:r w:rsidR="00DB4038">
        <w:rPr>
          <w:rFonts w:hAnsi="標楷體" w:hint="eastAsia"/>
        </w:rPr>
        <w:t>載列</w:t>
      </w:r>
      <w:r w:rsidR="00F65C8B" w:rsidRPr="00EB7364">
        <w:rPr>
          <w:rFonts w:hAnsi="標楷體" w:hint="eastAsia"/>
        </w:rPr>
        <w:t>預估增加債務1</w:t>
      </w:r>
      <w:r w:rsidR="00DB4038">
        <w:rPr>
          <w:rFonts w:hAnsi="標楷體"/>
        </w:rPr>
        <w:t>,</w:t>
      </w:r>
      <w:r w:rsidR="00F65C8B" w:rsidRPr="00EB7364">
        <w:rPr>
          <w:rFonts w:hAnsi="標楷體" w:hint="eastAsia"/>
        </w:rPr>
        <w:t>444.34億元，加上114年度預算</w:t>
      </w:r>
      <w:r w:rsidR="00DB4038">
        <w:rPr>
          <w:rFonts w:hAnsi="標楷體" w:hint="eastAsia"/>
        </w:rPr>
        <w:t>案</w:t>
      </w:r>
      <w:r w:rsidR="00F65C8B" w:rsidRPr="00EB7364">
        <w:rPr>
          <w:rFonts w:hAnsi="標楷體" w:hint="eastAsia"/>
        </w:rPr>
        <w:t>數1</w:t>
      </w:r>
      <w:r w:rsidR="00DB4038">
        <w:rPr>
          <w:rFonts w:hAnsi="標楷體"/>
        </w:rPr>
        <w:t>,</w:t>
      </w:r>
      <w:r w:rsidR="00F65C8B" w:rsidRPr="00EB7364">
        <w:rPr>
          <w:rFonts w:hAnsi="標楷體" w:hint="eastAsia"/>
        </w:rPr>
        <w:t>606.44億元，債務總額為3</w:t>
      </w:r>
      <w:r w:rsidR="00DB4038">
        <w:rPr>
          <w:rFonts w:hAnsi="標楷體"/>
        </w:rPr>
        <w:t>,</w:t>
      </w:r>
      <w:r w:rsidR="00F65C8B" w:rsidRPr="00EB7364">
        <w:rPr>
          <w:rFonts w:hAnsi="標楷體" w:hint="eastAsia"/>
        </w:rPr>
        <w:t>050.78億元。</w:t>
      </w:r>
    </w:p>
    <w:p w:rsidR="003A403E" w:rsidRPr="00EB7364" w:rsidRDefault="0037146B" w:rsidP="00DB4038">
      <w:pPr>
        <w:pStyle w:val="142"/>
        <w:ind w:left="1216" w:hangingChars="500" w:hanging="1216"/>
        <w:rPr>
          <w:rFonts w:hint="eastAsia"/>
        </w:rPr>
      </w:pPr>
      <w:r w:rsidRPr="00EB7364">
        <w:rPr>
          <w:rFonts w:hint="eastAsia"/>
        </w:rPr>
        <w:t>資料來源：</w:t>
      </w:r>
      <w:r w:rsidR="007B3C17" w:rsidRPr="00EB7364">
        <w:rPr>
          <w:rFonts w:hint="eastAsia"/>
        </w:rPr>
        <w:t>114年度以前為</w:t>
      </w:r>
      <w:r w:rsidR="00680AB0" w:rsidRPr="00EB7364">
        <w:rPr>
          <w:rFonts w:hint="eastAsia"/>
        </w:rPr>
        <w:t>國科會</w:t>
      </w:r>
      <w:r w:rsidRPr="00EB7364">
        <w:rPr>
          <w:rFonts w:hint="eastAsia"/>
        </w:rPr>
        <w:t>提供</w:t>
      </w:r>
      <w:r w:rsidR="007B3C17" w:rsidRPr="00EB7364">
        <w:rPr>
          <w:rFonts w:hAnsi="標楷體" w:hint="eastAsia"/>
        </w:rPr>
        <w:t>，</w:t>
      </w:r>
      <w:r w:rsidR="007B3C17" w:rsidRPr="00EB7364">
        <w:rPr>
          <w:rFonts w:hint="eastAsia"/>
        </w:rPr>
        <w:t>115年度係摘自</w:t>
      </w:r>
      <w:r w:rsidR="00DB4038">
        <w:rPr>
          <w:rFonts w:hint="eastAsia"/>
        </w:rPr>
        <w:t>園區作業基金</w:t>
      </w:r>
      <w:r w:rsidR="007B3C17" w:rsidRPr="00EB7364">
        <w:rPr>
          <w:rFonts w:hint="eastAsia"/>
        </w:rPr>
        <w:t>114年度預算書</w:t>
      </w:r>
      <w:r w:rsidR="00DB4038">
        <w:rPr>
          <w:rFonts w:hint="eastAsia"/>
        </w:rPr>
        <w:t>所載資料</w:t>
      </w:r>
      <w:r w:rsidRPr="00EB7364">
        <w:rPr>
          <w:rFonts w:hint="eastAsia"/>
        </w:rPr>
        <w:t>。</w:t>
      </w:r>
    </w:p>
    <w:sectPr w:rsidR="003A403E" w:rsidRPr="00EB7364" w:rsidSect="00AE73B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9D0" w:rsidRDefault="004B09D0" w:rsidP="009B732E">
      <w:pPr>
        <w:spacing w:line="240" w:lineRule="auto"/>
        <w:ind w:left="560" w:firstLine="560"/>
      </w:pPr>
      <w:r>
        <w:separator/>
      </w:r>
    </w:p>
  </w:endnote>
  <w:endnote w:type="continuationSeparator" w:id="0">
    <w:p w:rsidR="004B09D0" w:rsidRDefault="004B09D0"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f0"/>
      <w:tabs>
        <w:tab w:val="clear" w:pos="4153"/>
        <w:tab w:val="clear" w:pos="8306"/>
      </w:tabs>
      <w:ind w:leftChars="0" w:left="7" w:firstLineChars="3" w:firstLine="6"/>
      <w:jc w:val="center"/>
    </w:pPr>
    <w:r>
      <w:fldChar w:fldCharType="begin"/>
    </w:r>
    <w:r>
      <w:instrText>PAGE   \* MERGEFORMAT</w:instrText>
    </w:r>
    <w:r>
      <w:fldChar w:fldCharType="separate"/>
    </w:r>
    <w:r w:rsidR="007077C9" w:rsidRPr="007077C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9D0" w:rsidRDefault="004B09D0" w:rsidP="009B732E">
      <w:pPr>
        <w:spacing w:line="240" w:lineRule="auto"/>
        <w:ind w:left="560" w:firstLine="560"/>
      </w:pPr>
      <w:r>
        <w:separator/>
      </w:r>
    </w:p>
  </w:footnote>
  <w:footnote w:type="continuationSeparator" w:id="0">
    <w:p w:rsidR="004B09D0" w:rsidRDefault="004B09D0"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1849"/>
    <w:multiLevelType w:val="multilevel"/>
    <w:tmpl w:val="9F62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82418"/>
    <w:multiLevelType w:val="hybridMultilevel"/>
    <w:tmpl w:val="BDE69754"/>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 w15:restartNumberingAfterBreak="0">
    <w:nsid w:val="06686818"/>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B841B4"/>
    <w:multiLevelType w:val="multilevel"/>
    <w:tmpl w:val="998C2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91F8B"/>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15225F"/>
    <w:multiLevelType w:val="hybridMultilevel"/>
    <w:tmpl w:val="64BE50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8D13A3"/>
    <w:multiLevelType w:val="multilevel"/>
    <w:tmpl w:val="000C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50FF3"/>
    <w:multiLevelType w:val="multilevel"/>
    <w:tmpl w:val="445283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03072"/>
    <w:multiLevelType w:val="multilevel"/>
    <w:tmpl w:val="75EA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481F6A"/>
    <w:multiLevelType w:val="hybridMultilevel"/>
    <w:tmpl w:val="C6289EE8"/>
    <w:lvl w:ilvl="0" w:tplc="0409000F">
      <w:start w:val="1"/>
      <w:numFmt w:val="decimal"/>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0" w15:restartNumberingAfterBreak="0">
    <w:nsid w:val="341B2250"/>
    <w:multiLevelType w:val="hybridMultilevel"/>
    <w:tmpl w:val="08D42934"/>
    <w:lvl w:ilvl="0" w:tplc="2C644D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7C07BBE"/>
    <w:multiLevelType w:val="multilevel"/>
    <w:tmpl w:val="13D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7E3873"/>
    <w:multiLevelType w:val="multilevel"/>
    <w:tmpl w:val="B018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F117B"/>
    <w:multiLevelType w:val="multilevel"/>
    <w:tmpl w:val="8E98D2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821926"/>
    <w:multiLevelType w:val="hybridMultilevel"/>
    <w:tmpl w:val="0A328F20"/>
    <w:lvl w:ilvl="0" w:tplc="2C644D0A">
      <w:start w:val="1"/>
      <w:numFmt w:val="decimal"/>
      <w:lvlText w:val="(%1)"/>
      <w:lvlJc w:val="left"/>
      <w:pPr>
        <w:ind w:left="510" w:hanging="480"/>
      </w:pPr>
      <w:rPr>
        <w:rFonts w:hint="eastAsia"/>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5" w15:restartNumberingAfterBreak="0">
    <w:nsid w:val="4B3867EF"/>
    <w:multiLevelType w:val="hybridMultilevel"/>
    <w:tmpl w:val="4F2CAC90"/>
    <w:lvl w:ilvl="0" w:tplc="00FC439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951324"/>
    <w:multiLevelType w:val="multilevel"/>
    <w:tmpl w:val="03BA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2C160C"/>
    <w:multiLevelType w:val="multilevel"/>
    <w:tmpl w:val="21841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1D5920"/>
    <w:multiLevelType w:val="hybridMultilevel"/>
    <w:tmpl w:val="C7DE4E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3F73F54"/>
    <w:multiLevelType w:val="multilevel"/>
    <w:tmpl w:val="66765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3331C6"/>
    <w:multiLevelType w:val="hybridMultilevel"/>
    <w:tmpl w:val="82D6B80E"/>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1" w15:restartNumberingAfterBreak="0">
    <w:nsid w:val="6AB860BB"/>
    <w:multiLevelType w:val="multilevel"/>
    <w:tmpl w:val="70FE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E233FE"/>
    <w:multiLevelType w:val="multilevel"/>
    <w:tmpl w:val="CB3E9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DA53BA"/>
    <w:multiLevelType w:val="multilevel"/>
    <w:tmpl w:val="84E4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338B6"/>
    <w:multiLevelType w:val="multilevel"/>
    <w:tmpl w:val="BF24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2"/>
  </w:num>
  <w:num w:numId="3">
    <w:abstractNumId w:val="19"/>
  </w:num>
  <w:num w:numId="4">
    <w:abstractNumId w:val="17"/>
  </w:num>
  <w:num w:numId="5">
    <w:abstractNumId w:val="3"/>
  </w:num>
  <w:num w:numId="6">
    <w:abstractNumId w:val="13"/>
  </w:num>
  <w:num w:numId="7">
    <w:abstractNumId w:val="8"/>
  </w:num>
  <w:num w:numId="8">
    <w:abstractNumId w:val="12"/>
  </w:num>
  <w:num w:numId="9">
    <w:abstractNumId w:val="6"/>
  </w:num>
  <w:num w:numId="10">
    <w:abstractNumId w:val="0"/>
  </w:num>
  <w:num w:numId="11">
    <w:abstractNumId w:val="23"/>
  </w:num>
  <w:num w:numId="12">
    <w:abstractNumId w:val="11"/>
  </w:num>
  <w:num w:numId="13">
    <w:abstractNumId w:val="18"/>
  </w:num>
  <w:num w:numId="14">
    <w:abstractNumId w:val="2"/>
  </w:num>
  <w:num w:numId="15">
    <w:abstractNumId w:val="15"/>
  </w:num>
  <w:num w:numId="16">
    <w:abstractNumId w:val="4"/>
  </w:num>
  <w:num w:numId="17">
    <w:abstractNumId w:val="20"/>
  </w:num>
  <w:num w:numId="18">
    <w:abstractNumId w:val="5"/>
  </w:num>
  <w:num w:numId="19">
    <w:abstractNumId w:val="1"/>
  </w:num>
  <w:num w:numId="20">
    <w:abstractNumId w:val="9"/>
  </w:num>
  <w:num w:numId="21">
    <w:abstractNumId w:val="14"/>
  </w:num>
  <w:num w:numId="22">
    <w:abstractNumId w:val="10"/>
  </w:num>
  <w:num w:numId="23">
    <w:abstractNumId w:val="16"/>
  </w:num>
  <w:num w:numId="24">
    <w:abstractNumId w:val="2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10CA2"/>
    <w:rsid w:val="0001257A"/>
    <w:rsid w:val="00012E58"/>
    <w:rsid w:val="00015BFA"/>
    <w:rsid w:val="00022535"/>
    <w:rsid w:val="00032442"/>
    <w:rsid w:val="00035061"/>
    <w:rsid w:val="00041B04"/>
    <w:rsid w:val="000440B6"/>
    <w:rsid w:val="00046B99"/>
    <w:rsid w:val="00046E8D"/>
    <w:rsid w:val="0004772E"/>
    <w:rsid w:val="00052E9F"/>
    <w:rsid w:val="00061B0F"/>
    <w:rsid w:val="00062436"/>
    <w:rsid w:val="00062673"/>
    <w:rsid w:val="00064A0C"/>
    <w:rsid w:val="00064C77"/>
    <w:rsid w:val="00066742"/>
    <w:rsid w:val="00070268"/>
    <w:rsid w:val="00070729"/>
    <w:rsid w:val="00070F87"/>
    <w:rsid w:val="00071441"/>
    <w:rsid w:val="000741BE"/>
    <w:rsid w:val="0008001F"/>
    <w:rsid w:val="0008295C"/>
    <w:rsid w:val="00082ACD"/>
    <w:rsid w:val="00082F8B"/>
    <w:rsid w:val="00084408"/>
    <w:rsid w:val="00092E8B"/>
    <w:rsid w:val="00097E26"/>
    <w:rsid w:val="000A290C"/>
    <w:rsid w:val="000A45CC"/>
    <w:rsid w:val="000A6E82"/>
    <w:rsid w:val="000B4AD1"/>
    <w:rsid w:val="000B6EBC"/>
    <w:rsid w:val="000C34C2"/>
    <w:rsid w:val="000C4F8E"/>
    <w:rsid w:val="000C671A"/>
    <w:rsid w:val="000D2090"/>
    <w:rsid w:val="000D41CF"/>
    <w:rsid w:val="000D4965"/>
    <w:rsid w:val="000D4BA9"/>
    <w:rsid w:val="000D4C7D"/>
    <w:rsid w:val="000D54A9"/>
    <w:rsid w:val="000D6343"/>
    <w:rsid w:val="000D6633"/>
    <w:rsid w:val="000E1188"/>
    <w:rsid w:val="000E27CF"/>
    <w:rsid w:val="000E2B31"/>
    <w:rsid w:val="000E5845"/>
    <w:rsid w:val="000E5D65"/>
    <w:rsid w:val="000E79B5"/>
    <w:rsid w:val="000F09DE"/>
    <w:rsid w:val="001002A3"/>
    <w:rsid w:val="00101942"/>
    <w:rsid w:val="001151E3"/>
    <w:rsid w:val="00116A35"/>
    <w:rsid w:val="00117590"/>
    <w:rsid w:val="00117C6D"/>
    <w:rsid w:val="00126913"/>
    <w:rsid w:val="00133278"/>
    <w:rsid w:val="00133369"/>
    <w:rsid w:val="001354CF"/>
    <w:rsid w:val="001372F5"/>
    <w:rsid w:val="00141A88"/>
    <w:rsid w:val="00144FEB"/>
    <w:rsid w:val="00154DBF"/>
    <w:rsid w:val="00155D20"/>
    <w:rsid w:val="00155DD5"/>
    <w:rsid w:val="001566A9"/>
    <w:rsid w:val="00165F26"/>
    <w:rsid w:val="00170C61"/>
    <w:rsid w:val="0017211A"/>
    <w:rsid w:val="00173A80"/>
    <w:rsid w:val="00174A0A"/>
    <w:rsid w:val="00174D2D"/>
    <w:rsid w:val="00185816"/>
    <w:rsid w:val="001A0236"/>
    <w:rsid w:val="001A1FCD"/>
    <w:rsid w:val="001A59D2"/>
    <w:rsid w:val="001B4882"/>
    <w:rsid w:val="001B517F"/>
    <w:rsid w:val="001B75FE"/>
    <w:rsid w:val="001C0D47"/>
    <w:rsid w:val="001C212B"/>
    <w:rsid w:val="001C4EA5"/>
    <w:rsid w:val="001C55CF"/>
    <w:rsid w:val="001C6070"/>
    <w:rsid w:val="001D45F3"/>
    <w:rsid w:val="001E4CBD"/>
    <w:rsid w:val="001E5E60"/>
    <w:rsid w:val="001F3D90"/>
    <w:rsid w:val="0020208D"/>
    <w:rsid w:val="00204236"/>
    <w:rsid w:val="00205CC4"/>
    <w:rsid w:val="002116B1"/>
    <w:rsid w:val="00213624"/>
    <w:rsid w:val="00222010"/>
    <w:rsid w:val="00226AFB"/>
    <w:rsid w:val="00231029"/>
    <w:rsid w:val="00236F0A"/>
    <w:rsid w:val="002377D5"/>
    <w:rsid w:val="00237E0F"/>
    <w:rsid w:val="00243B7D"/>
    <w:rsid w:val="002443E8"/>
    <w:rsid w:val="00245842"/>
    <w:rsid w:val="00246068"/>
    <w:rsid w:val="00251C8D"/>
    <w:rsid w:val="00254CFB"/>
    <w:rsid w:val="0026032B"/>
    <w:rsid w:val="00263702"/>
    <w:rsid w:val="00265A47"/>
    <w:rsid w:val="002675CC"/>
    <w:rsid w:val="00274D20"/>
    <w:rsid w:val="00275A59"/>
    <w:rsid w:val="00277EDC"/>
    <w:rsid w:val="002907CC"/>
    <w:rsid w:val="002930DC"/>
    <w:rsid w:val="002937E6"/>
    <w:rsid w:val="002958EA"/>
    <w:rsid w:val="0029597A"/>
    <w:rsid w:val="002967C6"/>
    <w:rsid w:val="002A789C"/>
    <w:rsid w:val="002B1B77"/>
    <w:rsid w:val="002B7F1C"/>
    <w:rsid w:val="002C31EB"/>
    <w:rsid w:val="002C797D"/>
    <w:rsid w:val="002C79D4"/>
    <w:rsid w:val="002C7AAC"/>
    <w:rsid w:val="002D025F"/>
    <w:rsid w:val="002D21F0"/>
    <w:rsid w:val="002D4F47"/>
    <w:rsid w:val="002D79A8"/>
    <w:rsid w:val="002E356A"/>
    <w:rsid w:val="002E4002"/>
    <w:rsid w:val="002F0EDC"/>
    <w:rsid w:val="002F2962"/>
    <w:rsid w:val="002F6A39"/>
    <w:rsid w:val="0030719B"/>
    <w:rsid w:val="003119B1"/>
    <w:rsid w:val="003146F7"/>
    <w:rsid w:val="0032471D"/>
    <w:rsid w:val="0032526B"/>
    <w:rsid w:val="003262D3"/>
    <w:rsid w:val="00333B3E"/>
    <w:rsid w:val="00340750"/>
    <w:rsid w:val="00343887"/>
    <w:rsid w:val="00344E0A"/>
    <w:rsid w:val="003454E5"/>
    <w:rsid w:val="00345531"/>
    <w:rsid w:val="00345FA9"/>
    <w:rsid w:val="00346A18"/>
    <w:rsid w:val="003526E4"/>
    <w:rsid w:val="00355F8E"/>
    <w:rsid w:val="00357A2A"/>
    <w:rsid w:val="003628C3"/>
    <w:rsid w:val="0036401F"/>
    <w:rsid w:val="0037146B"/>
    <w:rsid w:val="00376E27"/>
    <w:rsid w:val="003816A1"/>
    <w:rsid w:val="003846C7"/>
    <w:rsid w:val="00393A74"/>
    <w:rsid w:val="003963BD"/>
    <w:rsid w:val="00397F6F"/>
    <w:rsid w:val="003A0545"/>
    <w:rsid w:val="003A11AF"/>
    <w:rsid w:val="003A371B"/>
    <w:rsid w:val="003A403E"/>
    <w:rsid w:val="003A67CA"/>
    <w:rsid w:val="003A71FF"/>
    <w:rsid w:val="003A7AD6"/>
    <w:rsid w:val="003B0E68"/>
    <w:rsid w:val="003B40CC"/>
    <w:rsid w:val="003B770C"/>
    <w:rsid w:val="003C3FE0"/>
    <w:rsid w:val="003C419C"/>
    <w:rsid w:val="003D0A96"/>
    <w:rsid w:val="003D3CB3"/>
    <w:rsid w:val="003D3D66"/>
    <w:rsid w:val="003D3F49"/>
    <w:rsid w:val="003E13C1"/>
    <w:rsid w:val="003E1CE9"/>
    <w:rsid w:val="003E245E"/>
    <w:rsid w:val="003E3AFA"/>
    <w:rsid w:val="003E424B"/>
    <w:rsid w:val="003E47BA"/>
    <w:rsid w:val="003E7ECD"/>
    <w:rsid w:val="003F12F5"/>
    <w:rsid w:val="003F27AD"/>
    <w:rsid w:val="003F3EE5"/>
    <w:rsid w:val="003F4E18"/>
    <w:rsid w:val="00404D6E"/>
    <w:rsid w:val="004058A2"/>
    <w:rsid w:val="0041001F"/>
    <w:rsid w:val="00412BA1"/>
    <w:rsid w:val="00420139"/>
    <w:rsid w:val="004201F0"/>
    <w:rsid w:val="0042199C"/>
    <w:rsid w:val="00440556"/>
    <w:rsid w:val="00441B6A"/>
    <w:rsid w:val="00442FED"/>
    <w:rsid w:val="00444924"/>
    <w:rsid w:val="00446001"/>
    <w:rsid w:val="00451449"/>
    <w:rsid w:val="00451DE8"/>
    <w:rsid w:val="00453316"/>
    <w:rsid w:val="00453CAB"/>
    <w:rsid w:val="004562C1"/>
    <w:rsid w:val="004611E7"/>
    <w:rsid w:val="00461655"/>
    <w:rsid w:val="00463368"/>
    <w:rsid w:val="004663E1"/>
    <w:rsid w:val="00466FC0"/>
    <w:rsid w:val="00467E5A"/>
    <w:rsid w:val="004737CC"/>
    <w:rsid w:val="00473878"/>
    <w:rsid w:val="00475FF9"/>
    <w:rsid w:val="00482EE4"/>
    <w:rsid w:val="00483920"/>
    <w:rsid w:val="00485EE5"/>
    <w:rsid w:val="0048774F"/>
    <w:rsid w:val="00494079"/>
    <w:rsid w:val="00494845"/>
    <w:rsid w:val="004976C3"/>
    <w:rsid w:val="004A1126"/>
    <w:rsid w:val="004A20A3"/>
    <w:rsid w:val="004A2E08"/>
    <w:rsid w:val="004A3164"/>
    <w:rsid w:val="004A5089"/>
    <w:rsid w:val="004A550D"/>
    <w:rsid w:val="004B09D0"/>
    <w:rsid w:val="004B1898"/>
    <w:rsid w:val="004B2EF5"/>
    <w:rsid w:val="004B33F1"/>
    <w:rsid w:val="004B47CD"/>
    <w:rsid w:val="004C479B"/>
    <w:rsid w:val="004C4CEC"/>
    <w:rsid w:val="004D1ABD"/>
    <w:rsid w:val="004D1CC7"/>
    <w:rsid w:val="004D23A2"/>
    <w:rsid w:val="004D77B1"/>
    <w:rsid w:val="004E4412"/>
    <w:rsid w:val="004E4BD5"/>
    <w:rsid w:val="004F4287"/>
    <w:rsid w:val="004F4535"/>
    <w:rsid w:val="00507938"/>
    <w:rsid w:val="0051001D"/>
    <w:rsid w:val="00514ACD"/>
    <w:rsid w:val="00523886"/>
    <w:rsid w:val="00524B78"/>
    <w:rsid w:val="00534888"/>
    <w:rsid w:val="00536339"/>
    <w:rsid w:val="00536BC8"/>
    <w:rsid w:val="00540A10"/>
    <w:rsid w:val="005442EC"/>
    <w:rsid w:val="005464BC"/>
    <w:rsid w:val="005466E2"/>
    <w:rsid w:val="00546939"/>
    <w:rsid w:val="00556925"/>
    <w:rsid w:val="00573C3B"/>
    <w:rsid w:val="00577925"/>
    <w:rsid w:val="00587B76"/>
    <w:rsid w:val="00591BCD"/>
    <w:rsid w:val="005933D4"/>
    <w:rsid w:val="00595CE9"/>
    <w:rsid w:val="00595DD4"/>
    <w:rsid w:val="005A1A6B"/>
    <w:rsid w:val="005A40C5"/>
    <w:rsid w:val="005C1991"/>
    <w:rsid w:val="005D6E17"/>
    <w:rsid w:val="005E119D"/>
    <w:rsid w:val="005E5303"/>
    <w:rsid w:val="005E530D"/>
    <w:rsid w:val="005E56CD"/>
    <w:rsid w:val="005F0BE3"/>
    <w:rsid w:val="005F5B83"/>
    <w:rsid w:val="0060082F"/>
    <w:rsid w:val="0060381C"/>
    <w:rsid w:val="00607AF5"/>
    <w:rsid w:val="0061107A"/>
    <w:rsid w:val="006121B2"/>
    <w:rsid w:val="006139BB"/>
    <w:rsid w:val="00615A3E"/>
    <w:rsid w:val="00621356"/>
    <w:rsid w:val="00633C72"/>
    <w:rsid w:val="00635ABD"/>
    <w:rsid w:val="00640E29"/>
    <w:rsid w:val="00644915"/>
    <w:rsid w:val="00646D1E"/>
    <w:rsid w:val="00650D9C"/>
    <w:rsid w:val="0065226E"/>
    <w:rsid w:val="00652A6C"/>
    <w:rsid w:val="00652AC9"/>
    <w:rsid w:val="0065358E"/>
    <w:rsid w:val="00656009"/>
    <w:rsid w:val="00661B7A"/>
    <w:rsid w:val="006652C7"/>
    <w:rsid w:val="00670742"/>
    <w:rsid w:val="00671DD9"/>
    <w:rsid w:val="00673E02"/>
    <w:rsid w:val="00680AB0"/>
    <w:rsid w:val="006834E6"/>
    <w:rsid w:val="00683C04"/>
    <w:rsid w:val="00683E12"/>
    <w:rsid w:val="00685A08"/>
    <w:rsid w:val="00690485"/>
    <w:rsid w:val="006931CF"/>
    <w:rsid w:val="00693A26"/>
    <w:rsid w:val="006972A5"/>
    <w:rsid w:val="006A42E6"/>
    <w:rsid w:val="006A659F"/>
    <w:rsid w:val="006A7433"/>
    <w:rsid w:val="006B2FA3"/>
    <w:rsid w:val="006B5FA7"/>
    <w:rsid w:val="006C3BE7"/>
    <w:rsid w:val="006C453D"/>
    <w:rsid w:val="006D171F"/>
    <w:rsid w:val="006D65A6"/>
    <w:rsid w:val="006D698B"/>
    <w:rsid w:val="006E1697"/>
    <w:rsid w:val="006F0725"/>
    <w:rsid w:val="006F1169"/>
    <w:rsid w:val="006F207C"/>
    <w:rsid w:val="006F4177"/>
    <w:rsid w:val="006F4B6A"/>
    <w:rsid w:val="006F4F89"/>
    <w:rsid w:val="006F5C9E"/>
    <w:rsid w:val="006F7C67"/>
    <w:rsid w:val="007013B9"/>
    <w:rsid w:val="007015A1"/>
    <w:rsid w:val="00703813"/>
    <w:rsid w:val="00703E4B"/>
    <w:rsid w:val="0070431E"/>
    <w:rsid w:val="007077C9"/>
    <w:rsid w:val="0071001D"/>
    <w:rsid w:val="00713D4F"/>
    <w:rsid w:val="00731E98"/>
    <w:rsid w:val="00734183"/>
    <w:rsid w:val="007349E5"/>
    <w:rsid w:val="007353DD"/>
    <w:rsid w:val="00737E7F"/>
    <w:rsid w:val="0074117B"/>
    <w:rsid w:val="00742965"/>
    <w:rsid w:val="00744408"/>
    <w:rsid w:val="00744632"/>
    <w:rsid w:val="0074689A"/>
    <w:rsid w:val="007505CA"/>
    <w:rsid w:val="00754749"/>
    <w:rsid w:val="00762586"/>
    <w:rsid w:val="007655A0"/>
    <w:rsid w:val="00765A2B"/>
    <w:rsid w:val="00765DA6"/>
    <w:rsid w:val="00766D74"/>
    <w:rsid w:val="00767052"/>
    <w:rsid w:val="007868B8"/>
    <w:rsid w:val="00792D04"/>
    <w:rsid w:val="007A0DBF"/>
    <w:rsid w:val="007A0FBF"/>
    <w:rsid w:val="007A2B15"/>
    <w:rsid w:val="007A70EE"/>
    <w:rsid w:val="007B007E"/>
    <w:rsid w:val="007B0E86"/>
    <w:rsid w:val="007B279F"/>
    <w:rsid w:val="007B2863"/>
    <w:rsid w:val="007B3C17"/>
    <w:rsid w:val="007B5793"/>
    <w:rsid w:val="007B6426"/>
    <w:rsid w:val="007B72A6"/>
    <w:rsid w:val="007C230B"/>
    <w:rsid w:val="007C2502"/>
    <w:rsid w:val="007C4881"/>
    <w:rsid w:val="007C591E"/>
    <w:rsid w:val="007E33E0"/>
    <w:rsid w:val="007E3FAE"/>
    <w:rsid w:val="007E65ED"/>
    <w:rsid w:val="007E6DAE"/>
    <w:rsid w:val="007F0247"/>
    <w:rsid w:val="007F7252"/>
    <w:rsid w:val="007F79CF"/>
    <w:rsid w:val="008008F1"/>
    <w:rsid w:val="00800C2A"/>
    <w:rsid w:val="008013C1"/>
    <w:rsid w:val="00804588"/>
    <w:rsid w:val="00810861"/>
    <w:rsid w:val="008114E9"/>
    <w:rsid w:val="00812592"/>
    <w:rsid w:val="00814278"/>
    <w:rsid w:val="008212B0"/>
    <w:rsid w:val="00824FDA"/>
    <w:rsid w:val="00826917"/>
    <w:rsid w:val="008301A5"/>
    <w:rsid w:val="00833413"/>
    <w:rsid w:val="00833A1C"/>
    <w:rsid w:val="00833BF4"/>
    <w:rsid w:val="00837EB0"/>
    <w:rsid w:val="00840F08"/>
    <w:rsid w:val="0084107A"/>
    <w:rsid w:val="008416DC"/>
    <w:rsid w:val="00841A0D"/>
    <w:rsid w:val="0084787B"/>
    <w:rsid w:val="00856B61"/>
    <w:rsid w:val="00860EAF"/>
    <w:rsid w:val="008664B7"/>
    <w:rsid w:val="00872375"/>
    <w:rsid w:val="00875BCF"/>
    <w:rsid w:val="00875D4F"/>
    <w:rsid w:val="00877DF1"/>
    <w:rsid w:val="0088071A"/>
    <w:rsid w:val="008810C6"/>
    <w:rsid w:val="008832C4"/>
    <w:rsid w:val="00883C52"/>
    <w:rsid w:val="008852B1"/>
    <w:rsid w:val="00886589"/>
    <w:rsid w:val="00887494"/>
    <w:rsid w:val="00887D65"/>
    <w:rsid w:val="00896E60"/>
    <w:rsid w:val="008A07CF"/>
    <w:rsid w:val="008A16E5"/>
    <w:rsid w:val="008A3FAE"/>
    <w:rsid w:val="008A6C2D"/>
    <w:rsid w:val="008C13DD"/>
    <w:rsid w:val="008C15B4"/>
    <w:rsid w:val="008C2DFC"/>
    <w:rsid w:val="008C3DF4"/>
    <w:rsid w:val="008C6697"/>
    <w:rsid w:val="008C6CC3"/>
    <w:rsid w:val="008C7F44"/>
    <w:rsid w:val="008D7430"/>
    <w:rsid w:val="008E096C"/>
    <w:rsid w:val="008E0CDF"/>
    <w:rsid w:val="008E3746"/>
    <w:rsid w:val="008E4893"/>
    <w:rsid w:val="008F53A7"/>
    <w:rsid w:val="008F60E8"/>
    <w:rsid w:val="008F7D8B"/>
    <w:rsid w:val="00900EB8"/>
    <w:rsid w:val="00905357"/>
    <w:rsid w:val="0090607C"/>
    <w:rsid w:val="00907C0D"/>
    <w:rsid w:val="0091239B"/>
    <w:rsid w:val="0091416B"/>
    <w:rsid w:val="00914FC5"/>
    <w:rsid w:val="009222DA"/>
    <w:rsid w:val="00924BD9"/>
    <w:rsid w:val="009253A1"/>
    <w:rsid w:val="00932FF4"/>
    <w:rsid w:val="00934214"/>
    <w:rsid w:val="00944F15"/>
    <w:rsid w:val="00946701"/>
    <w:rsid w:val="00954166"/>
    <w:rsid w:val="0096043B"/>
    <w:rsid w:val="00960E87"/>
    <w:rsid w:val="00962E1F"/>
    <w:rsid w:val="0096355D"/>
    <w:rsid w:val="00963DC3"/>
    <w:rsid w:val="00973D9B"/>
    <w:rsid w:val="0098366F"/>
    <w:rsid w:val="00991C58"/>
    <w:rsid w:val="00996918"/>
    <w:rsid w:val="009A0BEA"/>
    <w:rsid w:val="009A5DB1"/>
    <w:rsid w:val="009A7AAD"/>
    <w:rsid w:val="009B0DF0"/>
    <w:rsid w:val="009B2AA0"/>
    <w:rsid w:val="009B316A"/>
    <w:rsid w:val="009B732E"/>
    <w:rsid w:val="009C7E5C"/>
    <w:rsid w:val="009D2491"/>
    <w:rsid w:val="009D2618"/>
    <w:rsid w:val="009D2E76"/>
    <w:rsid w:val="009E0FD0"/>
    <w:rsid w:val="009E4F88"/>
    <w:rsid w:val="009F54DB"/>
    <w:rsid w:val="009F69F7"/>
    <w:rsid w:val="00A04660"/>
    <w:rsid w:val="00A13394"/>
    <w:rsid w:val="00A13BFF"/>
    <w:rsid w:val="00A158DE"/>
    <w:rsid w:val="00A24094"/>
    <w:rsid w:val="00A27B3E"/>
    <w:rsid w:val="00A36DEA"/>
    <w:rsid w:val="00A37474"/>
    <w:rsid w:val="00A401CF"/>
    <w:rsid w:val="00A4225E"/>
    <w:rsid w:val="00A45A49"/>
    <w:rsid w:val="00A54535"/>
    <w:rsid w:val="00A5597E"/>
    <w:rsid w:val="00A5696E"/>
    <w:rsid w:val="00A70AC8"/>
    <w:rsid w:val="00A72996"/>
    <w:rsid w:val="00A72E2D"/>
    <w:rsid w:val="00A72ED2"/>
    <w:rsid w:val="00A7393F"/>
    <w:rsid w:val="00A756A1"/>
    <w:rsid w:val="00A80E18"/>
    <w:rsid w:val="00A86D43"/>
    <w:rsid w:val="00A876FD"/>
    <w:rsid w:val="00A90821"/>
    <w:rsid w:val="00A91C28"/>
    <w:rsid w:val="00A95DD0"/>
    <w:rsid w:val="00AA42BA"/>
    <w:rsid w:val="00AA6DAB"/>
    <w:rsid w:val="00AA72D4"/>
    <w:rsid w:val="00AB035D"/>
    <w:rsid w:val="00AB426C"/>
    <w:rsid w:val="00AC0BDF"/>
    <w:rsid w:val="00AD2A44"/>
    <w:rsid w:val="00AD30B0"/>
    <w:rsid w:val="00AD6DEF"/>
    <w:rsid w:val="00AE0FC1"/>
    <w:rsid w:val="00AE1466"/>
    <w:rsid w:val="00AE3179"/>
    <w:rsid w:val="00AE3E61"/>
    <w:rsid w:val="00AE73BC"/>
    <w:rsid w:val="00AF35CC"/>
    <w:rsid w:val="00AF797A"/>
    <w:rsid w:val="00B015AC"/>
    <w:rsid w:val="00B05883"/>
    <w:rsid w:val="00B10848"/>
    <w:rsid w:val="00B111B6"/>
    <w:rsid w:val="00B156BC"/>
    <w:rsid w:val="00B217A1"/>
    <w:rsid w:val="00B306E2"/>
    <w:rsid w:val="00B308A4"/>
    <w:rsid w:val="00B35FC7"/>
    <w:rsid w:val="00B36656"/>
    <w:rsid w:val="00B42B86"/>
    <w:rsid w:val="00B621E3"/>
    <w:rsid w:val="00B65318"/>
    <w:rsid w:val="00B66C65"/>
    <w:rsid w:val="00B83A04"/>
    <w:rsid w:val="00B83C47"/>
    <w:rsid w:val="00B90D6F"/>
    <w:rsid w:val="00B92E32"/>
    <w:rsid w:val="00BA5BE8"/>
    <w:rsid w:val="00BB3F04"/>
    <w:rsid w:val="00BB5301"/>
    <w:rsid w:val="00BC2FFB"/>
    <w:rsid w:val="00BC7840"/>
    <w:rsid w:val="00BD13FC"/>
    <w:rsid w:val="00BD2A5F"/>
    <w:rsid w:val="00BD2AE6"/>
    <w:rsid w:val="00BE0E84"/>
    <w:rsid w:val="00BE2425"/>
    <w:rsid w:val="00BF36E0"/>
    <w:rsid w:val="00C033AB"/>
    <w:rsid w:val="00C06D20"/>
    <w:rsid w:val="00C12227"/>
    <w:rsid w:val="00C14949"/>
    <w:rsid w:val="00C14AA5"/>
    <w:rsid w:val="00C24F59"/>
    <w:rsid w:val="00C25755"/>
    <w:rsid w:val="00C30BA8"/>
    <w:rsid w:val="00C31F25"/>
    <w:rsid w:val="00C33D93"/>
    <w:rsid w:val="00C373A3"/>
    <w:rsid w:val="00C42D2F"/>
    <w:rsid w:val="00C46E77"/>
    <w:rsid w:val="00C50482"/>
    <w:rsid w:val="00C5106D"/>
    <w:rsid w:val="00C515CC"/>
    <w:rsid w:val="00C52E56"/>
    <w:rsid w:val="00C5333D"/>
    <w:rsid w:val="00C53CBF"/>
    <w:rsid w:val="00C53F34"/>
    <w:rsid w:val="00C626CC"/>
    <w:rsid w:val="00C663F8"/>
    <w:rsid w:val="00C67277"/>
    <w:rsid w:val="00C75675"/>
    <w:rsid w:val="00C75B32"/>
    <w:rsid w:val="00C77EAD"/>
    <w:rsid w:val="00C80184"/>
    <w:rsid w:val="00C80C54"/>
    <w:rsid w:val="00C856F3"/>
    <w:rsid w:val="00C93C2F"/>
    <w:rsid w:val="00C9495B"/>
    <w:rsid w:val="00C97C64"/>
    <w:rsid w:val="00CA02BE"/>
    <w:rsid w:val="00CA0EB9"/>
    <w:rsid w:val="00CA1B96"/>
    <w:rsid w:val="00CB1BDF"/>
    <w:rsid w:val="00CB2D04"/>
    <w:rsid w:val="00CB5556"/>
    <w:rsid w:val="00CC0192"/>
    <w:rsid w:val="00CC0E88"/>
    <w:rsid w:val="00CD2FA9"/>
    <w:rsid w:val="00CD473D"/>
    <w:rsid w:val="00CD60AF"/>
    <w:rsid w:val="00CE0DFE"/>
    <w:rsid w:val="00CE27AC"/>
    <w:rsid w:val="00CE73F9"/>
    <w:rsid w:val="00CF2619"/>
    <w:rsid w:val="00CF2FA8"/>
    <w:rsid w:val="00CF48BE"/>
    <w:rsid w:val="00D017C4"/>
    <w:rsid w:val="00D128D5"/>
    <w:rsid w:val="00D2135E"/>
    <w:rsid w:val="00D2723E"/>
    <w:rsid w:val="00D32C3B"/>
    <w:rsid w:val="00D3481B"/>
    <w:rsid w:val="00D34987"/>
    <w:rsid w:val="00D35A6C"/>
    <w:rsid w:val="00D40693"/>
    <w:rsid w:val="00D43FA9"/>
    <w:rsid w:val="00D4419C"/>
    <w:rsid w:val="00D4516A"/>
    <w:rsid w:val="00D5197C"/>
    <w:rsid w:val="00D51D10"/>
    <w:rsid w:val="00D53D10"/>
    <w:rsid w:val="00D56D7F"/>
    <w:rsid w:val="00D66AA5"/>
    <w:rsid w:val="00D714B9"/>
    <w:rsid w:val="00D72B56"/>
    <w:rsid w:val="00D72DFE"/>
    <w:rsid w:val="00D83434"/>
    <w:rsid w:val="00D93DC9"/>
    <w:rsid w:val="00D949C1"/>
    <w:rsid w:val="00DA45E8"/>
    <w:rsid w:val="00DB06A8"/>
    <w:rsid w:val="00DB1FF0"/>
    <w:rsid w:val="00DB4038"/>
    <w:rsid w:val="00DD1012"/>
    <w:rsid w:val="00DD79DC"/>
    <w:rsid w:val="00DE1EDE"/>
    <w:rsid w:val="00DE4733"/>
    <w:rsid w:val="00DE5B4B"/>
    <w:rsid w:val="00DE5B6F"/>
    <w:rsid w:val="00DF12BD"/>
    <w:rsid w:val="00DF25A8"/>
    <w:rsid w:val="00DF541A"/>
    <w:rsid w:val="00DF5481"/>
    <w:rsid w:val="00E10846"/>
    <w:rsid w:val="00E13DF7"/>
    <w:rsid w:val="00E2190F"/>
    <w:rsid w:val="00E264D8"/>
    <w:rsid w:val="00E327D2"/>
    <w:rsid w:val="00E340BF"/>
    <w:rsid w:val="00E352BF"/>
    <w:rsid w:val="00E3771A"/>
    <w:rsid w:val="00E37841"/>
    <w:rsid w:val="00E4159B"/>
    <w:rsid w:val="00E442AE"/>
    <w:rsid w:val="00E45B19"/>
    <w:rsid w:val="00E55E7F"/>
    <w:rsid w:val="00E5662A"/>
    <w:rsid w:val="00E6163C"/>
    <w:rsid w:val="00E67DC0"/>
    <w:rsid w:val="00E77C7F"/>
    <w:rsid w:val="00E82203"/>
    <w:rsid w:val="00E872CC"/>
    <w:rsid w:val="00E87A0D"/>
    <w:rsid w:val="00E94578"/>
    <w:rsid w:val="00E95E20"/>
    <w:rsid w:val="00E97EED"/>
    <w:rsid w:val="00EA5954"/>
    <w:rsid w:val="00EA5F3F"/>
    <w:rsid w:val="00EA6A46"/>
    <w:rsid w:val="00EA6F7A"/>
    <w:rsid w:val="00EB68A9"/>
    <w:rsid w:val="00EB7364"/>
    <w:rsid w:val="00EB7C6B"/>
    <w:rsid w:val="00EE01C6"/>
    <w:rsid w:val="00EE645D"/>
    <w:rsid w:val="00EE7A60"/>
    <w:rsid w:val="00F0220E"/>
    <w:rsid w:val="00F035DE"/>
    <w:rsid w:val="00F10979"/>
    <w:rsid w:val="00F11385"/>
    <w:rsid w:val="00F146C5"/>
    <w:rsid w:val="00F16FCE"/>
    <w:rsid w:val="00F3097E"/>
    <w:rsid w:val="00F34350"/>
    <w:rsid w:val="00F35412"/>
    <w:rsid w:val="00F36831"/>
    <w:rsid w:val="00F47E97"/>
    <w:rsid w:val="00F61B8D"/>
    <w:rsid w:val="00F65C8B"/>
    <w:rsid w:val="00F66444"/>
    <w:rsid w:val="00F66C93"/>
    <w:rsid w:val="00F6703A"/>
    <w:rsid w:val="00F76031"/>
    <w:rsid w:val="00F8263E"/>
    <w:rsid w:val="00F82E3C"/>
    <w:rsid w:val="00F92D29"/>
    <w:rsid w:val="00F939D0"/>
    <w:rsid w:val="00F960D3"/>
    <w:rsid w:val="00FA158F"/>
    <w:rsid w:val="00FA4C77"/>
    <w:rsid w:val="00FA5CAE"/>
    <w:rsid w:val="00FA5E91"/>
    <w:rsid w:val="00FB6F39"/>
    <w:rsid w:val="00FD31FA"/>
    <w:rsid w:val="00FD452B"/>
    <w:rsid w:val="00FD4AC8"/>
    <w:rsid w:val="00FE0BA1"/>
    <w:rsid w:val="00FE2192"/>
    <w:rsid w:val="00FE3B66"/>
    <w:rsid w:val="00FF0CA6"/>
    <w:rsid w:val="00FF29CA"/>
    <w:rsid w:val="00FF4B00"/>
    <w:rsid w:val="00FF6582"/>
    <w:rsid w:val="00FF69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CC6E165-C2A7-4FB7-AADB-8C8582909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C15B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aliases w:val="標題110/111,標題110/111 字元"/>
    <w:basedOn w:val="a"/>
    <w:next w:val="a"/>
    <w:link w:val="20"/>
    <w:qFormat/>
    <w:rsid w:val="00C9495B"/>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semiHidden/>
    <w:unhideWhenUsed/>
    <w:qFormat/>
    <w:rsid w:val="00EE01C6"/>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3D0A96"/>
    <w:pPr>
      <w:tabs>
        <w:tab w:val="right" w:leader="hyphen" w:pos="8490"/>
      </w:tabs>
      <w:ind w:leftChars="0" w:left="0" w:hangingChars="200" w:hanging="200"/>
    </w:pPr>
    <w:rPr>
      <w:sz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e">
    <w:name w:val="header"/>
    <w:basedOn w:val="a"/>
    <w:link w:val="af"/>
    <w:uiPriority w:val="99"/>
    <w:unhideWhenUsed/>
    <w:rsid w:val="004A1126"/>
    <w:pPr>
      <w:tabs>
        <w:tab w:val="center" w:pos="4153"/>
        <w:tab w:val="right" w:pos="8306"/>
      </w:tabs>
      <w:snapToGrid w:val="0"/>
    </w:pPr>
    <w:rPr>
      <w:sz w:val="20"/>
      <w:szCs w:val="20"/>
    </w:rPr>
  </w:style>
  <w:style w:type="character" w:customStyle="1" w:styleId="af">
    <w:name w:val="頁首 字元"/>
    <w:link w:val="ae"/>
    <w:uiPriority w:val="99"/>
    <w:rsid w:val="004A1126"/>
    <w:rPr>
      <w:rFonts w:ascii="標楷體" w:eastAsia="標楷體"/>
      <w:snapToGrid w:val="0"/>
      <w:kern w:val="2"/>
    </w:rPr>
  </w:style>
  <w:style w:type="paragraph" w:styleId="af0">
    <w:name w:val="footer"/>
    <w:basedOn w:val="a"/>
    <w:link w:val="af1"/>
    <w:uiPriority w:val="99"/>
    <w:unhideWhenUsed/>
    <w:rsid w:val="004A1126"/>
    <w:pPr>
      <w:tabs>
        <w:tab w:val="center" w:pos="4153"/>
        <w:tab w:val="right" w:pos="8306"/>
      </w:tabs>
      <w:snapToGrid w:val="0"/>
    </w:pPr>
    <w:rPr>
      <w:sz w:val="20"/>
      <w:szCs w:val="20"/>
    </w:rPr>
  </w:style>
  <w:style w:type="character" w:customStyle="1" w:styleId="af1">
    <w:name w:val="頁尾 字元"/>
    <w:link w:val="af0"/>
    <w:uiPriority w:val="99"/>
    <w:rsid w:val="004A1126"/>
    <w:rPr>
      <w:rFonts w:ascii="標楷體" w:eastAsia="標楷體"/>
      <w:snapToGrid w:val="0"/>
      <w:kern w:val="2"/>
    </w:rPr>
  </w:style>
  <w:style w:type="paragraph" w:styleId="af2">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3"/>
    <w:unhideWhenUsed/>
    <w:qFormat/>
    <w:rsid w:val="004A1126"/>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2"/>
    <w:qFormat/>
    <w:rsid w:val="004A1126"/>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5">
    <w:name w:val="註腳"/>
    <w:basedOn w:val="af2"/>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6">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7">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8">
    <w:name w:val="Hyperlink"/>
    <w:uiPriority w:val="99"/>
    <w:unhideWhenUsed/>
    <w:rsid w:val="003D0A96"/>
    <w:rPr>
      <w:color w:val="0563C1"/>
      <w:u w:val="single"/>
    </w:rPr>
  </w:style>
  <w:style w:type="character" w:styleId="af9">
    <w:name w:val="page number"/>
    <w:rsid w:val="00AA42BA"/>
  </w:style>
  <w:style w:type="character" w:customStyle="1" w:styleId="143">
    <w:name w:val="表格內文(14行高) 字元"/>
    <w:link w:val="142"/>
    <w:qFormat/>
    <w:rsid w:val="00C9495B"/>
    <w:rPr>
      <w:rFonts w:ascii="標楷體" w:eastAsia="標楷體"/>
      <w:snapToGrid w:val="0"/>
      <w:kern w:val="2"/>
      <w:sz w:val="24"/>
      <w:szCs w:val="28"/>
    </w:rPr>
  </w:style>
  <w:style w:type="character" w:customStyle="1" w:styleId="20">
    <w:name w:val="標題 2 字元"/>
    <w:aliases w:val="標題110/111 字元1,標題110/111 字元 字元"/>
    <w:link w:val="2"/>
    <w:rsid w:val="00C9495B"/>
    <w:rPr>
      <w:rFonts w:ascii="Arial" w:hAnsi="Arial"/>
      <w:b/>
      <w:bCs/>
      <w:snapToGrid w:val="0"/>
      <w:kern w:val="2"/>
      <w:sz w:val="48"/>
      <w:szCs w:val="48"/>
      <w:lang w:val="x-none" w:eastAsia="x-none"/>
    </w:rPr>
  </w:style>
  <w:style w:type="character" w:customStyle="1" w:styleId="a5">
    <w:name w:val="(一)(二)(三) 字元"/>
    <w:link w:val="a4"/>
    <w:rsid w:val="00C9495B"/>
    <w:rPr>
      <w:rFonts w:ascii="標楷體" w:eastAsia="標楷體"/>
      <w:snapToGrid w:val="0"/>
      <w:kern w:val="2"/>
      <w:sz w:val="28"/>
      <w:szCs w:val="28"/>
    </w:rPr>
  </w:style>
  <w:style w:type="character" w:customStyle="1" w:styleId="22">
    <w:name w:val="(一)下內文縮2 字元"/>
    <w:link w:val="21"/>
    <w:qFormat/>
    <w:rsid w:val="00C9495B"/>
    <w:rPr>
      <w:rFonts w:ascii="標楷體" w:eastAsia="標楷體"/>
      <w:snapToGrid w:val="0"/>
      <w:kern w:val="2"/>
      <w:sz w:val="28"/>
      <w:szCs w:val="28"/>
    </w:rPr>
  </w:style>
  <w:style w:type="character" w:customStyle="1" w:styleId="ac">
    <w:name w:val="姓名及分機 字元"/>
    <w:link w:val="ab"/>
    <w:rsid w:val="00607AF5"/>
    <w:rPr>
      <w:rFonts w:ascii="標楷體" w:eastAsia="標楷體"/>
      <w:snapToGrid w:val="0"/>
      <w:kern w:val="2"/>
      <w:sz w:val="24"/>
      <w:szCs w:val="28"/>
    </w:rPr>
  </w:style>
  <w:style w:type="paragraph" w:styleId="afa">
    <w:name w:val="List Paragraph"/>
    <w:basedOn w:val="a"/>
    <w:uiPriority w:val="34"/>
    <w:qFormat/>
    <w:rsid w:val="00767052"/>
    <w:pPr>
      <w:ind w:left="480"/>
    </w:pPr>
  </w:style>
  <w:style w:type="character" w:customStyle="1" w:styleId="24">
    <w:name w:val="(一)(二)(三) 字元2"/>
    <w:rsid w:val="00767052"/>
    <w:rPr>
      <w:rFonts w:ascii="標楷體" w:eastAsia="標楷體"/>
      <w:snapToGrid w:val="0"/>
      <w:kern w:val="2"/>
      <w:sz w:val="28"/>
      <w:szCs w:val="28"/>
    </w:rPr>
  </w:style>
  <w:style w:type="character" w:customStyle="1" w:styleId="12">
    <w:name w:val="(一)(二)(三) 字元1"/>
    <w:rsid w:val="00524B78"/>
    <w:rPr>
      <w:rFonts w:ascii="標楷體" w:eastAsia="標楷體"/>
      <w:snapToGrid w:val="0"/>
      <w:kern w:val="2"/>
      <w:sz w:val="28"/>
      <w:szCs w:val="28"/>
    </w:rPr>
  </w:style>
  <w:style w:type="paragraph" w:customStyle="1" w:styleId="CompanyName">
    <w:name w:val="Company Name"/>
    <w:basedOn w:val="a"/>
    <w:rsid w:val="00E45B1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30">
    <w:name w:val="標題 3 字元"/>
    <w:link w:val="3"/>
    <w:uiPriority w:val="9"/>
    <w:semiHidden/>
    <w:rsid w:val="00EE01C6"/>
    <w:rPr>
      <w:rFonts w:ascii="Calibri Light" w:eastAsia="新細明體" w:hAnsi="Calibri Light" w:cs="Times New Roman"/>
      <w:b/>
      <w:bCs/>
      <w:snapToGrid w:val="0"/>
      <w:kern w:val="2"/>
      <w:sz w:val="36"/>
      <w:szCs w:val="36"/>
    </w:rPr>
  </w:style>
  <w:style w:type="character" w:customStyle="1" w:styleId="afb">
    <w:name w:val="未解析的提及"/>
    <w:uiPriority w:val="99"/>
    <w:semiHidden/>
    <w:unhideWhenUsed/>
    <w:rsid w:val="00887D65"/>
    <w:rPr>
      <w:color w:val="605E5C"/>
      <w:shd w:val="clear" w:color="auto" w:fill="E1DFDD"/>
    </w:rPr>
  </w:style>
  <w:style w:type="character" w:styleId="afc">
    <w:name w:val="FollowedHyperlink"/>
    <w:uiPriority w:val="99"/>
    <w:semiHidden/>
    <w:unhideWhenUsed/>
    <w:rsid w:val="00887D65"/>
    <w:rPr>
      <w:color w:val="954F72"/>
      <w:u w:val="single"/>
    </w:rPr>
  </w:style>
  <w:style w:type="character" w:styleId="afd">
    <w:name w:val="annotation reference"/>
    <w:uiPriority w:val="99"/>
    <w:semiHidden/>
    <w:unhideWhenUsed/>
    <w:rsid w:val="003454E5"/>
    <w:rPr>
      <w:sz w:val="18"/>
      <w:szCs w:val="18"/>
    </w:rPr>
  </w:style>
  <w:style w:type="paragraph" w:styleId="afe">
    <w:name w:val="annotation text"/>
    <w:basedOn w:val="a"/>
    <w:link w:val="aff"/>
    <w:uiPriority w:val="99"/>
    <w:semiHidden/>
    <w:unhideWhenUsed/>
    <w:rsid w:val="003454E5"/>
    <w:pPr>
      <w:jc w:val="left"/>
    </w:pPr>
  </w:style>
  <w:style w:type="character" w:customStyle="1" w:styleId="aff">
    <w:name w:val="註解文字 字元"/>
    <w:link w:val="afe"/>
    <w:uiPriority w:val="99"/>
    <w:semiHidden/>
    <w:rsid w:val="003454E5"/>
    <w:rPr>
      <w:rFonts w:ascii="標楷體" w:eastAsia="標楷體"/>
      <w:snapToGrid w:val="0"/>
      <w:kern w:val="2"/>
      <w:sz w:val="28"/>
      <w:szCs w:val="28"/>
    </w:rPr>
  </w:style>
  <w:style w:type="paragraph" w:styleId="aff0">
    <w:name w:val="annotation subject"/>
    <w:basedOn w:val="afe"/>
    <w:next w:val="afe"/>
    <w:link w:val="aff1"/>
    <w:uiPriority w:val="99"/>
    <w:semiHidden/>
    <w:unhideWhenUsed/>
    <w:rsid w:val="003454E5"/>
    <w:rPr>
      <w:b/>
      <w:bCs/>
    </w:rPr>
  </w:style>
  <w:style w:type="character" w:customStyle="1" w:styleId="aff1">
    <w:name w:val="註解主旨 字元"/>
    <w:link w:val="aff0"/>
    <w:uiPriority w:val="99"/>
    <w:semiHidden/>
    <w:rsid w:val="003454E5"/>
    <w:rPr>
      <w:rFonts w:ascii="標楷體" w:eastAsia="標楷體"/>
      <w:b/>
      <w:bCs/>
      <w:snapToGrid w:val="0"/>
      <w:kern w:val="2"/>
      <w:sz w:val="28"/>
      <w:szCs w:val="28"/>
    </w:rPr>
  </w:style>
  <w:style w:type="character" w:styleId="aff2">
    <w:name w:val="Strong"/>
    <w:uiPriority w:val="22"/>
    <w:qFormat/>
    <w:rsid w:val="004201F0"/>
    <w:rPr>
      <w:b/>
      <w:bCs/>
    </w:rPr>
  </w:style>
  <w:style w:type="paragraph" w:styleId="HTML">
    <w:name w:val="HTML Preformatted"/>
    <w:basedOn w:val="a"/>
    <w:link w:val="HTML0"/>
    <w:uiPriority w:val="99"/>
    <w:semiHidden/>
    <w:unhideWhenUsed/>
    <w:rsid w:val="00393A74"/>
    <w:rPr>
      <w:rFonts w:ascii="Courier New" w:hAnsi="Courier New" w:cs="Courier New"/>
      <w:sz w:val="20"/>
      <w:szCs w:val="20"/>
    </w:rPr>
  </w:style>
  <w:style w:type="character" w:customStyle="1" w:styleId="HTML0">
    <w:name w:val="HTML 預設格式 字元"/>
    <w:link w:val="HTML"/>
    <w:uiPriority w:val="99"/>
    <w:semiHidden/>
    <w:rsid w:val="00393A74"/>
    <w:rPr>
      <w:rFonts w:ascii="Courier New" w:eastAsia="標楷體" w:hAnsi="Courier New" w:cs="Courier New"/>
      <w:snapToGrid w:val="0"/>
      <w:kern w:val="2"/>
    </w:rPr>
  </w:style>
  <w:style w:type="character" w:customStyle="1" w:styleId="140">
    <w:name w:val="第二層(14號字) 字元"/>
    <w:link w:val="14"/>
    <w:rsid w:val="00C53F34"/>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7492">
      <w:bodyDiv w:val="1"/>
      <w:marLeft w:val="0"/>
      <w:marRight w:val="0"/>
      <w:marTop w:val="0"/>
      <w:marBottom w:val="0"/>
      <w:divBdr>
        <w:top w:val="none" w:sz="0" w:space="0" w:color="auto"/>
        <w:left w:val="none" w:sz="0" w:space="0" w:color="auto"/>
        <w:bottom w:val="none" w:sz="0" w:space="0" w:color="auto"/>
        <w:right w:val="none" w:sz="0" w:space="0" w:color="auto"/>
      </w:divBdr>
    </w:div>
    <w:div w:id="91165386">
      <w:bodyDiv w:val="1"/>
      <w:marLeft w:val="0"/>
      <w:marRight w:val="0"/>
      <w:marTop w:val="0"/>
      <w:marBottom w:val="0"/>
      <w:divBdr>
        <w:top w:val="none" w:sz="0" w:space="0" w:color="auto"/>
        <w:left w:val="none" w:sz="0" w:space="0" w:color="auto"/>
        <w:bottom w:val="none" w:sz="0" w:space="0" w:color="auto"/>
        <w:right w:val="none" w:sz="0" w:space="0" w:color="auto"/>
      </w:divBdr>
    </w:div>
    <w:div w:id="166290041">
      <w:bodyDiv w:val="1"/>
      <w:marLeft w:val="0"/>
      <w:marRight w:val="0"/>
      <w:marTop w:val="0"/>
      <w:marBottom w:val="0"/>
      <w:divBdr>
        <w:top w:val="none" w:sz="0" w:space="0" w:color="auto"/>
        <w:left w:val="none" w:sz="0" w:space="0" w:color="auto"/>
        <w:bottom w:val="none" w:sz="0" w:space="0" w:color="auto"/>
        <w:right w:val="none" w:sz="0" w:space="0" w:color="auto"/>
      </w:divBdr>
    </w:div>
    <w:div w:id="216742410">
      <w:bodyDiv w:val="1"/>
      <w:marLeft w:val="0"/>
      <w:marRight w:val="0"/>
      <w:marTop w:val="0"/>
      <w:marBottom w:val="0"/>
      <w:divBdr>
        <w:top w:val="none" w:sz="0" w:space="0" w:color="auto"/>
        <w:left w:val="none" w:sz="0" w:space="0" w:color="auto"/>
        <w:bottom w:val="none" w:sz="0" w:space="0" w:color="auto"/>
        <w:right w:val="none" w:sz="0" w:space="0" w:color="auto"/>
      </w:divBdr>
    </w:div>
    <w:div w:id="219555468">
      <w:bodyDiv w:val="1"/>
      <w:marLeft w:val="0"/>
      <w:marRight w:val="0"/>
      <w:marTop w:val="0"/>
      <w:marBottom w:val="0"/>
      <w:divBdr>
        <w:top w:val="none" w:sz="0" w:space="0" w:color="auto"/>
        <w:left w:val="none" w:sz="0" w:space="0" w:color="auto"/>
        <w:bottom w:val="none" w:sz="0" w:space="0" w:color="auto"/>
        <w:right w:val="none" w:sz="0" w:space="0" w:color="auto"/>
      </w:divBdr>
    </w:div>
    <w:div w:id="351565348">
      <w:bodyDiv w:val="1"/>
      <w:marLeft w:val="0"/>
      <w:marRight w:val="0"/>
      <w:marTop w:val="0"/>
      <w:marBottom w:val="0"/>
      <w:divBdr>
        <w:top w:val="none" w:sz="0" w:space="0" w:color="auto"/>
        <w:left w:val="none" w:sz="0" w:space="0" w:color="auto"/>
        <w:bottom w:val="none" w:sz="0" w:space="0" w:color="auto"/>
        <w:right w:val="none" w:sz="0" w:space="0" w:color="auto"/>
      </w:divBdr>
      <w:divsChild>
        <w:div w:id="1238326355">
          <w:marLeft w:val="0"/>
          <w:marRight w:val="0"/>
          <w:marTop w:val="0"/>
          <w:marBottom w:val="0"/>
          <w:divBdr>
            <w:top w:val="single" w:sz="2" w:space="0" w:color="E5E7EB"/>
            <w:left w:val="single" w:sz="2" w:space="0" w:color="E5E7EB"/>
            <w:bottom w:val="single" w:sz="2" w:space="0" w:color="E5E7EB"/>
            <w:right w:val="single" w:sz="2" w:space="0" w:color="E5E7EB"/>
          </w:divBdr>
          <w:divsChild>
            <w:div w:id="1832670446">
              <w:marLeft w:val="0"/>
              <w:marRight w:val="0"/>
              <w:marTop w:val="0"/>
              <w:marBottom w:val="0"/>
              <w:divBdr>
                <w:top w:val="none" w:sz="0" w:space="0" w:color="auto"/>
                <w:left w:val="none" w:sz="0" w:space="0" w:color="auto"/>
                <w:bottom w:val="none" w:sz="0" w:space="0" w:color="auto"/>
                <w:right w:val="none" w:sz="0" w:space="0" w:color="auto"/>
              </w:divBdr>
              <w:divsChild>
                <w:div w:id="1751928917">
                  <w:marLeft w:val="0"/>
                  <w:marRight w:val="0"/>
                  <w:marTop w:val="0"/>
                  <w:marBottom w:val="0"/>
                  <w:divBdr>
                    <w:top w:val="none" w:sz="0" w:space="0" w:color="auto"/>
                    <w:left w:val="none" w:sz="0" w:space="0" w:color="auto"/>
                    <w:bottom w:val="none" w:sz="0" w:space="0" w:color="auto"/>
                    <w:right w:val="none" w:sz="0" w:space="0" w:color="auto"/>
                  </w:divBdr>
                  <w:divsChild>
                    <w:div w:id="628704824">
                      <w:marLeft w:val="0"/>
                      <w:marRight w:val="0"/>
                      <w:marTop w:val="0"/>
                      <w:marBottom w:val="0"/>
                      <w:divBdr>
                        <w:top w:val="single" w:sz="2" w:space="0" w:color="E5E7EB"/>
                        <w:left w:val="single" w:sz="2" w:space="0" w:color="E5E7EB"/>
                        <w:bottom w:val="single" w:sz="2" w:space="0" w:color="E5E7EB"/>
                        <w:right w:val="single" w:sz="2" w:space="0" w:color="E5E7EB"/>
                      </w:divBdr>
                      <w:divsChild>
                        <w:div w:id="1652054300">
                          <w:marLeft w:val="0"/>
                          <w:marRight w:val="0"/>
                          <w:marTop w:val="0"/>
                          <w:marBottom w:val="0"/>
                          <w:divBdr>
                            <w:top w:val="single" w:sz="2" w:space="0" w:color="E5E7EB"/>
                            <w:left w:val="single" w:sz="2" w:space="0" w:color="E5E7EB"/>
                            <w:bottom w:val="single" w:sz="2" w:space="0" w:color="E5E7EB"/>
                            <w:right w:val="single" w:sz="2" w:space="0" w:color="E5E7EB"/>
                          </w:divBdr>
                          <w:divsChild>
                            <w:div w:id="125704199">
                              <w:marLeft w:val="0"/>
                              <w:marRight w:val="0"/>
                              <w:marTop w:val="0"/>
                              <w:marBottom w:val="0"/>
                              <w:divBdr>
                                <w:top w:val="single" w:sz="2" w:space="0" w:color="E5E7EB"/>
                                <w:left w:val="single" w:sz="2" w:space="0" w:color="E5E7EB"/>
                                <w:bottom w:val="single" w:sz="2" w:space="0" w:color="E5E7EB"/>
                                <w:right w:val="single" w:sz="2" w:space="0" w:color="E5E7EB"/>
                              </w:divBdr>
                              <w:divsChild>
                                <w:div w:id="1431271539">
                                  <w:marLeft w:val="0"/>
                                  <w:marRight w:val="0"/>
                                  <w:marTop w:val="0"/>
                                  <w:marBottom w:val="0"/>
                                  <w:divBdr>
                                    <w:top w:val="none" w:sz="0" w:space="0" w:color="auto"/>
                                    <w:left w:val="none" w:sz="0" w:space="0" w:color="auto"/>
                                    <w:bottom w:val="none" w:sz="0" w:space="0" w:color="auto"/>
                                    <w:right w:val="none" w:sz="0" w:space="0" w:color="auto"/>
                                  </w:divBdr>
                                  <w:divsChild>
                                    <w:div w:id="1423065562">
                                      <w:marLeft w:val="0"/>
                                      <w:marRight w:val="0"/>
                                      <w:marTop w:val="0"/>
                                      <w:marBottom w:val="0"/>
                                      <w:divBdr>
                                        <w:top w:val="single" w:sz="2" w:space="0" w:color="E5E7EB"/>
                                        <w:left w:val="single" w:sz="2" w:space="12" w:color="E5E7EB"/>
                                        <w:bottom w:val="single" w:sz="2" w:space="0" w:color="E5E7EB"/>
                                        <w:right w:val="single" w:sz="2" w:space="12" w:color="E5E7EB"/>
                                      </w:divBdr>
                                      <w:divsChild>
                                        <w:div w:id="786659715">
                                          <w:marLeft w:val="0"/>
                                          <w:marRight w:val="0"/>
                                          <w:marTop w:val="0"/>
                                          <w:marBottom w:val="0"/>
                                          <w:divBdr>
                                            <w:top w:val="single" w:sz="2" w:space="0" w:color="E5E7EB"/>
                                            <w:left w:val="single" w:sz="2" w:space="0" w:color="E5E7EB"/>
                                            <w:bottom w:val="single" w:sz="2" w:space="12" w:color="E5E7EB"/>
                                            <w:right w:val="single" w:sz="2" w:space="0" w:color="E5E7EB"/>
                                          </w:divBdr>
                                          <w:divsChild>
                                            <w:div w:id="2042900411">
                                              <w:marLeft w:val="0"/>
                                              <w:marRight w:val="0"/>
                                              <w:marTop w:val="0"/>
                                              <w:marBottom w:val="0"/>
                                              <w:divBdr>
                                                <w:top w:val="single" w:sz="2" w:space="0" w:color="E5E7EB"/>
                                                <w:left w:val="single" w:sz="2" w:space="0" w:color="E5E7EB"/>
                                                <w:bottom w:val="single" w:sz="2" w:space="0" w:color="E5E7EB"/>
                                                <w:right w:val="single" w:sz="2" w:space="0" w:color="E5E7EB"/>
                                              </w:divBdr>
                                              <w:divsChild>
                                                <w:div w:id="1691294078">
                                                  <w:marLeft w:val="0"/>
                                                  <w:marRight w:val="0"/>
                                                  <w:marTop w:val="0"/>
                                                  <w:marBottom w:val="0"/>
                                                  <w:divBdr>
                                                    <w:top w:val="single" w:sz="2" w:space="0" w:color="E5E7EB"/>
                                                    <w:left w:val="single" w:sz="2" w:space="0" w:color="E5E7EB"/>
                                                    <w:bottom w:val="single" w:sz="2" w:space="0" w:color="E5E7EB"/>
                                                    <w:right w:val="single" w:sz="2" w:space="0" w:color="E5E7EB"/>
                                                  </w:divBdr>
                                                  <w:divsChild>
                                                    <w:div w:id="2014448310">
                                                      <w:marLeft w:val="0"/>
                                                      <w:marRight w:val="0"/>
                                                      <w:marTop w:val="0"/>
                                                      <w:marBottom w:val="0"/>
                                                      <w:divBdr>
                                                        <w:top w:val="single" w:sz="2" w:space="0" w:color="E5E7EB"/>
                                                        <w:left w:val="single" w:sz="2" w:space="0" w:color="E5E7EB"/>
                                                        <w:bottom w:val="single" w:sz="2" w:space="0" w:color="E5E7EB"/>
                                                        <w:right w:val="single" w:sz="2" w:space="0" w:color="E5E7EB"/>
                                                      </w:divBdr>
                                                      <w:divsChild>
                                                        <w:div w:id="1056467094">
                                                          <w:marLeft w:val="0"/>
                                                          <w:marRight w:val="0"/>
                                                          <w:marTop w:val="0"/>
                                                          <w:marBottom w:val="0"/>
                                                          <w:divBdr>
                                                            <w:top w:val="single" w:sz="2" w:space="0" w:color="E5E7EB"/>
                                                            <w:left w:val="single" w:sz="2" w:space="0" w:color="E5E7EB"/>
                                                            <w:bottom w:val="single" w:sz="2" w:space="0" w:color="E5E7EB"/>
                                                            <w:right w:val="single" w:sz="2" w:space="0" w:color="E5E7EB"/>
                                                          </w:divBdr>
                                                          <w:divsChild>
                                                            <w:div w:id="1157575472">
                                                              <w:marLeft w:val="0"/>
                                                              <w:marRight w:val="0"/>
                                                              <w:marTop w:val="0"/>
                                                              <w:marBottom w:val="0"/>
                                                              <w:divBdr>
                                                                <w:top w:val="none" w:sz="0" w:space="0" w:color="auto"/>
                                                                <w:left w:val="none" w:sz="0" w:space="0" w:color="auto"/>
                                                                <w:bottom w:val="none" w:sz="0" w:space="0" w:color="auto"/>
                                                                <w:right w:val="none" w:sz="0" w:space="0" w:color="auto"/>
                                                              </w:divBdr>
                                                              <w:divsChild>
                                                                <w:div w:id="1907109082">
                                                                  <w:marLeft w:val="0"/>
                                                                  <w:marRight w:val="0"/>
                                                                  <w:marTop w:val="0"/>
                                                                  <w:marBottom w:val="0"/>
                                                                  <w:divBdr>
                                                                    <w:top w:val="none" w:sz="0" w:space="0" w:color="auto"/>
                                                                    <w:left w:val="none" w:sz="0" w:space="0" w:color="auto"/>
                                                                    <w:bottom w:val="none" w:sz="0" w:space="0" w:color="auto"/>
                                                                    <w:right w:val="none" w:sz="0" w:space="0" w:color="auto"/>
                                                                  </w:divBdr>
                                                                  <w:divsChild>
                                                                    <w:div w:id="408114175">
                                                                      <w:marLeft w:val="0"/>
                                                                      <w:marRight w:val="0"/>
                                                                      <w:marTop w:val="0"/>
                                                                      <w:marBottom w:val="0"/>
                                                                      <w:divBdr>
                                                                        <w:top w:val="single" w:sz="6" w:space="0" w:color="auto"/>
                                                                        <w:left w:val="single" w:sz="2" w:space="0" w:color="auto"/>
                                                                        <w:bottom w:val="single" w:sz="2" w:space="0" w:color="auto"/>
                                                                        <w:right w:val="single" w:sz="2" w:space="0" w:color="auto"/>
                                                                      </w:divBdr>
                                                                      <w:divsChild>
                                                                        <w:div w:id="837887198">
                                                                          <w:marLeft w:val="0"/>
                                                                          <w:marRight w:val="0"/>
                                                                          <w:marTop w:val="0"/>
                                                                          <w:marBottom w:val="0"/>
                                                                          <w:divBdr>
                                                                            <w:top w:val="single" w:sz="4" w:space="6" w:color="auto"/>
                                                                            <w:left w:val="single" w:sz="2" w:space="0" w:color="auto"/>
                                                                            <w:bottom w:val="single" w:sz="2" w:space="6" w:color="auto"/>
                                                                            <w:right w:val="single" w:sz="2" w:space="0" w:color="auto"/>
                                                                          </w:divBdr>
                                                                          <w:divsChild>
                                                                            <w:div w:id="2013485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8675969">
                                                                          <w:marLeft w:val="0"/>
                                                                          <w:marRight w:val="0"/>
                                                                          <w:marTop w:val="0"/>
                                                                          <w:marBottom w:val="0"/>
                                                                          <w:divBdr>
                                                                            <w:top w:val="single" w:sz="4" w:space="6" w:color="auto"/>
                                                                            <w:left w:val="single" w:sz="2" w:space="0" w:color="auto"/>
                                                                            <w:bottom w:val="single" w:sz="2" w:space="6" w:color="auto"/>
                                                                            <w:right w:val="single" w:sz="2" w:space="0" w:color="auto"/>
                                                                          </w:divBdr>
                                                                          <w:divsChild>
                                                                            <w:div w:id="5281853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3284507">
                                                                          <w:marLeft w:val="0"/>
                                                                          <w:marRight w:val="0"/>
                                                                          <w:marTop w:val="0"/>
                                                                          <w:marBottom w:val="0"/>
                                                                          <w:divBdr>
                                                                            <w:top w:val="single" w:sz="4" w:space="6" w:color="auto"/>
                                                                            <w:left w:val="single" w:sz="2" w:space="0" w:color="auto"/>
                                                                            <w:bottom w:val="single" w:sz="2" w:space="6" w:color="auto"/>
                                                                            <w:right w:val="single" w:sz="2" w:space="0" w:color="auto"/>
                                                                          </w:divBdr>
                                                                          <w:divsChild>
                                                                            <w:div w:id="1523669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1953454">
                                                                          <w:marLeft w:val="0"/>
                                                                          <w:marRight w:val="0"/>
                                                                          <w:marTop w:val="0"/>
                                                                          <w:marBottom w:val="0"/>
                                                                          <w:divBdr>
                                                                            <w:top w:val="single" w:sz="4" w:space="6" w:color="auto"/>
                                                                            <w:left w:val="single" w:sz="2" w:space="0" w:color="auto"/>
                                                                            <w:bottom w:val="single" w:sz="2" w:space="6" w:color="auto"/>
                                                                            <w:right w:val="single" w:sz="2" w:space="0" w:color="auto"/>
                                                                          </w:divBdr>
                                                                          <w:divsChild>
                                                                            <w:div w:id="1200240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153836">
                                                                          <w:marLeft w:val="0"/>
                                                                          <w:marRight w:val="0"/>
                                                                          <w:marTop w:val="0"/>
                                                                          <w:marBottom w:val="0"/>
                                                                          <w:divBdr>
                                                                            <w:top w:val="single" w:sz="2" w:space="6" w:color="E5E7EB"/>
                                                                            <w:left w:val="single" w:sz="2" w:space="0" w:color="E5E7EB"/>
                                                                            <w:bottom w:val="single" w:sz="2" w:space="6" w:color="E5E7EB"/>
                                                                            <w:right w:val="single" w:sz="2" w:space="0" w:color="E5E7EB"/>
                                                                          </w:divBdr>
                                                                          <w:divsChild>
                                                                            <w:div w:id="275330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06222916">
                                                                      <w:marLeft w:val="0"/>
                                                                      <w:marRight w:val="0"/>
                                                                      <w:marTop w:val="0"/>
                                                                      <w:marBottom w:val="0"/>
                                                                      <w:divBdr>
                                                                        <w:top w:val="none" w:sz="0" w:space="0" w:color="auto"/>
                                                                        <w:left w:val="none" w:sz="0" w:space="0" w:color="auto"/>
                                                                        <w:bottom w:val="none" w:sz="0" w:space="0" w:color="auto"/>
                                                                        <w:right w:val="none" w:sz="0" w:space="0" w:color="auto"/>
                                                                      </w:divBdr>
                                                                      <w:divsChild>
                                                                        <w:div w:id="1580405349">
                                                                          <w:marLeft w:val="0"/>
                                                                          <w:marRight w:val="0"/>
                                                                          <w:marTop w:val="0"/>
                                                                          <w:marBottom w:val="120"/>
                                                                          <w:divBdr>
                                                                            <w:top w:val="single" w:sz="2" w:space="0" w:color="E5E7EB"/>
                                                                            <w:left w:val="single" w:sz="2" w:space="0" w:color="E5E7EB"/>
                                                                            <w:bottom w:val="single" w:sz="2" w:space="0" w:color="E5E7EB"/>
                                                                            <w:right w:val="single" w:sz="2" w:space="0" w:color="E5E7EB"/>
                                                                          </w:divBdr>
                                                                          <w:divsChild>
                                                                            <w:div w:id="2137721879">
                                                                              <w:marLeft w:val="0"/>
                                                                              <w:marRight w:val="0"/>
                                                                              <w:marTop w:val="0"/>
                                                                              <w:marBottom w:val="0"/>
                                                                              <w:divBdr>
                                                                                <w:top w:val="single" w:sz="2" w:space="0" w:color="E5E7EB"/>
                                                                                <w:left w:val="single" w:sz="2" w:space="0" w:color="E5E7EB"/>
                                                                                <w:bottom w:val="single" w:sz="2" w:space="0" w:color="E5E7EB"/>
                                                                                <w:right w:val="single" w:sz="2" w:space="0" w:color="E5E7EB"/>
                                                                              </w:divBdr>
                                                                              <w:divsChild>
                                                                                <w:div w:id="526217320">
                                                                                  <w:marLeft w:val="0"/>
                                                                                  <w:marRight w:val="0"/>
                                                                                  <w:marTop w:val="0"/>
                                                                                  <w:marBottom w:val="0"/>
                                                                                  <w:divBdr>
                                                                                    <w:top w:val="single" w:sz="2" w:space="0" w:color="E5E7EB"/>
                                                                                    <w:left w:val="single" w:sz="2" w:space="0" w:color="E5E7EB"/>
                                                                                    <w:bottom w:val="single" w:sz="2" w:space="0" w:color="E5E7EB"/>
                                                                                    <w:right w:val="single" w:sz="2" w:space="0" w:color="E5E7EB"/>
                                                                                  </w:divBdr>
                                                                                  <w:divsChild>
                                                                                    <w:div w:id="58133135">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45673173">
                                                          <w:marLeft w:val="0"/>
                                                          <w:marRight w:val="0"/>
                                                          <w:marTop w:val="0"/>
                                                          <w:marBottom w:val="0"/>
                                                          <w:divBdr>
                                                            <w:top w:val="none" w:sz="0" w:space="0" w:color="auto"/>
                                                            <w:left w:val="none" w:sz="0" w:space="0" w:color="auto"/>
                                                            <w:bottom w:val="none" w:sz="0" w:space="0" w:color="auto"/>
                                                            <w:right w:val="none" w:sz="0" w:space="0" w:color="auto"/>
                                                          </w:divBdr>
                                                          <w:divsChild>
                                                            <w:div w:id="1910378396">
                                                              <w:marLeft w:val="0"/>
                                                              <w:marRight w:val="0"/>
                                                              <w:marTop w:val="0"/>
                                                              <w:marBottom w:val="0"/>
                                                              <w:divBdr>
                                                                <w:top w:val="single" w:sz="2" w:space="0" w:color="E5E7EB"/>
                                                                <w:left w:val="single" w:sz="2" w:space="0" w:color="E5E7EB"/>
                                                                <w:bottom w:val="single" w:sz="2" w:space="0" w:color="E5E7EB"/>
                                                                <w:right w:val="single" w:sz="2" w:space="0" w:color="E5E7EB"/>
                                                              </w:divBdr>
                                                              <w:divsChild>
                                                                <w:div w:id="1318537648">
                                                                  <w:marLeft w:val="0"/>
                                                                  <w:marRight w:val="0"/>
                                                                  <w:marTop w:val="0"/>
                                                                  <w:marBottom w:val="0"/>
                                                                  <w:divBdr>
                                                                    <w:top w:val="single" w:sz="2" w:space="0" w:color="E5E7EB"/>
                                                                    <w:left w:val="single" w:sz="2" w:space="0" w:color="E5E7EB"/>
                                                                    <w:bottom w:val="single" w:sz="2" w:space="0" w:color="E5E7EB"/>
                                                                    <w:right w:val="single" w:sz="2" w:space="0" w:color="E5E7EB"/>
                                                                  </w:divBdr>
                                                                  <w:divsChild>
                                                                    <w:div w:id="993726997">
                                                                      <w:marLeft w:val="0"/>
                                                                      <w:marRight w:val="0"/>
                                                                      <w:marTop w:val="0"/>
                                                                      <w:marBottom w:val="0"/>
                                                                      <w:divBdr>
                                                                        <w:top w:val="single" w:sz="2" w:space="0" w:color="E5E7EB"/>
                                                                        <w:left w:val="single" w:sz="2" w:space="0" w:color="E5E7EB"/>
                                                                        <w:bottom w:val="single" w:sz="2" w:space="0" w:color="E5E7EB"/>
                                                                        <w:right w:val="single" w:sz="2" w:space="0" w:color="E5E7EB"/>
                                                                      </w:divBdr>
                                                                      <w:divsChild>
                                                                        <w:div w:id="528763630">
                                                                          <w:marLeft w:val="0"/>
                                                                          <w:marRight w:val="0"/>
                                                                          <w:marTop w:val="0"/>
                                                                          <w:marBottom w:val="0"/>
                                                                          <w:divBdr>
                                                                            <w:top w:val="single" w:sz="2" w:space="0" w:color="E5E7EB"/>
                                                                            <w:left w:val="single" w:sz="2" w:space="0" w:color="E5E7EB"/>
                                                                            <w:bottom w:val="single" w:sz="2" w:space="0" w:color="E5E7EB"/>
                                                                            <w:right w:val="single" w:sz="2" w:space="0" w:color="E5E7EB"/>
                                                                          </w:divBdr>
                                                                          <w:divsChild>
                                                                            <w:div w:id="1865167836">
                                                                              <w:marLeft w:val="0"/>
                                                                              <w:marRight w:val="0"/>
                                                                              <w:marTop w:val="0"/>
                                                                              <w:marBottom w:val="0"/>
                                                                              <w:divBdr>
                                                                                <w:top w:val="single" w:sz="2" w:space="0" w:color="E5E7EB"/>
                                                                                <w:left w:val="single" w:sz="2" w:space="0" w:color="E5E7EB"/>
                                                                                <w:bottom w:val="single" w:sz="2" w:space="0" w:color="E5E7EB"/>
                                                                                <w:right w:val="single" w:sz="2" w:space="0" w:color="E5E7EB"/>
                                                                              </w:divBdr>
                                                                              <w:divsChild>
                                                                                <w:div w:id="995719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2653574">
      <w:bodyDiv w:val="1"/>
      <w:marLeft w:val="0"/>
      <w:marRight w:val="0"/>
      <w:marTop w:val="0"/>
      <w:marBottom w:val="0"/>
      <w:divBdr>
        <w:top w:val="none" w:sz="0" w:space="0" w:color="auto"/>
        <w:left w:val="none" w:sz="0" w:space="0" w:color="auto"/>
        <w:bottom w:val="none" w:sz="0" w:space="0" w:color="auto"/>
        <w:right w:val="none" w:sz="0" w:space="0" w:color="auto"/>
      </w:divBdr>
    </w:div>
    <w:div w:id="458768509">
      <w:bodyDiv w:val="1"/>
      <w:marLeft w:val="0"/>
      <w:marRight w:val="0"/>
      <w:marTop w:val="0"/>
      <w:marBottom w:val="0"/>
      <w:divBdr>
        <w:top w:val="none" w:sz="0" w:space="0" w:color="auto"/>
        <w:left w:val="none" w:sz="0" w:space="0" w:color="auto"/>
        <w:bottom w:val="none" w:sz="0" w:space="0" w:color="auto"/>
        <w:right w:val="none" w:sz="0" w:space="0" w:color="auto"/>
      </w:divBdr>
    </w:div>
    <w:div w:id="483157137">
      <w:bodyDiv w:val="1"/>
      <w:marLeft w:val="0"/>
      <w:marRight w:val="0"/>
      <w:marTop w:val="0"/>
      <w:marBottom w:val="0"/>
      <w:divBdr>
        <w:top w:val="none" w:sz="0" w:space="0" w:color="auto"/>
        <w:left w:val="none" w:sz="0" w:space="0" w:color="auto"/>
        <w:bottom w:val="none" w:sz="0" w:space="0" w:color="auto"/>
        <w:right w:val="none" w:sz="0" w:space="0" w:color="auto"/>
      </w:divBdr>
    </w:div>
    <w:div w:id="544565955">
      <w:bodyDiv w:val="1"/>
      <w:marLeft w:val="0"/>
      <w:marRight w:val="0"/>
      <w:marTop w:val="0"/>
      <w:marBottom w:val="0"/>
      <w:divBdr>
        <w:top w:val="none" w:sz="0" w:space="0" w:color="auto"/>
        <w:left w:val="none" w:sz="0" w:space="0" w:color="auto"/>
        <w:bottom w:val="none" w:sz="0" w:space="0" w:color="auto"/>
        <w:right w:val="none" w:sz="0" w:space="0" w:color="auto"/>
      </w:divBdr>
    </w:div>
    <w:div w:id="590118127">
      <w:bodyDiv w:val="1"/>
      <w:marLeft w:val="0"/>
      <w:marRight w:val="0"/>
      <w:marTop w:val="0"/>
      <w:marBottom w:val="0"/>
      <w:divBdr>
        <w:top w:val="none" w:sz="0" w:space="0" w:color="auto"/>
        <w:left w:val="none" w:sz="0" w:space="0" w:color="auto"/>
        <w:bottom w:val="none" w:sz="0" w:space="0" w:color="auto"/>
        <w:right w:val="none" w:sz="0" w:space="0" w:color="auto"/>
      </w:divBdr>
    </w:div>
    <w:div w:id="593173403">
      <w:bodyDiv w:val="1"/>
      <w:marLeft w:val="0"/>
      <w:marRight w:val="0"/>
      <w:marTop w:val="0"/>
      <w:marBottom w:val="0"/>
      <w:divBdr>
        <w:top w:val="none" w:sz="0" w:space="0" w:color="auto"/>
        <w:left w:val="none" w:sz="0" w:space="0" w:color="auto"/>
        <w:bottom w:val="none" w:sz="0" w:space="0" w:color="auto"/>
        <w:right w:val="none" w:sz="0" w:space="0" w:color="auto"/>
      </w:divBdr>
    </w:div>
    <w:div w:id="657686368">
      <w:bodyDiv w:val="1"/>
      <w:marLeft w:val="0"/>
      <w:marRight w:val="0"/>
      <w:marTop w:val="0"/>
      <w:marBottom w:val="0"/>
      <w:divBdr>
        <w:top w:val="none" w:sz="0" w:space="0" w:color="auto"/>
        <w:left w:val="none" w:sz="0" w:space="0" w:color="auto"/>
        <w:bottom w:val="none" w:sz="0" w:space="0" w:color="auto"/>
        <w:right w:val="none" w:sz="0" w:space="0" w:color="auto"/>
      </w:divBdr>
    </w:div>
    <w:div w:id="658339650">
      <w:bodyDiv w:val="1"/>
      <w:marLeft w:val="0"/>
      <w:marRight w:val="0"/>
      <w:marTop w:val="0"/>
      <w:marBottom w:val="0"/>
      <w:divBdr>
        <w:top w:val="none" w:sz="0" w:space="0" w:color="auto"/>
        <w:left w:val="none" w:sz="0" w:space="0" w:color="auto"/>
        <w:bottom w:val="none" w:sz="0" w:space="0" w:color="auto"/>
        <w:right w:val="none" w:sz="0" w:space="0" w:color="auto"/>
      </w:divBdr>
    </w:div>
    <w:div w:id="696659760">
      <w:bodyDiv w:val="1"/>
      <w:marLeft w:val="0"/>
      <w:marRight w:val="0"/>
      <w:marTop w:val="0"/>
      <w:marBottom w:val="0"/>
      <w:divBdr>
        <w:top w:val="none" w:sz="0" w:space="0" w:color="auto"/>
        <w:left w:val="none" w:sz="0" w:space="0" w:color="auto"/>
        <w:bottom w:val="none" w:sz="0" w:space="0" w:color="auto"/>
        <w:right w:val="none" w:sz="0" w:space="0" w:color="auto"/>
      </w:divBdr>
    </w:div>
    <w:div w:id="706443657">
      <w:bodyDiv w:val="1"/>
      <w:marLeft w:val="0"/>
      <w:marRight w:val="0"/>
      <w:marTop w:val="0"/>
      <w:marBottom w:val="0"/>
      <w:divBdr>
        <w:top w:val="none" w:sz="0" w:space="0" w:color="auto"/>
        <w:left w:val="none" w:sz="0" w:space="0" w:color="auto"/>
        <w:bottom w:val="none" w:sz="0" w:space="0" w:color="auto"/>
        <w:right w:val="none" w:sz="0" w:space="0" w:color="auto"/>
      </w:divBdr>
    </w:div>
    <w:div w:id="961111981">
      <w:bodyDiv w:val="1"/>
      <w:marLeft w:val="0"/>
      <w:marRight w:val="0"/>
      <w:marTop w:val="0"/>
      <w:marBottom w:val="0"/>
      <w:divBdr>
        <w:top w:val="none" w:sz="0" w:space="0" w:color="auto"/>
        <w:left w:val="none" w:sz="0" w:space="0" w:color="auto"/>
        <w:bottom w:val="none" w:sz="0" w:space="0" w:color="auto"/>
        <w:right w:val="none" w:sz="0" w:space="0" w:color="auto"/>
      </w:divBdr>
    </w:div>
    <w:div w:id="995914521">
      <w:bodyDiv w:val="1"/>
      <w:marLeft w:val="0"/>
      <w:marRight w:val="0"/>
      <w:marTop w:val="0"/>
      <w:marBottom w:val="0"/>
      <w:divBdr>
        <w:top w:val="none" w:sz="0" w:space="0" w:color="auto"/>
        <w:left w:val="none" w:sz="0" w:space="0" w:color="auto"/>
        <w:bottom w:val="none" w:sz="0" w:space="0" w:color="auto"/>
        <w:right w:val="none" w:sz="0" w:space="0" w:color="auto"/>
      </w:divBdr>
    </w:div>
    <w:div w:id="1064182350">
      <w:bodyDiv w:val="1"/>
      <w:marLeft w:val="0"/>
      <w:marRight w:val="0"/>
      <w:marTop w:val="0"/>
      <w:marBottom w:val="0"/>
      <w:divBdr>
        <w:top w:val="none" w:sz="0" w:space="0" w:color="auto"/>
        <w:left w:val="none" w:sz="0" w:space="0" w:color="auto"/>
        <w:bottom w:val="none" w:sz="0" w:space="0" w:color="auto"/>
        <w:right w:val="none" w:sz="0" w:space="0" w:color="auto"/>
      </w:divBdr>
    </w:div>
    <w:div w:id="1098479507">
      <w:bodyDiv w:val="1"/>
      <w:marLeft w:val="0"/>
      <w:marRight w:val="0"/>
      <w:marTop w:val="0"/>
      <w:marBottom w:val="0"/>
      <w:divBdr>
        <w:top w:val="none" w:sz="0" w:space="0" w:color="auto"/>
        <w:left w:val="none" w:sz="0" w:space="0" w:color="auto"/>
        <w:bottom w:val="none" w:sz="0" w:space="0" w:color="auto"/>
        <w:right w:val="none" w:sz="0" w:space="0" w:color="auto"/>
      </w:divBdr>
    </w:div>
    <w:div w:id="1163010050">
      <w:bodyDiv w:val="1"/>
      <w:marLeft w:val="0"/>
      <w:marRight w:val="0"/>
      <w:marTop w:val="0"/>
      <w:marBottom w:val="0"/>
      <w:divBdr>
        <w:top w:val="none" w:sz="0" w:space="0" w:color="auto"/>
        <w:left w:val="none" w:sz="0" w:space="0" w:color="auto"/>
        <w:bottom w:val="none" w:sz="0" w:space="0" w:color="auto"/>
        <w:right w:val="none" w:sz="0" w:space="0" w:color="auto"/>
      </w:divBdr>
      <w:divsChild>
        <w:div w:id="316501224">
          <w:marLeft w:val="0"/>
          <w:marRight w:val="0"/>
          <w:marTop w:val="0"/>
          <w:marBottom w:val="0"/>
          <w:divBdr>
            <w:top w:val="single" w:sz="2" w:space="0" w:color="E5E7EB"/>
            <w:left w:val="single" w:sz="2" w:space="0" w:color="E5E7EB"/>
            <w:bottom w:val="single" w:sz="2" w:space="0" w:color="E5E7EB"/>
            <w:right w:val="single" w:sz="2" w:space="0" w:color="E5E7EB"/>
          </w:divBdr>
          <w:divsChild>
            <w:div w:id="829908125">
              <w:marLeft w:val="0"/>
              <w:marRight w:val="0"/>
              <w:marTop w:val="0"/>
              <w:marBottom w:val="0"/>
              <w:divBdr>
                <w:top w:val="none" w:sz="0" w:space="0" w:color="auto"/>
                <w:left w:val="none" w:sz="0" w:space="0" w:color="auto"/>
                <w:bottom w:val="none" w:sz="0" w:space="0" w:color="auto"/>
                <w:right w:val="none" w:sz="0" w:space="0" w:color="auto"/>
              </w:divBdr>
              <w:divsChild>
                <w:div w:id="23140034">
                  <w:marLeft w:val="0"/>
                  <w:marRight w:val="0"/>
                  <w:marTop w:val="0"/>
                  <w:marBottom w:val="0"/>
                  <w:divBdr>
                    <w:top w:val="none" w:sz="0" w:space="0" w:color="auto"/>
                    <w:left w:val="none" w:sz="0" w:space="0" w:color="auto"/>
                    <w:bottom w:val="none" w:sz="0" w:space="0" w:color="auto"/>
                    <w:right w:val="none" w:sz="0" w:space="0" w:color="auto"/>
                  </w:divBdr>
                  <w:divsChild>
                    <w:div w:id="1557399149">
                      <w:marLeft w:val="0"/>
                      <w:marRight w:val="0"/>
                      <w:marTop w:val="0"/>
                      <w:marBottom w:val="0"/>
                      <w:divBdr>
                        <w:top w:val="single" w:sz="2" w:space="0" w:color="E5E7EB"/>
                        <w:left w:val="single" w:sz="2" w:space="0" w:color="E5E7EB"/>
                        <w:bottom w:val="single" w:sz="2" w:space="0" w:color="E5E7EB"/>
                        <w:right w:val="single" w:sz="2" w:space="0" w:color="E5E7EB"/>
                      </w:divBdr>
                      <w:divsChild>
                        <w:div w:id="849637059">
                          <w:marLeft w:val="0"/>
                          <w:marRight w:val="0"/>
                          <w:marTop w:val="0"/>
                          <w:marBottom w:val="0"/>
                          <w:divBdr>
                            <w:top w:val="single" w:sz="2" w:space="0" w:color="E5E7EB"/>
                            <w:left w:val="single" w:sz="2" w:space="0" w:color="E5E7EB"/>
                            <w:bottom w:val="single" w:sz="2" w:space="0" w:color="E5E7EB"/>
                            <w:right w:val="single" w:sz="2" w:space="0" w:color="E5E7EB"/>
                          </w:divBdr>
                          <w:divsChild>
                            <w:div w:id="407701976">
                              <w:marLeft w:val="0"/>
                              <w:marRight w:val="0"/>
                              <w:marTop w:val="0"/>
                              <w:marBottom w:val="0"/>
                              <w:divBdr>
                                <w:top w:val="single" w:sz="2" w:space="0" w:color="E5E7EB"/>
                                <w:left w:val="single" w:sz="2" w:space="0" w:color="E5E7EB"/>
                                <w:bottom w:val="single" w:sz="2" w:space="0" w:color="E5E7EB"/>
                                <w:right w:val="single" w:sz="2" w:space="0" w:color="E5E7EB"/>
                              </w:divBdr>
                              <w:divsChild>
                                <w:div w:id="1356808440">
                                  <w:marLeft w:val="0"/>
                                  <w:marRight w:val="0"/>
                                  <w:marTop w:val="0"/>
                                  <w:marBottom w:val="0"/>
                                  <w:divBdr>
                                    <w:top w:val="none" w:sz="0" w:space="0" w:color="auto"/>
                                    <w:left w:val="none" w:sz="0" w:space="0" w:color="auto"/>
                                    <w:bottom w:val="none" w:sz="0" w:space="0" w:color="auto"/>
                                    <w:right w:val="none" w:sz="0" w:space="0" w:color="auto"/>
                                  </w:divBdr>
                                  <w:divsChild>
                                    <w:div w:id="1342975949">
                                      <w:marLeft w:val="0"/>
                                      <w:marRight w:val="0"/>
                                      <w:marTop w:val="0"/>
                                      <w:marBottom w:val="0"/>
                                      <w:divBdr>
                                        <w:top w:val="single" w:sz="2" w:space="0" w:color="E5E7EB"/>
                                        <w:left w:val="single" w:sz="2" w:space="12" w:color="E5E7EB"/>
                                        <w:bottom w:val="single" w:sz="2" w:space="0" w:color="E5E7EB"/>
                                        <w:right w:val="single" w:sz="2" w:space="12" w:color="E5E7EB"/>
                                      </w:divBdr>
                                      <w:divsChild>
                                        <w:div w:id="904494361">
                                          <w:marLeft w:val="0"/>
                                          <w:marRight w:val="0"/>
                                          <w:marTop w:val="0"/>
                                          <w:marBottom w:val="0"/>
                                          <w:divBdr>
                                            <w:top w:val="single" w:sz="2" w:space="0" w:color="E5E7EB"/>
                                            <w:left w:val="single" w:sz="2" w:space="0" w:color="E5E7EB"/>
                                            <w:bottom w:val="single" w:sz="2" w:space="12" w:color="E5E7EB"/>
                                            <w:right w:val="single" w:sz="2" w:space="0" w:color="E5E7EB"/>
                                          </w:divBdr>
                                          <w:divsChild>
                                            <w:div w:id="1611736094">
                                              <w:marLeft w:val="0"/>
                                              <w:marRight w:val="0"/>
                                              <w:marTop w:val="0"/>
                                              <w:marBottom w:val="0"/>
                                              <w:divBdr>
                                                <w:top w:val="single" w:sz="2" w:space="0" w:color="E5E7EB"/>
                                                <w:left w:val="single" w:sz="2" w:space="0" w:color="E5E7EB"/>
                                                <w:bottom w:val="single" w:sz="2" w:space="0" w:color="E5E7EB"/>
                                                <w:right w:val="single" w:sz="2" w:space="0" w:color="E5E7EB"/>
                                              </w:divBdr>
                                              <w:divsChild>
                                                <w:div w:id="2027754346">
                                                  <w:marLeft w:val="0"/>
                                                  <w:marRight w:val="0"/>
                                                  <w:marTop w:val="0"/>
                                                  <w:marBottom w:val="0"/>
                                                  <w:divBdr>
                                                    <w:top w:val="single" w:sz="2" w:space="0" w:color="E5E7EB"/>
                                                    <w:left w:val="single" w:sz="2" w:space="0" w:color="E5E7EB"/>
                                                    <w:bottom w:val="single" w:sz="2" w:space="0" w:color="E5E7EB"/>
                                                    <w:right w:val="single" w:sz="2" w:space="0" w:color="E5E7EB"/>
                                                  </w:divBdr>
                                                  <w:divsChild>
                                                    <w:div w:id="2065180661">
                                                      <w:marLeft w:val="0"/>
                                                      <w:marRight w:val="0"/>
                                                      <w:marTop w:val="0"/>
                                                      <w:marBottom w:val="0"/>
                                                      <w:divBdr>
                                                        <w:top w:val="single" w:sz="2" w:space="0" w:color="E5E7EB"/>
                                                        <w:left w:val="single" w:sz="2" w:space="0" w:color="E5E7EB"/>
                                                        <w:bottom w:val="single" w:sz="2" w:space="0" w:color="E5E7EB"/>
                                                        <w:right w:val="single" w:sz="2" w:space="0" w:color="E5E7EB"/>
                                                      </w:divBdr>
                                                      <w:divsChild>
                                                        <w:div w:id="784540234">
                                                          <w:marLeft w:val="0"/>
                                                          <w:marRight w:val="0"/>
                                                          <w:marTop w:val="0"/>
                                                          <w:marBottom w:val="0"/>
                                                          <w:divBdr>
                                                            <w:top w:val="single" w:sz="2" w:space="0" w:color="E5E7EB"/>
                                                            <w:left w:val="single" w:sz="2" w:space="0" w:color="E5E7EB"/>
                                                            <w:bottom w:val="single" w:sz="2" w:space="0" w:color="E5E7EB"/>
                                                            <w:right w:val="single" w:sz="2" w:space="0" w:color="E5E7EB"/>
                                                          </w:divBdr>
                                                          <w:divsChild>
                                                            <w:div w:id="572348880">
                                                              <w:marLeft w:val="0"/>
                                                              <w:marRight w:val="0"/>
                                                              <w:marTop w:val="0"/>
                                                              <w:marBottom w:val="0"/>
                                                              <w:divBdr>
                                                                <w:top w:val="none" w:sz="0" w:space="0" w:color="auto"/>
                                                                <w:left w:val="none" w:sz="0" w:space="0" w:color="auto"/>
                                                                <w:bottom w:val="none" w:sz="0" w:space="0" w:color="auto"/>
                                                                <w:right w:val="none" w:sz="0" w:space="0" w:color="auto"/>
                                                              </w:divBdr>
                                                              <w:divsChild>
                                                                <w:div w:id="151406931">
                                                                  <w:marLeft w:val="0"/>
                                                                  <w:marRight w:val="0"/>
                                                                  <w:marTop w:val="0"/>
                                                                  <w:marBottom w:val="0"/>
                                                                  <w:divBdr>
                                                                    <w:top w:val="none" w:sz="0" w:space="0" w:color="auto"/>
                                                                    <w:left w:val="none" w:sz="0" w:space="0" w:color="auto"/>
                                                                    <w:bottom w:val="none" w:sz="0" w:space="0" w:color="auto"/>
                                                                    <w:right w:val="none" w:sz="0" w:space="0" w:color="auto"/>
                                                                  </w:divBdr>
                                                                  <w:divsChild>
                                                                    <w:div w:id="589193005">
                                                                      <w:marLeft w:val="0"/>
                                                                      <w:marRight w:val="0"/>
                                                                      <w:marTop w:val="0"/>
                                                                      <w:marBottom w:val="0"/>
                                                                      <w:divBdr>
                                                                        <w:top w:val="none" w:sz="0" w:space="0" w:color="auto"/>
                                                                        <w:left w:val="none" w:sz="0" w:space="0" w:color="auto"/>
                                                                        <w:bottom w:val="none" w:sz="0" w:space="0" w:color="auto"/>
                                                                        <w:right w:val="none" w:sz="0" w:space="0" w:color="auto"/>
                                                                      </w:divBdr>
                                                                      <w:divsChild>
                                                                        <w:div w:id="1954510487">
                                                                          <w:marLeft w:val="0"/>
                                                                          <w:marRight w:val="0"/>
                                                                          <w:marTop w:val="0"/>
                                                                          <w:marBottom w:val="120"/>
                                                                          <w:divBdr>
                                                                            <w:top w:val="single" w:sz="2" w:space="0" w:color="E5E7EB"/>
                                                                            <w:left w:val="single" w:sz="2" w:space="0" w:color="E5E7EB"/>
                                                                            <w:bottom w:val="single" w:sz="2" w:space="0" w:color="E5E7EB"/>
                                                                            <w:right w:val="single" w:sz="2" w:space="0" w:color="E5E7EB"/>
                                                                          </w:divBdr>
                                                                          <w:divsChild>
                                                                            <w:div w:id="1959220897">
                                                                              <w:marLeft w:val="0"/>
                                                                              <w:marRight w:val="0"/>
                                                                              <w:marTop w:val="0"/>
                                                                              <w:marBottom w:val="0"/>
                                                                              <w:divBdr>
                                                                                <w:top w:val="single" w:sz="2" w:space="0" w:color="E5E7EB"/>
                                                                                <w:left w:val="single" w:sz="2" w:space="0" w:color="E5E7EB"/>
                                                                                <w:bottom w:val="single" w:sz="2" w:space="0" w:color="E5E7EB"/>
                                                                                <w:right w:val="single" w:sz="2" w:space="0" w:color="E5E7EB"/>
                                                                              </w:divBdr>
                                                                              <w:divsChild>
                                                                                <w:div w:id="820000788">
                                                                                  <w:marLeft w:val="0"/>
                                                                                  <w:marRight w:val="0"/>
                                                                                  <w:marTop w:val="0"/>
                                                                                  <w:marBottom w:val="0"/>
                                                                                  <w:divBdr>
                                                                                    <w:top w:val="single" w:sz="2" w:space="0" w:color="E5E7EB"/>
                                                                                    <w:left w:val="single" w:sz="2" w:space="0" w:color="E5E7EB"/>
                                                                                    <w:bottom w:val="single" w:sz="2" w:space="0" w:color="E5E7EB"/>
                                                                                    <w:right w:val="single" w:sz="2" w:space="0" w:color="E5E7EB"/>
                                                                                  </w:divBdr>
                                                                                  <w:divsChild>
                                                                                    <w:div w:id="99765088">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03672957">
                                                                      <w:marLeft w:val="0"/>
                                                                      <w:marRight w:val="0"/>
                                                                      <w:marTop w:val="0"/>
                                                                      <w:marBottom w:val="0"/>
                                                                      <w:divBdr>
                                                                        <w:top w:val="single" w:sz="6" w:space="0" w:color="auto"/>
                                                                        <w:left w:val="single" w:sz="2" w:space="0" w:color="auto"/>
                                                                        <w:bottom w:val="single" w:sz="2" w:space="0" w:color="auto"/>
                                                                        <w:right w:val="single" w:sz="2" w:space="0" w:color="auto"/>
                                                                      </w:divBdr>
                                                                      <w:divsChild>
                                                                        <w:div w:id="345181096">
                                                                          <w:marLeft w:val="0"/>
                                                                          <w:marRight w:val="0"/>
                                                                          <w:marTop w:val="0"/>
                                                                          <w:marBottom w:val="0"/>
                                                                          <w:divBdr>
                                                                            <w:top w:val="single" w:sz="4" w:space="6" w:color="auto"/>
                                                                            <w:left w:val="single" w:sz="2" w:space="0" w:color="auto"/>
                                                                            <w:bottom w:val="single" w:sz="2" w:space="6" w:color="auto"/>
                                                                            <w:right w:val="single" w:sz="2" w:space="0" w:color="auto"/>
                                                                          </w:divBdr>
                                                                          <w:divsChild>
                                                                            <w:div w:id="16692829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9592212">
                                                                          <w:marLeft w:val="0"/>
                                                                          <w:marRight w:val="0"/>
                                                                          <w:marTop w:val="0"/>
                                                                          <w:marBottom w:val="0"/>
                                                                          <w:divBdr>
                                                                            <w:top w:val="single" w:sz="4" w:space="6" w:color="auto"/>
                                                                            <w:left w:val="single" w:sz="2" w:space="0" w:color="auto"/>
                                                                            <w:bottom w:val="single" w:sz="2" w:space="6" w:color="auto"/>
                                                                            <w:right w:val="single" w:sz="2" w:space="0" w:color="auto"/>
                                                                          </w:divBdr>
                                                                          <w:divsChild>
                                                                            <w:div w:id="619847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2523545">
                                                                          <w:marLeft w:val="0"/>
                                                                          <w:marRight w:val="0"/>
                                                                          <w:marTop w:val="0"/>
                                                                          <w:marBottom w:val="0"/>
                                                                          <w:divBdr>
                                                                            <w:top w:val="single" w:sz="4" w:space="6" w:color="auto"/>
                                                                            <w:left w:val="single" w:sz="2" w:space="0" w:color="auto"/>
                                                                            <w:bottom w:val="single" w:sz="2" w:space="6" w:color="auto"/>
                                                                            <w:right w:val="single" w:sz="2" w:space="0" w:color="auto"/>
                                                                          </w:divBdr>
                                                                          <w:divsChild>
                                                                            <w:div w:id="1127629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5838861">
                                                                          <w:marLeft w:val="0"/>
                                                                          <w:marRight w:val="0"/>
                                                                          <w:marTop w:val="0"/>
                                                                          <w:marBottom w:val="0"/>
                                                                          <w:divBdr>
                                                                            <w:top w:val="single" w:sz="2" w:space="6" w:color="E5E7EB"/>
                                                                            <w:left w:val="single" w:sz="2" w:space="0" w:color="E5E7EB"/>
                                                                            <w:bottom w:val="single" w:sz="2" w:space="6" w:color="E5E7EB"/>
                                                                            <w:right w:val="single" w:sz="2" w:space="0" w:color="E5E7EB"/>
                                                                          </w:divBdr>
                                                                          <w:divsChild>
                                                                            <w:div w:id="1599169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5468843">
                                                                          <w:marLeft w:val="0"/>
                                                                          <w:marRight w:val="0"/>
                                                                          <w:marTop w:val="0"/>
                                                                          <w:marBottom w:val="0"/>
                                                                          <w:divBdr>
                                                                            <w:top w:val="single" w:sz="4" w:space="6" w:color="auto"/>
                                                                            <w:left w:val="single" w:sz="2" w:space="0" w:color="auto"/>
                                                                            <w:bottom w:val="single" w:sz="2" w:space="6" w:color="auto"/>
                                                                            <w:right w:val="single" w:sz="2" w:space="0" w:color="auto"/>
                                                                          </w:divBdr>
                                                                          <w:divsChild>
                                                                            <w:div w:id="93286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96929093">
                                                          <w:marLeft w:val="0"/>
                                                          <w:marRight w:val="0"/>
                                                          <w:marTop w:val="0"/>
                                                          <w:marBottom w:val="0"/>
                                                          <w:divBdr>
                                                            <w:top w:val="none" w:sz="0" w:space="0" w:color="auto"/>
                                                            <w:left w:val="none" w:sz="0" w:space="0" w:color="auto"/>
                                                            <w:bottom w:val="none" w:sz="0" w:space="0" w:color="auto"/>
                                                            <w:right w:val="none" w:sz="0" w:space="0" w:color="auto"/>
                                                          </w:divBdr>
                                                          <w:divsChild>
                                                            <w:div w:id="2110201570">
                                                              <w:marLeft w:val="0"/>
                                                              <w:marRight w:val="0"/>
                                                              <w:marTop w:val="0"/>
                                                              <w:marBottom w:val="0"/>
                                                              <w:divBdr>
                                                                <w:top w:val="single" w:sz="2" w:space="0" w:color="E5E7EB"/>
                                                                <w:left w:val="single" w:sz="2" w:space="0" w:color="E5E7EB"/>
                                                                <w:bottom w:val="single" w:sz="2" w:space="0" w:color="E5E7EB"/>
                                                                <w:right w:val="single" w:sz="2" w:space="0" w:color="E5E7EB"/>
                                                              </w:divBdr>
                                                              <w:divsChild>
                                                                <w:div w:id="1667660835">
                                                                  <w:marLeft w:val="0"/>
                                                                  <w:marRight w:val="0"/>
                                                                  <w:marTop w:val="0"/>
                                                                  <w:marBottom w:val="0"/>
                                                                  <w:divBdr>
                                                                    <w:top w:val="single" w:sz="2" w:space="0" w:color="E5E7EB"/>
                                                                    <w:left w:val="single" w:sz="2" w:space="0" w:color="E5E7EB"/>
                                                                    <w:bottom w:val="single" w:sz="2" w:space="0" w:color="E5E7EB"/>
                                                                    <w:right w:val="single" w:sz="2" w:space="0" w:color="E5E7EB"/>
                                                                  </w:divBdr>
                                                                  <w:divsChild>
                                                                    <w:div w:id="680549515">
                                                                      <w:marLeft w:val="0"/>
                                                                      <w:marRight w:val="0"/>
                                                                      <w:marTop w:val="0"/>
                                                                      <w:marBottom w:val="0"/>
                                                                      <w:divBdr>
                                                                        <w:top w:val="single" w:sz="2" w:space="0" w:color="E5E7EB"/>
                                                                        <w:left w:val="single" w:sz="2" w:space="0" w:color="E5E7EB"/>
                                                                        <w:bottom w:val="single" w:sz="2" w:space="0" w:color="E5E7EB"/>
                                                                        <w:right w:val="single" w:sz="2" w:space="0" w:color="E5E7EB"/>
                                                                      </w:divBdr>
                                                                      <w:divsChild>
                                                                        <w:div w:id="2003895541">
                                                                          <w:marLeft w:val="0"/>
                                                                          <w:marRight w:val="0"/>
                                                                          <w:marTop w:val="0"/>
                                                                          <w:marBottom w:val="0"/>
                                                                          <w:divBdr>
                                                                            <w:top w:val="single" w:sz="2" w:space="0" w:color="E5E7EB"/>
                                                                            <w:left w:val="single" w:sz="2" w:space="0" w:color="E5E7EB"/>
                                                                            <w:bottom w:val="single" w:sz="2" w:space="0" w:color="E5E7EB"/>
                                                                            <w:right w:val="single" w:sz="2" w:space="0" w:color="E5E7EB"/>
                                                                          </w:divBdr>
                                                                          <w:divsChild>
                                                                            <w:div w:id="1698504906">
                                                                              <w:marLeft w:val="0"/>
                                                                              <w:marRight w:val="0"/>
                                                                              <w:marTop w:val="0"/>
                                                                              <w:marBottom w:val="0"/>
                                                                              <w:divBdr>
                                                                                <w:top w:val="single" w:sz="2" w:space="0" w:color="E5E7EB"/>
                                                                                <w:left w:val="single" w:sz="2" w:space="0" w:color="E5E7EB"/>
                                                                                <w:bottom w:val="single" w:sz="2" w:space="0" w:color="E5E7EB"/>
                                                                                <w:right w:val="single" w:sz="2" w:space="0" w:color="E5E7EB"/>
                                                                              </w:divBdr>
                                                                              <w:divsChild>
                                                                                <w:div w:id="1618175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3613028">
      <w:bodyDiv w:val="1"/>
      <w:marLeft w:val="0"/>
      <w:marRight w:val="0"/>
      <w:marTop w:val="0"/>
      <w:marBottom w:val="0"/>
      <w:divBdr>
        <w:top w:val="none" w:sz="0" w:space="0" w:color="auto"/>
        <w:left w:val="none" w:sz="0" w:space="0" w:color="auto"/>
        <w:bottom w:val="none" w:sz="0" w:space="0" w:color="auto"/>
        <w:right w:val="none" w:sz="0" w:space="0" w:color="auto"/>
      </w:divBdr>
    </w:div>
    <w:div w:id="1287810741">
      <w:bodyDiv w:val="1"/>
      <w:marLeft w:val="0"/>
      <w:marRight w:val="0"/>
      <w:marTop w:val="0"/>
      <w:marBottom w:val="0"/>
      <w:divBdr>
        <w:top w:val="none" w:sz="0" w:space="0" w:color="auto"/>
        <w:left w:val="none" w:sz="0" w:space="0" w:color="auto"/>
        <w:bottom w:val="none" w:sz="0" w:space="0" w:color="auto"/>
        <w:right w:val="none" w:sz="0" w:space="0" w:color="auto"/>
      </w:divBdr>
    </w:div>
    <w:div w:id="1292401940">
      <w:bodyDiv w:val="1"/>
      <w:marLeft w:val="0"/>
      <w:marRight w:val="0"/>
      <w:marTop w:val="0"/>
      <w:marBottom w:val="0"/>
      <w:divBdr>
        <w:top w:val="none" w:sz="0" w:space="0" w:color="auto"/>
        <w:left w:val="none" w:sz="0" w:space="0" w:color="auto"/>
        <w:bottom w:val="none" w:sz="0" w:space="0" w:color="auto"/>
        <w:right w:val="none" w:sz="0" w:space="0" w:color="auto"/>
      </w:divBdr>
    </w:div>
    <w:div w:id="1315060672">
      <w:bodyDiv w:val="1"/>
      <w:marLeft w:val="0"/>
      <w:marRight w:val="0"/>
      <w:marTop w:val="0"/>
      <w:marBottom w:val="0"/>
      <w:divBdr>
        <w:top w:val="none" w:sz="0" w:space="0" w:color="auto"/>
        <w:left w:val="none" w:sz="0" w:space="0" w:color="auto"/>
        <w:bottom w:val="none" w:sz="0" w:space="0" w:color="auto"/>
        <w:right w:val="none" w:sz="0" w:space="0" w:color="auto"/>
      </w:divBdr>
    </w:div>
    <w:div w:id="1324967190">
      <w:bodyDiv w:val="1"/>
      <w:marLeft w:val="0"/>
      <w:marRight w:val="0"/>
      <w:marTop w:val="0"/>
      <w:marBottom w:val="0"/>
      <w:divBdr>
        <w:top w:val="none" w:sz="0" w:space="0" w:color="auto"/>
        <w:left w:val="none" w:sz="0" w:space="0" w:color="auto"/>
        <w:bottom w:val="none" w:sz="0" w:space="0" w:color="auto"/>
        <w:right w:val="none" w:sz="0" w:space="0" w:color="auto"/>
      </w:divBdr>
    </w:div>
    <w:div w:id="1421177393">
      <w:bodyDiv w:val="1"/>
      <w:marLeft w:val="0"/>
      <w:marRight w:val="0"/>
      <w:marTop w:val="0"/>
      <w:marBottom w:val="0"/>
      <w:divBdr>
        <w:top w:val="none" w:sz="0" w:space="0" w:color="auto"/>
        <w:left w:val="none" w:sz="0" w:space="0" w:color="auto"/>
        <w:bottom w:val="none" w:sz="0" w:space="0" w:color="auto"/>
        <w:right w:val="none" w:sz="0" w:space="0" w:color="auto"/>
      </w:divBdr>
    </w:div>
    <w:div w:id="1529567505">
      <w:bodyDiv w:val="1"/>
      <w:marLeft w:val="0"/>
      <w:marRight w:val="0"/>
      <w:marTop w:val="0"/>
      <w:marBottom w:val="0"/>
      <w:divBdr>
        <w:top w:val="none" w:sz="0" w:space="0" w:color="auto"/>
        <w:left w:val="none" w:sz="0" w:space="0" w:color="auto"/>
        <w:bottom w:val="none" w:sz="0" w:space="0" w:color="auto"/>
        <w:right w:val="none" w:sz="0" w:space="0" w:color="auto"/>
      </w:divBdr>
    </w:div>
    <w:div w:id="1671323039">
      <w:bodyDiv w:val="1"/>
      <w:marLeft w:val="0"/>
      <w:marRight w:val="0"/>
      <w:marTop w:val="0"/>
      <w:marBottom w:val="0"/>
      <w:divBdr>
        <w:top w:val="none" w:sz="0" w:space="0" w:color="auto"/>
        <w:left w:val="none" w:sz="0" w:space="0" w:color="auto"/>
        <w:bottom w:val="none" w:sz="0" w:space="0" w:color="auto"/>
        <w:right w:val="none" w:sz="0" w:space="0" w:color="auto"/>
      </w:divBdr>
    </w:div>
    <w:div w:id="1697389500">
      <w:bodyDiv w:val="1"/>
      <w:marLeft w:val="0"/>
      <w:marRight w:val="0"/>
      <w:marTop w:val="0"/>
      <w:marBottom w:val="0"/>
      <w:divBdr>
        <w:top w:val="none" w:sz="0" w:space="0" w:color="auto"/>
        <w:left w:val="none" w:sz="0" w:space="0" w:color="auto"/>
        <w:bottom w:val="none" w:sz="0" w:space="0" w:color="auto"/>
        <w:right w:val="none" w:sz="0" w:space="0" w:color="auto"/>
      </w:divBdr>
    </w:div>
    <w:div w:id="1711685516">
      <w:bodyDiv w:val="1"/>
      <w:marLeft w:val="0"/>
      <w:marRight w:val="0"/>
      <w:marTop w:val="0"/>
      <w:marBottom w:val="0"/>
      <w:divBdr>
        <w:top w:val="none" w:sz="0" w:space="0" w:color="auto"/>
        <w:left w:val="none" w:sz="0" w:space="0" w:color="auto"/>
        <w:bottom w:val="none" w:sz="0" w:space="0" w:color="auto"/>
        <w:right w:val="none" w:sz="0" w:space="0" w:color="auto"/>
      </w:divBdr>
    </w:div>
    <w:div w:id="1746681816">
      <w:bodyDiv w:val="1"/>
      <w:marLeft w:val="0"/>
      <w:marRight w:val="0"/>
      <w:marTop w:val="0"/>
      <w:marBottom w:val="0"/>
      <w:divBdr>
        <w:top w:val="none" w:sz="0" w:space="0" w:color="auto"/>
        <w:left w:val="none" w:sz="0" w:space="0" w:color="auto"/>
        <w:bottom w:val="none" w:sz="0" w:space="0" w:color="auto"/>
        <w:right w:val="none" w:sz="0" w:space="0" w:color="auto"/>
      </w:divBdr>
    </w:div>
    <w:div w:id="1789469531">
      <w:bodyDiv w:val="1"/>
      <w:marLeft w:val="0"/>
      <w:marRight w:val="0"/>
      <w:marTop w:val="0"/>
      <w:marBottom w:val="0"/>
      <w:divBdr>
        <w:top w:val="none" w:sz="0" w:space="0" w:color="auto"/>
        <w:left w:val="none" w:sz="0" w:space="0" w:color="auto"/>
        <w:bottom w:val="none" w:sz="0" w:space="0" w:color="auto"/>
        <w:right w:val="none" w:sz="0" w:space="0" w:color="auto"/>
      </w:divBdr>
    </w:div>
    <w:div w:id="1794670046">
      <w:bodyDiv w:val="1"/>
      <w:marLeft w:val="0"/>
      <w:marRight w:val="0"/>
      <w:marTop w:val="0"/>
      <w:marBottom w:val="0"/>
      <w:divBdr>
        <w:top w:val="none" w:sz="0" w:space="0" w:color="auto"/>
        <w:left w:val="none" w:sz="0" w:space="0" w:color="auto"/>
        <w:bottom w:val="none" w:sz="0" w:space="0" w:color="auto"/>
        <w:right w:val="none" w:sz="0" w:space="0" w:color="auto"/>
      </w:divBdr>
    </w:div>
    <w:div w:id="1803889806">
      <w:bodyDiv w:val="1"/>
      <w:marLeft w:val="0"/>
      <w:marRight w:val="0"/>
      <w:marTop w:val="0"/>
      <w:marBottom w:val="0"/>
      <w:divBdr>
        <w:top w:val="none" w:sz="0" w:space="0" w:color="auto"/>
        <w:left w:val="none" w:sz="0" w:space="0" w:color="auto"/>
        <w:bottom w:val="none" w:sz="0" w:space="0" w:color="auto"/>
        <w:right w:val="none" w:sz="0" w:space="0" w:color="auto"/>
      </w:divBdr>
    </w:div>
    <w:div w:id="1964653489">
      <w:bodyDiv w:val="1"/>
      <w:marLeft w:val="0"/>
      <w:marRight w:val="0"/>
      <w:marTop w:val="0"/>
      <w:marBottom w:val="0"/>
      <w:divBdr>
        <w:top w:val="none" w:sz="0" w:space="0" w:color="auto"/>
        <w:left w:val="none" w:sz="0" w:space="0" w:color="auto"/>
        <w:bottom w:val="none" w:sz="0" w:space="0" w:color="auto"/>
        <w:right w:val="none" w:sz="0" w:space="0" w:color="auto"/>
      </w:divBdr>
    </w:div>
    <w:div w:id="2038460359">
      <w:bodyDiv w:val="1"/>
      <w:marLeft w:val="0"/>
      <w:marRight w:val="0"/>
      <w:marTop w:val="0"/>
      <w:marBottom w:val="0"/>
      <w:divBdr>
        <w:top w:val="none" w:sz="0" w:space="0" w:color="auto"/>
        <w:left w:val="none" w:sz="0" w:space="0" w:color="auto"/>
        <w:bottom w:val="none" w:sz="0" w:space="0" w:color="auto"/>
        <w:right w:val="none" w:sz="0" w:space="0" w:color="auto"/>
      </w:divBdr>
    </w:div>
    <w:div w:id="2047832739">
      <w:bodyDiv w:val="1"/>
      <w:marLeft w:val="0"/>
      <w:marRight w:val="0"/>
      <w:marTop w:val="0"/>
      <w:marBottom w:val="0"/>
      <w:divBdr>
        <w:top w:val="none" w:sz="0" w:space="0" w:color="auto"/>
        <w:left w:val="none" w:sz="0" w:space="0" w:color="auto"/>
        <w:bottom w:val="none" w:sz="0" w:space="0" w:color="auto"/>
        <w:right w:val="none" w:sz="0" w:space="0" w:color="auto"/>
      </w:divBdr>
    </w:div>
    <w:div w:id="205292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ADF3E-8F4E-4DA5-B27D-540E7BCF2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15</Pages>
  <Words>453</Words>
  <Characters>2585</Characters>
  <Application>Microsoft Office Word</Application>
  <DocSecurity>0</DocSecurity>
  <Lines>21</Lines>
  <Paragraphs>6</Paragraphs>
  <ScaleCrop>false</ScaleCrop>
  <Company>HOME</Company>
  <LinksUpToDate>false</LinksUpToDate>
  <CharactersWithSpaces>3032</CharactersWithSpaces>
  <SharedDoc>false</SharedDoc>
  <HLinks>
    <vt:vector size="72" baseType="variant">
      <vt:variant>
        <vt:i4>1441840</vt:i4>
      </vt:variant>
      <vt:variant>
        <vt:i4>68</vt:i4>
      </vt:variant>
      <vt:variant>
        <vt:i4>0</vt:i4>
      </vt:variant>
      <vt:variant>
        <vt:i4>5</vt:i4>
      </vt:variant>
      <vt:variant>
        <vt:lpwstr/>
      </vt:variant>
      <vt:variant>
        <vt:lpwstr>_Toc203480950</vt:lpwstr>
      </vt:variant>
      <vt:variant>
        <vt:i4>1507376</vt:i4>
      </vt:variant>
      <vt:variant>
        <vt:i4>62</vt:i4>
      </vt:variant>
      <vt:variant>
        <vt:i4>0</vt:i4>
      </vt:variant>
      <vt:variant>
        <vt:i4>5</vt:i4>
      </vt:variant>
      <vt:variant>
        <vt:lpwstr/>
      </vt:variant>
      <vt:variant>
        <vt:lpwstr>_Toc203480949</vt:lpwstr>
      </vt:variant>
      <vt:variant>
        <vt:i4>1507376</vt:i4>
      </vt:variant>
      <vt:variant>
        <vt:i4>56</vt:i4>
      </vt:variant>
      <vt:variant>
        <vt:i4>0</vt:i4>
      </vt:variant>
      <vt:variant>
        <vt:i4>5</vt:i4>
      </vt:variant>
      <vt:variant>
        <vt:lpwstr/>
      </vt:variant>
      <vt:variant>
        <vt:lpwstr>_Toc203480948</vt:lpwstr>
      </vt:variant>
      <vt:variant>
        <vt:i4>1507376</vt:i4>
      </vt:variant>
      <vt:variant>
        <vt:i4>50</vt:i4>
      </vt:variant>
      <vt:variant>
        <vt:i4>0</vt:i4>
      </vt:variant>
      <vt:variant>
        <vt:i4>5</vt:i4>
      </vt:variant>
      <vt:variant>
        <vt:lpwstr/>
      </vt:variant>
      <vt:variant>
        <vt:lpwstr>_Toc203480947</vt:lpwstr>
      </vt:variant>
      <vt:variant>
        <vt:i4>1507376</vt:i4>
      </vt:variant>
      <vt:variant>
        <vt:i4>44</vt:i4>
      </vt:variant>
      <vt:variant>
        <vt:i4>0</vt:i4>
      </vt:variant>
      <vt:variant>
        <vt:i4>5</vt:i4>
      </vt:variant>
      <vt:variant>
        <vt:lpwstr/>
      </vt:variant>
      <vt:variant>
        <vt:lpwstr>_Toc203480946</vt:lpwstr>
      </vt:variant>
      <vt:variant>
        <vt:i4>1507376</vt:i4>
      </vt:variant>
      <vt:variant>
        <vt:i4>38</vt:i4>
      </vt:variant>
      <vt:variant>
        <vt:i4>0</vt:i4>
      </vt:variant>
      <vt:variant>
        <vt:i4>5</vt:i4>
      </vt:variant>
      <vt:variant>
        <vt:lpwstr/>
      </vt:variant>
      <vt:variant>
        <vt:lpwstr>_Toc203480945</vt:lpwstr>
      </vt:variant>
      <vt:variant>
        <vt:i4>1507376</vt:i4>
      </vt:variant>
      <vt:variant>
        <vt:i4>32</vt:i4>
      </vt:variant>
      <vt:variant>
        <vt:i4>0</vt:i4>
      </vt:variant>
      <vt:variant>
        <vt:i4>5</vt:i4>
      </vt:variant>
      <vt:variant>
        <vt:lpwstr/>
      </vt:variant>
      <vt:variant>
        <vt:lpwstr>_Toc203480944</vt:lpwstr>
      </vt:variant>
      <vt:variant>
        <vt:i4>1507376</vt:i4>
      </vt:variant>
      <vt:variant>
        <vt:i4>26</vt:i4>
      </vt:variant>
      <vt:variant>
        <vt:i4>0</vt:i4>
      </vt:variant>
      <vt:variant>
        <vt:i4>5</vt:i4>
      </vt:variant>
      <vt:variant>
        <vt:lpwstr/>
      </vt:variant>
      <vt:variant>
        <vt:lpwstr>_Toc203480943</vt:lpwstr>
      </vt:variant>
      <vt:variant>
        <vt:i4>1507376</vt:i4>
      </vt:variant>
      <vt:variant>
        <vt:i4>20</vt:i4>
      </vt:variant>
      <vt:variant>
        <vt:i4>0</vt:i4>
      </vt:variant>
      <vt:variant>
        <vt:i4>5</vt:i4>
      </vt:variant>
      <vt:variant>
        <vt:lpwstr/>
      </vt:variant>
      <vt:variant>
        <vt:lpwstr>_Toc203480942</vt:lpwstr>
      </vt:variant>
      <vt:variant>
        <vt:i4>1507376</vt:i4>
      </vt:variant>
      <vt:variant>
        <vt:i4>14</vt:i4>
      </vt:variant>
      <vt:variant>
        <vt:i4>0</vt:i4>
      </vt:variant>
      <vt:variant>
        <vt:i4>5</vt:i4>
      </vt:variant>
      <vt:variant>
        <vt:lpwstr/>
      </vt:variant>
      <vt:variant>
        <vt:lpwstr>_Toc203480941</vt:lpwstr>
      </vt:variant>
      <vt:variant>
        <vt:i4>1507376</vt:i4>
      </vt:variant>
      <vt:variant>
        <vt:i4>8</vt:i4>
      </vt:variant>
      <vt:variant>
        <vt:i4>0</vt:i4>
      </vt:variant>
      <vt:variant>
        <vt:i4>5</vt:i4>
      </vt:variant>
      <vt:variant>
        <vt:lpwstr/>
      </vt:variant>
      <vt:variant>
        <vt:lpwstr>_Toc203480940</vt:lpwstr>
      </vt:variant>
      <vt:variant>
        <vt:i4>1048624</vt:i4>
      </vt:variant>
      <vt:variant>
        <vt:i4>2</vt:i4>
      </vt:variant>
      <vt:variant>
        <vt:i4>0</vt:i4>
      </vt:variant>
      <vt:variant>
        <vt:i4>5</vt:i4>
      </vt:variant>
      <vt:variant>
        <vt:lpwstr/>
      </vt:variant>
      <vt:variant>
        <vt:lpwstr>_Toc203480939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2025-07-08T08:11:00Z</cp:lastPrinted>
  <dcterms:created xsi:type="dcterms:W3CDTF">2025-07-21T03:49:00Z</dcterms:created>
  <dcterms:modified xsi:type="dcterms:W3CDTF">2025-07-21T03:49:00Z</dcterms:modified>
</cp:coreProperties>
</file>