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CB6" w:rsidRPr="00794A17" w:rsidRDefault="001221B9" w:rsidP="00E046FE">
      <w:pPr>
        <w:pStyle w:val="a9"/>
        <w:jc w:val="left"/>
        <w:rPr>
          <w:rFonts w:hint="eastAsia"/>
          <w:color w:val="000000"/>
          <w:szCs w:val="36"/>
        </w:rPr>
      </w:pPr>
      <w:bookmarkStart w:id="0" w:name="_Hlk193875860"/>
      <w:r>
        <w:rPr>
          <w:rFonts w:hint="eastAsia"/>
          <w:color w:val="000000"/>
          <w:szCs w:val="36"/>
        </w:rPr>
        <w:t>我國</w:t>
      </w:r>
      <w:bookmarkStart w:id="1" w:name="_Hlk193891944"/>
      <w:r w:rsidR="00E046FE">
        <w:rPr>
          <w:rFonts w:hint="eastAsia"/>
          <w:color w:val="000000"/>
          <w:szCs w:val="36"/>
        </w:rPr>
        <w:t>國家氣候變遷調適行動</w:t>
      </w:r>
      <w:r w:rsidR="00D8435E" w:rsidRPr="00D8435E">
        <w:rPr>
          <w:rFonts w:hint="eastAsia"/>
          <w:color w:val="000000"/>
          <w:szCs w:val="36"/>
        </w:rPr>
        <w:t>計畫</w:t>
      </w:r>
      <w:bookmarkEnd w:id="0"/>
      <w:bookmarkEnd w:id="1"/>
      <w:r w:rsidR="00E046FE">
        <w:rPr>
          <w:rFonts w:hint="eastAsia"/>
          <w:color w:val="000000"/>
          <w:szCs w:val="36"/>
        </w:rPr>
        <w:t>執行成效</w:t>
      </w:r>
      <w:r w:rsidR="00E80CB6" w:rsidRPr="00794A17">
        <w:rPr>
          <w:rFonts w:hint="eastAsia"/>
          <w:color w:val="000000"/>
          <w:szCs w:val="36"/>
        </w:rPr>
        <w:t>之探討</w:t>
      </w:r>
    </w:p>
    <w:p w:rsidR="00D6636F" w:rsidRPr="007531CE" w:rsidRDefault="00D6636F" w:rsidP="00CE6521">
      <w:pPr>
        <w:pStyle w:val="a9"/>
        <w:snapToGrid w:val="0"/>
        <w:spacing w:line="240" w:lineRule="auto"/>
        <w:ind w:left="655" w:hangingChars="231" w:hanging="655"/>
        <w:jc w:val="right"/>
        <w:rPr>
          <w:rFonts w:hint="eastAsia"/>
          <w:sz w:val="28"/>
        </w:rPr>
      </w:pPr>
    </w:p>
    <w:p w:rsidR="00C91835" w:rsidRDefault="00C91835" w:rsidP="0007550B">
      <w:pPr>
        <w:pStyle w:val="14"/>
        <w:ind w:leftChars="105" w:left="824" w:hangingChars="186" w:hanging="527"/>
        <w:rPr>
          <w:bCs/>
        </w:rPr>
      </w:pPr>
      <w:bookmarkStart w:id="2" w:name="_Toc203635597"/>
      <w:r>
        <w:rPr>
          <w:rFonts w:hint="eastAsia"/>
          <w:bCs/>
        </w:rPr>
        <w:t>六、</w:t>
      </w:r>
      <w:r w:rsidRPr="00C91835">
        <w:rPr>
          <w:rFonts w:hint="eastAsia"/>
          <w:bCs/>
        </w:rPr>
        <w:t>計畫執行成果僅為過程型或產出型指標，未能以具體、量化方式呈現，難以檢視各項調適計畫經費投入之有效性</w:t>
      </w:r>
      <w:bookmarkEnd w:id="2"/>
    </w:p>
    <w:p w:rsidR="00C91835" w:rsidRDefault="00626DB8" w:rsidP="00626DB8">
      <w:pPr>
        <w:ind w:left="566" w:firstLine="566"/>
        <w:rPr>
          <w:rFonts w:hint="eastAsia"/>
        </w:rPr>
      </w:pPr>
      <w:r>
        <w:rPr>
          <w:rFonts w:hint="eastAsia"/>
        </w:rPr>
        <w:t>調適策略執行成效評估之主要目的，為衡量國家調適策略是否有助於增加調適能力及減少脆弱度</w:t>
      </w:r>
      <w:r w:rsidR="00AE6A82">
        <w:rPr>
          <w:rFonts w:hint="eastAsia"/>
        </w:rPr>
        <w:t>；</w:t>
      </w:r>
      <w:r>
        <w:rPr>
          <w:rFonts w:hint="eastAsia"/>
        </w:rPr>
        <w:t>我國</w:t>
      </w:r>
      <w:r w:rsidRPr="00626DB8">
        <w:rPr>
          <w:rFonts w:hint="eastAsia"/>
        </w:rPr>
        <w:t>氣候法調適專章中</w:t>
      </w:r>
      <w:r>
        <w:rPr>
          <w:rFonts w:hint="eastAsia"/>
        </w:rPr>
        <w:t>雖</w:t>
      </w:r>
      <w:r w:rsidRPr="00626DB8">
        <w:rPr>
          <w:rFonts w:hint="eastAsia"/>
        </w:rPr>
        <w:t>明文規定中央目的事業主管機關</w:t>
      </w:r>
      <w:r>
        <w:rPr>
          <w:rFonts w:hint="eastAsia"/>
        </w:rPr>
        <w:t>應</w:t>
      </w:r>
      <w:r w:rsidRPr="00626DB8">
        <w:rPr>
          <w:rFonts w:hint="eastAsia"/>
        </w:rPr>
        <w:t>研擬調適行動方案</w:t>
      </w:r>
      <w:r>
        <w:rPr>
          <w:rFonts w:hint="eastAsia"/>
        </w:rPr>
        <w:t>及</w:t>
      </w:r>
      <w:r w:rsidRPr="00626DB8">
        <w:rPr>
          <w:rFonts w:hint="eastAsia"/>
        </w:rPr>
        <w:t>調適目標，</w:t>
      </w:r>
      <w:r>
        <w:rPr>
          <w:rFonts w:hint="eastAsia"/>
        </w:rPr>
        <w:t>惟部分調適行動計畫未能以具體、量化方式呈現脆弱度降低程度，不利檢視氣候變遷調適執行成效。謹說明如下：</w:t>
      </w:r>
    </w:p>
    <w:p w:rsidR="00C91835" w:rsidRDefault="00C91835" w:rsidP="00C91835">
      <w:pPr>
        <w:pStyle w:val="a4"/>
        <w:ind w:left="849" w:hanging="283"/>
        <w:rPr>
          <w:b/>
          <w:bCs/>
        </w:rPr>
      </w:pPr>
      <w:r w:rsidRPr="00C91835">
        <w:rPr>
          <w:rFonts w:hint="eastAsia"/>
          <w:b/>
          <w:bCs/>
        </w:rPr>
        <w:t>(</w:t>
      </w:r>
      <w:r w:rsidRPr="00C91835">
        <w:rPr>
          <w:b/>
          <w:bCs/>
        </w:rPr>
        <w:t>一)</w:t>
      </w:r>
      <w:r w:rsidR="00AE6A82">
        <w:rPr>
          <w:b/>
          <w:bCs/>
        </w:rPr>
        <w:t>聯合國環境署</w:t>
      </w:r>
      <w:r w:rsidR="00230D18" w:rsidRPr="00230D18">
        <w:rPr>
          <w:rFonts w:hint="eastAsia"/>
          <w:b/>
          <w:bCs/>
        </w:rPr>
        <w:t>2023年調適缺口報告</w:t>
      </w:r>
      <w:r w:rsidR="00230D18">
        <w:rPr>
          <w:rFonts w:hint="eastAsia"/>
          <w:b/>
          <w:bCs/>
        </w:rPr>
        <w:t>指出，</w:t>
      </w:r>
      <w:r w:rsidR="00230D18" w:rsidRPr="00230D18">
        <w:rPr>
          <w:rFonts w:hint="eastAsia"/>
          <w:b/>
          <w:bCs/>
        </w:rPr>
        <w:t>目前所遭遇主要調適障礙之一</w:t>
      </w:r>
      <w:r w:rsidR="00230D18">
        <w:rPr>
          <w:rFonts w:hint="eastAsia"/>
          <w:b/>
          <w:bCs/>
        </w:rPr>
        <w:t>，係</w:t>
      </w:r>
      <w:r w:rsidR="00230D18" w:rsidRPr="00230D18">
        <w:rPr>
          <w:rFonts w:hint="eastAsia"/>
          <w:b/>
          <w:bCs/>
        </w:rPr>
        <w:t>缺乏適當之監測</w:t>
      </w:r>
      <w:r w:rsidR="00230D18">
        <w:rPr>
          <w:rFonts w:hint="eastAsia"/>
          <w:b/>
          <w:bCs/>
        </w:rPr>
        <w:t>與</w:t>
      </w:r>
      <w:r w:rsidR="00230D18" w:rsidRPr="00230D18">
        <w:rPr>
          <w:rFonts w:hint="eastAsia"/>
          <w:b/>
          <w:bCs/>
        </w:rPr>
        <w:t>評價數據和工具</w:t>
      </w:r>
    </w:p>
    <w:p w:rsidR="00F87EC4" w:rsidRDefault="002E24CF" w:rsidP="002E24CF">
      <w:pPr>
        <w:pStyle w:val="2"/>
        <w:ind w:left="850" w:firstLine="566"/>
      </w:pPr>
      <w:r>
        <w:t>氣候變遷</w:t>
      </w:r>
      <w:r>
        <w:rPr>
          <w:rFonts w:hint="eastAsia"/>
        </w:rPr>
        <w:t>調適行動主要為對抗預期將發生事件，目的在於降低對氣候變遷</w:t>
      </w:r>
      <w:r w:rsidR="00F87EC4">
        <w:rPr>
          <w:rFonts w:hint="eastAsia"/>
        </w:rPr>
        <w:t>之</w:t>
      </w:r>
      <w:r>
        <w:rPr>
          <w:rFonts w:hint="eastAsia"/>
        </w:rPr>
        <w:t>脆弱度</w:t>
      </w:r>
      <w:r w:rsidRPr="009C3139">
        <w:rPr>
          <w:rStyle w:val="af6"/>
          <w:b/>
          <w:bCs/>
        </w:rPr>
        <w:footnoteReference w:id="1"/>
      </w:r>
      <w:r>
        <w:rPr>
          <w:rFonts w:hint="eastAsia"/>
        </w:rPr>
        <w:t>或提高系統韌性。</w:t>
      </w:r>
      <w:r w:rsidR="00167502" w:rsidRPr="00167502">
        <w:rPr>
          <w:rFonts w:hint="eastAsia"/>
        </w:rPr>
        <w:t>據德國聯邦環境署(German Environment Agency)於2017年發布「德國調適策略評估方法」(Methodology for the evaluation of the　German adaptation strategy)指出，調適策略執行成效評估之主要目的，為衡量國家調適策略是否有助於增加調適能力及減少脆弱度。</w:t>
      </w:r>
    </w:p>
    <w:p w:rsidR="00167502" w:rsidRDefault="00230D18" w:rsidP="002E24CF">
      <w:pPr>
        <w:pStyle w:val="2"/>
        <w:ind w:left="850" w:firstLine="566"/>
      </w:pPr>
      <w:r w:rsidRPr="00230D18">
        <w:rPr>
          <w:rFonts w:hint="eastAsia"/>
        </w:rPr>
        <w:t>聯合國環境署(UNEP)自2020年以來對全球調適工作進行定期評估，並發布調適缺口報告(Adaptation Gap Report,AGR)，透過審視《聯合國氣候變化綱要公約》197 個締約方已制定之國家調適計畫、戰略、政策和法律之總數，彙整並提出相關精進建議。其中</w:t>
      </w:r>
      <w:r w:rsidR="00167502" w:rsidRPr="00167502">
        <w:rPr>
          <w:rFonts w:hint="eastAsia"/>
        </w:rPr>
        <w:t>2023年調適缺口報告藉由分析調適通訊得知，目前</w:t>
      </w:r>
      <w:bookmarkStart w:id="3" w:name="_Hlk202450144"/>
      <w:r w:rsidR="00167502" w:rsidRPr="00167502">
        <w:rPr>
          <w:rFonts w:hint="eastAsia"/>
        </w:rPr>
        <w:t>所遭遇之調適障礙</w:t>
      </w:r>
      <w:bookmarkEnd w:id="3"/>
      <w:r w:rsidR="00167502" w:rsidRPr="00167502">
        <w:rPr>
          <w:rFonts w:hint="eastAsia"/>
        </w:rPr>
        <w:t>主要除資訊差距、財政資源不足外，亦缺</w:t>
      </w:r>
      <w:r w:rsidR="00167502" w:rsidRPr="00167502">
        <w:rPr>
          <w:rFonts w:hint="eastAsia"/>
        </w:rPr>
        <w:lastRenderedPageBreak/>
        <w:t>乏適當之監測</w:t>
      </w:r>
      <w:r>
        <w:rPr>
          <w:rFonts w:hint="eastAsia"/>
        </w:rPr>
        <w:t>與</w:t>
      </w:r>
      <w:r w:rsidR="00167502" w:rsidRPr="00167502">
        <w:rPr>
          <w:rFonts w:hint="eastAsia"/>
        </w:rPr>
        <w:t>評價數據和工具。另國科會及環境部依氣候法共同發布之「國家氣候變遷科學報告2024：現象、衝擊與調適」於第5章「氣候變遷風險評估與調適」指出，由於氣候變遷調適之目的在降低未來氣候變遷所可能造成之風險，若未能將現況與未來氣候風險予以量化，則各項調適推動之效益便難以評估，亦容易造成規劃措施較屬於傳統防災應變型之作為。</w:t>
      </w:r>
    </w:p>
    <w:p w:rsidR="00C91835" w:rsidRPr="00CD2803" w:rsidRDefault="00CD2803" w:rsidP="00C91835">
      <w:pPr>
        <w:pStyle w:val="a4"/>
        <w:ind w:left="849" w:hanging="283"/>
        <w:rPr>
          <w:b/>
          <w:bCs/>
        </w:rPr>
      </w:pPr>
      <w:r w:rsidRPr="00CD2803">
        <w:rPr>
          <w:rFonts w:hint="eastAsia"/>
          <w:b/>
          <w:bCs/>
        </w:rPr>
        <w:t>(二</w:t>
      </w:r>
      <w:r w:rsidRPr="00CD2803">
        <w:rPr>
          <w:b/>
          <w:bCs/>
        </w:rPr>
        <w:t>)</w:t>
      </w:r>
      <w:r w:rsidR="00965124">
        <w:rPr>
          <w:b/>
          <w:bCs/>
        </w:rPr>
        <w:t>我國</w:t>
      </w:r>
      <w:r w:rsidRPr="00CD2803">
        <w:rPr>
          <w:rFonts w:hint="eastAsia"/>
          <w:b/>
          <w:bCs/>
        </w:rPr>
        <w:t>部分調適計畫執行成果未能以具體或量化方式呈現</w:t>
      </w:r>
      <w:r w:rsidR="00BE5E99">
        <w:rPr>
          <w:rFonts w:hint="eastAsia"/>
          <w:b/>
          <w:bCs/>
        </w:rPr>
        <w:t>，不利</w:t>
      </w:r>
      <w:r w:rsidR="00BE5E99" w:rsidRPr="00BE5E99">
        <w:rPr>
          <w:rFonts w:hint="eastAsia"/>
          <w:b/>
          <w:bCs/>
        </w:rPr>
        <w:t>檢視氣候變遷調適執行成效</w:t>
      </w:r>
    </w:p>
    <w:p w:rsidR="00C77410" w:rsidRDefault="00C77410" w:rsidP="00495D52">
      <w:pPr>
        <w:pStyle w:val="2"/>
        <w:ind w:left="850" w:firstLine="566"/>
      </w:pPr>
      <w:r>
        <w:rPr>
          <w:rFonts w:hint="eastAsia"/>
        </w:rPr>
        <w:t>我國於</w:t>
      </w:r>
      <w:r w:rsidRPr="00C77410">
        <w:rPr>
          <w:rFonts w:hint="eastAsia"/>
        </w:rPr>
        <w:t>101年</w:t>
      </w:r>
      <w:r w:rsidR="00AE6A82">
        <w:rPr>
          <w:rFonts w:hint="eastAsia"/>
        </w:rPr>
        <w:t>訂定</w:t>
      </w:r>
      <w:r>
        <w:rPr>
          <w:rFonts w:hint="eastAsia"/>
        </w:rPr>
        <w:t>之</w:t>
      </w:r>
      <w:r w:rsidRPr="00C77410">
        <w:rPr>
          <w:rFonts w:hint="eastAsia"/>
        </w:rPr>
        <w:t>國家氣候變遷調適政策綱領</w:t>
      </w:r>
      <w:r>
        <w:rPr>
          <w:rFonts w:hint="eastAsia"/>
        </w:rPr>
        <w:t>於其</w:t>
      </w:r>
      <w:r w:rsidRPr="00C77410">
        <w:rPr>
          <w:rFonts w:hint="eastAsia"/>
        </w:rPr>
        <w:t>調適策略</w:t>
      </w:r>
      <w:r>
        <w:rPr>
          <w:rFonts w:hint="eastAsia"/>
        </w:rPr>
        <w:t>中敘明略以，為有效掌握各領域所提調適策略能達成政策願景與目標，並有效執行推動，</w:t>
      </w:r>
      <w:r w:rsidR="00495D52">
        <w:rPr>
          <w:rFonts w:hint="eastAsia"/>
        </w:rPr>
        <w:t>首先各調適領域應訂定總目標，並檢視其是否達成；策略目標則應儘可能予以量化。在後續行動方案規劃階段，每一行動計畫需訂定達成行動計畫之工作及績效指標，以有效評量與檢討行動方案執行結果與績效。其中，工作指標係指各部會分年應執行完成後，具代表性之具體工作內容，如完成工作數目、產值、面積、里程數等。績效指標係指對氣候變遷衝擊的改善程度與效益，如降低發生頻率、降低生命與財產損失、節省時間與經費、降低脆弱度或提升調適能力的程度等。</w:t>
      </w:r>
    </w:p>
    <w:p w:rsidR="002220F6" w:rsidRDefault="00965124" w:rsidP="00F87EC4">
      <w:pPr>
        <w:pStyle w:val="2"/>
        <w:ind w:left="850" w:firstLine="566"/>
      </w:pPr>
      <w:r>
        <w:rPr>
          <w:rFonts w:hint="eastAsia"/>
        </w:rPr>
        <w:t>惟審計部於</w:t>
      </w:r>
      <w:r w:rsidR="00087B34" w:rsidRPr="00087B34">
        <w:rPr>
          <w:rFonts w:hint="eastAsia"/>
        </w:rPr>
        <w:t>113年</w:t>
      </w:r>
      <w:r w:rsidR="009E7A5B">
        <w:rPr>
          <w:rFonts w:hint="eastAsia"/>
        </w:rPr>
        <w:t>1</w:t>
      </w:r>
      <w:r w:rsidR="00087B34" w:rsidRPr="00087B34">
        <w:rPr>
          <w:rFonts w:hint="eastAsia"/>
        </w:rPr>
        <w:t>月</w:t>
      </w:r>
      <w:r w:rsidR="009E7A5B">
        <w:rPr>
          <w:rFonts w:hint="eastAsia"/>
        </w:rPr>
        <w:t>針對我國氣候變遷調適行動計畫進行脆弱度減量評估情形，繕發調查表洽各中央目的事業主管機關查填，統計結果，第2</w:t>
      </w:r>
      <w:r w:rsidR="009E7A5B">
        <w:t>期方案</w:t>
      </w:r>
      <w:r w:rsidR="009E7A5B">
        <w:rPr>
          <w:rFonts w:hint="eastAsia"/>
        </w:rPr>
        <w:t>111 項調適行動計畫(</w:t>
      </w:r>
      <w:r w:rsidR="009E7A5B">
        <w:t>原</w:t>
      </w:r>
      <w:r w:rsidR="009E7A5B">
        <w:rPr>
          <w:rFonts w:hint="eastAsia"/>
        </w:rPr>
        <w:t>12</w:t>
      </w:r>
      <w:r w:rsidR="009E7A5B">
        <w:t>5</w:t>
      </w:r>
      <w:r w:rsidR="009E7A5B">
        <w:rPr>
          <w:rFonts w:hint="eastAsia"/>
        </w:rPr>
        <w:t>項中扣除14項屬能力建構領域，主要係推動法規與政策轉型等，非屬國家因應氣候變遷行動綱領之8大調適領域）中</w:t>
      </w:r>
      <w:r w:rsidR="00087B34" w:rsidRPr="00087B34">
        <w:rPr>
          <w:rFonts w:hint="eastAsia"/>
        </w:rPr>
        <w:t>，</w:t>
      </w:r>
      <w:r w:rsidR="009E7A5B">
        <w:rPr>
          <w:rFonts w:hint="eastAsia"/>
        </w:rPr>
        <w:t>41項</w:t>
      </w:r>
      <w:r w:rsidR="00F87EC4">
        <w:rPr>
          <w:rFonts w:hint="eastAsia"/>
        </w:rPr>
        <w:t>(占</w:t>
      </w:r>
      <w:r w:rsidR="009E7A5B">
        <w:rPr>
          <w:rFonts w:hint="eastAsia"/>
        </w:rPr>
        <w:t>36.94</w:t>
      </w:r>
      <w:r w:rsidR="009E7A5B">
        <w:t>%</w:t>
      </w:r>
      <w:r w:rsidR="00F87EC4">
        <w:t>)</w:t>
      </w:r>
      <w:r w:rsidR="009E7A5B">
        <w:rPr>
          <w:rFonts w:hint="eastAsia"/>
        </w:rPr>
        <w:t>未進行脆弱度減量評估(Vulnerability Reduction Assessment)，衡量實際降低脆弱度及提升氣候韌性</w:t>
      </w:r>
      <w:r w:rsidR="009E7A5B">
        <w:rPr>
          <w:rFonts w:hint="eastAsia"/>
        </w:rPr>
        <w:lastRenderedPageBreak/>
        <w:t>之程度，其餘70項據述雖已降低脆弱度或提升氣候韌性，惟經該部檢視其執行成果，</w:t>
      </w:r>
      <w:bookmarkStart w:id="4" w:name="_Hlk202450913"/>
      <w:r w:rsidR="009E7A5B">
        <w:rPr>
          <w:rFonts w:hint="eastAsia"/>
        </w:rPr>
        <w:t>部分調適行動計畫之執行成果係屬過程型或產出型指標</w:t>
      </w:r>
      <w:bookmarkEnd w:id="4"/>
      <w:r w:rsidR="009E7A5B">
        <w:rPr>
          <w:rFonts w:hint="eastAsia"/>
        </w:rPr>
        <w:t>，未能以具體、量化方式呈現脆弱度降低程度，如：文化部文化資產局辦理「歷史與文化資產維護發展</w:t>
      </w:r>
      <w:r w:rsidR="00945255">
        <w:t>(</w:t>
      </w:r>
      <w:r w:rsidR="009E7A5B">
        <w:rPr>
          <w:rFonts w:hint="eastAsia"/>
        </w:rPr>
        <w:t>第四期</w:t>
      </w:r>
      <w:r w:rsidR="00945255">
        <w:rPr>
          <w:rFonts w:hint="eastAsia"/>
        </w:rPr>
        <w:t>)</w:t>
      </w:r>
      <w:r w:rsidR="009E7A5B">
        <w:rPr>
          <w:rFonts w:hint="eastAsia"/>
        </w:rPr>
        <w:t>計畫」係透過專業團隊輔導管理維護及文資修護減少脆弱度</w:t>
      </w:r>
      <w:r w:rsidR="00945255">
        <w:rPr>
          <w:rFonts w:hint="eastAsia"/>
        </w:rPr>
        <w:t>(詳表</w:t>
      </w:r>
      <w:r w:rsidR="00B9702C">
        <w:rPr>
          <w:rFonts w:hint="eastAsia"/>
        </w:rPr>
        <w:t>4</w:t>
      </w:r>
      <w:r w:rsidR="00B9702C">
        <w:t>-6-</w:t>
      </w:r>
      <w:r w:rsidR="00945255">
        <w:rPr>
          <w:rFonts w:hint="eastAsia"/>
        </w:rPr>
        <w:t>1</w:t>
      </w:r>
      <w:r w:rsidR="00945255">
        <w:t>)</w:t>
      </w:r>
      <w:r w:rsidR="00873494">
        <w:t>等</w:t>
      </w:r>
      <w:r w:rsidR="00873494">
        <w:rPr>
          <w:rFonts w:hint="eastAsia"/>
        </w:rPr>
        <w:t>，</w:t>
      </w:r>
      <w:r w:rsidR="00873494">
        <w:t>如此</w:t>
      </w:r>
      <w:r w:rsidR="00873494">
        <w:rPr>
          <w:rFonts w:hint="eastAsia"/>
        </w:rPr>
        <w:t>調適方式，無法實際衡量評估脆弱度減量程度，亦不利檢視氣候變遷調適執行成效，恐影響行動綱領所訂降低脆弱度及強化韌性目標之達成。</w:t>
      </w:r>
    </w:p>
    <w:p w:rsidR="00563639" w:rsidRDefault="00563639" w:rsidP="00B9702C">
      <w:pPr>
        <w:pStyle w:val="2"/>
        <w:spacing w:line="400" w:lineRule="exact"/>
        <w:ind w:leftChars="-197" w:left="831" w:hangingChars="490" w:hanging="1389"/>
        <w:rPr>
          <w:b/>
          <w:bCs/>
        </w:rPr>
      </w:pPr>
      <w:r w:rsidRPr="00283347">
        <w:rPr>
          <w:b/>
          <w:bCs/>
        </w:rPr>
        <w:t>表</w:t>
      </w:r>
      <w:r w:rsidR="00B9702C">
        <w:rPr>
          <w:rFonts w:hint="eastAsia"/>
          <w:b/>
          <w:bCs/>
        </w:rPr>
        <w:t>4</w:t>
      </w:r>
      <w:r w:rsidR="00B9702C">
        <w:rPr>
          <w:b/>
          <w:bCs/>
        </w:rPr>
        <w:t>-6-</w:t>
      </w:r>
      <w:r>
        <w:rPr>
          <w:b/>
          <w:bCs/>
        </w:rPr>
        <w:t>1  第</w:t>
      </w:r>
      <w:r>
        <w:rPr>
          <w:rFonts w:hint="eastAsia"/>
          <w:b/>
          <w:bCs/>
        </w:rPr>
        <w:t>2</w:t>
      </w:r>
      <w:r>
        <w:rPr>
          <w:b/>
          <w:bCs/>
        </w:rPr>
        <w:t>期方案</w:t>
      </w:r>
      <w:r w:rsidRPr="00563639">
        <w:rPr>
          <w:rFonts w:hint="eastAsia"/>
          <w:b/>
          <w:bCs/>
        </w:rPr>
        <w:t>部分執行成果係屬過程型或產出型指標</w:t>
      </w:r>
      <w:r>
        <w:rPr>
          <w:rFonts w:hint="eastAsia"/>
          <w:b/>
          <w:bCs/>
        </w:rPr>
        <w:t>之</w:t>
      </w:r>
      <w:r w:rsidRPr="00563639">
        <w:rPr>
          <w:rFonts w:hint="eastAsia"/>
          <w:b/>
          <w:bCs/>
        </w:rPr>
        <w:t>調適行動計畫</w:t>
      </w:r>
      <w:r>
        <w:rPr>
          <w:rFonts w:hint="eastAsia"/>
          <w:b/>
          <w:bCs/>
        </w:rPr>
        <w:t>明細表</w:t>
      </w:r>
    </w:p>
    <w:tbl>
      <w:tblPr>
        <w:tblW w:w="0" w:type="auto"/>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418"/>
        <w:gridCol w:w="5376"/>
      </w:tblGrid>
      <w:tr w:rsidR="00563639" w:rsidRPr="00E5048D" w:rsidTr="003F68F8">
        <w:trPr>
          <w:tblHeader/>
        </w:trPr>
        <w:tc>
          <w:tcPr>
            <w:tcW w:w="2268" w:type="dxa"/>
            <w:shd w:val="clear" w:color="auto" w:fill="auto"/>
          </w:tcPr>
          <w:p w:rsidR="00563639" w:rsidRPr="00E5048D" w:rsidRDefault="00563639" w:rsidP="003F68F8">
            <w:pPr>
              <w:pStyle w:val="141"/>
              <w:jc w:val="center"/>
              <w:rPr>
                <w:rFonts w:hint="eastAsia"/>
                <w:b/>
                <w:bCs/>
                <w:spacing w:val="-20"/>
              </w:rPr>
            </w:pPr>
            <w:r w:rsidRPr="00E5048D">
              <w:rPr>
                <w:rFonts w:hint="eastAsia"/>
                <w:b/>
                <w:bCs/>
                <w:spacing w:val="-20"/>
              </w:rPr>
              <w:t>行動計畫</w:t>
            </w:r>
          </w:p>
        </w:tc>
        <w:tc>
          <w:tcPr>
            <w:tcW w:w="1418" w:type="dxa"/>
            <w:shd w:val="clear" w:color="auto" w:fill="auto"/>
          </w:tcPr>
          <w:p w:rsidR="00563639" w:rsidRPr="00E5048D" w:rsidRDefault="00563639" w:rsidP="003F68F8">
            <w:pPr>
              <w:pStyle w:val="141"/>
              <w:jc w:val="center"/>
              <w:rPr>
                <w:rFonts w:hint="eastAsia"/>
                <w:b/>
                <w:bCs/>
                <w:spacing w:val="-20"/>
              </w:rPr>
            </w:pPr>
            <w:r w:rsidRPr="00E5048D">
              <w:rPr>
                <w:rFonts w:hint="eastAsia"/>
                <w:b/>
                <w:bCs/>
                <w:spacing w:val="-20"/>
              </w:rPr>
              <w:t>主辦機關</w:t>
            </w:r>
          </w:p>
        </w:tc>
        <w:tc>
          <w:tcPr>
            <w:tcW w:w="5376" w:type="dxa"/>
            <w:shd w:val="clear" w:color="auto" w:fill="auto"/>
          </w:tcPr>
          <w:p w:rsidR="00563639" w:rsidRPr="00E5048D" w:rsidRDefault="00DA2B8E" w:rsidP="003F68F8">
            <w:pPr>
              <w:pStyle w:val="141"/>
              <w:jc w:val="center"/>
              <w:rPr>
                <w:rFonts w:hint="eastAsia"/>
                <w:b/>
                <w:bCs/>
                <w:spacing w:val="-20"/>
              </w:rPr>
            </w:pPr>
            <w:r w:rsidRPr="00DA2B8E">
              <w:rPr>
                <w:rFonts w:hint="eastAsia"/>
                <w:b/>
                <w:bCs/>
                <w:spacing w:val="-20"/>
              </w:rPr>
              <w:t>脆弱度降低程度</w:t>
            </w:r>
            <w:r>
              <w:rPr>
                <w:rFonts w:hint="eastAsia"/>
                <w:b/>
                <w:bCs/>
                <w:spacing w:val="-20"/>
              </w:rPr>
              <w:t>呈現方式</w:t>
            </w:r>
          </w:p>
        </w:tc>
      </w:tr>
      <w:tr w:rsidR="00563639" w:rsidRPr="00E5048D" w:rsidTr="003F68F8">
        <w:tc>
          <w:tcPr>
            <w:tcW w:w="2268" w:type="dxa"/>
            <w:shd w:val="clear" w:color="auto" w:fill="auto"/>
            <w:vAlign w:val="center"/>
          </w:tcPr>
          <w:p w:rsidR="00563639" w:rsidRPr="00E5048D" w:rsidRDefault="00967037" w:rsidP="003F68F8">
            <w:pPr>
              <w:pStyle w:val="141"/>
              <w:rPr>
                <w:rFonts w:hint="eastAsia"/>
                <w:spacing w:val="-20"/>
              </w:rPr>
            </w:pPr>
            <w:r w:rsidRPr="00967037">
              <w:rPr>
                <w:rFonts w:hint="eastAsia"/>
                <w:spacing w:val="-20"/>
              </w:rPr>
              <w:t>歷史與文化資產維護發展（第四期）計畫</w:t>
            </w:r>
          </w:p>
        </w:tc>
        <w:tc>
          <w:tcPr>
            <w:tcW w:w="1418" w:type="dxa"/>
            <w:shd w:val="clear" w:color="auto" w:fill="auto"/>
            <w:vAlign w:val="center"/>
          </w:tcPr>
          <w:p w:rsidR="00563639" w:rsidRPr="00E5048D" w:rsidRDefault="00967037" w:rsidP="003F68F8">
            <w:pPr>
              <w:pStyle w:val="141"/>
              <w:rPr>
                <w:rFonts w:hint="eastAsia"/>
                <w:spacing w:val="-20"/>
              </w:rPr>
            </w:pPr>
            <w:r w:rsidRPr="00967037">
              <w:rPr>
                <w:rFonts w:hint="eastAsia"/>
                <w:spacing w:val="-20"/>
              </w:rPr>
              <w:t>文化部文化資產局</w:t>
            </w:r>
          </w:p>
        </w:tc>
        <w:tc>
          <w:tcPr>
            <w:tcW w:w="5376"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透過專業團隊輔導管理維護及文資修護減少脆弱度</w:t>
            </w:r>
            <w:r>
              <w:rPr>
                <w:rFonts w:hint="eastAsia"/>
                <w:spacing w:val="-20"/>
              </w:rPr>
              <w:t>。</w:t>
            </w:r>
          </w:p>
        </w:tc>
      </w:tr>
      <w:tr w:rsidR="00563639" w:rsidRPr="00E5048D" w:rsidTr="003F68F8">
        <w:tc>
          <w:tcPr>
            <w:tcW w:w="2268" w:type="dxa"/>
            <w:shd w:val="clear" w:color="auto" w:fill="auto"/>
            <w:vAlign w:val="center"/>
          </w:tcPr>
          <w:p w:rsidR="00563639" w:rsidRPr="00E5048D" w:rsidRDefault="00DA2B8E" w:rsidP="003F68F8">
            <w:pPr>
              <w:pStyle w:val="141"/>
              <w:rPr>
                <w:rFonts w:hint="eastAsia"/>
                <w:spacing w:val="-20"/>
              </w:rPr>
            </w:pPr>
            <w:r w:rsidRPr="00DA2B8E">
              <w:rPr>
                <w:rFonts w:hint="eastAsia"/>
                <w:spacing w:val="-20"/>
              </w:rPr>
              <w:t>研議運輸系統氣候變遷調適上位策略</w:t>
            </w:r>
          </w:p>
        </w:tc>
        <w:tc>
          <w:tcPr>
            <w:tcW w:w="1418"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交通部運輸研究所</w:t>
            </w:r>
          </w:p>
        </w:tc>
        <w:tc>
          <w:tcPr>
            <w:tcW w:w="5376"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透過辦理調適專業知識教育訓練，深化設施管理機關（構）人員對調適之認知，以推動調適作業</w:t>
            </w:r>
            <w:r>
              <w:rPr>
                <w:rFonts w:hint="eastAsia"/>
                <w:spacing w:val="-20"/>
              </w:rPr>
              <w:t>。</w:t>
            </w:r>
          </w:p>
        </w:tc>
      </w:tr>
      <w:tr w:rsidR="00563639" w:rsidRPr="00E5048D" w:rsidTr="003F68F8">
        <w:tc>
          <w:tcPr>
            <w:tcW w:w="2268"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電力及油氣供輸設施氣候變遷調適策略輔導</w:t>
            </w:r>
          </w:p>
        </w:tc>
        <w:tc>
          <w:tcPr>
            <w:tcW w:w="1418" w:type="dxa"/>
            <w:shd w:val="clear" w:color="auto" w:fill="auto"/>
            <w:vAlign w:val="center"/>
          </w:tcPr>
          <w:p w:rsidR="00563639" w:rsidRPr="00E5048D" w:rsidRDefault="00DA2B8E" w:rsidP="003F68F8">
            <w:pPr>
              <w:pStyle w:val="141"/>
              <w:rPr>
                <w:rFonts w:hint="eastAsia"/>
                <w:spacing w:val="-20"/>
              </w:rPr>
            </w:pPr>
            <w:r w:rsidRPr="00DA2B8E">
              <w:rPr>
                <w:rFonts w:hint="eastAsia"/>
                <w:spacing w:val="-20"/>
              </w:rPr>
              <w:t>前經濟部能源局</w:t>
            </w:r>
          </w:p>
        </w:tc>
        <w:tc>
          <w:tcPr>
            <w:tcW w:w="5376"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以協助能源業者依據氣候變遷風險評估結果，據以規劃調適策略</w:t>
            </w:r>
            <w:r>
              <w:rPr>
                <w:rFonts w:hint="eastAsia"/>
                <w:spacing w:val="-20"/>
              </w:rPr>
              <w:t>。</w:t>
            </w:r>
          </w:p>
        </w:tc>
      </w:tr>
      <w:tr w:rsidR="00563639" w:rsidRPr="00E5048D" w:rsidTr="003F68F8">
        <w:tc>
          <w:tcPr>
            <w:tcW w:w="2268" w:type="dxa"/>
            <w:shd w:val="clear" w:color="auto" w:fill="auto"/>
            <w:vAlign w:val="center"/>
          </w:tcPr>
          <w:p w:rsidR="00563639" w:rsidRPr="00E5048D" w:rsidRDefault="00DA2B8E" w:rsidP="003F68F8">
            <w:pPr>
              <w:pStyle w:val="141"/>
              <w:rPr>
                <w:rFonts w:hint="eastAsia"/>
                <w:spacing w:val="-20"/>
              </w:rPr>
            </w:pPr>
            <w:r w:rsidRPr="00DA2B8E">
              <w:rPr>
                <w:rFonts w:hint="eastAsia"/>
                <w:spacing w:val="-20"/>
              </w:rPr>
              <w:t>強化自然保護區域經營管理及網絡連結計畫</w:t>
            </w:r>
          </w:p>
        </w:tc>
        <w:tc>
          <w:tcPr>
            <w:tcW w:w="1418"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前</w:t>
            </w:r>
            <w:r>
              <w:rPr>
                <w:rFonts w:hint="eastAsia"/>
                <w:spacing w:val="-20"/>
              </w:rPr>
              <w:t>行政</w:t>
            </w:r>
            <w:r w:rsidRPr="00DA2B8E">
              <w:rPr>
                <w:rFonts w:hint="eastAsia"/>
                <w:spacing w:val="-20"/>
              </w:rPr>
              <w:t>院農業委員會林務局</w:t>
            </w:r>
          </w:p>
        </w:tc>
        <w:tc>
          <w:tcPr>
            <w:tcW w:w="5376" w:type="dxa"/>
            <w:shd w:val="clear" w:color="auto" w:fill="auto"/>
            <w:vAlign w:val="center"/>
          </w:tcPr>
          <w:p w:rsidR="00563639" w:rsidRPr="00E5048D" w:rsidRDefault="00DA2B8E" w:rsidP="00DA2B8E">
            <w:pPr>
              <w:pStyle w:val="141"/>
              <w:rPr>
                <w:rFonts w:hint="eastAsia"/>
                <w:spacing w:val="-20"/>
              </w:rPr>
            </w:pPr>
            <w:r w:rsidRPr="00DA2B8E">
              <w:rPr>
                <w:rFonts w:hint="eastAsia"/>
                <w:spacing w:val="-20"/>
              </w:rPr>
              <w:t>透過檢討與修訂自然保護區域經營管理計畫，編撰技術手冊，提供一致性規劃指引</w:t>
            </w:r>
            <w:r w:rsidR="00AE6A82">
              <w:rPr>
                <w:rFonts w:hint="eastAsia"/>
                <w:spacing w:val="-20"/>
              </w:rPr>
              <w:t>。</w:t>
            </w:r>
          </w:p>
        </w:tc>
      </w:tr>
    </w:tbl>
    <w:p w:rsidR="00E53622" w:rsidRDefault="00FF250F" w:rsidP="00DF7759">
      <w:pPr>
        <w:pStyle w:val="141"/>
        <w:ind w:leftChars="-200" w:left="567" w:hangingChars="466" w:hanging="1133"/>
        <w:rPr>
          <w:snapToGrid/>
        </w:rPr>
      </w:pPr>
      <w:r w:rsidRPr="00FF250F">
        <w:rPr>
          <w:rFonts w:hint="eastAsia"/>
        </w:rPr>
        <w:t>資料來源：審計部查核環境部及中央目的事業主管機關動氣候變遷調適執行情形查核意見</w:t>
      </w:r>
      <w:r w:rsidR="00B73A16">
        <w:rPr>
          <w:rFonts w:hint="eastAsia"/>
        </w:rPr>
        <w:t>，本報告製表</w:t>
      </w:r>
      <w:r w:rsidRPr="00FF250F">
        <w:rPr>
          <w:rFonts w:hint="eastAsia"/>
        </w:rPr>
        <w:t>。</w:t>
      </w:r>
      <w:bookmarkStart w:id="5" w:name="_Hlk171952006"/>
      <w:bookmarkStart w:id="6" w:name="_GoBack"/>
      <w:bookmarkEnd w:id="6"/>
    </w:p>
    <w:bookmarkEnd w:id="5"/>
    <w:sectPr w:rsidR="00E53622" w:rsidSect="006C48B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8A1" w:rsidRDefault="009F18A1" w:rsidP="00DE63B0">
      <w:pPr>
        <w:spacing w:line="240" w:lineRule="auto"/>
        <w:ind w:left="560" w:firstLine="560"/>
      </w:pPr>
    </w:p>
    <w:p w:rsidR="009F18A1" w:rsidRDefault="009F18A1" w:rsidP="00DE63B0">
      <w:pPr>
        <w:ind w:left="560" w:firstLine="560"/>
      </w:pPr>
    </w:p>
  </w:endnote>
  <w:endnote w:type="continuationSeparator" w:id="0">
    <w:p w:rsidR="009F18A1" w:rsidRDefault="009F18A1" w:rsidP="00DE63B0">
      <w:pPr>
        <w:spacing w:line="240" w:lineRule="auto"/>
        <w:ind w:left="560" w:firstLine="560"/>
      </w:pPr>
    </w:p>
    <w:p w:rsidR="009F18A1" w:rsidRDefault="009F18A1" w:rsidP="00DE63B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4F4" w:rsidRDefault="00F154F4" w:rsidP="00F154F4">
    <w:pPr>
      <w:pStyle w:val="af"/>
      <w:ind w:firstLineChars="0" w:firstLine="0"/>
      <w:jc w:val="center"/>
    </w:pPr>
    <w:r>
      <w:fldChar w:fldCharType="begin"/>
    </w:r>
    <w:r>
      <w:instrText>PAGE   \* MERGEFORMAT</w:instrText>
    </w:r>
    <w:r>
      <w:fldChar w:fldCharType="separate"/>
    </w:r>
    <w:r w:rsidR="00DF7759" w:rsidRPr="00DF7759">
      <w:rPr>
        <w:noProof/>
        <w:lang w:val="zh-TW"/>
      </w:rPr>
      <w:t>3</w:t>
    </w:r>
    <w:r>
      <w:fldChar w:fldCharType="end"/>
    </w:r>
  </w:p>
  <w:p w:rsidR="002057FB" w:rsidRDefault="002057FB" w:rsidP="00DE63B0">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spacing w:line="240" w:lineRule="auto"/>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8A1" w:rsidRDefault="009F18A1" w:rsidP="00DE63B0">
      <w:pPr>
        <w:spacing w:line="240" w:lineRule="auto"/>
        <w:ind w:left="560" w:firstLine="560"/>
      </w:pPr>
      <w:r>
        <w:separator/>
      </w:r>
    </w:p>
  </w:footnote>
  <w:footnote w:type="continuationSeparator" w:id="0">
    <w:p w:rsidR="009F18A1" w:rsidRDefault="009F18A1" w:rsidP="000F54D2">
      <w:pPr>
        <w:spacing w:line="240" w:lineRule="auto"/>
        <w:ind w:left="560" w:firstLine="560"/>
      </w:pPr>
      <w:r>
        <w:continuationSeparator/>
      </w:r>
    </w:p>
  </w:footnote>
  <w:footnote w:id="1">
    <w:p w:rsidR="002E24CF" w:rsidRDefault="002E24CF" w:rsidP="002E24CF">
      <w:pPr>
        <w:pStyle w:val="141"/>
        <w:ind w:left="168" w:hangingChars="69" w:hanging="168"/>
        <w:rPr>
          <w:rFonts w:hint="eastAsia"/>
        </w:rPr>
      </w:pPr>
      <w:r>
        <w:rPr>
          <w:rStyle w:val="af6"/>
        </w:rPr>
        <w:footnoteRef/>
      </w:r>
      <w:r>
        <w:t xml:space="preserve"> 依</w:t>
      </w:r>
      <w:r>
        <w:rPr>
          <w:rFonts w:hint="eastAsia"/>
        </w:rPr>
        <w:t>I</w:t>
      </w:r>
      <w:r>
        <w:t>PCC於</w:t>
      </w:r>
      <w:r>
        <w:rPr>
          <w:rFonts w:hint="eastAsia"/>
        </w:rPr>
        <w:t>2</w:t>
      </w:r>
      <w:r>
        <w:t>001年發布第</w:t>
      </w:r>
      <w:r>
        <w:rPr>
          <w:rFonts w:hint="eastAsia"/>
        </w:rPr>
        <w:t>3</w:t>
      </w:r>
      <w:r>
        <w:t>次評估報告之定義</w:t>
      </w:r>
      <w:r>
        <w:rPr>
          <w:rFonts w:hint="eastAsia"/>
        </w:rPr>
        <w:t>，</w:t>
      </w:r>
      <w:r w:rsidRPr="00980CA7">
        <w:rPr>
          <w:rFonts w:hint="eastAsia"/>
        </w:rPr>
        <w:t>氣候變遷脆弱度</w:t>
      </w:r>
      <w:r>
        <w:rPr>
          <w:rFonts w:hint="eastAsia"/>
        </w:rPr>
        <w:t>係指某個系統受氣候變遷負面影響及無法因應之程度，可視為政府在執行調適策略後，剩餘未能處理之負面影響。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75450"/>
    <w:multiLevelType w:val="hybridMultilevel"/>
    <w:tmpl w:val="925685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EB60A8"/>
    <w:multiLevelType w:val="hybridMultilevel"/>
    <w:tmpl w:val="F5486FDA"/>
    <w:lvl w:ilvl="0" w:tplc="23C804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4240DF"/>
    <w:multiLevelType w:val="hybridMultilevel"/>
    <w:tmpl w:val="03CAD172"/>
    <w:lvl w:ilvl="0" w:tplc="C92E608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6636F"/>
    <w:rsid w:val="0000007B"/>
    <w:rsid w:val="0000057B"/>
    <w:rsid w:val="00000A24"/>
    <w:rsid w:val="00001046"/>
    <w:rsid w:val="0000293C"/>
    <w:rsid w:val="00002F1B"/>
    <w:rsid w:val="00004351"/>
    <w:rsid w:val="000059C8"/>
    <w:rsid w:val="0000749B"/>
    <w:rsid w:val="00010094"/>
    <w:rsid w:val="00013507"/>
    <w:rsid w:val="00014E1E"/>
    <w:rsid w:val="00020016"/>
    <w:rsid w:val="00021140"/>
    <w:rsid w:val="0002147F"/>
    <w:rsid w:val="000237BF"/>
    <w:rsid w:val="00025B18"/>
    <w:rsid w:val="00025F8A"/>
    <w:rsid w:val="00025FA9"/>
    <w:rsid w:val="000265A4"/>
    <w:rsid w:val="00030175"/>
    <w:rsid w:val="000329C7"/>
    <w:rsid w:val="00033843"/>
    <w:rsid w:val="000338A5"/>
    <w:rsid w:val="00033A60"/>
    <w:rsid w:val="000406BD"/>
    <w:rsid w:val="00041815"/>
    <w:rsid w:val="000419FA"/>
    <w:rsid w:val="00041BFA"/>
    <w:rsid w:val="00042D28"/>
    <w:rsid w:val="0004630C"/>
    <w:rsid w:val="00047736"/>
    <w:rsid w:val="000509FD"/>
    <w:rsid w:val="00051DA9"/>
    <w:rsid w:val="00052682"/>
    <w:rsid w:val="00054C84"/>
    <w:rsid w:val="000551FC"/>
    <w:rsid w:val="000555BF"/>
    <w:rsid w:val="00057B59"/>
    <w:rsid w:val="0006056E"/>
    <w:rsid w:val="00061BAA"/>
    <w:rsid w:val="00062AB3"/>
    <w:rsid w:val="00063686"/>
    <w:rsid w:val="000658E9"/>
    <w:rsid w:val="00065A85"/>
    <w:rsid w:val="00065E3E"/>
    <w:rsid w:val="0006755B"/>
    <w:rsid w:val="00067957"/>
    <w:rsid w:val="00067AA2"/>
    <w:rsid w:val="000704AE"/>
    <w:rsid w:val="00073C2A"/>
    <w:rsid w:val="0007550B"/>
    <w:rsid w:val="00075D8F"/>
    <w:rsid w:val="0007765F"/>
    <w:rsid w:val="00080360"/>
    <w:rsid w:val="000806FA"/>
    <w:rsid w:val="00080AC8"/>
    <w:rsid w:val="000817D8"/>
    <w:rsid w:val="000838AC"/>
    <w:rsid w:val="00085008"/>
    <w:rsid w:val="00085331"/>
    <w:rsid w:val="00085672"/>
    <w:rsid w:val="00085966"/>
    <w:rsid w:val="0008721B"/>
    <w:rsid w:val="00087B34"/>
    <w:rsid w:val="00093F85"/>
    <w:rsid w:val="00094BAE"/>
    <w:rsid w:val="00097819"/>
    <w:rsid w:val="000A0AA2"/>
    <w:rsid w:val="000A37ED"/>
    <w:rsid w:val="000A4890"/>
    <w:rsid w:val="000A498F"/>
    <w:rsid w:val="000A67D6"/>
    <w:rsid w:val="000B282E"/>
    <w:rsid w:val="000B7148"/>
    <w:rsid w:val="000B7161"/>
    <w:rsid w:val="000C18D3"/>
    <w:rsid w:val="000C2ADC"/>
    <w:rsid w:val="000C4F75"/>
    <w:rsid w:val="000C640E"/>
    <w:rsid w:val="000C6C3E"/>
    <w:rsid w:val="000D0830"/>
    <w:rsid w:val="000D2B37"/>
    <w:rsid w:val="000D3B8F"/>
    <w:rsid w:val="000D3C18"/>
    <w:rsid w:val="000D3D71"/>
    <w:rsid w:val="000D4884"/>
    <w:rsid w:val="000D796E"/>
    <w:rsid w:val="000E0B5B"/>
    <w:rsid w:val="000E51B3"/>
    <w:rsid w:val="000E5F23"/>
    <w:rsid w:val="000E71C3"/>
    <w:rsid w:val="000F02B1"/>
    <w:rsid w:val="000F087E"/>
    <w:rsid w:val="000F1EB4"/>
    <w:rsid w:val="000F22C7"/>
    <w:rsid w:val="000F339A"/>
    <w:rsid w:val="000F3832"/>
    <w:rsid w:val="000F51CE"/>
    <w:rsid w:val="000F54D2"/>
    <w:rsid w:val="000F5C04"/>
    <w:rsid w:val="00100604"/>
    <w:rsid w:val="0010334D"/>
    <w:rsid w:val="00107275"/>
    <w:rsid w:val="0011139E"/>
    <w:rsid w:val="001113CC"/>
    <w:rsid w:val="00112D5F"/>
    <w:rsid w:val="001132AA"/>
    <w:rsid w:val="001138E9"/>
    <w:rsid w:val="00113DE1"/>
    <w:rsid w:val="00116108"/>
    <w:rsid w:val="0011629B"/>
    <w:rsid w:val="0011723D"/>
    <w:rsid w:val="00121E21"/>
    <w:rsid w:val="001220D7"/>
    <w:rsid w:val="001221B9"/>
    <w:rsid w:val="001224D8"/>
    <w:rsid w:val="00122AF2"/>
    <w:rsid w:val="00123F57"/>
    <w:rsid w:val="0012478E"/>
    <w:rsid w:val="00125BD6"/>
    <w:rsid w:val="00126F1B"/>
    <w:rsid w:val="001310F9"/>
    <w:rsid w:val="001311AD"/>
    <w:rsid w:val="00131768"/>
    <w:rsid w:val="00132616"/>
    <w:rsid w:val="00132F69"/>
    <w:rsid w:val="001330B9"/>
    <w:rsid w:val="001339A1"/>
    <w:rsid w:val="001354CA"/>
    <w:rsid w:val="00136E9C"/>
    <w:rsid w:val="001400EE"/>
    <w:rsid w:val="001404DA"/>
    <w:rsid w:val="00141038"/>
    <w:rsid w:val="00143B05"/>
    <w:rsid w:val="00144263"/>
    <w:rsid w:val="00145C36"/>
    <w:rsid w:val="00150A4B"/>
    <w:rsid w:val="00151E4A"/>
    <w:rsid w:val="00152007"/>
    <w:rsid w:val="0015226C"/>
    <w:rsid w:val="00152A25"/>
    <w:rsid w:val="00152ACC"/>
    <w:rsid w:val="00153A3C"/>
    <w:rsid w:val="001540FC"/>
    <w:rsid w:val="001543B6"/>
    <w:rsid w:val="00154654"/>
    <w:rsid w:val="001561FA"/>
    <w:rsid w:val="00156201"/>
    <w:rsid w:val="001577CA"/>
    <w:rsid w:val="00157F88"/>
    <w:rsid w:val="00160984"/>
    <w:rsid w:val="0016135F"/>
    <w:rsid w:val="00162F78"/>
    <w:rsid w:val="001637B6"/>
    <w:rsid w:val="0016398C"/>
    <w:rsid w:val="00163DB8"/>
    <w:rsid w:val="00166616"/>
    <w:rsid w:val="00166956"/>
    <w:rsid w:val="0016712B"/>
    <w:rsid w:val="00167502"/>
    <w:rsid w:val="001678FA"/>
    <w:rsid w:val="00170B3E"/>
    <w:rsid w:val="00172EDD"/>
    <w:rsid w:val="00174BA2"/>
    <w:rsid w:val="00175888"/>
    <w:rsid w:val="00175AC6"/>
    <w:rsid w:val="00176A28"/>
    <w:rsid w:val="0017770C"/>
    <w:rsid w:val="00177989"/>
    <w:rsid w:val="00180A12"/>
    <w:rsid w:val="00180D0D"/>
    <w:rsid w:val="00180E53"/>
    <w:rsid w:val="00181749"/>
    <w:rsid w:val="00183066"/>
    <w:rsid w:val="0018354B"/>
    <w:rsid w:val="001835B7"/>
    <w:rsid w:val="00184A74"/>
    <w:rsid w:val="00185258"/>
    <w:rsid w:val="0018690E"/>
    <w:rsid w:val="00186CA2"/>
    <w:rsid w:val="001907F3"/>
    <w:rsid w:val="00191893"/>
    <w:rsid w:val="001922B2"/>
    <w:rsid w:val="0019281C"/>
    <w:rsid w:val="0019365E"/>
    <w:rsid w:val="001956BA"/>
    <w:rsid w:val="001A184F"/>
    <w:rsid w:val="001A18BA"/>
    <w:rsid w:val="001A3DD6"/>
    <w:rsid w:val="001A5D30"/>
    <w:rsid w:val="001A6BC5"/>
    <w:rsid w:val="001B020D"/>
    <w:rsid w:val="001B11DC"/>
    <w:rsid w:val="001B2319"/>
    <w:rsid w:val="001B3D93"/>
    <w:rsid w:val="001B4BD4"/>
    <w:rsid w:val="001C1892"/>
    <w:rsid w:val="001C1FA6"/>
    <w:rsid w:val="001C20F9"/>
    <w:rsid w:val="001C223F"/>
    <w:rsid w:val="001C36E7"/>
    <w:rsid w:val="001C49AF"/>
    <w:rsid w:val="001D25BE"/>
    <w:rsid w:val="001D2D4D"/>
    <w:rsid w:val="001D53D1"/>
    <w:rsid w:val="001D5468"/>
    <w:rsid w:val="001E0101"/>
    <w:rsid w:val="001E053A"/>
    <w:rsid w:val="001E0B9F"/>
    <w:rsid w:val="001E0FA5"/>
    <w:rsid w:val="001E13FE"/>
    <w:rsid w:val="001E327B"/>
    <w:rsid w:val="001E5C6D"/>
    <w:rsid w:val="001E679F"/>
    <w:rsid w:val="001F0322"/>
    <w:rsid w:val="001F1554"/>
    <w:rsid w:val="001F1FF3"/>
    <w:rsid w:val="001F5557"/>
    <w:rsid w:val="001F7505"/>
    <w:rsid w:val="00200BEC"/>
    <w:rsid w:val="00201914"/>
    <w:rsid w:val="002042E1"/>
    <w:rsid w:val="002057FB"/>
    <w:rsid w:val="00206983"/>
    <w:rsid w:val="002076C2"/>
    <w:rsid w:val="00207D83"/>
    <w:rsid w:val="002103BC"/>
    <w:rsid w:val="00211F0E"/>
    <w:rsid w:val="00212193"/>
    <w:rsid w:val="00214525"/>
    <w:rsid w:val="0021625B"/>
    <w:rsid w:val="002178C7"/>
    <w:rsid w:val="00220088"/>
    <w:rsid w:val="00220F2E"/>
    <w:rsid w:val="002220F6"/>
    <w:rsid w:val="00223114"/>
    <w:rsid w:val="0022353D"/>
    <w:rsid w:val="00224707"/>
    <w:rsid w:val="00226143"/>
    <w:rsid w:val="00230D18"/>
    <w:rsid w:val="00231595"/>
    <w:rsid w:val="002315EE"/>
    <w:rsid w:val="002316CC"/>
    <w:rsid w:val="00232E4E"/>
    <w:rsid w:val="002338D2"/>
    <w:rsid w:val="00233AD8"/>
    <w:rsid w:val="00234337"/>
    <w:rsid w:val="0023473D"/>
    <w:rsid w:val="002349AD"/>
    <w:rsid w:val="002366A1"/>
    <w:rsid w:val="00237434"/>
    <w:rsid w:val="0024109A"/>
    <w:rsid w:val="0024168B"/>
    <w:rsid w:val="0024205D"/>
    <w:rsid w:val="002440D3"/>
    <w:rsid w:val="00245C58"/>
    <w:rsid w:val="00246EC8"/>
    <w:rsid w:val="002508B6"/>
    <w:rsid w:val="002508F1"/>
    <w:rsid w:val="002528F2"/>
    <w:rsid w:val="00252CA1"/>
    <w:rsid w:val="00257A1C"/>
    <w:rsid w:val="002614B4"/>
    <w:rsid w:val="0026162A"/>
    <w:rsid w:val="00261DD5"/>
    <w:rsid w:val="00263617"/>
    <w:rsid w:val="002656C8"/>
    <w:rsid w:val="00266646"/>
    <w:rsid w:val="0027147B"/>
    <w:rsid w:val="00273865"/>
    <w:rsid w:val="00274030"/>
    <w:rsid w:val="00274432"/>
    <w:rsid w:val="002748E6"/>
    <w:rsid w:val="00274901"/>
    <w:rsid w:val="00275B25"/>
    <w:rsid w:val="002769A5"/>
    <w:rsid w:val="00277E31"/>
    <w:rsid w:val="0028067E"/>
    <w:rsid w:val="00283308"/>
    <w:rsid w:val="00283347"/>
    <w:rsid w:val="00284372"/>
    <w:rsid w:val="00285020"/>
    <w:rsid w:val="00285205"/>
    <w:rsid w:val="00287AFF"/>
    <w:rsid w:val="002922DA"/>
    <w:rsid w:val="00292BB4"/>
    <w:rsid w:val="00292C48"/>
    <w:rsid w:val="00293B01"/>
    <w:rsid w:val="00294D53"/>
    <w:rsid w:val="00297B8C"/>
    <w:rsid w:val="002A009C"/>
    <w:rsid w:val="002A1B7D"/>
    <w:rsid w:val="002A1C67"/>
    <w:rsid w:val="002A4494"/>
    <w:rsid w:val="002A4A01"/>
    <w:rsid w:val="002B13A7"/>
    <w:rsid w:val="002B1B6B"/>
    <w:rsid w:val="002B3380"/>
    <w:rsid w:val="002B4324"/>
    <w:rsid w:val="002B5C17"/>
    <w:rsid w:val="002C3156"/>
    <w:rsid w:val="002C32AF"/>
    <w:rsid w:val="002C4ECC"/>
    <w:rsid w:val="002C5543"/>
    <w:rsid w:val="002D22F2"/>
    <w:rsid w:val="002D237A"/>
    <w:rsid w:val="002D240F"/>
    <w:rsid w:val="002D5346"/>
    <w:rsid w:val="002E24CF"/>
    <w:rsid w:val="002E2BBA"/>
    <w:rsid w:val="002E62F8"/>
    <w:rsid w:val="002E6D30"/>
    <w:rsid w:val="002E6E40"/>
    <w:rsid w:val="002E6FC4"/>
    <w:rsid w:val="002E70A7"/>
    <w:rsid w:val="002E744E"/>
    <w:rsid w:val="002F00E8"/>
    <w:rsid w:val="002F0BA9"/>
    <w:rsid w:val="002F0FC4"/>
    <w:rsid w:val="002F23F4"/>
    <w:rsid w:val="002F3309"/>
    <w:rsid w:val="002F38F8"/>
    <w:rsid w:val="002F4583"/>
    <w:rsid w:val="002F502C"/>
    <w:rsid w:val="002F5986"/>
    <w:rsid w:val="002F5B1A"/>
    <w:rsid w:val="002F78EF"/>
    <w:rsid w:val="00304150"/>
    <w:rsid w:val="00304ACB"/>
    <w:rsid w:val="00305885"/>
    <w:rsid w:val="003067B9"/>
    <w:rsid w:val="00306A16"/>
    <w:rsid w:val="00307462"/>
    <w:rsid w:val="00307F59"/>
    <w:rsid w:val="0031062B"/>
    <w:rsid w:val="00311B5A"/>
    <w:rsid w:val="003131EE"/>
    <w:rsid w:val="00315A0F"/>
    <w:rsid w:val="003164DF"/>
    <w:rsid w:val="00316DE5"/>
    <w:rsid w:val="00317D0A"/>
    <w:rsid w:val="003216C1"/>
    <w:rsid w:val="00321E00"/>
    <w:rsid w:val="00324F82"/>
    <w:rsid w:val="00325CEE"/>
    <w:rsid w:val="00325F44"/>
    <w:rsid w:val="00326B40"/>
    <w:rsid w:val="00327458"/>
    <w:rsid w:val="00330189"/>
    <w:rsid w:val="00330679"/>
    <w:rsid w:val="00331109"/>
    <w:rsid w:val="00332052"/>
    <w:rsid w:val="00334257"/>
    <w:rsid w:val="00334F12"/>
    <w:rsid w:val="00335359"/>
    <w:rsid w:val="00336D5B"/>
    <w:rsid w:val="00337B56"/>
    <w:rsid w:val="00342CC9"/>
    <w:rsid w:val="00343FB8"/>
    <w:rsid w:val="003449E8"/>
    <w:rsid w:val="00344CBC"/>
    <w:rsid w:val="00346F67"/>
    <w:rsid w:val="00347EAD"/>
    <w:rsid w:val="00352D4A"/>
    <w:rsid w:val="003542BD"/>
    <w:rsid w:val="00360B8B"/>
    <w:rsid w:val="00360D03"/>
    <w:rsid w:val="00361068"/>
    <w:rsid w:val="00362965"/>
    <w:rsid w:val="00362BFF"/>
    <w:rsid w:val="003638EB"/>
    <w:rsid w:val="003640EB"/>
    <w:rsid w:val="0036519F"/>
    <w:rsid w:val="0036634D"/>
    <w:rsid w:val="003706D8"/>
    <w:rsid w:val="00370A62"/>
    <w:rsid w:val="003720E0"/>
    <w:rsid w:val="00372951"/>
    <w:rsid w:val="003807BB"/>
    <w:rsid w:val="00380948"/>
    <w:rsid w:val="003813F2"/>
    <w:rsid w:val="0038152D"/>
    <w:rsid w:val="0038212F"/>
    <w:rsid w:val="00383446"/>
    <w:rsid w:val="0038531B"/>
    <w:rsid w:val="003875DF"/>
    <w:rsid w:val="00387B34"/>
    <w:rsid w:val="00390446"/>
    <w:rsid w:val="00391E17"/>
    <w:rsid w:val="00395043"/>
    <w:rsid w:val="00395CDD"/>
    <w:rsid w:val="00397125"/>
    <w:rsid w:val="00397433"/>
    <w:rsid w:val="003A00AA"/>
    <w:rsid w:val="003A1F68"/>
    <w:rsid w:val="003A2655"/>
    <w:rsid w:val="003A4766"/>
    <w:rsid w:val="003A4C92"/>
    <w:rsid w:val="003A6218"/>
    <w:rsid w:val="003A65FB"/>
    <w:rsid w:val="003A7A10"/>
    <w:rsid w:val="003B1C32"/>
    <w:rsid w:val="003B46F8"/>
    <w:rsid w:val="003B532E"/>
    <w:rsid w:val="003B5695"/>
    <w:rsid w:val="003C10E9"/>
    <w:rsid w:val="003C385C"/>
    <w:rsid w:val="003C3CC1"/>
    <w:rsid w:val="003C4F7B"/>
    <w:rsid w:val="003C5017"/>
    <w:rsid w:val="003D0425"/>
    <w:rsid w:val="003D4ADE"/>
    <w:rsid w:val="003D58BE"/>
    <w:rsid w:val="003D6C61"/>
    <w:rsid w:val="003E0059"/>
    <w:rsid w:val="003E0BFA"/>
    <w:rsid w:val="003E2189"/>
    <w:rsid w:val="003F096F"/>
    <w:rsid w:val="003F0B66"/>
    <w:rsid w:val="003F15C0"/>
    <w:rsid w:val="003F188C"/>
    <w:rsid w:val="003F5FD8"/>
    <w:rsid w:val="003F68F8"/>
    <w:rsid w:val="00403289"/>
    <w:rsid w:val="0040428C"/>
    <w:rsid w:val="00404A4C"/>
    <w:rsid w:val="00405EFE"/>
    <w:rsid w:val="00407F29"/>
    <w:rsid w:val="00410017"/>
    <w:rsid w:val="004128B3"/>
    <w:rsid w:val="00412BAD"/>
    <w:rsid w:val="00414F70"/>
    <w:rsid w:val="00416048"/>
    <w:rsid w:val="00416AB1"/>
    <w:rsid w:val="00416C8D"/>
    <w:rsid w:val="00417482"/>
    <w:rsid w:val="0042020A"/>
    <w:rsid w:val="004246DB"/>
    <w:rsid w:val="00426807"/>
    <w:rsid w:val="0043327E"/>
    <w:rsid w:val="0043475C"/>
    <w:rsid w:val="00436A58"/>
    <w:rsid w:val="00440B1B"/>
    <w:rsid w:val="00440CE8"/>
    <w:rsid w:val="004423C6"/>
    <w:rsid w:val="004430BA"/>
    <w:rsid w:val="00443498"/>
    <w:rsid w:val="00444D79"/>
    <w:rsid w:val="004452C9"/>
    <w:rsid w:val="00445B7F"/>
    <w:rsid w:val="00445C99"/>
    <w:rsid w:val="00446C00"/>
    <w:rsid w:val="00447DA3"/>
    <w:rsid w:val="004504A0"/>
    <w:rsid w:val="004508C0"/>
    <w:rsid w:val="00450DA0"/>
    <w:rsid w:val="0045147E"/>
    <w:rsid w:val="00451F49"/>
    <w:rsid w:val="004522F4"/>
    <w:rsid w:val="0045268E"/>
    <w:rsid w:val="004527C3"/>
    <w:rsid w:val="004531A4"/>
    <w:rsid w:val="004532DB"/>
    <w:rsid w:val="00453A4E"/>
    <w:rsid w:val="00455DD7"/>
    <w:rsid w:val="004564C0"/>
    <w:rsid w:val="00457A51"/>
    <w:rsid w:val="00463158"/>
    <w:rsid w:val="00463524"/>
    <w:rsid w:val="00463B1B"/>
    <w:rsid w:val="004640E8"/>
    <w:rsid w:val="0046446D"/>
    <w:rsid w:val="004648B6"/>
    <w:rsid w:val="0046787D"/>
    <w:rsid w:val="00471524"/>
    <w:rsid w:val="00471793"/>
    <w:rsid w:val="00471ED3"/>
    <w:rsid w:val="004720CC"/>
    <w:rsid w:val="00472ECA"/>
    <w:rsid w:val="00473332"/>
    <w:rsid w:val="00474164"/>
    <w:rsid w:val="004749B3"/>
    <w:rsid w:val="00475731"/>
    <w:rsid w:val="004757AB"/>
    <w:rsid w:val="004760CB"/>
    <w:rsid w:val="004767FA"/>
    <w:rsid w:val="00480DAD"/>
    <w:rsid w:val="00481923"/>
    <w:rsid w:val="004826E1"/>
    <w:rsid w:val="004836B3"/>
    <w:rsid w:val="0048565C"/>
    <w:rsid w:val="00485E36"/>
    <w:rsid w:val="00486357"/>
    <w:rsid w:val="00487966"/>
    <w:rsid w:val="004918C0"/>
    <w:rsid w:val="00491A6C"/>
    <w:rsid w:val="00491DC2"/>
    <w:rsid w:val="00494C5D"/>
    <w:rsid w:val="00495D52"/>
    <w:rsid w:val="004968AE"/>
    <w:rsid w:val="00496EBD"/>
    <w:rsid w:val="00497B30"/>
    <w:rsid w:val="004A2050"/>
    <w:rsid w:val="004A29B2"/>
    <w:rsid w:val="004A5809"/>
    <w:rsid w:val="004A7134"/>
    <w:rsid w:val="004A7D5B"/>
    <w:rsid w:val="004B0375"/>
    <w:rsid w:val="004B1440"/>
    <w:rsid w:val="004B1449"/>
    <w:rsid w:val="004B2077"/>
    <w:rsid w:val="004B2718"/>
    <w:rsid w:val="004B3307"/>
    <w:rsid w:val="004B5E0B"/>
    <w:rsid w:val="004B6148"/>
    <w:rsid w:val="004B61F1"/>
    <w:rsid w:val="004C0331"/>
    <w:rsid w:val="004C2B59"/>
    <w:rsid w:val="004C406C"/>
    <w:rsid w:val="004C5EDA"/>
    <w:rsid w:val="004C6A87"/>
    <w:rsid w:val="004C6EC5"/>
    <w:rsid w:val="004C7262"/>
    <w:rsid w:val="004D0007"/>
    <w:rsid w:val="004D1740"/>
    <w:rsid w:val="004D17B5"/>
    <w:rsid w:val="004D4426"/>
    <w:rsid w:val="004D6156"/>
    <w:rsid w:val="004E23AA"/>
    <w:rsid w:val="004E2D19"/>
    <w:rsid w:val="004F0EE9"/>
    <w:rsid w:val="004F2AD6"/>
    <w:rsid w:val="004F2EA4"/>
    <w:rsid w:val="004F5B3C"/>
    <w:rsid w:val="004F6122"/>
    <w:rsid w:val="004F79E1"/>
    <w:rsid w:val="005017FF"/>
    <w:rsid w:val="00501920"/>
    <w:rsid w:val="00502A03"/>
    <w:rsid w:val="00502AA6"/>
    <w:rsid w:val="005045DB"/>
    <w:rsid w:val="005055C0"/>
    <w:rsid w:val="00505730"/>
    <w:rsid w:val="00506718"/>
    <w:rsid w:val="005101D6"/>
    <w:rsid w:val="00511492"/>
    <w:rsid w:val="00511C6B"/>
    <w:rsid w:val="0051351F"/>
    <w:rsid w:val="005137F4"/>
    <w:rsid w:val="00514459"/>
    <w:rsid w:val="00516D13"/>
    <w:rsid w:val="005208B5"/>
    <w:rsid w:val="00524F6B"/>
    <w:rsid w:val="00525851"/>
    <w:rsid w:val="00525A8C"/>
    <w:rsid w:val="00527094"/>
    <w:rsid w:val="00534365"/>
    <w:rsid w:val="00534DCF"/>
    <w:rsid w:val="00536C06"/>
    <w:rsid w:val="00541C55"/>
    <w:rsid w:val="00541CE7"/>
    <w:rsid w:val="00542FE9"/>
    <w:rsid w:val="00544FA7"/>
    <w:rsid w:val="005453D9"/>
    <w:rsid w:val="00546019"/>
    <w:rsid w:val="005501B2"/>
    <w:rsid w:val="00550E46"/>
    <w:rsid w:val="00551A4C"/>
    <w:rsid w:val="005521D6"/>
    <w:rsid w:val="00552534"/>
    <w:rsid w:val="00552958"/>
    <w:rsid w:val="005547F6"/>
    <w:rsid w:val="00555148"/>
    <w:rsid w:val="00555215"/>
    <w:rsid w:val="00555E75"/>
    <w:rsid w:val="0055739C"/>
    <w:rsid w:val="00557E5C"/>
    <w:rsid w:val="0056272E"/>
    <w:rsid w:val="00563639"/>
    <w:rsid w:val="00563D28"/>
    <w:rsid w:val="00564D9D"/>
    <w:rsid w:val="00566587"/>
    <w:rsid w:val="00567253"/>
    <w:rsid w:val="0057055B"/>
    <w:rsid w:val="00580195"/>
    <w:rsid w:val="00581A0C"/>
    <w:rsid w:val="0058404F"/>
    <w:rsid w:val="0058413B"/>
    <w:rsid w:val="00586F52"/>
    <w:rsid w:val="00587AC7"/>
    <w:rsid w:val="0059018E"/>
    <w:rsid w:val="00590519"/>
    <w:rsid w:val="00590846"/>
    <w:rsid w:val="00591D41"/>
    <w:rsid w:val="005926AD"/>
    <w:rsid w:val="005938D2"/>
    <w:rsid w:val="00593BA5"/>
    <w:rsid w:val="00594230"/>
    <w:rsid w:val="00594DFD"/>
    <w:rsid w:val="0059630E"/>
    <w:rsid w:val="00597259"/>
    <w:rsid w:val="005A1296"/>
    <w:rsid w:val="005A187B"/>
    <w:rsid w:val="005B0ADD"/>
    <w:rsid w:val="005B0E74"/>
    <w:rsid w:val="005B118A"/>
    <w:rsid w:val="005B1E6D"/>
    <w:rsid w:val="005B23AE"/>
    <w:rsid w:val="005B3509"/>
    <w:rsid w:val="005B383E"/>
    <w:rsid w:val="005B652D"/>
    <w:rsid w:val="005B7C99"/>
    <w:rsid w:val="005C02B0"/>
    <w:rsid w:val="005C1A87"/>
    <w:rsid w:val="005C2B14"/>
    <w:rsid w:val="005C39AD"/>
    <w:rsid w:val="005C4936"/>
    <w:rsid w:val="005C5CC9"/>
    <w:rsid w:val="005C7549"/>
    <w:rsid w:val="005D0095"/>
    <w:rsid w:val="005D3357"/>
    <w:rsid w:val="005D400D"/>
    <w:rsid w:val="005D412B"/>
    <w:rsid w:val="005D64F5"/>
    <w:rsid w:val="005E0C22"/>
    <w:rsid w:val="005E1018"/>
    <w:rsid w:val="005E1B88"/>
    <w:rsid w:val="005E1DED"/>
    <w:rsid w:val="005E4200"/>
    <w:rsid w:val="005E4549"/>
    <w:rsid w:val="005E5C75"/>
    <w:rsid w:val="005E7545"/>
    <w:rsid w:val="005F268A"/>
    <w:rsid w:val="005F296C"/>
    <w:rsid w:val="005F4025"/>
    <w:rsid w:val="005F546C"/>
    <w:rsid w:val="005F60A6"/>
    <w:rsid w:val="005F6C0B"/>
    <w:rsid w:val="005F6C83"/>
    <w:rsid w:val="005F7162"/>
    <w:rsid w:val="006031F6"/>
    <w:rsid w:val="00603A3F"/>
    <w:rsid w:val="006049FC"/>
    <w:rsid w:val="00611452"/>
    <w:rsid w:val="006116A5"/>
    <w:rsid w:val="00611E4E"/>
    <w:rsid w:val="00612C19"/>
    <w:rsid w:val="006161E9"/>
    <w:rsid w:val="00622930"/>
    <w:rsid w:val="00622941"/>
    <w:rsid w:val="00622D97"/>
    <w:rsid w:val="00624C15"/>
    <w:rsid w:val="006260A0"/>
    <w:rsid w:val="006266E2"/>
    <w:rsid w:val="00626DB8"/>
    <w:rsid w:val="0062787D"/>
    <w:rsid w:val="00627E05"/>
    <w:rsid w:val="00632434"/>
    <w:rsid w:val="00632499"/>
    <w:rsid w:val="00632BA6"/>
    <w:rsid w:val="00632DDB"/>
    <w:rsid w:val="00635295"/>
    <w:rsid w:val="00635B43"/>
    <w:rsid w:val="006377C7"/>
    <w:rsid w:val="00640FCB"/>
    <w:rsid w:val="00642E79"/>
    <w:rsid w:val="006438F9"/>
    <w:rsid w:val="00644007"/>
    <w:rsid w:val="006459AD"/>
    <w:rsid w:val="00646266"/>
    <w:rsid w:val="0064671D"/>
    <w:rsid w:val="00647F20"/>
    <w:rsid w:val="006501C6"/>
    <w:rsid w:val="00650D58"/>
    <w:rsid w:val="00651476"/>
    <w:rsid w:val="00651962"/>
    <w:rsid w:val="006538E9"/>
    <w:rsid w:val="0065406F"/>
    <w:rsid w:val="00654BEC"/>
    <w:rsid w:val="0065732F"/>
    <w:rsid w:val="006620D3"/>
    <w:rsid w:val="006636D5"/>
    <w:rsid w:val="0066559F"/>
    <w:rsid w:val="0066572C"/>
    <w:rsid w:val="0066584F"/>
    <w:rsid w:val="00666792"/>
    <w:rsid w:val="006671D1"/>
    <w:rsid w:val="00672DA1"/>
    <w:rsid w:val="006735D3"/>
    <w:rsid w:val="00673CA4"/>
    <w:rsid w:val="00675185"/>
    <w:rsid w:val="0067596F"/>
    <w:rsid w:val="00676E8C"/>
    <w:rsid w:val="00681F91"/>
    <w:rsid w:val="00683E62"/>
    <w:rsid w:val="00683FD3"/>
    <w:rsid w:val="00684D70"/>
    <w:rsid w:val="00684DB2"/>
    <w:rsid w:val="006850D8"/>
    <w:rsid w:val="00685572"/>
    <w:rsid w:val="00686447"/>
    <w:rsid w:val="00686B21"/>
    <w:rsid w:val="00690D1E"/>
    <w:rsid w:val="0069198E"/>
    <w:rsid w:val="00694C95"/>
    <w:rsid w:val="00696049"/>
    <w:rsid w:val="006967E9"/>
    <w:rsid w:val="00697993"/>
    <w:rsid w:val="006A011D"/>
    <w:rsid w:val="006A2F8E"/>
    <w:rsid w:val="006A3FEC"/>
    <w:rsid w:val="006A5939"/>
    <w:rsid w:val="006A638A"/>
    <w:rsid w:val="006A6811"/>
    <w:rsid w:val="006A6A48"/>
    <w:rsid w:val="006A74C0"/>
    <w:rsid w:val="006B18D8"/>
    <w:rsid w:val="006B4461"/>
    <w:rsid w:val="006B466E"/>
    <w:rsid w:val="006B608E"/>
    <w:rsid w:val="006B7DF9"/>
    <w:rsid w:val="006C055A"/>
    <w:rsid w:val="006C38DE"/>
    <w:rsid w:val="006C3E5D"/>
    <w:rsid w:val="006C48BF"/>
    <w:rsid w:val="006C522C"/>
    <w:rsid w:val="006C5846"/>
    <w:rsid w:val="006C5E4B"/>
    <w:rsid w:val="006C7662"/>
    <w:rsid w:val="006D0248"/>
    <w:rsid w:val="006D1FE3"/>
    <w:rsid w:val="006D6773"/>
    <w:rsid w:val="006D702C"/>
    <w:rsid w:val="006D7B49"/>
    <w:rsid w:val="006E070E"/>
    <w:rsid w:val="006E0DA8"/>
    <w:rsid w:val="006E4478"/>
    <w:rsid w:val="006E6D33"/>
    <w:rsid w:val="006F37FA"/>
    <w:rsid w:val="006F647D"/>
    <w:rsid w:val="006F6FD3"/>
    <w:rsid w:val="006F7343"/>
    <w:rsid w:val="0070025B"/>
    <w:rsid w:val="00700A89"/>
    <w:rsid w:val="00700B2B"/>
    <w:rsid w:val="00700C85"/>
    <w:rsid w:val="007015A1"/>
    <w:rsid w:val="00701CDB"/>
    <w:rsid w:val="0070206E"/>
    <w:rsid w:val="00702095"/>
    <w:rsid w:val="00702204"/>
    <w:rsid w:val="007024A5"/>
    <w:rsid w:val="00703B20"/>
    <w:rsid w:val="00703F6D"/>
    <w:rsid w:val="00705D92"/>
    <w:rsid w:val="00706E65"/>
    <w:rsid w:val="00707629"/>
    <w:rsid w:val="00710360"/>
    <w:rsid w:val="00712871"/>
    <w:rsid w:val="00713320"/>
    <w:rsid w:val="00716DAF"/>
    <w:rsid w:val="007177C3"/>
    <w:rsid w:val="00722ED6"/>
    <w:rsid w:val="007230E0"/>
    <w:rsid w:val="00723195"/>
    <w:rsid w:val="007236FC"/>
    <w:rsid w:val="00723A66"/>
    <w:rsid w:val="00723F5D"/>
    <w:rsid w:val="00724E6B"/>
    <w:rsid w:val="007259B3"/>
    <w:rsid w:val="0073093F"/>
    <w:rsid w:val="007312EE"/>
    <w:rsid w:val="0073387B"/>
    <w:rsid w:val="007339E9"/>
    <w:rsid w:val="00733B80"/>
    <w:rsid w:val="00733D52"/>
    <w:rsid w:val="0073555D"/>
    <w:rsid w:val="0074239E"/>
    <w:rsid w:val="00743D01"/>
    <w:rsid w:val="00744020"/>
    <w:rsid w:val="00744408"/>
    <w:rsid w:val="00745F7E"/>
    <w:rsid w:val="00746FFB"/>
    <w:rsid w:val="007471CE"/>
    <w:rsid w:val="007473E7"/>
    <w:rsid w:val="0074764E"/>
    <w:rsid w:val="00747A34"/>
    <w:rsid w:val="00750226"/>
    <w:rsid w:val="0075182F"/>
    <w:rsid w:val="007529D8"/>
    <w:rsid w:val="00753BCC"/>
    <w:rsid w:val="007552B4"/>
    <w:rsid w:val="00760286"/>
    <w:rsid w:val="00761C16"/>
    <w:rsid w:val="007621CF"/>
    <w:rsid w:val="00763A40"/>
    <w:rsid w:val="00764500"/>
    <w:rsid w:val="00764947"/>
    <w:rsid w:val="00764B35"/>
    <w:rsid w:val="00766616"/>
    <w:rsid w:val="007667C7"/>
    <w:rsid w:val="00770437"/>
    <w:rsid w:val="007713F1"/>
    <w:rsid w:val="007761BD"/>
    <w:rsid w:val="007771A1"/>
    <w:rsid w:val="00777434"/>
    <w:rsid w:val="007808E2"/>
    <w:rsid w:val="00781877"/>
    <w:rsid w:val="00781E05"/>
    <w:rsid w:val="0078242F"/>
    <w:rsid w:val="0078278A"/>
    <w:rsid w:val="00782BE9"/>
    <w:rsid w:val="007834E8"/>
    <w:rsid w:val="00783BD9"/>
    <w:rsid w:val="00784E70"/>
    <w:rsid w:val="00787924"/>
    <w:rsid w:val="0079137D"/>
    <w:rsid w:val="00792A60"/>
    <w:rsid w:val="00793E8F"/>
    <w:rsid w:val="00794A17"/>
    <w:rsid w:val="00794F77"/>
    <w:rsid w:val="00795823"/>
    <w:rsid w:val="00795EFA"/>
    <w:rsid w:val="007A0A40"/>
    <w:rsid w:val="007A2726"/>
    <w:rsid w:val="007A4301"/>
    <w:rsid w:val="007A69F5"/>
    <w:rsid w:val="007A72A6"/>
    <w:rsid w:val="007B14FB"/>
    <w:rsid w:val="007B331D"/>
    <w:rsid w:val="007B61D7"/>
    <w:rsid w:val="007B68D7"/>
    <w:rsid w:val="007C18A0"/>
    <w:rsid w:val="007C2579"/>
    <w:rsid w:val="007C2B72"/>
    <w:rsid w:val="007C36CC"/>
    <w:rsid w:val="007C3891"/>
    <w:rsid w:val="007C442F"/>
    <w:rsid w:val="007C4D95"/>
    <w:rsid w:val="007C618C"/>
    <w:rsid w:val="007D0024"/>
    <w:rsid w:val="007D1E67"/>
    <w:rsid w:val="007D3443"/>
    <w:rsid w:val="007D775D"/>
    <w:rsid w:val="007E0204"/>
    <w:rsid w:val="007E241B"/>
    <w:rsid w:val="007E50B2"/>
    <w:rsid w:val="007E603B"/>
    <w:rsid w:val="007E6215"/>
    <w:rsid w:val="007E710F"/>
    <w:rsid w:val="007E765E"/>
    <w:rsid w:val="007F00FF"/>
    <w:rsid w:val="007F39D3"/>
    <w:rsid w:val="007F60F3"/>
    <w:rsid w:val="007F79E0"/>
    <w:rsid w:val="007F7FDE"/>
    <w:rsid w:val="00802BD4"/>
    <w:rsid w:val="00804F0F"/>
    <w:rsid w:val="00805246"/>
    <w:rsid w:val="008067A4"/>
    <w:rsid w:val="00807DCE"/>
    <w:rsid w:val="008131FF"/>
    <w:rsid w:val="00813401"/>
    <w:rsid w:val="008135B2"/>
    <w:rsid w:val="00814A1E"/>
    <w:rsid w:val="00815249"/>
    <w:rsid w:val="00817D7C"/>
    <w:rsid w:val="00817ED2"/>
    <w:rsid w:val="00821610"/>
    <w:rsid w:val="008221CA"/>
    <w:rsid w:val="008244CE"/>
    <w:rsid w:val="00825732"/>
    <w:rsid w:val="00827714"/>
    <w:rsid w:val="008322AE"/>
    <w:rsid w:val="008335A0"/>
    <w:rsid w:val="00835252"/>
    <w:rsid w:val="00840BC5"/>
    <w:rsid w:val="0084189D"/>
    <w:rsid w:val="008429FC"/>
    <w:rsid w:val="00845079"/>
    <w:rsid w:val="00845D1A"/>
    <w:rsid w:val="008470D6"/>
    <w:rsid w:val="008477ED"/>
    <w:rsid w:val="0085007C"/>
    <w:rsid w:val="00852932"/>
    <w:rsid w:val="00855F02"/>
    <w:rsid w:val="008579BF"/>
    <w:rsid w:val="00860A17"/>
    <w:rsid w:val="00862268"/>
    <w:rsid w:val="008631AF"/>
    <w:rsid w:val="00863794"/>
    <w:rsid w:val="008649E1"/>
    <w:rsid w:val="0086764A"/>
    <w:rsid w:val="00867769"/>
    <w:rsid w:val="00867913"/>
    <w:rsid w:val="00867CFD"/>
    <w:rsid w:val="00867FDB"/>
    <w:rsid w:val="008700D2"/>
    <w:rsid w:val="0087037B"/>
    <w:rsid w:val="008729E6"/>
    <w:rsid w:val="00872A2F"/>
    <w:rsid w:val="00873494"/>
    <w:rsid w:val="00874C1B"/>
    <w:rsid w:val="00875A21"/>
    <w:rsid w:val="00880039"/>
    <w:rsid w:val="008800FA"/>
    <w:rsid w:val="00881500"/>
    <w:rsid w:val="00882AA7"/>
    <w:rsid w:val="00884372"/>
    <w:rsid w:val="008844F4"/>
    <w:rsid w:val="00884BC6"/>
    <w:rsid w:val="00884DD6"/>
    <w:rsid w:val="008856F0"/>
    <w:rsid w:val="00886697"/>
    <w:rsid w:val="00887F5B"/>
    <w:rsid w:val="00890170"/>
    <w:rsid w:val="00890AE0"/>
    <w:rsid w:val="00892BAF"/>
    <w:rsid w:val="0089419C"/>
    <w:rsid w:val="00895B6A"/>
    <w:rsid w:val="00895DBA"/>
    <w:rsid w:val="008964C7"/>
    <w:rsid w:val="008A2510"/>
    <w:rsid w:val="008A32D6"/>
    <w:rsid w:val="008A359C"/>
    <w:rsid w:val="008A65E1"/>
    <w:rsid w:val="008A6EFC"/>
    <w:rsid w:val="008A75EB"/>
    <w:rsid w:val="008B0DE3"/>
    <w:rsid w:val="008B155F"/>
    <w:rsid w:val="008B2585"/>
    <w:rsid w:val="008B4101"/>
    <w:rsid w:val="008B4982"/>
    <w:rsid w:val="008B5017"/>
    <w:rsid w:val="008B637D"/>
    <w:rsid w:val="008B718F"/>
    <w:rsid w:val="008B7217"/>
    <w:rsid w:val="008C00E9"/>
    <w:rsid w:val="008C2FCA"/>
    <w:rsid w:val="008D1F26"/>
    <w:rsid w:val="008D41DC"/>
    <w:rsid w:val="008D4C7C"/>
    <w:rsid w:val="008E00B6"/>
    <w:rsid w:val="008E1A64"/>
    <w:rsid w:val="008E280A"/>
    <w:rsid w:val="008E4EDD"/>
    <w:rsid w:val="008E636C"/>
    <w:rsid w:val="008F056E"/>
    <w:rsid w:val="008F1EC3"/>
    <w:rsid w:val="008F275B"/>
    <w:rsid w:val="008F5A1A"/>
    <w:rsid w:val="008F6CD0"/>
    <w:rsid w:val="008F7FBE"/>
    <w:rsid w:val="00903F3D"/>
    <w:rsid w:val="00904619"/>
    <w:rsid w:val="00905055"/>
    <w:rsid w:val="00906CB0"/>
    <w:rsid w:val="009117E9"/>
    <w:rsid w:val="00912C07"/>
    <w:rsid w:val="0091325B"/>
    <w:rsid w:val="00914284"/>
    <w:rsid w:val="00914C75"/>
    <w:rsid w:val="00915142"/>
    <w:rsid w:val="009157B9"/>
    <w:rsid w:val="009203B2"/>
    <w:rsid w:val="009207C7"/>
    <w:rsid w:val="00922535"/>
    <w:rsid w:val="00922E2D"/>
    <w:rsid w:val="00923118"/>
    <w:rsid w:val="009231A1"/>
    <w:rsid w:val="00923C49"/>
    <w:rsid w:val="00923C50"/>
    <w:rsid w:val="00923DA5"/>
    <w:rsid w:val="00925967"/>
    <w:rsid w:val="0093062D"/>
    <w:rsid w:val="009315EC"/>
    <w:rsid w:val="00931696"/>
    <w:rsid w:val="00932015"/>
    <w:rsid w:val="009345C3"/>
    <w:rsid w:val="00934CFD"/>
    <w:rsid w:val="00934EBC"/>
    <w:rsid w:val="009368DB"/>
    <w:rsid w:val="00943B58"/>
    <w:rsid w:val="00943D73"/>
    <w:rsid w:val="00943FF0"/>
    <w:rsid w:val="00945255"/>
    <w:rsid w:val="009503C5"/>
    <w:rsid w:val="00950EAB"/>
    <w:rsid w:val="00952567"/>
    <w:rsid w:val="00954C4F"/>
    <w:rsid w:val="00956DD8"/>
    <w:rsid w:val="00956E39"/>
    <w:rsid w:val="0096421D"/>
    <w:rsid w:val="009650B5"/>
    <w:rsid w:val="00965124"/>
    <w:rsid w:val="009651D2"/>
    <w:rsid w:val="00967037"/>
    <w:rsid w:val="00967E1B"/>
    <w:rsid w:val="00970491"/>
    <w:rsid w:val="0097051A"/>
    <w:rsid w:val="00970D32"/>
    <w:rsid w:val="00970FF8"/>
    <w:rsid w:val="00973573"/>
    <w:rsid w:val="00973879"/>
    <w:rsid w:val="00974F82"/>
    <w:rsid w:val="00975488"/>
    <w:rsid w:val="00975745"/>
    <w:rsid w:val="00976577"/>
    <w:rsid w:val="009776F4"/>
    <w:rsid w:val="00983239"/>
    <w:rsid w:val="00983C4B"/>
    <w:rsid w:val="00983D68"/>
    <w:rsid w:val="00984B1A"/>
    <w:rsid w:val="00984FE9"/>
    <w:rsid w:val="009858CE"/>
    <w:rsid w:val="00987751"/>
    <w:rsid w:val="00990574"/>
    <w:rsid w:val="009923C3"/>
    <w:rsid w:val="0099296E"/>
    <w:rsid w:val="00992E2F"/>
    <w:rsid w:val="0099305D"/>
    <w:rsid w:val="009939FA"/>
    <w:rsid w:val="00993BC7"/>
    <w:rsid w:val="00993D61"/>
    <w:rsid w:val="00996102"/>
    <w:rsid w:val="009976AF"/>
    <w:rsid w:val="00997D73"/>
    <w:rsid w:val="009A04F1"/>
    <w:rsid w:val="009A18BE"/>
    <w:rsid w:val="009A278A"/>
    <w:rsid w:val="009A3CB6"/>
    <w:rsid w:val="009A446F"/>
    <w:rsid w:val="009A5A89"/>
    <w:rsid w:val="009A639B"/>
    <w:rsid w:val="009B3B34"/>
    <w:rsid w:val="009B3D47"/>
    <w:rsid w:val="009B3E54"/>
    <w:rsid w:val="009B3F88"/>
    <w:rsid w:val="009B443F"/>
    <w:rsid w:val="009B46B8"/>
    <w:rsid w:val="009B6636"/>
    <w:rsid w:val="009B6960"/>
    <w:rsid w:val="009B7513"/>
    <w:rsid w:val="009B7E08"/>
    <w:rsid w:val="009B7E61"/>
    <w:rsid w:val="009B7F72"/>
    <w:rsid w:val="009C03C3"/>
    <w:rsid w:val="009C2093"/>
    <w:rsid w:val="009C3139"/>
    <w:rsid w:val="009C3997"/>
    <w:rsid w:val="009C609F"/>
    <w:rsid w:val="009C7723"/>
    <w:rsid w:val="009D0736"/>
    <w:rsid w:val="009D0F9E"/>
    <w:rsid w:val="009D130F"/>
    <w:rsid w:val="009D27FE"/>
    <w:rsid w:val="009D2DE1"/>
    <w:rsid w:val="009D3F59"/>
    <w:rsid w:val="009D49DD"/>
    <w:rsid w:val="009D4F48"/>
    <w:rsid w:val="009E10A8"/>
    <w:rsid w:val="009E12F5"/>
    <w:rsid w:val="009E17B6"/>
    <w:rsid w:val="009E3B17"/>
    <w:rsid w:val="009E3B5E"/>
    <w:rsid w:val="009E4344"/>
    <w:rsid w:val="009E7A5B"/>
    <w:rsid w:val="009F18A1"/>
    <w:rsid w:val="009F2E4C"/>
    <w:rsid w:val="009F2F5A"/>
    <w:rsid w:val="009F3551"/>
    <w:rsid w:val="009F5B0D"/>
    <w:rsid w:val="009F5B73"/>
    <w:rsid w:val="00A000E9"/>
    <w:rsid w:val="00A02EC7"/>
    <w:rsid w:val="00A03C30"/>
    <w:rsid w:val="00A04190"/>
    <w:rsid w:val="00A058CB"/>
    <w:rsid w:val="00A100A2"/>
    <w:rsid w:val="00A117D0"/>
    <w:rsid w:val="00A1305E"/>
    <w:rsid w:val="00A13389"/>
    <w:rsid w:val="00A15868"/>
    <w:rsid w:val="00A20D84"/>
    <w:rsid w:val="00A20EAE"/>
    <w:rsid w:val="00A20EC0"/>
    <w:rsid w:val="00A219C8"/>
    <w:rsid w:val="00A23DA2"/>
    <w:rsid w:val="00A2679E"/>
    <w:rsid w:val="00A27C08"/>
    <w:rsid w:val="00A27EEE"/>
    <w:rsid w:val="00A30CE7"/>
    <w:rsid w:val="00A3429D"/>
    <w:rsid w:val="00A344D3"/>
    <w:rsid w:val="00A35D8C"/>
    <w:rsid w:val="00A3665D"/>
    <w:rsid w:val="00A41AE2"/>
    <w:rsid w:val="00A41B34"/>
    <w:rsid w:val="00A41D64"/>
    <w:rsid w:val="00A42BF4"/>
    <w:rsid w:val="00A430B0"/>
    <w:rsid w:val="00A442FA"/>
    <w:rsid w:val="00A461CB"/>
    <w:rsid w:val="00A473AE"/>
    <w:rsid w:val="00A47849"/>
    <w:rsid w:val="00A50EDE"/>
    <w:rsid w:val="00A527C0"/>
    <w:rsid w:val="00A54996"/>
    <w:rsid w:val="00A56C1B"/>
    <w:rsid w:val="00A61D39"/>
    <w:rsid w:val="00A62124"/>
    <w:rsid w:val="00A62961"/>
    <w:rsid w:val="00A65224"/>
    <w:rsid w:val="00A672DD"/>
    <w:rsid w:val="00A6740F"/>
    <w:rsid w:val="00A674AE"/>
    <w:rsid w:val="00A71099"/>
    <w:rsid w:val="00A71207"/>
    <w:rsid w:val="00A72F0A"/>
    <w:rsid w:val="00A747BC"/>
    <w:rsid w:val="00A74987"/>
    <w:rsid w:val="00A753FE"/>
    <w:rsid w:val="00A75D7D"/>
    <w:rsid w:val="00A76956"/>
    <w:rsid w:val="00A7796E"/>
    <w:rsid w:val="00A8346F"/>
    <w:rsid w:val="00A83B4E"/>
    <w:rsid w:val="00A844C0"/>
    <w:rsid w:val="00A8465B"/>
    <w:rsid w:val="00A8588E"/>
    <w:rsid w:val="00A902DC"/>
    <w:rsid w:val="00A928B1"/>
    <w:rsid w:val="00AA0433"/>
    <w:rsid w:val="00AA15B2"/>
    <w:rsid w:val="00AA2D8E"/>
    <w:rsid w:val="00AB02AA"/>
    <w:rsid w:val="00AB111C"/>
    <w:rsid w:val="00AB1BF5"/>
    <w:rsid w:val="00AB1EA4"/>
    <w:rsid w:val="00AB33BC"/>
    <w:rsid w:val="00AB66D7"/>
    <w:rsid w:val="00AC1A63"/>
    <w:rsid w:val="00AC2368"/>
    <w:rsid w:val="00AC2C8D"/>
    <w:rsid w:val="00AC532D"/>
    <w:rsid w:val="00AD1B00"/>
    <w:rsid w:val="00AD2355"/>
    <w:rsid w:val="00AD35F0"/>
    <w:rsid w:val="00AD4AA9"/>
    <w:rsid w:val="00AD4AC8"/>
    <w:rsid w:val="00AD621C"/>
    <w:rsid w:val="00AD7C46"/>
    <w:rsid w:val="00AE31EB"/>
    <w:rsid w:val="00AE3279"/>
    <w:rsid w:val="00AE4781"/>
    <w:rsid w:val="00AE5BEF"/>
    <w:rsid w:val="00AE6A82"/>
    <w:rsid w:val="00AE73CA"/>
    <w:rsid w:val="00AE7E0D"/>
    <w:rsid w:val="00AF0346"/>
    <w:rsid w:val="00AF0D39"/>
    <w:rsid w:val="00AF13CD"/>
    <w:rsid w:val="00AF1401"/>
    <w:rsid w:val="00AF3F35"/>
    <w:rsid w:val="00B00C90"/>
    <w:rsid w:val="00B01804"/>
    <w:rsid w:val="00B04575"/>
    <w:rsid w:val="00B04D67"/>
    <w:rsid w:val="00B0628E"/>
    <w:rsid w:val="00B0787F"/>
    <w:rsid w:val="00B1014F"/>
    <w:rsid w:val="00B1267C"/>
    <w:rsid w:val="00B130BC"/>
    <w:rsid w:val="00B16176"/>
    <w:rsid w:val="00B162C5"/>
    <w:rsid w:val="00B16E35"/>
    <w:rsid w:val="00B2201D"/>
    <w:rsid w:val="00B22580"/>
    <w:rsid w:val="00B24FFE"/>
    <w:rsid w:val="00B25AA2"/>
    <w:rsid w:val="00B26010"/>
    <w:rsid w:val="00B26D38"/>
    <w:rsid w:val="00B27B5B"/>
    <w:rsid w:val="00B27BAC"/>
    <w:rsid w:val="00B30B9A"/>
    <w:rsid w:val="00B31BCA"/>
    <w:rsid w:val="00B331B2"/>
    <w:rsid w:val="00B33E7B"/>
    <w:rsid w:val="00B342CD"/>
    <w:rsid w:val="00B35A29"/>
    <w:rsid w:val="00B3743D"/>
    <w:rsid w:val="00B4101D"/>
    <w:rsid w:val="00B41648"/>
    <w:rsid w:val="00B41888"/>
    <w:rsid w:val="00B43FC3"/>
    <w:rsid w:val="00B45547"/>
    <w:rsid w:val="00B45961"/>
    <w:rsid w:val="00B46C40"/>
    <w:rsid w:val="00B50B5B"/>
    <w:rsid w:val="00B51855"/>
    <w:rsid w:val="00B5207E"/>
    <w:rsid w:val="00B52392"/>
    <w:rsid w:val="00B5337F"/>
    <w:rsid w:val="00B539FA"/>
    <w:rsid w:val="00B5414A"/>
    <w:rsid w:val="00B5642E"/>
    <w:rsid w:val="00B566CF"/>
    <w:rsid w:val="00B619E0"/>
    <w:rsid w:val="00B61BBB"/>
    <w:rsid w:val="00B6280B"/>
    <w:rsid w:val="00B62CCE"/>
    <w:rsid w:val="00B633AF"/>
    <w:rsid w:val="00B6397C"/>
    <w:rsid w:val="00B63CE5"/>
    <w:rsid w:val="00B647E8"/>
    <w:rsid w:val="00B65373"/>
    <w:rsid w:val="00B65632"/>
    <w:rsid w:val="00B65AAF"/>
    <w:rsid w:val="00B65D70"/>
    <w:rsid w:val="00B66FDC"/>
    <w:rsid w:val="00B67B63"/>
    <w:rsid w:val="00B73135"/>
    <w:rsid w:val="00B73A16"/>
    <w:rsid w:val="00B745CB"/>
    <w:rsid w:val="00B75270"/>
    <w:rsid w:val="00B75383"/>
    <w:rsid w:val="00B80D4E"/>
    <w:rsid w:val="00B81FD1"/>
    <w:rsid w:val="00B822D5"/>
    <w:rsid w:val="00B82E2C"/>
    <w:rsid w:val="00B82F41"/>
    <w:rsid w:val="00B832AC"/>
    <w:rsid w:val="00B842A5"/>
    <w:rsid w:val="00B849E4"/>
    <w:rsid w:val="00B90BAE"/>
    <w:rsid w:val="00B9230E"/>
    <w:rsid w:val="00B92C37"/>
    <w:rsid w:val="00B95805"/>
    <w:rsid w:val="00B95E41"/>
    <w:rsid w:val="00B95F77"/>
    <w:rsid w:val="00B9702C"/>
    <w:rsid w:val="00B97DD3"/>
    <w:rsid w:val="00BA0699"/>
    <w:rsid w:val="00BA1CF6"/>
    <w:rsid w:val="00BA1CFE"/>
    <w:rsid w:val="00BA216B"/>
    <w:rsid w:val="00BA2D2F"/>
    <w:rsid w:val="00BA3458"/>
    <w:rsid w:val="00BA485C"/>
    <w:rsid w:val="00BA6BE6"/>
    <w:rsid w:val="00BB0DCB"/>
    <w:rsid w:val="00BB56C9"/>
    <w:rsid w:val="00BB5BC1"/>
    <w:rsid w:val="00BB6559"/>
    <w:rsid w:val="00BB76FE"/>
    <w:rsid w:val="00BB7F90"/>
    <w:rsid w:val="00BC3406"/>
    <w:rsid w:val="00BC412A"/>
    <w:rsid w:val="00BC4276"/>
    <w:rsid w:val="00BC45E0"/>
    <w:rsid w:val="00BC5AB0"/>
    <w:rsid w:val="00BC645B"/>
    <w:rsid w:val="00BC6544"/>
    <w:rsid w:val="00BC6AC7"/>
    <w:rsid w:val="00BC7D71"/>
    <w:rsid w:val="00BD16E1"/>
    <w:rsid w:val="00BD2540"/>
    <w:rsid w:val="00BD2BEA"/>
    <w:rsid w:val="00BD2CAA"/>
    <w:rsid w:val="00BD3AF9"/>
    <w:rsid w:val="00BD3F59"/>
    <w:rsid w:val="00BD502A"/>
    <w:rsid w:val="00BE06F9"/>
    <w:rsid w:val="00BE0A30"/>
    <w:rsid w:val="00BE2B9E"/>
    <w:rsid w:val="00BE3364"/>
    <w:rsid w:val="00BE4D80"/>
    <w:rsid w:val="00BE5C5E"/>
    <w:rsid w:val="00BE5E99"/>
    <w:rsid w:val="00BE6F8A"/>
    <w:rsid w:val="00BE7016"/>
    <w:rsid w:val="00BF0908"/>
    <w:rsid w:val="00BF172E"/>
    <w:rsid w:val="00BF1829"/>
    <w:rsid w:val="00BF373B"/>
    <w:rsid w:val="00BF7E0B"/>
    <w:rsid w:val="00C0049C"/>
    <w:rsid w:val="00C026DE"/>
    <w:rsid w:val="00C03844"/>
    <w:rsid w:val="00C047C4"/>
    <w:rsid w:val="00C05616"/>
    <w:rsid w:val="00C06EA0"/>
    <w:rsid w:val="00C10936"/>
    <w:rsid w:val="00C1310E"/>
    <w:rsid w:val="00C14AA3"/>
    <w:rsid w:val="00C14C1B"/>
    <w:rsid w:val="00C161B1"/>
    <w:rsid w:val="00C178D5"/>
    <w:rsid w:val="00C17BD0"/>
    <w:rsid w:val="00C221D7"/>
    <w:rsid w:val="00C25A78"/>
    <w:rsid w:val="00C25CBF"/>
    <w:rsid w:val="00C26775"/>
    <w:rsid w:val="00C2688B"/>
    <w:rsid w:val="00C2689C"/>
    <w:rsid w:val="00C27905"/>
    <w:rsid w:val="00C27BBF"/>
    <w:rsid w:val="00C27C33"/>
    <w:rsid w:val="00C305AE"/>
    <w:rsid w:val="00C313C3"/>
    <w:rsid w:val="00C31CD2"/>
    <w:rsid w:val="00C31EF7"/>
    <w:rsid w:val="00C33431"/>
    <w:rsid w:val="00C34472"/>
    <w:rsid w:val="00C36091"/>
    <w:rsid w:val="00C366FA"/>
    <w:rsid w:val="00C37E39"/>
    <w:rsid w:val="00C4014D"/>
    <w:rsid w:val="00C4045F"/>
    <w:rsid w:val="00C4203F"/>
    <w:rsid w:val="00C430F3"/>
    <w:rsid w:val="00C438AB"/>
    <w:rsid w:val="00C454E7"/>
    <w:rsid w:val="00C46813"/>
    <w:rsid w:val="00C46AFA"/>
    <w:rsid w:val="00C46D0A"/>
    <w:rsid w:val="00C47289"/>
    <w:rsid w:val="00C472C0"/>
    <w:rsid w:val="00C47537"/>
    <w:rsid w:val="00C507A0"/>
    <w:rsid w:val="00C52F33"/>
    <w:rsid w:val="00C5684E"/>
    <w:rsid w:val="00C568BD"/>
    <w:rsid w:val="00C60D16"/>
    <w:rsid w:val="00C614DD"/>
    <w:rsid w:val="00C637BB"/>
    <w:rsid w:val="00C656D2"/>
    <w:rsid w:val="00C664A3"/>
    <w:rsid w:val="00C70840"/>
    <w:rsid w:val="00C722FA"/>
    <w:rsid w:val="00C728C2"/>
    <w:rsid w:val="00C72F92"/>
    <w:rsid w:val="00C74CCB"/>
    <w:rsid w:val="00C75A6A"/>
    <w:rsid w:val="00C77270"/>
    <w:rsid w:val="00C77410"/>
    <w:rsid w:val="00C77F9B"/>
    <w:rsid w:val="00C83543"/>
    <w:rsid w:val="00C84CDD"/>
    <w:rsid w:val="00C85900"/>
    <w:rsid w:val="00C85BB4"/>
    <w:rsid w:val="00C87370"/>
    <w:rsid w:val="00C90A3F"/>
    <w:rsid w:val="00C90C6C"/>
    <w:rsid w:val="00C911DE"/>
    <w:rsid w:val="00C917C8"/>
    <w:rsid w:val="00C91835"/>
    <w:rsid w:val="00C92CC1"/>
    <w:rsid w:val="00C93E17"/>
    <w:rsid w:val="00C94134"/>
    <w:rsid w:val="00C94516"/>
    <w:rsid w:val="00C95055"/>
    <w:rsid w:val="00C954EF"/>
    <w:rsid w:val="00C95C65"/>
    <w:rsid w:val="00C9618B"/>
    <w:rsid w:val="00C96C25"/>
    <w:rsid w:val="00C96E72"/>
    <w:rsid w:val="00C96EE1"/>
    <w:rsid w:val="00CA46AD"/>
    <w:rsid w:val="00CA62B9"/>
    <w:rsid w:val="00CA6B61"/>
    <w:rsid w:val="00CA766B"/>
    <w:rsid w:val="00CB1373"/>
    <w:rsid w:val="00CB162D"/>
    <w:rsid w:val="00CB31D6"/>
    <w:rsid w:val="00CB663F"/>
    <w:rsid w:val="00CB7601"/>
    <w:rsid w:val="00CC29A4"/>
    <w:rsid w:val="00CC2AC9"/>
    <w:rsid w:val="00CC3867"/>
    <w:rsid w:val="00CC5E44"/>
    <w:rsid w:val="00CC6C05"/>
    <w:rsid w:val="00CC7728"/>
    <w:rsid w:val="00CC7851"/>
    <w:rsid w:val="00CD18D8"/>
    <w:rsid w:val="00CD1A75"/>
    <w:rsid w:val="00CD2803"/>
    <w:rsid w:val="00CD31A6"/>
    <w:rsid w:val="00CD6A55"/>
    <w:rsid w:val="00CD7C67"/>
    <w:rsid w:val="00CE08BB"/>
    <w:rsid w:val="00CE0A97"/>
    <w:rsid w:val="00CE0F77"/>
    <w:rsid w:val="00CE2C40"/>
    <w:rsid w:val="00CE30A4"/>
    <w:rsid w:val="00CE3C74"/>
    <w:rsid w:val="00CE4432"/>
    <w:rsid w:val="00CE50D4"/>
    <w:rsid w:val="00CE5DFE"/>
    <w:rsid w:val="00CE6521"/>
    <w:rsid w:val="00CE75DB"/>
    <w:rsid w:val="00CF1128"/>
    <w:rsid w:val="00CF2A83"/>
    <w:rsid w:val="00CF2B9A"/>
    <w:rsid w:val="00CF2FFC"/>
    <w:rsid w:val="00CF43C1"/>
    <w:rsid w:val="00CF4592"/>
    <w:rsid w:val="00CF4A9F"/>
    <w:rsid w:val="00CF5F58"/>
    <w:rsid w:val="00D00296"/>
    <w:rsid w:val="00D0085F"/>
    <w:rsid w:val="00D02779"/>
    <w:rsid w:val="00D02E5F"/>
    <w:rsid w:val="00D03BA3"/>
    <w:rsid w:val="00D06A1A"/>
    <w:rsid w:val="00D07507"/>
    <w:rsid w:val="00D102FF"/>
    <w:rsid w:val="00D109BF"/>
    <w:rsid w:val="00D1277B"/>
    <w:rsid w:val="00D13424"/>
    <w:rsid w:val="00D139A3"/>
    <w:rsid w:val="00D14D80"/>
    <w:rsid w:val="00D157FF"/>
    <w:rsid w:val="00D163AF"/>
    <w:rsid w:val="00D176E1"/>
    <w:rsid w:val="00D17E2F"/>
    <w:rsid w:val="00D20E08"/>
    <w:rsid w:val="00D21459"/>
    <w:rsid w:val="00D227B8"/>
    <w:rsid w:val="00D23889"/>
    <w:rsid w:val="00D23FCD"/>
    <w:rsid w:val="00D2434D"/>
    <w:rsid w:val="00D25231"/>
    <w:rsid w:val="00D255DD"/>
    <w:rsid w:val="00D257F5"/>
    <w:rsid w:val="00D25A8A"/>
    <w:rsid w:val="00D268B2"/>
    <w:rsid w:val="00D26A15"/>
    <w:rsid w:val="00D278EF"/>
    <w:rsid w:val="00D32662"/>
    <w:rsid w:val="00D34300"/>
    <w:rsid w:val="00D36F6D"/>
    <w:rsid w:val="00D3760C"/>
    <w:rsid w:val="00D41435"/>
    <w:rsid w:val="00D41830"/>
    <w:rsid w:val="00D419F2"/>
    <w:rsid w:val="00D43CAE"/>
    <w:rsid w:val="00D456D5"/>
    <w:rsid w:val="00D458BB"/>
    <w:rsid w:val="00D46931"/>
    <w:rsid w:val="00D47F90"/>
    <w:rsid w:val="00D51F8F"/>
    <w:rsid w:val="00D54CF7"/>
    <w:rsid w:val="00D56081"/>
    <w:rsid w:val="00D574A3"/>
    <w:rsid w:val="00D57D2F"/>
    <w:rsid w:val="00D60452"/>
    <w:rsid w:val="00D611F3"/>
    <w:rsid w:val="00D612C3"/>
    <w:rsid w:val="00D6177C"/>
    <w:rsid w:val="00D61888"/>
    <w:rsid w:val="00D62740"/>
    <w:rsid w:val="00D64676"/>
    <w:rsid w:val="00D651ED"/>
    <w:rsid w:val="00D6636F"/>
    <w:rsid w:val="00D72C87"/>
    <w:rsid w:val="00D7528E"/>
    <w:rsid w:val="00D7732E"/>
    <w:rsid w:val="00D77A66"/>
    <w:rsid w:val="00D77EE8"/>
    <w:rsid w:val="00D80C66"/>
    <w:rsid w:val="00D82123"/>
    <w:rsid w:val="00D82155"/>
    <w:rsid w:val="00D82625"/>
    <w:rsid w:val="00D83681"/>
    <w:rsid w:val="00D8393B"/>
    <w:rsid w:val="00D8435E"/>
    <w:rsid w:val="00D84A3D"/>
    <w:rsid w:val="00D85536"/>
    <w:rsid w:val="00D8661C"/>
    <w:rsid w:val="00D86797"/>
    <w:rsid w:val="00D869E9"/>
    <w:rsid w:val="00D9025A"/>
    <w:rsid w:val="00D90770"/>
    <w:rsid w:val="00D90780"/>
    <w:rsid w:val="00D910A2"/>
    <w:rsid w:val="00D92F72"/>
    <w:rsid w:val="00D9446A"/>
    <w:rsid w:val="00D96FA8"/>
    <w:rsid w:val="00D97F9C"/>
    <w:rsid w:val="00D97FC7"/>
    <w:rsid w:val="00DA0054"/>
    <w:rsid w:val="00DA2B8E"/>
    <w:rsid w:val="00DA495A"/>
    <w:rsid w:val="00DA7FED"/>
    <w:rsid w:val="00DB2073"/>
    <w:rsid w:val="00DB3D8F"/>
    <w:rsid w:val="00DB496F"/>
    <w:rsid w:val="00DB4DD8"/>
    <w:rsid w:val="00DC05F8"/>
    <w:rsid w:val="00DC25DD"/>
    <w:rsid w:val="00DC2BC9"/>
    <w:rsid w:val="00DC615D"/>
    <w:rsid w:val="00DC64DE"/>
    <w:rsid w:val="00DC7047"/>
    <w:rsid w:val="00DD0425"/>
    <w:rsid w:val="00DD196C"/>
    <w:rsid w:val="00DD6268"/>
    <w:rsid w:val="00DD6644"/>
    <w:rsid w:val="00DD796F"/>
    <w:rsid w:val="00DE02F6"/>
    <w:rsid w:val="00DE28BB"/>
    <w:rsid w:val="00DE28F4"/>
    <w:rsid w:val="00DE3C96"/>
    <w:rsid w:val="00DE439F"/>
    <w:rsid w:val="00DE491B"/>
    <w:rsid w:val="00DE5526"/>
    <w:rsid w:val="00DE63B0"/>
    <w:rsid w:val="00DE683F"/>
    <w:rsid w:val="00DE74B6"/>
    <w:rsid w:val="00DE74EB"/>
    <w:rsid w:val="00DF2557"/>
    <w:rsid w:val="00DF55DB"/>
    <w:rsid w:val="00DF5A95"/>
    <w:rsid w:val="00DF5F58"/>
    <w:rsid w:val="00DF6AE6"/>
    <w:rsid w:val="00DF764B"/>
    <w:rsid w:val="00DF7759"/>
    <w:rsid w:val="00DF7BC0"/>
    <w:rsid w:val="00E0060E"/>
    <w:rsid w:val="00E03931"/>
    <w:rsid w:val="00E043C6"/>
    <w:rsid w:val="00E046FE"/>
    <w:rsid w:val="00E048F0"/>
    <w:rsid w:val="00E07280"/>
    <w:rsid w:val="00E07739"/>
    <w:rsid w:val="00E11601"/>
    <w:rsid w:val="00E11DE9"/>
    <w:rsid w:val="00E12E35"/>
    <w:rsid w:val="00E13E7D"/>
    <w:rsid w:val="00E147A1"/>
    <w:rsid w:val="00E14F42"/>
    <w:rsid w:val="00E176BE"/>
    <w:rsid w:val="00E17E6E"/>
    <w:rsid w:val="00E20D82"/>
    <w:rsid w:val="00E225C8"/>
    <w:rsid w:val="00E240CF"/>
    <w:rsid w:val="00E25D6D"/>
    <w:rsid w:val="00E271C8"/>
    <w:rsid w:val="00E27D92"/>
    <w:rsid w:val="00E27E26"/>
    <w:rsid w:val="00E31D32"/>
    <w:rsid w:val="00E35926"/>
    <w:rsid w:val="00E365F6"/>
    <w:rsid w:val="00E36FF6"/>
    <w:rsid w:val="00E41B58"/>
    <w:rsid w:val="00E42FF3"/>
    <w:rsid w:val="00E441E2"/>
    <w:rsid w:val="00E4506C"/>
    <w:rsid w:val="00E4595A"/>
    <w:rsid w:val="00E45F53"/>
    <w:rsid w:val="00E45F69"/>
    <w:rsid w:val="00E46557"/>
    <w:rsid w:val="00E5048D"/>
    <w:rsid w:val="00E51309"/>
    <w:rsid w:val="00E5339A"/>
    <w:rsid w:val="00E53622"/>
    <w:rsid w:val="00E54203"/>
    <w:rsid w:val="00E555B5"/>
    <w:rsid w:val="00E5589B"/>
    <w:rsid w:val="00E62323"/>
    <w:rsid w:val="00E625C9"/>
    <w:rsid w:val="00E6665D"/>
    <w:rsid w:val="00E67804"/>
    <w:rsid w:val="00E67B9A"/>
    <w:rsid w:val="00E701A5"/>
    <w:rsid w:val="00E70F01"/>
    <w:rsid w:val="00E71D7A"/>
    <w:rsid w:val="00E740D7"/>
    <w:rsid w:val="00E80CB6"/>
    <w:rsid w:val="00E81BFA"/>
    <w:rsid w:val="00E85B67"/>
    <w:rsid w:val="00E86300"/>
    <w:rsid w:val="00E9163A"/>
    <w:rsid w:val="00E92290"/>
    <w:rsid w:val="00E929D7"/>
    <w:rsid w:val="00E95771"/>
    <w:rsid w:val="00E95EE9"/>
    <w:rsid w:val="00E9796E"/>
    <w:rsid w:val="00EA1540"/>
    <w:rsid w:val="00EA1E6F"/>
    <w:rsid w:val="00EA2431"/>
    <w:rsid w:val="00EA3B52"/>
    <w:rsid w:val="00EA695F"/>
    <w:rsid w:val="00EA698B"/>
    <w:rsid w:val="00EB0276"/>
    <w:rsid w:val="00EB2E91"/>
    <w:rsid w:val="00EB5A41"/>
    <w:rsid w:val="00EB631D"/>
    <w:rsid w:val="00EB6E04"/>
    <w:rsid w:val="00EC3E87"/>
    <w:rsid w:val="00EC50BC"/>
    <w:rsid w:val="00EC5A2D"/>
    <w:rsid w:val="00EC6D54"/>
    <w:rsid w:val="00ED016F"/>
    <w:rsid w:val="00ED2377"/>
    <w:rsid w:val="00ED51D8"/>
    <w:rsid w:val="00ED55C1"/>
    <w:rsid w:val="00ED5A24"/>
    <w:rsid w:val="00EE1DE2"/>
    <w:rsid w:val="00EE259F"/>
    <w:rsid w:val="00EE345F"/>
    <w:rsid w:val="00EE6C93"/>
    <w:rsid w:val="00EF0F02"/>
    <w:rsid w:val="00EF16EB"/>
    <w:rsid w:val="00EF1E6E"/>
    <w:rsid w:val="00EF211B"/>
    <w:rsid w:val="00EF5A88"/>
    <w:rsid w:val="00EF624F"/>
    <w:rsid w:val="00EF6CE9"/>
    <w:rsid w:val="00EF72F8"/>
    <w:rsid w:val="00EF76DA"/>
    <w:rsid w:val="00F01ACE"/>
    <w:rsid w:val="00F04C61"/>
    <w:rsid w:val="00F05FD7"/>
    <w:rsid w:val="00F12D98"/>
    <w:rsid w:val="00F154F4"/>
    <w:rsid w:val="00F16685"/>
    <w:rsid w:val="00F16977"/>
    <w:rsid w:val="00F17F92"/>
    <w:rsid w:val="00F225C2"/>
    <w:rsid w:val="00F2304C"/>
    <w:rsid w:val="00F2382F"/>
    <w:rsid w:val="00F23AA4"/>
    <w:rsid w:val="00F245A8"/>
    <w:rsid w:val="00F25E25"/>
    <w:rsid w:val="00F27DB2"/>
    <w:rsid w:val="00F27F63"/>
    <w:rsid w:val="00F3042B"/>
    <w:rsid w:val="00F31D5F"/>
    <w:rsid w:val="00F35305"/>
    <w:rsid w:val="00F3553F"/>
    <w:rsid w:val="00F35C9E"/>
    <w:rsid w:val="00F36937"/>
    <w:rsid w:val="00F411C9"/>
    <w:rsid w:val="00F41396"/>
    <w:rsid w:val="00F41741"/>
    <w:rsid w:val="00F447BB"/>
    <w:rsid w:val="00F448D5"/>
    <w:rsid w:val="00F45AFA"/>
    <w:rsid w:val="00F5169B"/>
    <w:rsid w:val="00F52339"/>
    <w:rsid w:val="00F53AB1"/>
    <w:rsid w:val="00F54E5D"/>
    <w:rsid w:val="00F57C90"/>
    <w:rsid w:val="00F61441"/>
    <w:rsid w:val="00F61C07"/>
    <w:rsid w:val="00F669B1"/>
    <w:rsid w:val="00F70527"/>
    <w:rsid w:val="00F709B1"/>
    <w:rsid w:val="00F70DD9"/>
    <w:rsid w:val="00F72287"/>
    <w:rsid w:val="00F72B4E"/>
    <w:rsid w:val="00F74E00"/>
    <w:rsid w:val="00F7514A"/>
    <w:rsid w:val="00F760BF"/>
    <w:rsid w:val="00F76910"/>
    <w:rsid w:val="00F80A1B"/>
    <w:rsid w:val="00F82519"/>
    <w:rsid w:val="00F82D6D"/>
    <w:rsid w:val="00F87982"/>
    <w:rsid w:val="00F87D46"/>
    <w:rsid w:val="00F87EC4"/>
    <w:rsid w:val="00F905D4"/>
    <w:rsid w:val="00F91A98"/>
    <w:rsid w:val="00F9279C"/>
    <w:rsid w:val="00F940D0"/>
    <w:rsid w:val="00F9436B"/>
    <w:rsid w:val="00F94A5A"/>
    <w:rsid w:val="00F95E2F"/>
    <w:rsid w:val="00F969B4"/>
    <w:rsid w:val="00FA20BE"/>
    <w:rsid w:val="00FA3D5E"/>
    <w:rsid w:val="00FA41F5"/>
    <w:rsid w:val="00FA775C"/>
    <w:rsid w:val="00FA78F8"/>
    <w:rsid w:val="00FA7F7E"/>
    <w:rsid w:val="00FB0F8A"/>
    <w:rsid w:val="00FB1134"/>
    <w:rsid w:val="00FB2448"/>
    <w:rsid w:val="00FB27F1"/>
    <w:rsid w:val="00FB2B44"/>
    <w:rsid w:val="00FB2BE5"/>
    <w:rsid w:val="00FB2D73"/>
    <w:rsid w:val="00FB3F19"/>
    <w:rsid w:val="00FB4116"/>
    <w:rsid w:val="00FB4BEF"/>
    <w:rsid w:val="00FB5C30"/>
    <w:rsid w:val="00FB7181"/>
    <w:rsid w:val="00FC0F2B"/>
    <w:rsid w:val="00FC1905"/>
    <w:rsid w:val="00FC2759"/>
    <w:rsid w:val="00FC346F"/>
    <w:rsid w:val="00FC526B"/>
    <w:rsid w:val="00FC5F85"/>
    <w:rsid w:val="00FC7BB0"/>
    <w:rsid w:val="00FD0039"/>
    <w:rsid w:val="00FD0A07"/>
    <w:rsid w:val="00FD12A8"/>
    <w:rsid w:val="00FD1D1D"/>
    <w:rsid w:val="00FD3BE3"/>
    <w:rsid w:val="00FD3DB8"/>
    <w:rsid w:val="00FD5240"/>
    <w:rsid w:val="00FD585F"/>
    <w:rsid w:val="00FD5D96"/>
    <w:rsid w:val="00FD6651"/>
    <w:rsid w:val="00FD6962"/>
    <w:rsid w:val="00FD7ED7"/>
    <w:rsid w:val="00FE0316"/>
    <w:rsid w:val="00FE1D2E"/>
    <w:rsid w:val="00FE31B6"/>
    <w:rsid w:val="00FE366D"/>
    <w:rsid w:val="00FE3F2F"/>
    <w:rsid w:val="00FE45F0"/>
    <w:rsid w:val="00FE6DFF"/>
    <w:rsid w:val="00FE764C"/>
    <w:rsid w:val="00FF250F"/>
    <w:rsid w:val="00FF3C46"/>
    <w:rsid w:val="00FF4939"/>
    <w:rsid w:val="00FF5EB7"/>
    <w:rsid w:val="00FF73C0"/>
    <w:rsid w:val="00FF7F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D5EF584-3584-4115-ADBB-722C7342E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7B9"/>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C4203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0">
    <w:name w:val="toc 1"/>
    <w:basedOn w:val="a"/>
    <w:next w:val="a"/>
    <w:autoRedefine/>
    <w:uiPriority w:val="39"/>
    <w:rsid w:val="007C2579"/>
    <w:pPr>
      <w:tabs>
        <w:tab w:val="right" w:leader="hyphen" w:pos="8651"/>
      </w:tabs>
      <w:ind w:leftChars="0" w:left="487" w:hangingChars="200" w:hanging="487"/>
    </w:pPr>
    <w:rPr>
      <w:b/>
      <w:noProof/>
      <w:sz w:val="24"/>
    </w:rPr>
  </w:style>
  <w:style w:type="paragraph" w:styleId="21">
    <w:name w:val="toc 2"/>
    <w:basedOn w:val="a"/>
    <w:next w:val="a"/>
    <w:autoRedefine/>
    <w:uiPriority w:val="39"/>
    <w:rsid w:val="007C2579"/>
    <w:pPr>
      <w:tabs>
        <w:tab w:val="right" w:leader="hyphen" w:pos="8646"/>
      </w:tabs>
      <w:ind w:leftChars="0" w:left="566" w:hangingChars="200" w:hanging="566"/>
    </w:pPr>
    <w:rPr>
      <w:sz w:val="24"/>
    </w:rPr>
  </w:style>
  <w:style w:type="character" w:customStyle="1" w:styleId="ae">
    <w:name w:val="頁首 字元"/>
    <w:link w:val="ad"/>
    <w:uiPriority w:val="99"/>
    <w:rsid w:val="00C4203F"/>
    <w:rPr>
      <w:rFonts w:ascii="標楷體" w:eastAsia="標楷體"/>
      <w:snapToGrid w:val="0"/>
      <w:kern w:val="2"/>
    </w:rPr>
  </w:style>
  <w:style w:type="paragraph" w:styleId="af">
    <w:name w:val="footer"/>
    <w:basedOn w:val="a"/>
    <w:link w:val="af0"/>
    <w:uiPriority w:val="99"/>
    <w:unhideWhenUsed/>
    <w:rsid w:val="00F154F4"/>
    <w:pPr>
      <w:tabs>
        <w:tab w:val="center" w:pos="4153"/>
        <w:tab w:val="right" w:pos="8306"/>
      </w:tabs>
      <w:snapToGrid w:val="0"/>
      <w:ind w:leftChars="0" w:left="0"/>
    </w:pPr>
    <w:rPr>
      <w:sz w:val="20"/>
      <w:szCs w:val="20"/>
    </w:rPr>
  </w:style>
  <w:style w:type="character" w:customStyle="1" w:styleId="af0">
    <w:name w:val="頁尾 字元"/>
    <w:link w:val="af"/>
    <w:uiPriority w:val="99"/>
    <w:rsid w:val="00F154F4"/>
    <w:rPr>
      <w:rFonts w:ascii="標楷體" w:eastAsia="標楷體"/>
      <w:snapToGrid w:val="0"/>
      <w:kern w:val="2"/>
    </w:rPr>
  </w:style>
  <w:style w:type="character" w:styleId="af1">
    <w:name w:val="Hyperlink"/>
    <w:uiPriority w:val="99"/>
    <w:rsid w:val="00970D32"/>
    <w:rPr>
      <w:rFonts w:eastAsia="標楷體"/>
      <w:color w:val="0000FF"/>
      <w:sz w:val="24"/>
      <w:u w:val="single"/>
    </w:rPr>
  </w:style>
  <w:style w:type="paragraph" w:styleId="3">
    <w:name w:val="toc 3"/>
    <w:basedOn w:val="a"/>
    <w:next w:val="a"/>
    <w:autoRedefine/>
    <w:uiPriority w:val="39"/>
    <w:rsid w:val="00D6636F"/>
    <w:pPr>
      <w:tabs>
        <w:tab w:val="right" w:leader="hyphen" w:pos="8931"/>
      </w:tabs>
      <w:ind w:leftChars="0" w:left="532" w:rightChars="99" w:right="280" w:firstLineChars="0" w:hanging="248"/>
    </w:pPr>
    <w:rPr>
      <w:sz w:val="24"/>
    </w:rPr>
  </w:style>
  <w:style w:type="character" w:customStyle="1" w:styleId="1">
    <w:name w:val="(一)(二)(三) 字元1"/>
    <w:link w:val="a4"/>
    <w:rsid w:val="00FE6DFF"/>
    <w:rPr>
      <w:rFonts w:ascii="標楷體" w:eastAsia="標楷體"/>
      <w:snapToGrid w:val="0"/>
      <w:kern w:val="2"/>
      <w:sz w:val="28"/>
      <w:szCs w:val="28"/>
    </w:rPr>
  </w:style>
  <w:style w:type="paragraph" w:styleId="af2">
    <w:name w:val="Balloon Text"/>
    <w:basedOn w:val="a"/>
    <w:link w:val="af3"/>
    <w:uiPriority w:val="99"/>
    <w:semiHidden/>
    <w:unhideWhenUsed/>
    <w:rsid w:val="0051351F"/>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51351F"/>
    <w:rPr>
      <w:rFonts w:ascii="Cambria" w:eastAsia="新細明體" w:hAnsi="Cambria" w:cs="Times New Roman"/>
      <w:snapToGrid w:val="0"/>
      <w:kern w:val="2"/>
      <w:sz w:val="18"/>
      <w:szCs w:val="18"/>
    </w:rPr>
  </w:style>
  <w:style w:type="paragraph" w:styleId="af4">
    <w:name w:val="footnote text"/>
    <w:basedOn w:val="a"/>
    <w:link w:val="af5"/>
    <w:unhideWhenUsed/>
    <w:rsid w:val="00BE4D80"/>
    <w:pPr>
      <w:snapToGrid w:val="0"/>
      <w:jc w:val="left"/>
    </w:pPr>
    <w:rPr>
      <w:sz w:val="20"/>
      <w:szCs w:val="20"/>
    </w:rPr>
  </w:style>
  <w:style w:type="character" w:customStyle="1" w:styleId="af5">
    <w:name w:val="註腳文字 字元"/>
    <w:link w:val="af4"/>
    <w:rsid w:val="00BE4D80"/>
    <w:rPr>
      <w:rFonts w:ascii="標楷體" w:eastAsia="標楷體"/>
      <w:snapToGrid w:val="0"/>
      <w:kern w:val="2"/>
    </w:rPr>
  </w:style>
  <w:style w:type="character" w:styleId="af6">
    <w:name w:val="footnote reference"/>
    <w:aliases w:val="FR,Ref,de nota al pie,註腳內容,Error-Fußnotenzeichen5,Error-Fußnotenzeichen6,Error-Fußnotenzeichen3"/>
    <w:unhideWhenUsed/>
    <w:rsid w:val="00BE4D80"/>
    <w:rPr>
      <w:vertAlign w:val="superscript"/>
    </w:rPr>
  </w:style>
  <w:style w:type="character" w:customStyle="1" w:styleId="1230">
    <w:name w:val="1.2.3. 字元"/>
    <w:link w:val="123"/>
    <w:rsid w:val="00BE4D80"/>
    <w:rPr>
      <w:rFonts w:ascii="標楷體" w:eastAsia="標楷體"/>
      <w:snapToGrid w:val="0"/>
      <w:kern w:val="2"/>
      <w:sz w:val="28"/>
      <w:szCs w:val="28"/>
    </w:rPr>
  </w:style>
  <w:style w:type="table" w:styleId="af7">
    <w:name w:val="Table Grid"/>
    <w:basedOn w:val="a1"/>
    <w:uiPriority w:val="59"/>
    <w:rsid w:val="009D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2">
    <w:name w:val="表格內文(14行高) 字元"/>
    <w:link w:val="141"/>
    <w:locked/>
    <w:rsid w:val="00874C1B"/>
    <w:rPr>
      <w:rFonts w:ascii="標楷體" w:eastAsia="標楷體"/>
      <w:snapToGrid w:val="0"/>
      <w:kern w:val="2"/>
      <w:sz w:val="24"/>
      <w:szCs w:val="28"/>
    </w:rPr>
  </w:style>
  <w:style w:type="character" w:styleId="af8">
    <w:name w:val="page number"/>
    <w:basedOn w:val="a0"/>
    <w:rsid w:val="00491A6C"/>
  </w:style>
  <w:style w:type="character" w:customStyle="1" w:styleId="ab">
    <w:name w:val="姓名及分機 字元"/>
    <w:link w:val="aa"/>
    <w:rsid w:val="0062293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6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doctemp(2010&#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3BE90-ADD8-4FFF-BFD5-1600E2A1D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doctemp(2010版).dot</Template>
  <TotalTime>0</TotalTime>
  <Pages>3</Pages>
  <Words>288</Words>
  <Characters>1647</Characters>
  <Application>Microsoft Office Word</Application>
  <DocSecurity>0</DocSecurity>
  <Lines>13</Lines>
  <Paragraphs>3</Paragraphs>
  <ScaleCrop>false</ScaleCrop>
  <Company>HOME</Company>
  <LinksUpToDate>false</LinksUpToDate>
  <CharactersWithSpaces>1932</CharactersWithSpaces>
  <SharedDoc>false</SharedDoc>
  <HLinks>
    <vt:vector size="102" baseType="variant">
      <vt:variant>
        <vt:i4>1900599</vt:i4>
      </vt:variant>
      <vt:variant>
        <vt:i4>98</vt:i4>
      </vt:variant>
      <vt:variant>
        <vt:i4>0</vt:i4>
      </vt:variant>
      <vt:variant>
        <vt:i4>5</vt:i4>
      </vt:variant>
      <vt:variant>
        <vt:lpwstr/>
      </vt:variant>
      <vt:variant>
        <vt:lpwstr>_Toc203635599</vt:lpwstr>
      </vt:variant>
      <vt:variant>
        <vt:i4>1900599</vt:i4>
      </vt:variant>
      <vt:variant>
        <vt:i4>92</vt:i4>
      </vt:variant>
      <vt:variant>
        <vt:i4>0</vt:i4>
      </vt:variant>
      <vt:variant>
        <vt:i4>5</vt:i4>
      </vt:variant>
      <vt:variant>
        <vt:lpwstr/>
      </vt:variant>
      <vt:variant>
        <vt:lpwstr>_Toc203635598</vt:lpwstr>
      </vt:variant>
      <vt:variant>
        <vt:i4>1900599</vt:i4>
      </vt:variant>
      <vt:variant>
        <vt:i4>86</vt:i4>
      </vt:variant>
      <vt:variant>
        <vt:i4>0</vt:i4>
      </vt:variant>
      <vt:variant>
        <vt:i4>5</vt:i4>
      </vt:variant>
      <vt:variant>
        <vt:lpwstr/>
      </vt:variant>
      <vt:variant>
        <vt:lpwstr>_Toc203635597</vt:lpwstr>
      </vt:variant>
      <vt:variant>
        <vt:i4>1900599</vt:i4>
      </vt:variant>
      <vt:variant>
        <vt:i4>80</vt:i4>
      </vt:variant>
      <vt:variant>
        <vt:i4>0</vt:i4>
      </vt:variant>
      <vt:variant>
        <vt:i4>5</vt:i4>
      </vt:variant>
      <vt:variant>
        <vt:lpwstr/>
      </vt:variant>
      <vt:variant>
        <vt:lpwstr>_Toc203635596</vt:lpwstr>
      </vt:variant>
      <vt:variant>
        <vt:i4>1900599</vt:i4>
      </vt:variant>
      <vt:variant>
        <vt:i4>74</vt:i4>
      </vt:variant>
      <vt:variant>
        <vt:i4>0</vt:i4>
      </vt:variant>
      <vt:variant>
        <vt:i4>5</vt:i4>
      </vt:variant>
      <vt:variant>
        <vt:lpwstr/>
      </vt:variant>
      <vt:variant>
        <vt:lpwstr>_Toc203635595</vt:lpwstr>
      </vt:variant>
      <vt:variant>
        <vt:i4>1900599</vt:i4>
      </vt:variant>
      <vt:variant>
        <vt:i4>68</vt:i4>
      </vt:variant>
      <vt:variant>
        <vt:i4>0</vt:i4>
      </vt:variant>
      <vt:variant>
        <vt:i4>5</vt:i4>
      </vt:variant>
      <vt:variant>
        <vt:lpwstr/>
      </vt:variant>
      <vt:variant>
        <vt:lpwstr>_Toc203635594</vt:lpwstr>
      </vt:variant>
      <vt:variant>
        <vt:i4>1900599</vt:i4>
      </vt:variant>
      <vt:variant>
        <vt:i4>62</vt:i4>
      </vt:variant>
      <vt:variant>
        <vt:i4>0</vt:i4>
      </vt:variant>
      <vt:variant>
        <vt:i4>5</vt:i4>
      </vt:variant>
      <vt:variant>
        <vt:lpwstr/>
      </vt:variant>
      <vt:variant>
        <vt:lpwstr>_Toc203635593</vt:lpwstr>
      </vt:variant>
      <vt:variant>
        <vt:i4>1900599</vt:i4>
      </vt:variant>
      <vt:variant>
        <vt:i4>56</vt:i4>
      </vt:variant>
      <vt:variant>
        <vt:i4>0</vt:i4>
      </vt:variant>
      <vt:variant>
        <vt:i4>5</vt:i4>
      </vt:variant>
      <vt:variant>
        <vt:lpwstr/>
      </vt:variant>
      <vt:variant>
        <vt:lpwstr>_Toc203635592</vt:lpwstr>
      </vt:variant>
      <vt:variant>
        <vt:i4>1900599</vt:i4>
      </vt:variant>
      <vt:variant>
        <vt:i4>50</vt:i4>
      </vt:variant>
      <vt:variant>
        <vt:i4>0</vt:i4>
      </vt:variant>
      <vt:variant>
        <vt:i4>5</vt:i4>
      </vt:variant>
      <vt:variant>
        <vt:lpwstr/>
      </vt:variant>
      <vt:variant>
        <vt:lpwstr>_Toc203635591</vt:lpwstr>
      </vt:variant>
      <vt:variant>
        <vt:i4>1900599</vt:i4>
      </vt:variant>
      <vt:variant>
        <vt:i4>44</vt:i4>
      </vt:variant>
      <vt:variant>
        <vt:i4>0</vt:i4>
      </vt:variant>
      <vt:variant>
        <vt:i4>5</vt:i4>
      </vt:variant>
      <vt:variant>
        <vt:lpwstr/>
      </vt:variant>
      <vt:variant>
        <vt:lpwstr>_Toc203635590</vt:lpwstr>
      </vt:variant>
      <vt:variant>
        <vt:i4>1835063</vt:i4>
      </vt:variant>
      <vt:variant>
        <vt:i4>38</vt:i4>
      </vt:variant>
      <vt:variant>
        <vt:i4>0</vt:i4>
      </vt:variant>
      <vt:variant>
        <vt:i4>5</vt:i4>
      </vt:variant>
      <vt:variant>
        <vt:lpwstr/>
      </vt:variant>
      <vt:variant>
        <vt:lpwstr>_Toc203635589</vt:lpwstr>
      </vt:variant>
      <vt:variant>
        <vt:i4>1835063</vt:i4>
      </vt:variant>
      <vt:variant>
        <vt:i4>32</vt:i4>
      </vt:variant>
      <vt:variant>
        <vt:i4>0</vt:i4>
      </vt:variant>
      <vt:variant>
        <vt:i4>5</vt:i4>
      </vt:variant>
      <vt:variant>
        <vt:lpwstr/>
      </vt:variant>
      <vt:variant>
        <vt:lpwstr>_Toc203635588</vt:lpwstr>
      </vt:variant>
      <vt:variant>
        <vt:i4>1835063</vt:i4>
      </vt:variant>
      <vt:variant>
        <vt:i4>26</vt:i4>
      </vt:variant>
      <vt:variant>
        <vt:i4>0</vt:i4>
      </vt:variant>
      <vt:variant>
        <vt:i4>5</vt:i4>
      </vt:variant>
      <vt:variant>
        <vt:lpwstr/>
      </vt:variant>
      <vt:variant>
        <vt:lpwstr>_Toc203635587</vt:lpwstr>
      </vt:variant>
      <vt:variant>
        <vt:i4>1835063</vt:i4>
      </vt:variant>
      <vt:variant>
        <vt:i4>20</vt:i4>
      </vt:variant>
      <vt:variant>
        <vt:i4>0</vt:i4>
      </vt:variant>
      <vt:variant>
        <vt:i4>5</vt:i4>
      </vt:variant>
      <vt:variant>
        <vt:lpwstr/>
      </vt:variant>
      <vt:variant>
        <vt:lpwstr>_Toc203635585</vt:lpwstr>
      </vt:variant>
      <vt:variant>
        <vt:i4>1835063</vt:i4>
      </vt:variant>
      <vt:variant>
        <vt:i4>14</vt:i4>
      </vt:variant>
      <vt:variant>
        <vt:i4>0</vt:i4>
      </vt:variant>
      <vt:variant>
        <vt:i4>5</vt:i4>
      </vt:variant>
      <vt:variant>
        <vt:lpwstr/>
      </vt:variant>
      <vt:variant>
        <vt:lpwstr>_Toc203635584</vt:lpwstr>
      </vt:variant>
      <vt:variant>
        <vt:i4>1835063</vt:i4>
      </vt:variant>
      <vt:variant>
        <vt:i4>8</vt:i4>
      </vt:variant>
      <vt:variant>
        <vt:i4>0</vt:i4>
      </vt:variant>
      <vt:variant>
        <vt:i4>5</vt:i4>
      </vt:variant>
      <vt:variant>
        <vt:lpwstr/>
      </vt:variant>
      <vt:variant>
        <vt:lpwstr>_Toc203635583</vt:lpwstr>
      </vt:variant>
      <vt:variant>
        <vt:i4>1835063</vt:i4>
      </vt:variant>
      <vt:variant>
        <vt:i4>2</vt:i4>
      </vt:variant>
      <vt:variant>
        <vt:i4>0</vt:i4>
      </vt:variant>
      <vt:variant>
        <vt:i4>5</vt:i4>
      </vt:variant>
      <vt:variant>
        <vt:lpwstr/>
      </vt:variant>
      <vt:variant>
        <vt:lpwstr>_Toc203635582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2025-07-18T06:54:00Z</cp:lastPrinted>
  <dcterms:created xsi:type="dcterms:W3CDTF">2025-07-21T03:58:00Z</dcterms:created>
  <dcterms:modified xsi:type="dcterms:W3CDTF">2025-07-21T03:58:00Z</dcterms:modified>
</cp:coreProperties>
</file>