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E43382" w:rsidRPr="002D7D36" w:rsidRDefault="00E43382" w:rsidP="00CF5B16">
      <w:pPr>
        <w:pStyle w:val="144"/>
        <w:widowControl w:val="0"/>
        <w:ind w:left="567" w:hanging="567"/>
      </w:pPr>
      <w:bookmarkStart w:id="2" w:name="_Toc165298357"/>
      <w:bookmarkStart w:id="3" w:name="_Toc204069920"/>
      <w:bookmarkEnd w:id="0"/>
      <w:r w:rsidRPr="002D7D36">
        <w:rPr>
          <w:rFonts w:hint="eastAsia"/>
          <w:bCs/>
        </w:rPr>
        <w:t>參、</w:t>
      </w:r>
      <w:bookmarkEnd w:id="2"/>
      <w:r w:rsidR="00AE614A" w:rsidRPr="002D7D36">
        <w:rPr>
          <w:rFonts w:hint="eastAsia"/>
        </w:rPr>
        <w:t>我國與各國歲計餘絀情形比較</w:t>
      </w:r>
      <w:bookmarkEnd w:id="3"/>
    </w:p>
    <w:p w:rsidR="009B6D65" w:rsidRPr="002D7D36" w:rsidRDefault="00385E9A" w:rsidP="00AD5805">
      <w:pPr>
        <w:pStyle w:val="a7"/>
        <w:ind w:firstLine="566"/>
        <w:rPr>
          <w:rFonts w:hint="eastAsia"/>
        </w:rPr>
      </w:pPr>
      <w:bookmarkStart w:id="4" w:name="_Toc165298358"/>
      <w:r w:rsidRPr="002D7D36">
        <w:rPr>
          <w:rFonts w:hint="eastAsia"/>
        </w:rPr>
        <w:t>為確保財政安全及永續發展，許多國家制定財政管理法則，避免財政問題對整體經濟產生負面影響，</w:t>
      </w:r>
      <w:r w:rsidR="000C78C8" w:rsidRPr="002D7D36">
        <w:rPr>
          <w:rFonts w:hint="eastAsia"/>
        </w:rPr>
        <w:t>國際貨幣基金組織(</w:t>
      </w:r>
      <w:r w:rsidR="000C78C8" w:rsidRPr="002D7D36">
        <w:t>IMF)</w:t>
      </w:r>
      <w:r w:rsidR="000C78C8" w:rsidRPr="002D7D36">
        <w:rPr>
          <w:rFonts w:hint="eastAsia"/>
        </w:rPr>
        <w:t>及歐盟(EU)亦提倡成員國</w:t>
      </w:r>
      <w:r w:rsidR="007732B7" w:rsidRPr="002D7D36">
        <w:rPr>
          <w:rFonts w:hint="eastAsia"/>
        </w:rPr>
        <w:t>制定</w:t>
      </w:r>
      <w:r w:rsidR="000C78C8" w:rsidRPr="002D7D36">
        <w:rPr>
          <w:rFonts w:hint="eastAsia"/>
        </w:rPr>
        <w:t>財政管理法規，以防止國家債務過度增長，避免債務危機發生，</w:t>
      </w:r>
      <w:r w:rsidR="00863E53" w:rsidRPr="002D7D36">
        <w:rPr>
          <w:rFonts w:hint="eastAsia"/>
        </w:rPr>
        <w:t>以下為國際實施情形</w:t>
      </w:r>
      <w:r w:rsidR="000C78C8" w:rsidRPr="002D7D36">
        <w:rPr>
          <w:rFonts w:hint="eastAsia"/>
        </w:rPr>
        <w:t>：</w:t>
      </w:r>
      <w:bookmarkEnd w:id="4"/>
    </w:p>
    <w:sectPr w:rsidR="009B6D65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AD5805">
      <w:rPr>
        <w:rStyle w:val="af2"/>
        <w:rFonts w:hAnsi="標楷體"/>
        <w:noProof/>
      </w:rPr>
      <w:t>1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805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19097B6-ECFC-442C-AC27-BE50FEA5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894A0-5EDF-4A3A-AE6A-04845EF9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HOME</Company>
  <LinksUpToDate>false</LinksUpToDate>
  <CharactersWithSpaces>142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