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DF1B6C" w:rsidRPr="002D7D36" w:rsidRDefault="00DF1B6C" w:rsidP="00DF1B6C">
      <w:pPr>
        <w:pStyle w:val="14"/>
        <w:widowControl w:val="0"/>
        <w:ind w:left="567" w:hanging="567"/>
      </w:pPr>
      <w:bookmarkStart w:id="2" w:name="_Toc165298360"/>
      <w:bookmarkStart w:id="3" w:name="_Toc204069922"/>
      <w:bookmarkEnd w:id="0"/>
      <w:r w:rsidRPr="002D7D36">
        <w:rPr>
          <w:rFonts w:hint="eastAsia"/>
        </w:rPr>
        <w:t>二、</w:t>
      </w:r>
      <w:bookmarkEnd w:id="2"/>
      <w:r w:rsidR="00B166A9">
        <w:rPr>
          <w:rFonts w:hint="eastAsia"/>
        </w:rPr>
        <w:t>國際間已</w:t>
      </w:r>
      <w:r w:rsidR="00382EBF" w:rsidRPr="002D7D36">
        <w:rPr>
          <w:rFonts w:hint="eastAsia"/>
        </w:rPr>
        <w:t>實施或</w:t>
      </w:r>
      <w:r w:rsidR="008E5827" w:rsidRPr="002D7D36">
        <w:rPr>
          <w:rStyle w:val="24"/>
          <w:rFonts w:hint="eastAsia"/>
          <w:kern w:val="0"/>
          <w:szCs w:val="24"/>
        </w:rPr>
        <w:t>曾經實施法律層級以上預算平衡規則</w:t>
      </w:r>
      <w:r w:rsidR="00B166A9">
        <w:rPr>
          <w:rStyle w:val="24"/>
          <w:rFonts w:hint="eastAsia"/>
          <w:kern w:val="0"/>
          <w:szCs w:val="24"/>
        </w:rPr>
        <w:t>之</w:t>
      </w:r>
      <w:r w:rsidR="008E5827" w:rsidRPr="002D7D36">
        <w:rPr>
          <w:rStyle w:val="24"/>
          <w:rFonts w:hint="eastAsia"/>
          <w:kern w:val="0"/>
          <w:szCs w:val="24"/>
        </w:rPr>
        <w:t>情形</w:t>
      </w:r>
      <w:bookmarkEnd w:id="3"/>
    </w:p>
    <w:p w:rsidR="001D52AB" w:rsidRPr="002D7D36" w:rsidRDefault="008918B0" w:rsidP="00AE34C1">
      <w:pPr>
        <w:ind w:left="566" w:firstLine="566"/>
      </w:pPr>
      <w:r w:rsidRPr="002D7D36">
        <w:rPr>
          <w:rFonts w:hint="eastAsia"/>
        </w:rPr>
        <w:t>我國公共債務法第</w:t>
      </w:r>
      <w:r w:rsidR="00382EBF" w:rsidRPr="002D7D36">
        <w:rPr>
          <w:rFonts w:hint="eastAsia"/>
        </w:rPr>
        <w:t>5條第1項及第7項</w:t>
      </w:r>
      <w:r w:rsidR="005D6125">
        <w:rPr>
          <w:rFonts w:hint="eastAsia"/>
        </w:rPr>
        <w:t>已</w:t>
      </w:r>
      <w:r w:rsidR="00B166A9">
        <w:rPr>
          <w:rFonts w:hint="eastAsia"/>
        </w:rPr>
        <w:t>就</w:t>
      </w:r>
      <w:r w:rsidR="00382EBF" w:rsidRPr="002D7D36">
        <w:rPr>
          <w:rFonts w:hint="eastAsia"/>
        </w:rPr>
        <w:t>債務舉借流量及存量</w:t>
      </w:r>
      <w:r w:rsidR="00DB79C4" w:rsidRPr="002D7D36">
        <w:rPr>
          <w:rFonts w:hint="eastAsia"/>
        </w:rPr>
        <w:t>(詳表</w:t>
      </w:r>
      <w:r w:rsidR="005D6125">
        <w:t>1</w:t>
      </w:r>
      <w:r w:rsidR="00DB79C4" w:rsidRPr="002D7D36">
        <w:rPr>
          <w:rFonts w:hint="eastAsia"/>
        </w:rPr>
        <w:t>-</w:t>
      </w:r>
      <w:r w:rsidR="005D6125">
        <w:t>1</w:t>
      </w:r>
      <w:r w:rsidR="00DB79C4" w:rsidRPr="002D7D36">
        <w:rPr>
          <w:rFonts w:hint="eastAsia"/>
        </w:rPr>
        <w:t>-1)</w:t>
      </w:r>
      <w:r w:rsidR="0047143F" w:rsidRPr="002D7D36">
        <w:rPr>
          <w:rFonts w:hint="eastAsia"/>
        </w:rPr>
        <w:t>，設定債務限制</w:t>
      </w:r>
      <w:r w:rsidR="00B166A9">
        <w:rPr>
          <w:rFonts w:hint="eastAsia"/>
        </w:rPr>
        <w:t>標準</w:t>
      </w:r>
      <w:r w:rsidR="00BC73D4">
        <w:rPr>
          <w:rFonts w:hint="eastAsia"/>
        </w:rPr>
        <w:t>；</w:t>
      </w:r>
      <w:r w:rsidR="005D6125">
        <w:rPr>
          <w:rFonts w:hint="eastAsia"/>
        </w:rPr>
        <w:t>惟</w:t>
      </w:r>
      <w:r w:rsidR="00BC73D4">
        <w:rPr>
          <w:rFonts w:hint="eastAsia"/>
        </w:rPr>
        <w:t>如採行</w:t>
      </w:r>
      <w:r w:rsidR="001D52AB" w:rsidRPr="002D7D36">
        <w:rPr>
          <w:rFonts w:hint="eastAsia"/>
        </w:rPr>
        <w:t>預算平衡</w:t>
      </w:r>
      <w:r w:rsidR="001E7C5B" w:rsidRPr="002D7D36">
        <w:rPr>
          <w:rFonts w:hint="eastAsia"/>
        </w:rPr>
        <w:t>規則</w:t>
      </w:r>
      <w:r w:rsidR="005E5FA8" w:rsidRPr="002D7D36">
        <w:rPr>
          <w:rFonts w:hint="eastAsia"/>
        </w:rPr>
        <w:t>要求政府每年實現預算平衡或將預算平衡數限制在特定目標內，</w:t>
      </w:r>
      <w:r w:rsidR="00B166A9">
        <w:rPr>
          <w:rFonts w:hint="eastAsia"/>
        </w:rPr>
        <w:t>以</w:t>
      </w:r>
      <w:r w:rsidR="001E7C5B" w:rsidRPr="002D7D36">
        <w:rPr>
          <w:rFonts w:hint="eastAsia"/>
        </w:rPr>
        <w:t>限制收支差短，</w:t>
      </w:r>
      <w:r w:rsidR="00B166A9">
        <w:rPr>
          <w:rFonts w:hint="eastAsia"/>
        </w:rPr>
        <w:t>當</w:t>
      </w:r>
      <w:r w:rsidR="001E7C5B" w:rsidRPr="002D7D36">
        <w:rPr>
          <w:rFonts w:hint="eastAsia"/>
        </w:rPr>
        <w:t>可避免財政赤字擴增，</w:t>
      </w:r>
      <w:r w:rsidR="00B166A9">
        <w:rPr>
          <w:rFonts w:hint="eastAsia"/>
        </w:rPr>
        <w:t>並</w:t>
      </w:r>
      <w:r w:rsidR="001E7C5B" w:rsidRPr="002D7D36">
        <w:rPr>
          <w:rFonts w:hint="eastAsia"/>
        </w:rPr>
        <w:t>於源頭抑制債務持續增加</w:t>
      </w:r>
      <w:r w:rsidR="007561DF">
        <w:rPr>
          <w:rFonts w:hint="eastAsia"/>
        </w:rPr>
        <w:t>。</w:t>
      </w:r>
      <w:r w:rsidR="00E210DF" w:rsidRPr="002D7D36">
        <w:rPr>
          <w:rFonts w:hint="eastAsia"/>
        </w:rPr>
        <w:t>據學者彙整</w:t>
      </w:r>
      <w:r w:rsidR="00FA1EB9">
        <w:rPr>
          <w:rFonts w:hint="eastAsia"/>
        </w:rPr>
        <w:t>已</w:t>
      </w:r>
      <w:r w:rsidR="00382EBF" w:rsidRPr="002D7D36">
        <w:rPr>
          <w:rFonts w:hint="eastAsia"/>
        </w:rPr>
        <w:t>實施或</w:t>
      </w:r>
      <w:r w:rsidR="00337A52" w:rsidRPr="002D7D36">
        <w:rPr>
          <w:rFonts w:hint="eastAsia"/>
        </w:rPr>
        <w:t>曾</w:t>
      </w:r>
      <w:r w:rsidR="00382EBF" w:rsidRPr="002D7D36">
        <w:rPr>
          <w:rFonts w:hint="eastAsia"/>
        </w:rPr>
        <w:t>經</w:t>
      </w:r>
      <w:r w:rsidR="00E210DF" w:rsidRPr="002D7D36">
        <w:rPr>
          <w:rFonts w:hint="eastAsia"/>
        </w:rPr>
        <w:t>實施法律層級以上預算平衡規則</w:t>
      </w:r>
      <w:r w:rsidR="00B166A9">
        <w:rPr>
          <w:rFonts w:hint="eastAsia"/>
        </w:rPr>
        <w:t>之</w:t>
      </w:r>
      <w:r w:rsidR="00E210DF" w:rsidRPr="002D7D36">
        <w:rPr>
          <w:rFonts w:hint="eastAsia"/>
        </w:rPr>
        <w:t>國家</w:t>
      </w:r>
      <w:r w:rsidR="00382EBF" w:rsidRPr="002D7D36">
        <w:rPr>
          <w:rFonts w:hint="eastAsia"/>
        </w:rPr>
        <w:t>共</w:t>
      </w:r>
      <w:r w:rsidR="008E4A58" w:rsidRPr="002D7D36">
        <w:rPr>
          <w:rFonts w:hint="eastAsia"/>
        </w:rPr>
        <w:t>64</w:t>
      </w:r>
      <w:r w:rsidR="00382EBF" w:rsidRPr="002D7D36">
        <w:rPr>
          <w:rFonts w:hint="eastAsia"/>
        </w:rPr>
        <w:t>個，</w:t>
      </w:r>
      <w:r w:rsidR="00A17E55" w:rsidRPr="002D7D36">
        <w:rPr>
          <w:rFonts w:hint="eastAsia"/>
        </w:rPr>
        <w:t>實施期間最短為美國僅1年，</w:t>
      </w:r>
      <w:r w:rsidR="007701BE" w:rsidRPr="002D7D36">
        <w:rPr>
          <w:rFonts w:hint="eastAsia"/>
        </w:rPr>
        <w:t>最長為德國、日本、馬來西亞及新加坡等4國</w:t>
      </w:r>
      <w:r w:rsidR="00B166A9">
        <w:rPr>
          <w:rFonts w:hint="eastAsia"/>
        </w:rPr>
        <w:t>計</w:t>
      </w:r>
      <w:r w:rsidR="00A17E55" w:rsidRPr="002D7D36">
        <w:rPr>
          <w:rFonts w:hint="eastAsia"/>
        </w:rPr>
        <w:t>31年(詳</w:t>
      </w:r>
      <w:r w:rsidR="00382EBF" w:rsidRPr="002D7D36">
        <w:rPr>
          <w:rFonts w:hint="eastAsia"/>
        </w:rPr>
        <w:t>表3</w:t>
      </w:r>
      <w:r w:rsidR="00382EBF" w:rsidRPr="002D7D36">
        <w:t>-2-1</w:t>
      </w:r>
      <w:r w:rsidR="00A17E55" w:rsidRPr="002D7D36">
        <w:t>)</w:t>
      </w:r>
      <w:r w:rsidR="00382C6C" w:rsidRPr="002D7D36">
        <w:rPr>
          <w:rFonts w:hint="eastAsia"/>
        </w:rPr>
        <w:t>，</w:t>
      </w:r>
      <w:r w:rsidR="007F0F88" w:rsidRPr="002D7D36">
        <w:rPr>
          <w:rFonts w:hint="eastAsia"/>
        </w:rPr>
        <w:t>多數國家</w:t>
      </w:r>
      <w:r w:rsidR="00B166A9">
        <w:rPr>
          <w:rFonts w:hint="eastAsia"/>
        </w:rPr>
        <w:t>已</w:t>
      </w:r>
      <w:r w:rsidR="00382C6C" w:rsidRPr="002D7D36">
        <w:rPr>
          <w:rFonts w:hint="eastAsia"/>
        </w:rPr>
        <w:t>實施</w:t>
      </w:r>
      <w:r w:rsidR="007F0F88" w:rsidRPr="002D7D36">
        <w:rPr>
          <w:rFonts w:hint="eastAsia"/>
        </w:rPr>
        <w:t>或曾實施</w:t>
      </w:r>
      <w:r w:rsidR="00382C6C" w:rsidRPr="002D7D36">
        <w:rPr>
          <w:rFonts w:hint="eastAsia"/>
        </w:rPr>
        <w:t>預算平衡規則</w:t>
      </w:r>
      <w:r w:rsidR="00382EBF" w:rsidRPr="002D7D36">
        <w:rPr>
          <w:rFonts w:hint="eastAsia"/>
        </w:rPr>
        <w:t>。</w:t>
      </w:r>
    </w:p>
    <w:p w:rsidR="00581F7D" w:rsidRPr="002D7D36" w:rsidRDefault="00581F7D" w:rsidP="00B166A9">
      <w:pPr>
        <w:pStyle w:val="ac"/>
        <w:ind w:left="1134" w:hangingChars="400" w:hanging="1134"/>
        <w:rPr>
          <w:b/>
        </w:rPr>
      </w:pPr>
      <w:r w:rsidRPr="002D7D36">
        <w:rPr>
          <w:rFonts w:hint="eastAsia"/>
          <w:b/>
        </w:rPr>
        <w:t>表3-</w:t>
      </w:r>
      <w:r w:rsidRPr="002D7D36">
        <w:rPr>
          <w:b/>
        </w:rPr>
        <w:t>2</w:t>
      </w:r>
      <w:r w:rsidRPr="002D7D36">
        <w:rPr>
          <w:rFonts w:hint="eastAsia"/>
          <w:b/>
        </w:rPr>
        <w:t xml:space="preserve">-1 </w:t>
      </w:r>
      <w:r w:rsidR="00B166A9">
        <w:rPr>
          <w:rFonts w:hint="eastAsia"/>
          <w:b/>
        </w:rPr>
        <w:t>國際間已</w:t>
      </w:r>
      <w:r w:rsidR="00D414A1" w:rsidRPr="002D7D36">
        <w:rPr>
          <w:rFonts w:hint="eastAsia"/>
          <w:b/>
        </w:rPr>
        <w:t>實施或曾經實施法律層級以上預算平衡規則</w:t>
      </w:r>
      <w:r w:rsidR="00B166A9">
        <w:rPr>
          <w:rFonts w:hint="eastAsia"/>
          <w:b/>
        </w:rPr>
        <w:t>之情形表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3"/>
        <w:gridCol w:w="1226"/>
        <w:gridCol w:w="567"/>
        <w:gridCol w:w="1844"/>
        <w:gridCol w:w="710"/>
        <w:gridCol w:w="1275"/>
        <w:gridCol w:w="709"/>
        <w:gridCol w:w="1726"/>
      </w:tblGrid>
      <w:tr w:rsidR="00054F28" w:rsidRPr="002D7D36" w:rsidTr="003402F9">
        <w:trPr>
          <w:trHeight w:val="340"/>
          <w:tblHeader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項次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國家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年數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年間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項次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國家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年數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6" w:hanging="446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sz w:val="22"/>
                <w:szCs w:val="22"/>
              </w:rPr>
              <w:t>年間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安道爾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盧森堡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</w:tr>
      <w:tr w:rsidR="00054F28" w:rsidRPr="002D7D36" w:rsidTr="00B93266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阿根廷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2000-2017</w:t>
            </w:r>
          </w:p>
        </w:tc>
        <w:tc>
          <w:tcPr>
            <w:tcW w:w="415" w:type="pct"/>
            <w:shd w:val="clear" w:color="auto" w:fill="E2EFD9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34</w:t>
            </w:r>
          </w:p>
        </w:tc>
        <w:tc>
          <w:tcPr>
            <w:tcW w:w="745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bCs/>
                <w:sz w:val="22"/>
                <w:szCs w:val="22"/>
              </w:rPr>
              <w:t>馬來西亞</w:t>
            </w:r>
          </w:p>
        </w:tc>
        <w:tc>
          <w:tcPr>
            <w:tcW w:w="414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b/>
                <w:bCs/>
                <w:i/>
                <w:iCs/>
                <w:sz w:val="22"/>
                <w:szCs w:val="22"/>
              </w:rPr>
            </w:pPr>
            <w:r w:rsidRPr="002D7D36">
              <w:rPr>
                <w:rFonts w:hAnsi="標楷體"/>
                <w:b/>
                <w:bCs/>
                <w:i/>
                <w:iCs/>
                <w:sz w:val="22"/>
                <w:szCs w:val="22"/>
              </w:rPr>
              <w:t>31</w:t>
            </w:r>
          </w:p>
        </w:tc>
        <w:tc>
          <w:tcPr>
            <w:tcW w:w="1009" w:type="pct"/>
            <w:shd w:val="clear" w:color="auto" w:fill="E2EFD9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1990-2020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亞美尼亞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2002-2020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馬爾地夫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奧地利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26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1995-2020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馬爾他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亞塞拜然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2019-2020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墨西哥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15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2006-2020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巴西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23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1998-2020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蒙古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保加利亞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9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2012-2020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蒙特內哥羅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維德角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23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1998-2020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荷蘭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智利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15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2006-2020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紐西蘭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27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1994-2020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哥倫比亞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10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2011-2020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奈及利亞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14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2007-2020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哥斯大黎加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2001-2020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巴基斯坦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11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2005-2015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克羅埃西亞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9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2012-2020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巴拿馬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14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2007-2020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賽普勒斯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巴拉圭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丹麥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祕魯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2000-2020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厄瓜多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2003-2009</w:t>
            </w:r>
            <w:r w:rsidRPr="002D7D36">
              <w:rPr>
                <w:rFonts w:hAnsi="標楷體" w:hint="eastAsia"/>
                <w:sz w:val="22"/>
                <w:szCs w:val="22"/>
              </w:rPr>
              <w:t>、</w:t>
            </w:r>
            <w:r w:rsidRPr="002D7D36">
              <w:rPr>
                <w:rFonts w:hAnsi="標楷體"/>
                <w:sz w:val="22"/>
                <w:szCs w:val="22"/>
              </w:rPr>
              <w:t>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葡萄牙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愛沙尼亞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羅馬尼亞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法國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49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俄羅斯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4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2007-2008</w:t>
            </w:r>
            <w:r w:rsidRPr="002D7D36">
              <w:rPr>
                <w:rFonts w:hAnsi="標楷體" w:hint="eastAsia"/>
                <w:sz w:val="22"/>
                <w:szCs w:val="22"/>
              </w:rPr>
              <w:t>、</w:t>
            </w:r>
            <w:r w:rsidRPr="002D7D36">
              <w:rPr>
                <w:rFonts w:hAnsi="標楷體"/>
                <w:sz w:val="22"/>
                <w:szCs w:val="22"/>
              </w:rPr>
              <w:t>2019-2020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18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喬治亞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塞爾維亞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10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2011-2020</w:t>
            </w:r>
          </w:p>
        </w:tc>
      </w:tr>
      <w:tr w:rsidR="00054F28" w:rsidRPr="002D7D36" w:rsidTr="00B93266">
        <w:trPr>
          <w:trHeight w:val="340"/>
        </w:trPr>
        <w:tc>
          <w:tcPr>
            <w:tcW w:w="294" w:type="pct"/>
            <w:shd w:val="clear" w:color="auto" w:fill="E2EFD9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19</w:t>
            </w:r>
          </w:p>
        </w:tc>
        <w:tc>
          <w:tcPr>
            <w:tcW w:w="716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bCs/>
                <w:sz w:val="22"/>
                <w:szCs w:val="22"/>
              </w:rPr>
              <w:t>德國</w:t>
            </w:r>
          </w:p>
        </w:tc>
        <w:tc>
          <w:tcPr>
            <w:tcW w:w="331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b/>
                <w:bCs/>
                <w:i/>
                <w:iCs/>
                <w:sz w:val="22"/>
                <w:szCs w:val="22"/>
              </w:rPr>
            </w:pPr>
            <w:r w:rsidRPr="002D7D36">
              <w:rPr>
                <w:rFonts w:hAnsi="標楷體"/>
                <w:b/>
                <w:bCs/>
                <w:i/>
                <w:iCs/>
                <w:sz w:val="22"/>
                <w:szCs w:val="22"/>
              </w:rPr>
              <w:t>31</w:t>
            </w:r>
          </w:p>
        </w:tc>
        <w:tc>
          <w:tcPr>
            <w:tcW w:w="1077" w:type="pct"/>
            <w:shd w:val="clear" w:color="auto" w:fill="E2EFD9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1990-2020</w:t>
            </w:r>
          </w:p>
        </w:tc>
        <w:tc>
          <w:tcPr>
            <w:tcW w:w="415" w:type="pct"/>
            <w:shd w:val="clear" w:color="auto" w:fill="E2EFD9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51</w:t>
            </w:r>
          </w:p>
        </w:tc>
        <w:tc>
          <w:tcPr>
            <w:tcW w:w="745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bCs/>
                <w:sz w:val="22"/>
                <w:szCs w:val="22"/>
              </w:rPr>
              <w:t>新加坡</w:t>
            </w:r>
          </w:p>
        </w:tc>
        <w:tc>
          <w:tcPr>
            <w:tcW w:w="414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b/>
                <w:bCs/>
                <w:i/>
                <w:iCs/>
                <w:sz w:val="22"/>
                <w:szCs w:val="22"/>
              </w:rPr>
            </w:pPr>
            <w:r w:rsidRPr="002D7D36">
              <w:rPr>
                <w:rFonts w:hAnsi="標楷體"/>
                <w:b/>
                <w:bCs/>
                <w:i/>
                <w:iCs/>
                <w:sz w:val="22"/>
                <w:szCs w:val="22"/>
              </w:rPr>
              <w:t>31</w:t>
            </w:r>
          </w:p>
        </w:tc>
        <w:tc>
          <w:tcPr>
            <w:tcW w:w="1009" w:type="pct"/>
            <w:shd w:val="clear" w:color="auto" w:fill="E2EFD9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1990-2020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lastRenderedPageBreak/>
              <w:t>20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希臘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斯洛伐克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格瑞那達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2105-2020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斯洛維尼亞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香港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24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1997-2020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西班牙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23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匈牙利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14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2004-2011</w:t>
            </w:r>
            <w:r w:rsidRPr="002D7D36">
              <w:rPr>
                <w:rFonts w:hAnsi="標楷體" w:hint="eastAsia"/>
                <w:sz w:val="22"/>
                <w:szCs w:val="22"/>
              </w:rPr>
              <w:t>、</w:t>
            </w: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斯里蘭卡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24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印度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14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2004-2008</w:t>
            </w:r>
            <w:r w:rsidRPr="002D7D36">
              <w:rPr>
                <w:rFonts w:hAnsi="標楷體" w:hint="eastAsia"/>
                <w:sz w:val="22"/>
                <w:szCs w:val="22"/>
              </w:rPr>
              <w:t>、</w:t>
            </w:r>
            <w:r w:rsidRPr="002D7D36">
              <w:rPr>
                <w:rFonts w:hAnsi="標楷體"/>
                <w:sz w:val="22"/>
                <w:szCs w:val="22"/>
              </w:rPr>
              <w:t>2012-2020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瑞典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11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2010-2020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25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以色列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29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1992-2020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瑞士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18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2003-2020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26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義大利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7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2014-2020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坦尚尼亞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27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牙買加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11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2010-2020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巴哈馬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3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2018-2020</w:t>
            </w:r>
          </w:p>
        </w:tc>
      </w:tr>
      <w:tr w:rsidR="00054F28" w:rsidRPr="002D7D36" w:rsidTr="00B93266">
        <w:trPr>
          <w:trHeight w:val="340"/>
        </w:trPr>
        <w:tc>
          <w:tcPr>
            <w:tcW w:w="294" w:type="pct"/>
            <w:shd w:val="clear" w:color="auto" w:fill="E2EFD9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28</w:t>
            </w:r>
          </w:p>
        </w:tc>
        <w:tc>
          <w:tcPr>
            <w:tcW w:w="716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bCs/>
                <w:sz w:val="22"/>
                <w:szCs w:val="22"/>
              </w:rPr>
              <w:t>日本</w:t>
            </w:r>
          </w:p>
        </w:tc>
        <w:tc>
          <w:tcPr>
            <w:tcW w:w="331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b/>
                <w:bCs/>
                <w:i/>
                <w:iCs/>
                <w:sz w:val="22"/>
                <w:szCs w:val="22"/>
              </w:rPr>
            </w:pPr>
            <w:r w:rsidRPr="002D7D36">
              <w:rPr>
                <w:rFonts w:hAnsi="標楷體"/>
                <w:b/>
                <w:bCs/>
                <w:i/>
                <w:iCs/>
                <w:sz w:val="22"/>
                <w:szCs w:val="22"/>
              </w:rPr>
              <w:t>31</w:t>
            </w:r>
          </w:p>
        </w:tc>
        <w:tc>
          <w:tcPr>
            <w:tcW w:w="1077" w:type="pct"/>
            <w:shd w:val="clear" w:color="auto" w:fill="E2EFD9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1990-2020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土庫曼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29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哈薩克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烏干達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5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2016-2020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30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科索沃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英國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23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1997-2008</w:t>
            </w:r>
            <w:r w:rsidRPr="002D7D36">
              <w:rPr>
                <w:rFonts w:hAnsi="標楷體" w:hint="eastAsia"/>
                <w:sz w:val="22"/>
                <w:szCs w:val="22"/>
              </w:rPr>
              <w:t>、</w:t>
            </w:r>
            <w:r w:rsidRPr="002D7D36">
              <w:rPr>
                <w:rFonts w:hAnsi="標楷體"/>
                <w:sz w:val="22"/>
                <w:szCs w:val="22"/>
              </w:rPr>
              <w:t>2010-2020</w:t>
            </w:r>
          </w:p>
        </w:tc>
      </w:tr>
      <w:tr w:rsidR="00054F28" w:rsidRPr="002D7D36" w:rsidTr="00B93266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31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拉脫維亞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8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2013-2020</w:t>
            </w:r>
          </w:p>
        </w:tc>
        <w:tc>
          <w:tcPr>
            <w:tcW w:w="415" w:type="pct"/>
            <w:shd w:val="clear" w:color="auto" w:fill="E2EFD9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63</w:t>
            </w:r>
          </w:p>
        </w:tc>
        <w:tc>
          <w:tcPr>
            <w:tcW w:w="745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2D7D36">
              <w:rPr>
                <w:rFonts w:hAnsi="標楷體" w:hint="eastAsia"/>
                <w:b/>
                <w:bCs/>
                <w:sz w:val="22"/>
                <w:szCs w:val="22"/>
              </w:rPr>
              <w:t>美國</w:t>
            </w:r>
          </w:p>
        </w:tc>
        <w:tc>
          <w:tcPr>
            <w:tcW w:w="414" w:type="pct"/>
            <w:shd w:val="clear" w:color="auto" w:fill="E2EFD9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b/>
                <w:bCs/>
                <w:i/>
                <w:iCs/>
                <w:sz w:val="22"/>
                <w:szCs w:val="22"/>
              </w:rPr>
            </w:pPr>
            <w:r w:rsidRPr="002D7D36">
              <w:rPr>
                <w:rFonts w:hAnsi="標楷體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1009" w:type="pct"/>
            <w:shd w:val="clear" w:color="auto" w:fill="E2EFD9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1990</w:t>
            </w:r>
          </w:p>
        </w:tc>
      </w:tr>
      <w:tr w:rsidR="00054F28" w:rsidRPr="002D7D36" w:rsidTr="003402F9">
        <w:trPr>
          <w:trHeight w:val="340"/>
        </w:trPr>
        <w:tc>
          <w:tcPr>
            <w:tcW w:w="294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32</w:t>
            </w:r>
          </w:p>
        </w:tc>
        <w:tc>
          <w:tcPr>
            <w:tcW w:w="716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立陶宛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6</w:t>
            </w:r>
          </w:p>
        </w:tc>
        <w:tc>
          <w:tcPr>
            <w:tcW w:w="1077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2015-2020</w:t>
            </w:r>
          </w:p>
        </w:tc>
        <w:tc>
          <w:tcPr>
            <w:tcW w:w="415" w:type="pct"/>
            <w:shd w:val="clear" w:color="auto" w:fill="auto"/>
            <w:noWrap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 w:hint="eastAsia"/>
                <w:sz w:val="22"/>
                <w:szCs w:val="22"/>
              </w:rPr>
              <w:t>烏拉圭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54F28" w:rsidRPr="002D7D36" w:rsidRDefault="00054F28" w:rsidP="00AF532E">
            <w:pPr>
              <w:pStyle w:val="142"/>
              <w:ind w:left="447" w:hanging="447"/>
              <w:jc w:val="right"/>
              <w:rPr>
                <w:rFonts w:hAnsi="標楷體" w:hint="eastAsia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15</w:t>
            </w:r>
          </w:p>
        </w:tc>
        <w:tc>
          <w:tcPr>
            <w:tcW w:w="1009" w:type="pct"/>
            <w:shd w:val="clear" w:color="auto" w:fill="auto"/>
            <w:vAlign w:val="center"/>
            <w:hideMark/>
          </w:tcPr>
          <w:p w:rsidR="00054F28" w:rsidRPr="002D7D36" w:rsidRDefault="00054F28" w:rsidP="00133E5B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2D7D36">
              <w:rPr>
                <w:rFonts w:hAnsi="標楷體"/>
                <w:sz w:val="22"/>
                <w:szCs w:val="22"/>
              </w:rPr>
              <w:t>2006-2020</w:t>
            </w:r>
          </w:p>
        </w:tc>
      </w:tr>
    </w:tbl>
    <w:p w:rsidR="00D414A1" w:rsidRPr="002D7D36" w:rsidRDefault="00D414A1" w:rsidP="00581F7D">
      <w:pPr>
        <w:pStyle w:val="142"/>
        <w:ind w:left="1216" w:hangingChars="500" w:hanging="1216"/>
      </w:pPr>
      <w:r w:rsidRPr="002D7D36">
        <w:rPr>
          <w:rFonts w:hint="eastAsia"/>
        </w:rPr>
        <w:t>說    明：彙整自IMF資料庫1990至2020年間資料。</w:t>
      </w:r>
    </w:p>
    <w:p w:rsidR="00581F7D" w:rsidRPr="002D7D36" w:rsidRDefault="00581F7D" w:rsidP="00581F7D">
      <w:pPr>
        <w:pStyle w:val="142"/>
        <w:ind w:left="1216" w:hangingChars="500" w:hanging="1216"/>
        <w:rPr>
          <w:rFonts w:hint="eastAsia"/>
        </w:rPr>
      </w:pPr>
      <w:r w:rsidRPr="002D7D36">
        <w:rPr>
          <w:rFonts w:hint="eastAsia"/>
        </w:rPr>
        <w:t>資料來源：</w:t>
      </w:r>
      <w:r w:rsidR="00337A52" w:rsidRPr="002D7D36">
        <w:rPr>
          <w:rFonts w:hint="eastAsia"/>
        </w:rPr>
        <w:t>石恩銘、伍大開、陳國樑及黃勢璋，「財政管理機制之效果分析」，</w:t>
      </w:r>
      <w:r w:rsidR="00337A52" w:rsidRPr="002D7D36">
        <w:t>113年5月3日，人文及社會科學集刊。</w:t>
      </w:r>
    </w:p>
    <w:sectPr w:rsidR="00581F7D" w:rsidRPr="002D7D36" w:rsidSect="002201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9B70F2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B70F2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0253442-020A-4D44-8E1B-6C0357B4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30887-40C4-4EED-BFA0-498971DC7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>HOME</Company>
  <LinksUpToDate>false</LinksUpToDate>
  <CharactersWithSpaces>1722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