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97658C" w:rsidRPr="00D23CC6" w:rsidRDefault="0097658C" w:rsidP="00544F91">
      <w:pPr>
        <w:pStyle w:val="142"/>
        <w:ind w:left="567" w:hanging="567"/>
      </w:pPr>
      <w:bookmarkStart w:id="10" w:name="_Toc480890729"/>
      <w:bookmarkStart w:id="11" w:name="_Toc204099070"/>
      <w:r w:rsidRPr="00D23CC6">
        <w:rPr>
          <w:rFonts w:hint="eastAsia"/>
        </w:rPr>
        <w:t>參、</w:t>
      </w:r>
      <w:r w:rsidR="00124A29" w:rsidRPr="00124A29">
        <w:rPr>
          <w:rFonts w:hint="eastAsia"/>
        </w:rPr>
        <w:t>問題探討</w:t>
      </w:r>
      <w:bookmarkEnd w:id="11"/>
    </w:p>
    <w:p w:rsidR="002F1747" w:rsidRPr="00D23CC6" w:rsidRDefault="00FE7B1D" w:rsidP="007F2AF6">
      <w:pPr>
        <w:pStyle w:val="aa"/>
        <w:ind w:firstLine="567"/>
        <w:rPr>
          <w:rFonts w:hint="eastAsia"/>
        </w:rPr>
      </w:pPr>
      <w:bookmarkStart w:id="12" w:name="_Hlk199150077"/>
      <w:r>
        <w:rPr>
          <w:rFonts w:hint="eastAsia"/>
        </w:rPr>
        <w:t>綜據我國及國際間綠色國民所得帳之編製發展概況顯示，我國綠色國民所得帳編製現況容</w:t>
      </w:r>
      <w:r w:rsidR="002C40A9">
        <w:rPr>
          <w:rFonts w:hint="eastAsia"/>
        </w:rPr>
        <w:t>有</w:t>
      </w:r>
      <w:r>
        <w:rPr>
          <w:rFonts w:hint="eastAsia"/>
        </w:rPr>
        <w:t>與預算法等規定未盡相符，並有弱化其編製功能及與國際趨勢</w:t>
      </w:r>
      <w:r w:rsidR="002C40A9">
        <w:rPr>
          <w:rFonts w:hint="eastAsia"/>
        </w:rPr>
        <w:t>相較</w:t>
      </w:r>
      <w:r>
        <w:rPr>
          <w:rFonts w:hint="eastAsia"/>
        </w:rPr>
        <w:t>尚有差距等未竟之處，謹說明如下：</w:t>
      </w:r>
      <w:bookmarkEnd w:id="10"/>
      <w:bookmarkEnd w:id="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2F1747" w:rsidRPr="00D23CC6" w:rsidSect="00BB6B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7F2AF6" w:rsidRPr="007F2AF6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2AF6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6A8DE0-1DE5-49B9-9D1E-D76E2EEC4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637DB-5BCC-4438-AB1F-A9FB19DC6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