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9A3442" w:rsidRPr="00C0567B" w:rsidRDefault="00605AC6" w:rsidP="00B16436">
      <w:pPr>
        <w:pStyle w:val="14"/>
        <w:ind w:left="567" w:hanging="567"/>
        <w:rPr>
          <w:rFonts w:hAnsi="標楷體"/>
        </w:rPr>
      </w:pPr>
      <w:bookmarkStart w:id="1" w:name="_Toc164679498"/>
      <w:bookmarkStart w:id="2" w:name="_Toc203558214"/>
      <w:r w:rsidRPr="00C0567B">
        <w:rPr>
          <w:rFonts w:hAnsi="標楷體" w:hint="eastAsia"/>
        </w:rPr>
        <w:t>三</w:t>
      </w:r>
      <w:r w:rsidR="006004D2" w:rsidRPr="00C0567B">
        <w:rPr>
          <w:rFonts w:hAnsi="標楷體" w:hint="eastAsia"/>
        </w:rPr>
        <w:t>、</w:t>
      </w:r>
      <w:r w:rsidR="0017173A" w:rsidRPr="00C0567B">
        <w:rPr>
          <w:rFonts w:hAnsi="標楷體" w:hint="eastAsia"/>
        </w:rPr>
        <w:t>近年部分公立醫院急診壅塞嚴重，允宜研謀有效解決方案並落實分級醫療，以保障病人生命安全，維護急診醫療品質</w:t>
      </w:r>
      <w:bookmarkEnd w:id="2"/>
    </w:p>
    <w:p w:rsidR="0017173A" w:rsidRPr="00C0567B" w:rsidRDefault="0017173A" w:rsidP="0017173A">
      <w:pPr>
        <w:ind w:left="566" w:firstLine="566"/>
        <w:rPr>
          <w:rFonts w:hAnsi="標楷體"/>
        </w:rPr>
      </w:pPr>
      <w:r w:rsidRPr="00C0567B">
        <w:rPr>
          <w:rFonts w:hAnsi="標楷體" w:hint="eastAsia"/>
        </w:rPr>
        <w:t>衛福部為舒緩急診壅塞情況，強化大型醫院救治急重症功能，於113年10月1日公告第9版「全民健康保險急診品質提升方案」，將急診重大疾病照護品質、轉診品質及急診處置效率等列入獎勵範圍，期能提升急重症照護品質，縮短病人留置急診室時間。惟近年國內各大型醫院急診壅塞情況仍頻傳，經查：</w:t>
      </w:r>
    </w:p>
    <w:p w:rsidR="0017173A" w:rsidRPr="00C0567B" w:rsidRDefault="004154A9" w:rsidP="0017173A">
      <w:pPr>
        <w:pStyle w:val="a5"/>
        <w:ind w:left="849" w:hanging="283"/>
        <w:rPr>
          <w:rFonts w:hAnsi="標楷體"/>
          <w:b/>
        </w:rPr>
      </w:pPr>
      <w:r w:rsidRPr="00C0567B">
        <w:rPr>
          <w:rFonts w:hAnsi="標楷體" w:hint="eastAsia"/>
          <w:b/>
        </w:rPr>
        <w:t>(一)</w:t>
      </w:r>
      <w:r w:rsidR="0017173A" w:rsidRPr="00C0567B">
        <w:rPr>
          <w:rFonts w:hAnsi="標楷體" w:hint="eastAsia"/>
          <w:b/>
        </w:rPr>
        <w:t>近年部分公立醫院急診壅塞嚴重，允宜研謀急診住院配床比並落實分級醫療</w:t>
      </w:r>
    </w:p>
    <w:p w:rsidR="0017173A" w:rsidRPr="00C0567B" w:rsidRDefault="00E35E6E" w:rsidP="0017173A">
      <w:pPr>
        <w:pStyle w:val="21"/>
        <w:ind w:left="850" w:firstLine="566"/>
        <w:rPr>
          <w:rFonts w:hAnsi="標楷體"/>
        </w:rPr>
      </w:pPr>
      <w:r>
        <w:rPr>
          <w:rFonts w:hAnsi="標楷體"/>
        </w:rPr>
        <w:t>109</w:t>
      </w:r>
      <w:r>
        <w:rPr>
          <w:rFonts w:hAnsi="標楷體" w:hint="eastAsia"/>
        </w:rPr>
        <w:t>至1</w:t>
      </w:r>
      <w:r>
        <w:rPr>
          <w:rFonts w:hAnsi="標楷體"/>
        </w:rPr>
        <w:t>12</w:t>
      </w:r>
      <w:r w:rsidR="0017173A" w:rsidRPr="00C0567B">
        <w:rPr>
          <w:rFonts w:hAnsi="標楷體" w:hint="eastAsia"/>
        </w:rPr>
        <w:t>年</w:t>
      </w:r>
      <w:r>
        <w:rPr>
          <w:rFonts w:hAnsi="標楷體" w:hint="eastAsia"/>
        </w:rPr>
        <w:t>度</w:t>
      </w:r>
      <w:r w:rsidR="0017173A" w:rsidRPr="00C0567B">
        <w:rPr>
          <w:rFonts w:hAnsi="標楷體" w:hint="eastAsia"/>
        </w:rPr>
        <w:t>各公立醫院急診人次介於6</w:t>
      </w:r>
      <w:r w:rsidR="0017173A" w:rsidRPr="00C0567B">
        <w:rPr>
          <w:rFonts w:hAnsi="標楷體"/>
        </w:rPr>
        <w:t>58.6</w:t>
      </w:r>
      <w:r w:rsidR="0017173A" w:rsidRPr="00C0567B">
        <w:rPr>
          <w:rFonts w:hAnsi="標楷體" w:hint="eastAsia"/>
        </w:rPr>
        <w:t>至8</w:t>
      </w:r>
      <w:r w:rsidR="0017173A" w:rsidRPr="00C0567B">
        <w:rPr>
          <w:rFonts w:hAnsi="標楷體"/>
        </w:rPr>
        <w:t>23.8</w:t>
      </w:r>
      <w:r w:rsidR="0017173A" w:rsidRPr="00C0567B">
        <w:rPr>
          <w:rFonts w:hAnsi="標楷體" w:hint="eastAsia"/>
        </w:rPr>
        <w:t>萬人</w:t>
      </w:r>
      <w:r>
        <w:rPr>
          <w:rFonts w:hAnsi="標楷體" w:hint="eastAsia"/>
        </w:rPr>
        <w:t>次</w:t>
      </w:r>
      <w:r w:rsidR="0017173A" w:rsidRPr="00C0567B">
        <w:rPr>
          <w:rFonts w:hAnsi="標楷體" w:cs="Arial Unicode MS" w:hint="eastAsia"/>
        </w:rPr>
        <w:t>，急性一般病床占床率介於6</w:t>
      </w:r>
      <w:r w:rsidR="0017173A" w:rsidRPr="00C0567B">
        <w:rPr>
          <w:rFonts w:hAnsi="標楷體" w:cs="Arial Unicode MS"/>
        </w:rPr>
        <w:t>1.08</w:t>
      </w:r>
      <w:r>
        <w:rPr>
          <w:rFonts w:hAnsi="標楷體" w:cs="Arial Unicode MS"/>
        </w:rPr>
        <w:t>%</w:t>
      </w:r>
      <w:r w:rsidR="0017173A" w:rsidRPr="00C0567B">
        <w:rPr>
          <w:rFonts w:hAnsi="標楷體" w:cs="Arial Unicode MS" w:hint="eastAsia"/>
        </w:rPr>
        <w:t>至6</w:t>
      </w:r>
      <w:r w:rsidR="0017173A" w:rsidRPr="00C0567B">
        <w:rPr>
          <w:rFonts w:hAnsi="標楷體" w:cs="Arial Unicode MS"/>
        </w:rPr>
        <w:t>6.88</w:t>
      </w:r>
      <w:r>
        <w:rPr>
          <w:rFonts w:hAnsi="標楷體" w:cs="Arial Unicode MS"/>
        </w:rPr>
        <w:t>%</w:t>
      </w:r>
      <w:r w:rsidR="0017173A" w:rsidRPr="00C0567B">
        <w:rPr>
          <w:rFonts w:hAnsi="標楷體" w:cs="Arial Unicode MS" w:hint="eastAsia"/>
        </w:rPr>
        <w:t>，惟醫學中心占床率年年均高於平均值，顯見分級醫療</w:t>
      </w:r>
      <w:r w:rsidR="0017173A" w:rsidRPr="00C0567B">
        <w:rPr>
          <w:rStyle w:val="af8"/>
          <w:rFonts w:hAnsi="標楷體" w:cs="Arial Unicode MS"/>
        </w:rPr>
        <w:footnoteReference w:id="1"/>
      </w:r>
      <w:r w:rsidR="0017173A" w:rsidRPr="00C0567B">
        <w:rPr>
          <w:rFonts w:hAnsi="標楷體" w:cs="Arial Unicode MS" w:hint="eastAsia"/>
        </w:rPr>
        <w:t>未達實質成效</w:t>
      </w:r>
      <w:r w:rsidR="00663287">
        <w:rPr>
          <w:rFonts w:hAnsi="標楷體" w:cs="Arial Unicode MS" w:hint="eastAsia"/>
        </w:rPr>
        <w:t>(</w:t>
      </w:r>
      <w:r w:rsidR="0017173A" w:rsidRPr="00C0567B">
        <w:rPr>
          <w:rFonts w:hAnsi="標楷體" w:hint="eastAsia"/>
        </w:rPr>
        <w:t>詳表</w:t>
      </w:r>
      <w:r w:rsidR="00044325">
        <w:rPr>
          <w:rFonts w:hAnsi="標楷體"/>
        </w:rPr>
        <w:t>3-3-1</w:t>
      </w:r>
      <w:r w:rsidR="00663287">
        <w:rPr>
          <w:rFonts w:hAnsi="標楷體"/>
        </w:rPr>
        <w:t>)</w:t>
      </w:r>
      <w:r w:rsidR="0017173A" w:rsidRPr="00C0567B">
        <w:rPr>
          <w:rFonts w:hAnsi="標楷體" w:cs="Arial Unicode MS" w:hint="eastAsia"/>
        </w:rPr>
        <w:t>。</w:t>
      </w:r>
    </w:p>
    <w:p w:rsidR="0017173A" w:rsidRPr="00C0567B" w:rsidRDefault="0017173A" w:rsidP="0017173A">
      <w:pPr>
        <w:pStyle w:val="21"/>
        <w:ind w:left="850" w:firstLine="566"/>
        <w:rPr>
          <w:rFonts w:hAnsi="標楷體"/>
        </w:rPr>
      </w:pPr>
      <w:r w:rsidRPr="00C0567B">
        <w:rPr>
          <w:rFonts w:hAnsi="標楷體" w:hint="eastAsia"/>
        </w:rPr>
        <w:t>依台灣急診醫學會</w:t>
      </w:r>
      <w:r w:rsidRPr="00C0567B">
        <w:rPr>
          <w:rStyle w:val="af8"/>
          <w:rFonts w:hAnsi="標楷體"/>
        </w:rPr>
        <w:footnoteReference w:id="2"/>
      </w:r>
      <w:r w:rsidRPr="00C0567B">
        <w:rPr>
          <w:rFonts w:hAnsi="標楷體" w:hint="eastAsia"/>
        </w:rPr>
        <w:t>發布聲明，1</w:t>
      </w:r>
      <w:r w:rsidRPr="00C0567B">
        <w:rPr>
          <w:rFonts w:hAnsi="標楷體"/>
        </w:rPr>
        <w:t>14</w:t>
      </w:r>
      <w:r w:rsidRPr="00C0567B">
        <w:rPr>
          <w:rFonts w:hAnsi="標楷體" w:hint="eastAsia"/>
        </w:rPr>
        <w:t>年急診壅塞情況已達前所未有的嚴重程度</w:t>
      </w:r>
      <w:r w:rsidR="00E35E6E">
        <w:rPr>
          <w:rFonts w:hAnsi="標楷體" w:hint="eastAsia"/>
        </w:rPr>
        <w:t>，</w:t>
      </w:r>
      <w:r w:rsidRPr="00C0567B">
        <w:rPr>
          <w:rFonts w:hAnsi="標楷體" w:hint="eastAsia"/>
        </w:rPr>
        <w:t>若問題持續，將引發急診醫護人員大規模離職，進一步削弱醫療體系的承受能力，並對病人安全與醫療品質造成嚴重影響。該學會指出，急診壅塞的現況係急診住院待床壅塞，急診出口阻塞，急重症病人被迫滯留急診，根本原因在於可利用住院床位不足，又多數醫院因各種原因關閉病房，壅塞更加嚴重。急診壅塞原因如下：</w:t>
      </w:r>
    </w:p>
    <w:p w:rsidR="0017173A" w:rsidRPr="00C0567B" w:rsidRDefault="0017173A" w:rsidP="0017173A">
      <w:pPr>
        <w:pStyle w:val="123"/>
        <w:ind w:left="1133" w:hanging="283"/>
        <w:rPr>
          <w:rFonts w:hAnsi="標楷體"/>
        </w:rPr>
      </w:pPr>
      <w:r w:rsidRPr="00C0567B">
        <w:rPr>
          <w:rFonts w:hAnsi="標楷體" w:hint="eastAsia"/>
        </w:rPr>
        <w:t>1.</w:t>
      </w:r>
      <w:r w:rsidRPr="00C0567B">
        <w:rPr>
          <w:rFonts w:hAnsi="標楷體" w:hint="eastAsia"/>
          <w:b/>
        </w:rPr>
        <w:t>病房護病比限制</w:t>
      </w:r>
      <w:r w:rsidRPr="00C0567B">
        <w:rPr>
          <w:rFonts w:hAnsi="標楷體" w:hint="eastAsia"/>
        </w:rPr>
        <w:t>：護理人力不足，導致醫院關閉病房，急診住院待床病人滯留情況加劇。</w:t>
      </w:r>
    </w:p>
    <w:p w:rsidR="0017173A" w:rsidRDefault="0017173A" w:rsidP="0017173A">
      <w:pPr>
        <w:pStyle w:val="123"/>
        <w:ind w:left="1133" w:hanging="283"/>
        <w:rPr>
          <w:rFonts w:hAnsi="標楷體"/>
        </w:rPr>
      </w:pPr>
      <w:r w:rsidRPr="00C0567B">
        <w:rPr>
          <w:rFonts w:hAnsi="標楷體"/>
        </w:rPr>
        <w:t>2</w:t>
      </w:r>
      <w:r w:rsidRPr="00C0567B">
        <w:rPr>
          <w:rFonts w:hAnsi="標楷體" w:hint="eastAsia"/>
        </w:rPr>
        <w:t>.</w:t>
      </w:r>
      <w:r w:rsidRPr="00C0567B">
        <w:rPr>
          <w:rFonts w:hAnsi="標楷體" w:hint="eastAsia"/>
          <w:b/>
        </w:rPr>
        <w:t>床位調度分配問題</w:t>
      </w:r>
      <w:r w:rsidRPr="00C0567B">
        <w:rPr>
          <w:rFonts w:hAnsi="標楷體" w:hint="eastAsia"/>
        </w:rPr>
        <w:t>：醫院在急診與門診預約住院床位分配失</w:t>
      </w:r>
      <w:r w:rsidRPr="00C0567B">
        <w:rPr>
          <w:rFonts w:hAnsi="標楷體" w:hint="eastAsia"/>
        </w:rPr>
        <w:lastRenderedPageBreak/>
        <w:t>衡，未能有效分配調度資源，造成急診壅塞。</w:t>
      </w:r>
    </w:p>
    <w:p w:rsidR="00C6760D" w:rsidRDefault="00C6760D" w:rsidP="0017173A">
      <w:pPr>
        <w:pStyle w:val="123"/>
        <w:ind w:left="1133" w:hanging="283"/>
        <w:rPr>
          <w:rFonts w:hAnsi="標楷體"/>
        </w:rPr>
      </w:pPr>
    </w:p>
    <w:p w:rsidR="00C6760D" w:rsidRDefault="00C6760D" w:rsidP="0017173A">
      <w:pPr>
        <w:pStyle w:val="123"/>
        <w:ind w:left="1133" w:hanging="283"/>
        <w:rPr>
          <w:rFonts w:hAnsi="標楷體"/>
        </w:rPr>
      </w:pPr>
    </w:p>
    <w:p w:rsidR="00C6760D" w:rsidRDefault="00C6760D" w:rsidP="0017173A">
      <w:pPr>
        <w:pStyle w:val="123"/>
        <w:ind w:left="1133" w:hanging="283"/>
        <w:rPr>
          <w:rFonts w:hAnsi="標楷體" w:hint="eastAsia"/>
        </w:rPr>
      </w:pPr>
    </w:p>
    <w:p w:rsidR="0017173A" w:rsidRPr="00C0567B" w:rsidRDefault="0017173A" w:rsidP="00DD485D">
      <w:pPr>
        <w:widowControl/>
        <w:adjustRightInd w:val="0"/>
        <w:ind w:leftChars="150" w:left="425" w:firstLineChars="0" w:firstLine="0"/>
        <w:rPr>
          <w:rFonts w:hAnsi="標楷體" w:cs="Calibri"/>
          <w:b/>
          <w:bCs/>
          <w:snapToGrid w:val="0"/>
          <w:lang w:val="x-none"/>
        </w:rPr>
      </w:pPr>
      <w:r w:rsidRPr="00C0567B">
        <w:rPr>
          <w:rFonts w:hAnsi="標楷體" w:cs="Calibri" w:hint="eastAsia"/>
          <w:b/>
          <w:bCs/>
          <w:snapToGrid w:val="0"/>
          <w:lang w:val="x-none"/>
        </w:rPr>
        <w:t>表</w:t>
      </w:r>
      <w:r w:rsidRPr="00C0567B">
        <w:rPr>
          <w:rFonts w:hAnsi="標楷體" w:cs="Calibri"/>
          <w:b/>
          <w:bCs/>
          <w:snapToGrid w:val="0"/>
          <w:lang w:val="x-none"/>
        </w:rPr>
        <w:t xml:space="preserve">3-3-1  </w:t>
      </w:r>
      <w:r w:rsidRPr="00C0567B">
        <w:rPr>
          <w:rFonts w:hAnsi="標楷體" w:cs="Calibri" w:hint="eastAsia"/>
          <w:b/>
          <w:bCs/>
          <w:snapToGrid w:val="0"/>
          <w:lang w:val="x-none"/>
        </w:rPr>
        <w:t>近年各公立醫院急診人次及急性一般病床占床率</w:t>
      </w:r>
    </w:p>
    <w:p w:rsidR="0017173A" w:rsidRPr="00C0567B" w:rsidRDefault="0017173A" w:rsidP="00E91791">
      <w:pPr>
        <w:pStyle w:val="142"/>
        <w:jc w:val="right"/>
        <w:rPr>
          <w:rFonts w:hAnsi="標楷體" w:hint="eastAsia"/>
          <w:snapToGrid w:val="0"/>
        </w:rPr>
      </w:pPr>
      <w:r w:rsidRPr="00C0567B">
        <w:rPr>
          <w:rFonts w:hAnsi="標楷體" w:hint="eastAsia"/>
          <w:snapToGrid w:val="0"/>
        </w:rPr>
        <w:t xml:space="preserve"> </w:t>
      </w:r>
      <w:r w:rsidRPr="00C0567B">
        <w:rPr>
          <w:rFonts w:hAnsi="標楷體"/>
          <w:snapToGrid w:val="0"/>
        </w:rPr>
        <w:t xml:space="preserve">   </w:t>
      </w:r>
      <w:r w:rsidRPr="00C0567B">
        <w:rPr>
          <w:rFonts w:hAnsi="標楷體" w:hint="eastAsia"/>
          <w:snapToGrid w:val="0"/>
        </w:rPr>
        <w:t>單位：人</w:t>
      </w:r>
      <w:r w:rsidR="00E91791">
        <w:rPr>
          <w:rFonts w:hAnsi="標楷體" w:hint="eastAsia"/>
          <w:snapToGrid w:val="0"/>
        </w:rPr>
        <w:t>次</w:t>
      </w:r>
      <w:r w:rsidRPr="00C0567B">
        <w:rPr>
          <w:rFonts w:hAnsi="標楷體" w:hint="eastAsia"/>
          <w:snapToGrid w:val="0"/>
        </w:rPr>
        <w:t>、%</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9"/>
        <w:gridCol w:w="2106"/>
        <w:gridCol w:w="1576"/>
        <w:gridCol w:w="1285"/>
        <w:gridCol w:w="1285"/>
        <w:gridCol w:w="1205"/>
      </w:tblGrid>
      <w:tr w:rsidR="0017173A" w:rsidRPr="00C0567B" w:rsidTr="0017173A">
        <w:trPr>
          <w:trHeight w:val="413"/>
          <w:tblHeader/>
        </w:trPr>
        <w:tc>
          <w:tcPr>
            <w:tcW w:w="729" w:type="dxa"/>
            <w:vMerge w:val="restart"/>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年度</w:t>
            </w:r>
          </w:p>
        </w:tc>
        <w:tc>
          <w:tcPr>
            <w:tcW w:w="2106" w:type="dxa"/>
            <w:vMerge w:val="restart"/>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hint="eastAsia"/>
                <w:b/>
                <w:snapToGrid w:val="0"/>
                <w:sz w:val="24"/>
                <w:szCs w:val="24"/>
                <w:lang w:val="x-none" w:eastAsia="x-none"/>
              </w:rPr>
            </w:pPr>
            <w:r w:rsidRPr="00C0567B">
              <w:rPr>
                <w:rFonts w:hAnsi="標楷體" w:cs="Calibri" w:hint="eastAsia"/>
                <w:b/>
                <w:snapToGrid w:val="0"/>
                <w:sz w:val="24"/>
                <w:szCs w:val="24"/>
                <w:lang w:val="x-none" w:eastAsia="x-none"/>
              </w:rPr>
              <w:t>急診人次</w:t>
            </w:r>
          </w:p>
        </w:tc>
        <w:tc>
          <w:tcPr>
            <w:tcW w:w="1576" w:type="dxa"/>
            <w:vMerge w:val="restart"/>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急性一般病床占床率</w:t>
            </w:r>
          </w:p>
        </w:tc>
        <w:tc>
          <w:tcPr>
            <w:tcW w:w="3775" w:type="dxa"/>
            <w:gridSpan w:val="3"/>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rPr>
              <w:t>特約類別</w:t>
            </w:r>
            <w:r w:rsidRPr="00C0567B">
              <w:rPr>
                <w:rFonts w:hAnsi="標楷體" w:cs="Calibri" w:hint="eastAsia"/>
                <w:b/>
                <w:snapToGrid w:val="0"/>
                <w:sz w:val="24"/>
                <w:szCs w:val="24"/>
                <w:lang w:val="x-none" w:eastAsia="x-none"/>
              </w:rPr>
              <w:t>急性一般病床占床率</w:t>
            </w:r>
          </w:p>
        </w:tc>
      </w:tr>
      <w:tr w:rsidR="0017173A" w:rsidRPr="00C0567B" w:rsidTr="0017173A">
        <w:trPr>
          <w:tblHeader/>
        </w:trPr>
        <w:tc>
          <w:tcPr>
            <w:tcW w:w="729" w:type="dxa"/>
            <w:vMerge/>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2106" w:type="dxa"/>
            <w:vMerge/>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1576" w:type="dxa"/>
            <w:vMerge/>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p>
        </w:tc>
        <w:tc>
          <w:tcPr>
            <w:tcW w:w="128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醫學中心</w:t>
            </w:r>
          </w:p>
        </w:tc>
        <w:tc>
          <w:tcPr>
            <w:tcW w:w="128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hint="eastAsia"/>
                <w:b/>
                <w:snapToGrid w:val="0"/>
                <w:sz w:val="24"/>
                <w:szCs w:val="24"/>
                <w:lang w:val="x-none" w:eastAsia="x-none"/>
              </w:rPr>
            </w:pPr>
            <w:r w:rsidRPr="00C0567B">
              <w:rPr>
                <w:rFonts w:hAnsi="標楷體" w:cs="Calibri" w:hint="eastAsia"/>
                <w:b/>
                <w:snapToGrid w:val="0"/>
                <w:sz w:val="24"/>
                <w:szCs w:val="24"/>
                <w:lang w:val="x-none" w:eastAsia="x-none"/>
              </w:rPr>
              <w:t>區域醫院</w:t>
            </w:r>
          </w:p>
        </w:tc>
        <w:tc>
          <w:tcPr>
            <w:tcW w:w="1205" w:type="dxa"/>
            <w:shd w:val="clear" w:color="auto" w:fill="auto"/>
            <w:vAlign w:val="center"/>
          </w:tcPr>
          <w:p w:rsidR="0017173A" w:rsidRPr="00C0567B" w:rsidRDefault="0017173A" w:rsidP="0017173A">
            <w:pPr>
              <w:widowControl/>
              <w:adjustRightInd w:val="0"/>
              <w:spacing w:line="300" w:lineRule="exact"/>
              <w:ind w:leftChars="0" w:left="0" w:firstLineChars="0" w:firstLine="0"/>
              <w:jc w:val="center"/>
              <w:rPr>
                <w:rFonts w:hAnsi="標楷體" w:cs="Calibri"/>
                <w:b/>
                <w:snapToGrid w:val="0"/>
                <w:sz w:val="24"/>
                <w:szCs w:val="24"/>
                <w:lang w:val="x-none" w:eastAsia="x-none"/>
              </w:rPr>
            </w:pPr>
            <w:r w:rsidRPr="00C0567B">
              <w:rPr>
                <w:rFonts w:hAnsi="標楷體" w:cs="Calibri" w:hint="eastAsia"/>
                <w:b/>
                <w:snapToGrid w:val="0"/>
                <w:sz w:val="24"/>
                <w:szCs w:val="24"/>
                <w:lang w:val="x-none" w:eastAsia="x-none"/>
              </w:rPr>
              <w:t>地區醫院</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09</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6</w:t>
            </w:r>
            <w:r w:rsidRPr="00C0567B">
              <w:rPr>
                <w:rFonts w:hAnsi="標楷體" w:cs="Calibri"/>
                <w:bCs/>
                <w:snapToGrid w:val="0"/>
                <w:sz w:val="24"/>
                <w:szCs w:val="24"/>
                <w:lang w:val="x-none" w:eastAsia="x-none"/>
              </w:rPr>
              <w:t>,586,862</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5.72</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8</w:t>
            </w:r>
            <w:r w:rsidRPr="00C0567B">
              <w:rPr>
                <w:rFonts w:hAnsi="標楷體" w:cs="Calibri"/>
                <w:bCs/>
                <w:snapToGrid w:val="0"/>
                <w:sz w:val="24"/>
                <w:szCs w:val="24"/>
                <w:lang w:val="x-none"/>
              </w:rPr>
              <w:t>0.75</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3.74</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5.27</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10</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6</w:t>
            </w:r>
            <w:r w:rsidRPr="00C0567B">
              <w:rPr>
                <w:rFonts w:hAnsi="標楷體" w:cs="Calibri"/>
                <w:bCs/>
                <w:snapToGrid w:val="0"/>
                <w:sz w:val="24"/>
                <w:szCs w:val="24"/>
                <w:lang w:val="x-none" w:eastAsia="x-none"/>
              </w:rPr>
              <w:t>,613,300</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1.40</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7</w:t>
            </w:r>
            <w:r w:rsidRPr="00C0567B">
              <w:rPr>
                <w:rFonts w:hAnsi="標楷體" w:cs="Calibri"/>
                <w:bCs/>
                <w:snapToGrid w:val="0"/>
                <w:sz w:val="24"/>
                <w:szCs w:val="24"/>
                <w:lang w:val="x-none"/>
              </w:rPr>
              <w:t>6.78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5</w:t>
            </w:r>
            <w:r w:rsidRPr="00C0567B">
              <w:rPr>
                <w:rFonts w:hAnsi="標楷體" w:cs="Calibri"/>
                <w:bCs/>
                <w:snapToGrid w:val="0"/>
                <w:sz w:val="24"/>
                <w:szCs w:val="24"/>
                <w:lang w:val="x-none"/>
              </w:rPr>
              <w:t>8.10</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5.01</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11</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8</w:t>
            </w:r>
            <w:r w:rsidRPr="00C0567B">
              <w:rPr>
                <w:rFonts w:hAnsi="標楷體" w:cs="Calibri"/>
                <w:bCs/>
                <w:snapToGrid w:val="0"/>
                <w:sz w:val="24"/>
                <w:szCs w:val="24"/>
                <w:lang w:val="x-none" w:eastAsia="x-none"/>
              </w:rPr>
              <w:t>,238,970</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1.08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7</w:t>
            </w:r>
            <w:r w:rsidRPr="00C0567B">
              <w:rPr>
                <w:rFonts w:hAnsi="標楷體" w:cs="Calibri"/>
                <w:bCs/>
                <w:snapToGrid w:val="0"/>
                <w:sz w:val="24"/>
                <w:szCs w:val="24"/>
                <w:lang w:val="x-none"/>
              </w:rPr>
              <w:t>6.16</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5</w:t>
            </w:r>
            <w:r w:rsidRPr="00C0567B">
              <w:rPr>
                <w:rFonts w:hAnsi="標楷體" w:cs="Calibri"/>
                <w:bCs/>
                <w:snapToGrid w:val="0"/>
                <w:sz w:val="24"/>
                <w:szCs w:val="24"/>
                <w:lang w:val="x-none"/>
              </w:rPr>
              <w:t>8.17</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3.17</w:t>
            </w:r>
          </w:p>
        </w:tc>
      </w:tr>
      <w:tr w:rsidR="0017173A" w:rsidRPr="00C0567B" w:rsidTr="0017173A">
        <w:tc>
          <w:tcPr>
            <w:tcW w:w="729" w:type="dxa"/>
            <w:shd w:val="clear" w:color="auto" w:fill="auto"/>
          </w:tcPr>
          <w:p w:rsidR="0017173A" w:rsidRPr="00C0567B" w:rsidRDefault="0017173A" w:rsidP="0017173A">
            <w:pPr>
              <w:widowControl/>
              <w:adjustRightInd w:val="0"/>
              <w:spacing w:line="300" w:lineRule="exact"/>
              <w:ind w:leftChars="0" w:left="0" w:firstLineChars="0" w:firstLine="0"/>
              <w:jc w:val="center"/>
              <w:rPr>
                <w:rFonts w:hAnsi="標楷體" w:cs="Calibri"/>
                <w:bCs/>
                <w:snapToGrid w:val="0"/>
                <w:sz w:val="24"/>
                <w:szCs w:val="24"/>
                <w:lang w:val="x-none" w:eastAsia="x-none"/>
              </w:rPr>
            </w:pPr>
            <w:r w:rsidRPr="00C0567B">
              <w:rPr>
                <w:rFonts w:hAnsi="標楷體" w:cs="Calibri" w:hint="eastAsia"/>
                <w:bCs/>
                <w:snapToGrid w:val="0"/>
                <w:sz w:val="24"/>
                <w:szCs w:val="24"/>
                <w:lang w:val="x-none" w:eastAsia="x-none"/>
              </w:rPr>
              <w:t>1</w:t>
            </w:r>
            <w:r w:rsidRPr="00C0567B">
              <w:rPr>
                <w:rFonts w:hAnsi="標楷體" w:cs="Calibri"/>
                <w:bCs/>
                <w:snapToGrid w:val="0"/>
                <w:sz w:val="24"/>
                <w:szCs w:val="24"/>
                <w:lang w:val="x-none" w:eastAsia="x-none"/>
              </w:rPr>
              <w:t>12</w:t>
            </w:r>
          </w:p>
        </w:tc>
        <w:tc>
          <w:tcPr>
            <w:tcW w:w="2106" w:type="dxa"/>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eastAsia="x-none"/>
              </w:rPr>
            </w:pPr>
            <w:r w:rsidRPr="00C0567B">
              <w:rPr>
                <w:rFonts w:hAnsi="標楷體" w:cs="Calibri" w:hint="eastAsia"/>
                <w:bCs/>
                <w:snapToGrid w:val="0"/>
                <w:sz w:val="24"/>
                <w:szCs w:val="24"/>
                <w:lang w:val="x-none" w:eastAsia="x-none"/>
              </w:rPr>
              <w:t>7</w:t>
            </w:r>
            <w:r w:rsidRPr="00C0567B">
              <w:rPr>
                <w:rFonts w:hAnsi="標楷體" w:cs="Calibri"/>
                <w:bCs/>
                <w:snapToGrid w:val="0"/>
                <w:sz w:val="24"/>
                <w:szCs w:val="24"/>
                <w:lang w:val="x-none" w:eastAsia="x-none"/>
              </w:rPr>
              <w:t>,754,665</w:t>
            </w:r>
          </w:p>
        </w:tc>
        <w:tc>
          <w:tcPr>
            <w:tcW w:w="1576"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6.88</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8</w:t>
            </w:r>
            <w:r w:rsidRPr="00C0567B">
              <w:rPr>
                <w:rFonts w:hAnsi="標楷體" w:cs="Calibri"/>
                <w:bCs/>
                <w:snapToGrid w:val="0"/>
                <w:sz w:val="24"/>
                <w:szCs w:val="24"/>
                <w:lang w:val="x-none"/>
              </w:rPr>
              <w:t>2.77</w:t>
            </w:r>
          </w:p>
        </w:tc>
        <w:tc>
          <w:tcPr>
            <w:tcW w:w="128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2.89</w:t>
            </w:r>
          </w:p>
        </w:tc>
        <w:tc>
          <w:tcPr>
            <w:tcW w:w="1205" w:type="dxa"/>
            <w:shd w:val="clear" w:color="auto" w:fill="auto"/>
          </w:tcPr>
          <w:p w:rsidR="0017173A" w:rsidRPr="00C0567B" w:rsidRDefault="0017173A" w:rsidP="0017173A">
            <w:pPr>
              <w:widowControl/>
              <w:adjustRightInd w:val="0"/>
              <w:spacing w:line="300" w:lineRule="exact"/>
              <w:ind w:leftChars="0" w:left="0" w:firstLineChars="0" w:firstLine="0"/>
              <w:jc w:val="right"/>
              <w:rPr>
                <w:rFonts w:hAnsi="標楷體" w:cs="Calibri" w:hint="eastAsia"/>
                <w:bCs/>
                <w:snapToGrid w:val="0"/>
                <w:sz w:val="24"/>
                <w:szCs w:val="24"/>
                <w:lang w:val="x-none"/>
              </w:rPr>
            </w:pPr>
            <w:r w:rsidRPr="00C0567B">
              <w:rPr>
                <w:rFonts w:hAnsi="標楷體" w:cs="Calibri" w:hint="eastAsia"/>
                <w:bCs/>
                <w:snapToGrid w:val="0"/>
                <w:sz w:val="24"/>
                <w:szCs w:val="24"/>
                <w:lang w:val="x-none"/>
              </w:rPr>
              <w:t>6</w:t>
            </w:r>
            <w:r w:rsidRPr="00C0567B">
              <w:rPr>
                <w:rFonts w:hAnsi="標楷體" w:cs="Calibri"/>
                <w:bCs/>
                <w:snapToGrid w:val="0"/>
                <w:sz w:val="24"/>
                <w:szCs w:val="24"/>
                <w:lang w:val="x-none"/>
              </w:rPr>
              <w:t>7.22</w:t>
            </w:r>
          </w:p>
        </w:tc>
      </w:tr>
    </w:tbl>
    <w:p w:rsidR="0017173A" w:rsidRPr="00C0567B" w:rsidRDefault="0017173A" w:rsidP="0017173A">
      <w:pPr>
        <w:widowControl/>
        <w:adjustRightInd w:val="0"/>
        <w:spacing w:line="300" w:lineRule="exact"/>
        <w:ind w:leftChars="150" w:left="425" w:firstLineChars="0" w:firstLine="0"/>
        <w:rPr>
          <w:rFonts w:hAnsi="標楷體" w:cs="Calibri"/>
          <w:snapToGrid w:val="0"/>
          <w:sz w:val="24"/>
          <w:szCs w:val="24"/>
          <w:lang w:val="x-none"/>
        </w:rPr>
      </w:pPr>
      <w:r w:rsidRPr="00C0567B">
        <w:rPr>
          <w:rFonts w:hAnsi="標楷體" w:cs="Calibri" w:hint="eastAsia"/>
          <w:snapToGrid w:val="0"/>
          <w:sz w:val="24"/>
          <w:szCs w:val="24"/>
          <w:lang w:val="x-none"/>
        </w:rPr>
        <w:t xml:space="preserve">說 </w:t>
      </w:r>
      <w:r w:rsidRPr="00C0567B">
        <w:rPr>
          <w:rFonts w:hAnsi="標楷體" w:cs="Calibri"/>
          <w:snapToGrid w:val="0"/>
          <w:sz w:val="24"/>
          <w:szCs w:val="24"/>
          <w:lang w:val="x-none"/>
        </w:rPr>
        <w:t xml:space="preserve">   </w:t>
      </w:r>
      <w:r w:rsidRPr="00C0567B">
        <w:rPr>
          <w:rFonts w:hAnsi="標楷體" w:cs="Calibri" w:hint="eastAsia"/>
          <w:snapToGrid w:val="0"/>
          <w:sz w:val="24"/>
          <w:szCs w:val="24"/>
          <w:lang w:val="x-none"/>
        </w:rPr>
        <w:t>明：1</w:t>
      </w:r>
      <w:r w:rsidRPr="00C0567B">
        <w:rPr>
          <w:rFonts w:hAnsi="標楷體" w:cs="Calibri"/>
          <w:snapToGrid w:val="0"/>
          <w:sz w:val="24"/>
          <w:szCs w:val="24"/>
          <w:lang w:val="x-none"/>
        </w:rPr>
        <w:t>.</w:t>
      </w:r>
      <w:r w:rsidRPr="00C0567B">
        <w:rPr>
          <w:rFonts w:hAnsi="標楷體" w:cs="Calibri" w:hint="eastAsia"/>
          <w:snapToGrid w:val="0"/>
          <w:sz w:val="24"/>
          <w:szCs w:val="24"/>
          <w:lang w:val="x-none"/>
        </w:rPr>
        <w:t>占床率</w:t>
      </w:r>
      <w:r w:rsidRPr="00C0567B">
        <w:rPr>
          <w:rFonts w:hAnsi="標楷體" w:cs="Calibri"/>
          <w:snapToGrid w:val="0"/>
          <w:sz w:val="24"/>
          <w:szCs w:val="24"/>
          <w:lang w:val="x-none"/>
        </w:rPr>
        <w:t>=全年住院人日數∕(床數×365)×100。</w:t>
      </w:r>
    </w:p>
    <w:p w:rsidR="0017173A" w:rsidRPr="00C0567B" w:rsidRDefault="0017173A" w:rsidP="0017173A">
      <w:pPr>
        <w:widowControl/>
        <w:spacing w:line="300" w:lineRule="exact"/>
        <w:ind w:leftChars="580" w:left="2129" w:hangingChars="200" w:hanging="486"/>
        <w:jc w:val="left"/>
        <w:rPr>
          <w:rFonts w:hAnsi="標楷體" w:cs="Arial Unicode MS" w:hint="eastAsia"/>
          <w:kern w:val="0"/>
          <w:sz w:val="24"/>
          <w:szCs w:val="24"/>
        </w:rPr>
      </w:pPr>
      <w:r w:rsidRPr="00C0567B">
        <w:rPr>
          <w:rFonts w:hAnsi="標楷體" w:cs="Arial Unicode MS" w:hint="eastAsia"/>
          <w:kern w:val="0"/>
          <w:sz w:val="24"/>
          <w:szCs w:val="24"/>
        </w:rPr>
        <w:t>2</w:t>
      </w:r>
      <w:r w:rsidRPr="00C0567B">
        <w:rPr>
          <w:rFonts w:hAnsi="標楷體" w:cs="Arial Unicode MS"/>
          <w:kern w:val="0"/>
          <w:sz w:val="24"/>
          <w:szCs w:val="24"/>
        </w:rPr>
        <w:t>.113</w:t>
      </w:r>
      <w:r w:rsidRPr="00C0567B">
        <w:rPr>
          <w:rFonts w:hAnsi="標楷體" w:cs="Arial Unicode MS" w:hint="eastAsia"/>
          <w:kern w:val="0"/>
          <w:sz w:val="24"/>
          <w:szCs w:val="24"/>
        </w:rPr>
        <w:t>年度衛生福利部尚未公布。</w:t>
      </w:r>
    </w:p>
    <w:p w:rsidR="0017173A" w:rsidRPr="00C0567B" w:rsidRDefault="0017173A" w:rsidP="0017173A">
      <w:pPr>
        <w:widowControl/>
        <w:adjustRightInd w:val="0"/>
        <w:spacing w:line="300" w:lineRule="exact"/>
        <w:ind w:leftChars="150" w:left="1641" w:hangingChars="500" w:hanging="1216"/>
        <w:rPr>
          <w:rFonts w:hAnsi="標楷體" w:cs="Calibri" w:hint="eastAsia"/>
          <w:snapToGrid w:val="0"/>
          <w:lang w:val="x-none"/>
        </w:rPr>
      </w:pPr>
      <w:r w:rsidRPr="00C0567B">
        <w:rPr>
          <w:rFonts w:hAnsi="標楷體" w:cs="Calibri"/>
          <w:snapToGrid w:val="0"/>
          <w:sz w:val="24"/>
          <w:szCs w:val="24"/>
          <w:lang w:val="x-none" w:eastAsia="x-none"/>
        </w:rPr>
        <w:t>資料來源</w:t>
      </w:r>
      <w:r w:rsidRPr="00C0567B">
        <w:rPr>
          <w:rFonts w:hAnsi="標楷體" w:cs="Calibri" w:hint="eastAsia"/>
          <w:snapToGrid w:val="0"/>
          <w:sz w:val="24"/>
          <w:szCs w:val="24"/>
          <w:lang w:val="x-none" w:eastAsia="x-none"/>
        </w:rPr>
        <w:t>：</w:t>
      </w:r>
      <w:r w:rsidRPr="00C0567B">
        <w:rPr>
          <w:rFonts w:hAnsi="標楷體" w:cs="Calibri" w:hint="eastAsia"/>
          <w:snapToGrid w:val="0"/>
          <w:sz w:val="24"/>
          <w:szCs w:val="24"/>
          <w:lang w:val="x-none"/>
        </w:rPr>
        <w:t>衛生福利部統計處醫事機構服務量調查</w:t>
      </w:r>
      <w:r w:rsidR="00E91791">
        <w:rPr>
          <w:rFonts w:hAnsi="標楷體" w:cs="Calibri" w:hint="eastAsia"/>
          <w:snapToGrid w:val="0"/>
          <w:sz w:val="24"/>
          <w:szCs w:val="24"/>
          <w:lang w:val="x-none"/>
        </w:rPr>
        <w:t>(</w:t>
      </w:r>
      <w:r w:rsidRPr="00C0567B">
        <w:rPr>
          <w:rFonts w:hAnsi="標楷體" w:cs="Calibri" w:hint="eastAsia"/>
          <w:snapToGrid w:val="0"/>
          <w:sz w:val="24"/>
          <w:szCs w:val="24"/>
          <w:lang w:val="x-none"/>
        </w:rPr>
        <w:t>1</w:t>
      </w:r>
      <w:r w:rsidRPr="00C0567B">
        <w:rPr>
          <w:rFonts w:hAnsi="標楷體" w:cs="Calibri"/>
          <w:snapToGrid w:val="0"/>
          <w:sz w:val="24"/>
          <w:szCs w:val="24"/>
          <w:lang w:val="x-none"/>
        </w:rPr>
        <w:t>14</w:t>
      </w:r>
      <w:r w:rsidRPr="00C0567B">
        <w:rPr>
          <w:rFonts w:hAnsi="標楷體" w:cs="Calibri" w:hint="eastAsia"/>
          <w:snapToGrid w:val="0"/>
          <w:sz w:val="24"/>
          <w:szCs w:val="24"/>
          <w:lang w:val="x-none"/>
        </w:rPr>
        <w:t>年7月1日查詢</w:t>
      </w:r>
      <w:r w:rsidR="00E91791">
        <w:rPr>
          <w:rFonts w:hAnsi="標楷體" w:cs="Calibri" w:hint="eastAsia"/>
          <w:snapToGrid w:val="0"/>
          <w:sz w:val="24"/>
          <w:szCs w:val="24"/>
          <w:lang w:val="x-none"/>
        </w:rPr>
        <w:t>)</w:t>
      </w:r>
      <w:r w:rsidRPr="00C0567B">
        <w:rPr>
          <w:rFonts w:hAnsi="標楷體" w:cs="Calibri" w:hint="eastAsia"/>
          <w:snapToGrid w:val="0"/>
          <w:sz w:val="24"/>
          <w:szCs w:val="24"/>
          <w:lang w:val="x-none" w:eastAsia="x-none"/>
        </w:rPr>
        <w:t>；本中心彙製。</w:t>
      </w:r>
    </w:p>
    <w:p w:rsidR="0017173A" w:rsidRPr="00E91791" w:rsidRDefault="004154A9" w:rsidP="0017173A">
      <w:pPr>
        <w:pStyle w:val="a5"/>
        <w:ind w:left="849" w:hanging="283"/>
        <w:rPr>
          <w:rFonts w:hAnsi="標楷體" w:hint="eastAsia"/>
          <w:b/>
        </w:rPr>
      </w:pPr>
      <w:r w:rsidRPr="00C0567B">
        <w:rPr>
          <w:rFonts w:hAnsi="標楷體" w:hint="eastAsia"/>
          <w:b/>
        </w:rPr>
        <w:t>(二)</w:t>
      </w:r>
      <w:r w:rsidR="0017173A" w:rsidRPr="00E91791">
        <w:rPr>
          <w:rFonts w:hAnsi="標楷體" w:hint="eastAsia"/>
          <w:b/>
        </w:rPr>
        <w:t>近年</w:t>
      </w:r>
      <w:r w:rsidR="0017173A" w:rsidRPr="00E91791">
        <w:rPr>
          <w:rFonts w:hAnsi="標楷體"/>
          <w:b/>
        </w:rPr>
        <w:t>部分公立醫院急診轉住院暫留急診超過48小時案件比</w:t>
      </w:r>
      <w:r w:rsidR="0017173A" w:rsidRPr="00E91791">
        <w:rPr>
          <w:rFonts w:hAnsi="標楷體" w:hint="eastAsia"/>
          <w:b/>
        </w:rPr>
        <w:t>高於全國指標值，允宜積極研謀有效方案，緩解急診壅塞情形</w:t>
      </w:r>
    </w:p>
    <w:p w:rsidR="0017173A" w:rsidRPr="00C0567B" w:rsidRDefault="0017173A" w:rsidP="0017173A">
      <w:pPr>
        <w:pStyle w:val="21"/>
        <w:ind w:left="850" w:firstLine="566"/>
        <w:rPr>
          <w:rFonts w:hAnsi="標楷體"/>
        </w:rPr>
      </w:pPr>
      <w:r w:rsidRPr="00C0567B">
        <w:rPr>
          <w:rFonts w:hAnsi="標楷體" w:hint="eastAsia"/>
        </w:rPr>
        <w:t>依據美國醫療機構評鑑聯合會</w:t>
      </w:r>
      <w:r w:rsidR="00663287">
        <w:rPr>
          <w:rFonts w:hAnsi="標楷體" w:hint="eastAsia"/>
        </w:rPr>
        <w:t>(</w:t>
      </w:r>
      <w:r w:rsidRPr="00C0567B">
        <w:rPr>
          <w:rFonts w:hAnsi="標楷體"/>
        </w:rPr>
        <w:t>Commission on Accreditation of Healthcare</w:t>
      </w:r>
      <w:r w:rsidR="002B5D53">
        <w:rPr>
          <w:rFonts w:hAnsi="標楷體"/>
        </w:rPr>
        <w:t xml:space="preserve"> </w:t>
      </w:r>
      <w:r w:rsidRPr="00C0567B">
        <w:rPr>
          <w:rFonts w:hAnsi="標楷體"/>
        </w:rPr>
        <w:t>Organizations,簡稱JCAHO)的報告</w:t>
      </w:r>
      <w:r w:rsidRPr="00C0567B">
        <w:rPr>
          <w:rStyle w:val="af8"/>
          <w:rFonts w:hAnsi="標楷體"/>
        </w:rPr>
        <w:footnoteReference w:id="3"/>
      </w:r>
      <w:r w:rsidRPr="00C0567B">
        <w:rPr>
          <w:rFonts w:hAnsi="標楷體"/>
        </w:rPr>
        <w:t>，超過 53%延誤治療的警訊事件(sentinel event)</w:t>
      </w:r>
      <w:r w:rsidRPr="00C0567B">
        <w:rPr>
          <w:rFonts w:hAnsi="標楷體" w:hint="eastAsia"/>
        </w:rPr>
        <w:t>是發生在急診，而因急診壅塞所造成的事件就占</w:t>
      </w:r>
      <w:r w:rsidRPr="00C0567B">
        <w:rPr>
          <w:rFonts w:hAnsi="標楷體"/>
        </w:rPr>
        <w:t>31%。</w:t>
      </w:r>
      <w:r w:rsidRPr="00C0567B">
        <w:rPr>
          <w:rFonts w:hAnsi="標楷體" w:hint="eastAsia"/>
        </w:rPr>
        <w:t>又</w:t>
      </w:r>
      <w:r w:rsidRPr="00C0567B">
        <w:rPr>
          <w:rFonts w:hAnsi="標楷體"/>
        </w:rPr>
        <w:t>Sprivulis(2006)等的報告，壅塞時段，急診病人在第2及第7天的</w:t>
      </w:r>
      <w:r w:rsidRPr="00C0567B">
        <w:rPr>
          <w:rFonts w:hAnsi="標楷體" w:hint="eastAsia"/>
        </w:rPr>
        <w:t>死亡率增加</w:t>
      </w:r>
      <w:r w:rsidRPr="00C0567B">
        <w:rPr>
          <w:rFonts w:hAnsi="標楷體"/>
        </w:rPr>
        <w:t>30%。顯示，急診壅塞不僅影響病人的安全，同時也會造成醫療品質</w:t>
      </w:r>
      <w:r w:rsidRPr="00C0567B">
        <w:rPr>
          <w:rFonts w:hAnsi="標楷體" w:hint="eastAsia"/>
        </w:rPr>
        <w:t>的下降。</w:t>
      </w:r>
    </w:p>
    <w:p w:rsidR="0017173A" w:rsidRPr="00C0567B" w:rsidRDefault="0017173A" w:rsidP="0017173A">
      <w:pPr>
        <w:pStyle w:val="21"/>
        <w:ind w:left="850" w:firstLine="566"/>
        <w:rPr>
          <w:rFonts w:hAnsi="標楷體"/>
        </w:rPr>
      </w:pPr>
      <w:r w:rsidRPr="00C0567B">
        <w:rPr>
          <w:rFonts w:hAnsi="標楷體" w:hint="eastAsia"/>
        </w:rPr>
        <w:t>依全民健康保險醫療品質資訊公開網</w:t>
      </w:r>
      <w:r w:rsidRPr="00C0567B">
        <w:rPr>
          <w:rFonts w:hAnsi="標楷體"/>
        </w:rPr>
        <w:t>統計資料，112</w:t>
      </w:r>
      <w:r w:rsidR="00E91791">
        <w:rPr>
          <w:rFonts w:hAnsi="標楷體" w:hint="eastAsia"/>
        </w:rPr>
        <w:t>及</w:t>
      </w:r>
      <w:r w:rsidRPr="00C0567B">
        <w:rPr>
          <w:rFonts w:hAnsi="標楷體" w:hint="eastAsia"/>
        </w:rPr>
        <w:t>1</w:t>
      </w:r>
      <w:r w:rsidRPr="00C0567B">
        <w:rPr>
          <w:rFonts w:hAnsi="標楷體"/>
        </w:rPr>
        <w:t>13年度</w:t>
      </w:r>
      <w:r w:rsidRPr="00C0567B">
        <w:rPr>
          <w:rFonts w:hAnsi="標楷體" w:hint="eastAsia"/>
        </w:rPr>
        <w:t>中央部會轄管</w:t>
      </w:r>
      <w:r w:rsidRPr="00C0567B">
        <w:rPr>
          <w:rFonts w:hAnsi="標楷體"/>
        </w:rPr>
        <w:t>公立醫院急診轉住院暫留急診超過48小時案</w:t>
      </w:r>
      <w:r w:rsidRPr="00C0567B">
        <w:rPr>
          <w:rFonts w:hAnsi="標楷體" w:hint="eastAsia"/>
        </w:rPr>
        <w:t>件比率</w:t>
      </w:r>
      <w:r w:rsidRPr="00C0567B">
        <w:rPr>
          <w:rFonts w:hAnsi="標楷體"/>
        </w:rPr>
        <w:t>高於全國指標值</w:t>
      </w:r>
      <w:r w:rsidRPr="00C0567B">
        <w:rPr>
          <w:rFonts w:hAnsi="標楷體" w:hint="eastAsia"/>
        </w:rPr>
        <w:t>之醫院</w:t>
      </w:r>
      <w:r w:rsidR="00E91791">
        <w:rPr>
          <w:rFonts w:hAnsi="標楷體" w:hint="eastAsia"/>
        </w:rPr>
        <w:t>中</w:t>
      </w:r>
      <w:r w:rsidRPr="00C0567B">
        <w:rPr>
          <w:rFonts w:hAnsi="標楷體"/>
        </w:rPr>
        <w:t>，</w:t>
      </w:r>
      <w:r w:rsidRPr="00C0567B">
        <w:rPr>
          <w:rFonts w:hAnsi="標楷體" w:hint="eastAsia"/>
        </w:rPr>
        <w:t>醫學中心全國指標值多偏高，如</w:t>
      </w:r>
      <w:bookmarkStart w:id="3" w:name="_Hlk198026575"/>
      <w:r w:rsidRPr="00C0567B">
        <w:rPr>
          <w:rFonts w:hAnsi="標楷體" w:hint="eastAsia"/>
        </w:rPr>
        <w:t>臺大醫院</w:t>
      </w:r>
      <w:bookmarkEnd w:id="3"/>
      <w:r w:rsidRPr="00C0567B">
        <w:rPr>
          <w:rFonts w:hAnsi="標楷體" w:hint="eastAsia"/>
        </w:rPr>
        <w:t>、成大醫院、台北榮總等醫學中心均連續</w:t>
      </w:r>
      <w:r w:rsidRPr="00C0567B">
        <w:rPr>
          <w:rFonts w:hAnsi="標楷體"/>
        </w:rPr>
        <w:t>7</w:t>
      </w:r>
      <w:r w:rsidRPr="00C0567B">
        <w:rPr>
          <w:rFonts w:hAnsi="標楷體" w:hint="eastAsia"/>
        </w:rPr>
        <w:t>季超過全國指標值，其中又以臺大醫院最高</w:t>
      </w:r>
      <w:r w:rsidR="00663287">
        <w:rPr>
          <w:rFonts w:hAnsi="標楷體" w:hint="eastAsia"/>
        </w:rPr>
        <w:t>(</w:t>
      </w:r>
      <w:r w:rsidRPr="00C0567B">
        <w:rPr>
          <w:rFonts w:hAnsi="標楷體"/>
        </w:rPr>
        <w:t>詳表</w:t>
      </w:r>
      <w:r w:rsidR="002B5D53">
        <w:rPr>
          <w:rFonts w:hAnsi="標楷體"/>
        </w:rPr>
        <w:t>3-3-2</w:t>
      </w:r>
      <w:r w:rsidR="00663287">
        <w:rPr>
          <w:rFonts w:hAnsi="標楷體"/>
        </w:rPr>
        <w:t>)</w:t>
      </w:r>
      <w:r w:rsidRPr="00C0567B">
        <w:rPr>
          <w:rFonts w:hAnsi="標楷體"/>
        </w:rPr>
        <w:t>。現行</w:t>
      </w:r>
      <w:r w:rsidRPr="00C0567B">
        <w:rPr>
          <w:rFonts w:hAnsi="標楷體"/>
        </w:rPr>
        <w:lastRenderedPageBreak/>
        <w:t>全民健康保險法第43條及第47條明定保險對象就醫及住院應自行負擔部分費用，為落實分</w:t>
      </w:r>
      <w:r w:rsidRPr="00C0567B">
        <w:rPr>
          <w:rFonts w:hAnsi="標楷體" w:hint="eastAsia"/>
        </w:rPr>
        <w:t>級醫療，衛福部於</w:t>
      </w:r>
      <w:r w:rsidRPr="00C0567B">
        <w:rPr>
          <w:rFonts w:hAnsi="標楷體"/>
        </w:rPr>
        <w:t xml:space="preserve"> 106年4月15日起調高至醫學中心急診檢傷</w:t>
      </w:r>
      <w:r w:rsidRPr="00C0567B">
        <w:rPr>
          <w:rFonts w:hAnsi="標楷體" w:hint="eastAsia"/>
        </w:rPr>
        <w:t>第</w:t>
      </w:r>
      <w:r w:rsidRPr="00C0567B">
        <w:rPr>
          <w:rFonts w:hAnsi="標楷體"/>
        </w:rPr>
        <w:t>3、4、5級之部分負擔及未經轉診至醫學中心門診之部分負</w:t>
      </w:r>
      <w:r w:rsidRPr="00C0567B">
        <w:rPr>
          <w:rFonts w:hAnsi="標楷體" w:hint="eastAsia"/>
        </w:rPr>
        <w:t>擔，</w:t>
      </w:r>
      <w:r w:rsidRPr="00C0567B">
        <w:rPr>
          <w:rFonts w:hAnsi="標楷體"/>
        </w:rPr>
        <w:t>調降經轉診至醫學中心或區域醫院門診部分負擔</w:t>
      </w:r>
      <w:r w:rsidRPr="00C0567B">
        <w:rPr>
          <w:rFonts w:hAnsi="標楷體" w:hint="eastAsia"/>
        </w:rPr>
        <w:t>；另為落實分級醫療及鼓勵民眾正確就醫，自</w:t>
      </w:r>
      <w:r w:rsidRPr="00C0567B">
        <w:rPr>
          <w:rFonts w:hAnsi="標楷體"/>
        </w:rPr>
        <w:t>112年7月1日實施</w:t>
      </w:r>
      <w:r w:rsidRPr="00C0567B">
        <w:rPr>
          <w:rFonts w:hAnsi="標楷體" w:hint="eastAsia"/>
        </w:rPr>
        <w:t>「健保部分負擔調整方案」，民眾到大型醫院急診，依醫院層級別採定額方式收取</w:t>
      </w:r>
      <w:r w:rsidRPr="00C0567B">
        <w:rPr>
          <w:rStyle w:val="af8"/>
          <w:rFonts w:hAnsi="標楷體"/>
        </w:rPr>
        <w:footnoteReference w:id="4"/>
      </w:r>
      <w:r w:rsidRPr="00C0567B">
        <w:rPr>
          <w:rFonts w:hAnsi="標楷體"/>
        </w:rPr>
        <w:t>，</w:t>
      </w:r>
      <w:r w:rsidRPr="00C0567B">
        <w:rPr>
          <w:rFonts w:hAnsi="標楷體" w:hint="eastAsia"/>
        </w:rPr>
        <w:t>調整</w:t>
      </w:r>
      <w:r w:rsidRPr="00C0567B">
        <w:rPr>
          <w:rFonts w:hAnsi="標楷體"/>
        </w:rPr>
        <w:t>民眾</w:t>
      </w:r>
      <w:r w:rsidRPr="00C0567B">
        <w:rPr>
          <w:rFonts w:hAnsi="標楷體" w:hint="eastAsia"/>
        </w:rPr>
        <w:t>急診</w:t>
      </w:r>
      <w:r w:rsidRPr="00C0567B">
        <w:rPr>
          <w:rFonts w:hAnsi="標楷體"/>
        </w:rPr>
        <w:t>部分負擔，</w:t>
      </w:r>
      <w:r w:rsidRPr="00C0567B">
        <w:rPr>
          <w:rFonts w:hAnsi="標楷體" w:hint="eastAsia"/>
        </w:rPr>
        <w:t>期</w:t>
      </w:r>
      <w:r w:rsidRPr="00C0567B">
        <w:rPr>
          <w:rFonts w:hAnsi="標楷體"/>
        </w:rPr>
        <w:t>改善</w:t>
      </w:r>
      <w:r w:rsidRPr="00C0567B">
        <w:rPr>
          <w:rFonts w:hAnsi="標楷體" w:hint="eastAsia"/>
        </w:rPr>
        <w:t>醫學中心急診壅塞情形。</w:t>
      </w:r>
    </w:p>
    <w:p w:rsidR="0017173A" w:rsidRPr="00C0567B" w:rsidRDefault="0017173A" w:rsidP="0017173A">
      <w:pPr>
        <w:pStyle w:val="21"/>
        <w:ind w:left="850" w:firstLine="566"/>
        <w:rPr>
          <w:rFonts w:hAnsi="標楷體"/>
        </w:rPr>
      </w:pPr>
      <w:r w:rsidRPr="00C0567B">
        <w:rPr>
          <w:rFonts w:hAnsi="標楷體" w:hint="eastAsia"/>
        </w:rPr>
        <w:t>按急診作業涉及人力、空間、作業程序、急診、門診與住院等之協調、規劃與設計，「全民健康保險急診品質提升方案」係透過獎勵方式，引導急診室之品質提升，惟部分公立醫院急診轉住院暫留急診超過</w:t>
      </w:r>
      <w:r w:rsidRPr="00C0567B">
        <w:rPr>
          <w:rFonts w:hAnsi="標楷體"/>
        </w:rPr>
        <w:t>48小時案件比率仍高於全國指標值</w:t>
      </w:r>
      <w:r w:rsidRPr="00C0567B">
        <w:rPr>
          <w:rFonts w:hAnsi="標楷體" w:hint="eastAsia"/>
        </w:rPr>
        <w:t>，急診病人之處置效率容待提升，允宜強化分級醫療及急診住院配床調配等有效解決方案，以保障病人生命安全，維護急診醫療品質。</w:t>
      </w:r>
    </w:p>
    <w:p w:rsidR="0017173A" w:rsidRPr="00C0567B" w:rsidRDefault="0017173A" w:rsidP="002B5D53">
      <w:pPr>
        <w:widowControl/>
        <w:snapToGrid w:val="0"/>
        <w:ind w:leftChars="-101" w:left="1046" w:hangingChars="470" w:hanging="1332"/>
        <w:jc w:val="left"/>
        <w:rPr>
          <w:rStyle w:val="143"/>
          <w:rFonts w:hAnsi="標楷體"/>
        </w:rPr>
      </w:pPr>
      <w:r w:rsidRPr="00C0567B">
        <w:rPr>
          <w:rFonts w:hAnsi="標楷體" w:cs="Arial Unicode MS" w:hint="eastAsia"/>
          <w:b/>
          <w:kern w:val="0"/>
          <w:szCs w:val="24"/>
        </w:rPr>
        <w:t>表</w:t>
      </w:r>
      <w:r w:rsidR="004C7EA5" w:rsidRPr="00C0567B">
        <w:rPr>
          <w:rFonts w:hAnsi="標楷體" w:cs="Arial Unicode MS"/>
          <w:b/>
          <w:kern w:val="0"/>
          <w:szCs w:val="24"/>
        </w:rPr>
        <w:t>3-3-2</w:t>
      </w:r>
      <w:r w:rsidRPr="00C0567B">
        <w:rPr>
          <w:rFonts w:hAnsi="標楷體" w:cs="Arial Unicode MS"/>
          <w:b/>
          <w:kern w:val="0"/>
          <w:szCs w:val="24"/>
        </w:rPr>
        <w:t xml:space="preserve">  </w:t>
      </w:r>
      <w:r w:rsidRPr="00C0567B">
        <w:rPr>
          <w:rFonts w:hAnsi="標楷體" w:cs="Arial Unicode MS" w:hint="eastAsia"/>
          <w:b/>
          <w:kern w:val="0"/>
          <w:szCs w:val="24"/>
        </w:rPr>
        <w:t>近2年中央政府</w:t>
      </w:r>
      <w:r w:rsidR="00E91791">
        <w:rPr>
          <w:rFonts w:hAnsi="標楷體" w:cs="Arial Unicode MS" w:hint="eastAsia"/>
          <w:b/>
          <w:kern w:val="0"/>
          <w:szCs w:val="24"/>
        </w:rPr>
        <w:t>轄</w:t>
      </w:r>
      <w:r w:rsidRPr="00C0567B">
        <w:rPr>
          <w:rFonts w:hAnsi="標楷體" w:cs="Arial Unicode MS" w:hint="eastAsia"/>
          <w:b/>
          <w:kern w:val="0"/>
          <w:szCs w:val="24"/>
        </w:rPr>
        <w:t>管公立醫院急診轉住院暫留急診超過4</w:t>
      </w:r>
      <w:r w:rsidRPr="00C0567B">
        <w:rPr>
          <w:rFonts w:hAnsi="標楷體" w:cs="Arial Unicode MS"/>
          <w:b/>
          <w:kern w:val="0"/>
          <w:szCs w:val="24"/>
        </w:rPr>
        <w:t>8</w:t>
      </w:r>
      <w:r w:rsidRPr="00C0567B">
        <w:rPr>
          <w:rFonts w:hAnsi="標楷體" w:cs="Arial Unicode MS" w:hint="eastAsia"/>
          <w:b/>
          <w:kern w:val="0"/>
          <w:szCs w:val="24"/>
        </w:rPr>
        <w:t>小時案件比率情形</w:t>
      </w:r>
      <w:r w:rsidR="00E91791">
        <w:rPr>
          <w:rFonts w:hAnsi="標楷體" w:cs="Arial Unicode MS" w:hint="eastAsia"/>
          <w:b/>
          <w:kern w:val="0"/>
          <w:szCs w:val="24"/>
        </w:rPr>
        <w:t>表</w:t>
      </w:r>
      <w:r w:rsidRPr="00C0567B">
        <w:rPr>
          <w:rFonts w:hAnsi="標楷體" w:cs="Arial Unicode MS"/>
          <w:b/>
          <w:kern w:val="0"/>
          <w:szCs w:val="24"/>
        </w:rPr>
        <w:t xml:space="preserve">   </w:t>
      </w:r>
      <w:r w:rsidRPr="00C0567B">
        <w:rPr>
          <w:rFonts w:hAnsi="標楷體" w:cs="Arial Unicode MS" w:hint="eastAsia"/>
          <w:b/>
          <w:kern w:val="0"/>
          <w:szCs w:val="24"/>
        </w:rPr>
        <w:t xml:space="preserve">         </w:t>
      </w:r>
      <w:r w:rsidR="002B5D53">
        <w:rPr>
          <w:rFonts w:hAnsi="標楷體" w:cs="Arial Unicode MS"/>
          <w:b/>
          <w:kern w:val="0"/>
          <w:szCs w:val="24"/>
        </w:rPr>
        <w:t xml:space="preserve">                  </w:t>
      </w:r>
      <w:r w:rsidRPr="00C0567B">
        <w:rPr>
          <w:rStyle w:val="143"/>
          <w:rFonts w:hAnsi="標楷體" w:hint="eastAsia"/>
        </w:rPr>
        <w:t>單位：%</w:t>
      </w:r>
    </w:p>
    <w:tbl>
      <w:tblPr>
        <w:tblW w:w="8790" w:type="dxa"/>
        <w:tblInd w:w="-2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852"/>
        <w:gridCol w:w="1134"/>
        <w:gridCol w:w="1134"/>
        <w:gridCol w:w="708"/>
        <w:gridCol w:w="709"/>
        <w:gridCol w:w="709"/>
        <w:gridCol w:w="709"/>
        <w:gridCol w:w="708"/>
        <w:gridCol w:w="709"/>
        <w:gridCol w:w="709"/>
        <w:gridCol w:w="709"/>
      </w:tblGrid>
      <w:tr w:rsidR="0017173A" w:rsidRPr="00C0567B" w:rsidTr="00DD0E58">
        <w:trPr>
          <w:trHeight w:val="237"/>
          <w:tblHeader/>
        </w:trPr>
        <w:tc>
          <w:tcPr>
            <w:tcW w:w="852" w:type="dxa"/>
            <w:vMerge w:val="restart"/>
            <w:tcBorders>
              <w:top w:val="single" w:sz="12" w:space="0" w:color="auto"/>
            </w:tcBorders>
            <w:shd w:val="clear" w:color="auto" w:fill="auto"/>
            <w:noWrap/>
            <w:vAlign w:val="center"/>
            <w:hideMark/>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主管</w:t>
            </w:r>
          </w:p>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機關</w:t>
            </w:r>
          </w:p>
        </w:tc>
        <w:tc>
          <w:tcPr>
            <w:tcW w:w="1134" w:type="dxa"/>
            <w:vMerge w:val="restart"/>
            <w:tcBorders>
              <w:top w:val="single" w:sz="12" w:space="0" w:color="auto"/>
            </w:tcBorders>
            <w:shd w:val="clear" w:color="auto" w:fill="auto"/>
            <w:vAlign w:val="center"/>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機構名稱</w:t>
            </w:r>
          </w:p>
        </w:tc>
        <w:tc>
          <w:tcPr>
            <w:tcW w:w="1134" w:type="dxa"/>
            <w:vMerge w:val="restart"/>
            <w:tcBorders>
              <w:top w:val="single" w:sz="1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hint="eastAsia"/>
                <w:b/>
                <w:kern w:val="0"/>
                <w:sz w:val="22"/>
                <w:szCs w:val="22"/>
              </w:rPr>
              <w:t>特約類別</w:t>
            </w:r>
          </w:p>
        </w:tc>
        <w:tc>
          <w:tcPr>
            <w:tcW w:w="2835" w:type="dxa"/>
            <w:gridSpan w:val="4"/>
            <w:tcBorders>
              <w:top w:val="single" w:sz="12" w:space="0" w:color="auto"/>
            </w:tcBorders>
            <w:shd w:val="clear" w:color="auto" w:fill="auto"/>
            <w:noWrap/>
            <w:vAlign w:val="center"/>
            <w:hideMark/>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112</w:t>
            </w:r>
            <w:r w:rsidRPr="00C0567B">
              <w:rPr>
                <w:rFonts w:hAnsi="標楷體" w:cs="Arial Unicode MS" w:hint="eastAsia"/>
                <w:b/>
                <w:kern w:val="0"/>
                <w:sz w:val="22"/>
                <w:szCs w:val="22"/>
              </w:rPr>
              <w:t>年</w:t>
            </w:r>
          </w:p>
        </w:tc>
        <w:tc>
          <w:tcPr>
            <w:tcW w:w="2835" w:type="dxa"/>
            <w:gridSpan w:val="4"/>
            <w:tcBorders>
              <w:top w:val="single" w:sz="12" w:space="0" w:color="auto"/>
            </w:tcBorders>
            <w:shd w:val="clear" w:color="auto" w:fill="auto"/>
            <w:noWrap/>
            <w:vAlign w:val="center"/>
            <w:hideMark/>
          </w:tcPr>
          <w:p w:rsidR="0017173A" w:rsidRPr="00C0567B" w:rsidRDefault="0017173A" w:rsidP="0017173A">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113</w:t>
            </w:r>
            <w:r w:rsidRPr="00C0567B">
              <w:rPr>
                <w:rFonts w:hAnsi="標楷體" w:cs="Arial Unicode MS" w:hint="eastAsia"/>
                <w:b/>
                <w:kern w:val="0"/>
                <w:sz w:val="22"/>
                <w:szCs w:val="22"/>
              </w:rPr>
              <w:t>年</w:t>
            </w:r>
          </w:p>
        </w:tc>
      </w:tr>
      <w:tr w:rsidR="0017173A" w:rsidRPr="00C0567B" w:rsidTr="00DD0E58">
        <w:trPr>
          <w:trHeight w:val="192"/>
          <w:tblHeader/>
        </w:trPr>
        <w:tc>
          <w:tcPr>
            <w:tcW w:w="852" w:type="dxa"/>
            <w:vMerge/>
            <w:shd w:val="clear" w:color="auto" w:fill="auto"/>
            <w:noWrap/>
            <w:vAlign w:val="center"/>
            <w:hideMark/>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p>
        </w:tc>
        <w:tc>
          <w:tcPr>
            <w:tcW w:w="1134" w:type="dxa"/>
            <w:vMerge/>
            <w:tcBorders>
              <w:bottom w:val="single" w:sz="4" w:space="0" w:color="auto"/>
            </w:tcBorders>
            <w:shd w:val="clear" w:color="auto" w:fill="auto"/>
            <w:vAlign w:val="center"/>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p>
        </w:tc>
        <w:tc>
          <w:tcPr>
            <w:tcW w:w="1134" w:type="dxa"/>
            <w:vMerge/>
            <w:tcBorders>
              <w:bottom w:val="single" w:sz="4" w:space="0" w:color="auto"/>
            </w:tcBorders>
            <w:shd w:val="clear" w:color="auto" w:fill="auto"/>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p>
        </w:tc>
        <w:tc>
          <w:tcPr>
            <w:tcW w:w="708" w:type="dxa"/>
            <w:tcBorders>
              <w:bottom w:val="single" w:sz="4" w:space="0" w:color="auto"/>
            </w:tcBorders>
            <w:shd w:val="clear" w:color="auto" w:fill="auto"/>
            <w:noWrap/>
            <w:vAlign w:val="center"/>
            <w:hideMark/>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1</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4C7EA5">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2</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3</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4</w:t>
            </w:r>
            <w:r w:rsidRPr="00C0567B">
              <w:rPr>
                <w:rFonts w:hAnsi="標楷體" w:cs="Arial Unicode MS" w:hint="eastAsia"/>
                <w:b/>
                <w:kern w:val="0"/>
                <w:sz w:val="22"/>
                <w:szCs w:val="22"/>
              </w:rPr>
              <w:t>季</w:t>
            </w:r>
          </w:p>
        </w:tc>
        <w:tc>
          <w:tcPr>
            <w:tcW w:w="708"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1</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2</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3</w:t>
            </w:r>
            <w:r w:rsidRPr="00C0567B">
              <w:rPr>
                <w:rFonts w:hAnsi="標楷體" w:cs="Arial Unicode MS" w:hint="eastAsia"/>
                <w:b/>
                <w:kern w:val="0"/>
                <w:sz w:val="22"/>
                <w:szCs w:val="22"/>
              </w:rPr>
              <w:t>季</w:t>
            </w:r>
          </w:p>
        </w:tc>
        <w:tc>
          <w:tcPr>
            <w:tcW w:w="709" w:type="dxa"/>
            <w:tcBorders>
              <w:bottom w:val="single" w:sz="4" w:space="0" w:color="auto"/>
            </w:tcBorders>
            <w:shd w:val="clear" w:color="auto" w:fill="auto"/>
            <w:noWrap/>
            <w:vAlign w:val="center"/>
            <w:hideMark/>
          </w:tcPr>
          <w:p w:rsidR="0017173A" w:rsidRPr="00C0567B" w:rsidRDefault="0017173A" w:rsidP="0017173A">
            <w:pPr>
              <w:widowControl/>
              <w:spacing w:line="220" w:lineRule="exact"/>
              <w:ind w:leftChars="-30" w:left="-85" w:rightChars="-50" w:right="-142" w:firstLineChars="0" w:firstLine="0"/>
              <w:jc w:val="center"/>
              <w:rPr>
                <w:rFonts w:hAnsi="標楷體" w:cs="Arial Unicode MS"/>
                <w:b/>
                <w:kern w:val="0"/>
                <w:sz w:val="22"/>
                <w:szCs w:val="22"/>
              </w:rPr>
            </w:pPr>
            <w:r w:rsidRPr="00C0567B">
              <w:rPr>
                <w:rFonts w:hAnsi="標楷體" w:cs="Arial Unicode MS" w:hint="eastAsia"/>
                <w:b/>
                <w:kern w:val="0"/>
                <w:sz w:val="22"/>
                <w:szCs w:val="22"/>
              </w:rPr>
              <w:t>第</w:t>
            </w:r>
            <w:r w:rsidRPr="00C0567B">
              <w:rPr>
                <w:rFonts w:hAnsi="標楷體" w:cs="Arial Unicode MS"/>
                <w:b/>
                <w:kern w:val="0"/>
                <w:sz w:val="22"/>
                <w:szCs w:val="22"/>
              </w:rPr>
              <w:t>4</w:t>
            </w:r>
            <w:r w:rsidRPr="00C0567B">
              <w:rPr>
                <w:rFonts w:hAnsi="標楷體" w:cs="Arial Unicode MS" w:hint="eastAsia"/>
                <w:b/>
                <w:kern w:val="0"/>
                <w:sz w:val="22"/>
                <w:szCs w:val="22"/>
              </w:rPr>
              <w:t>季</w:t>
            </w:r>
          </w:p>
        </w:tc>
      </w:tr>
      <w:tr w:rsidR="00BD5E89" w:rsidRPr="00C0567B" w:rsidTr="006D0C8D">
        <w:trPr>
          <w:trHeight w:val="361"/>
        </w:trPr>
        <w:tc>
          <w:tcPr>
            <w:tcW w:w="852" w:type="dxa"/>
            <w:vMerge w:val="restart"/>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教育部</w:t>
            </w:r>
          </w:p>
        </w:tc>
        <w:tc>
          <w:tcPr>
            <w:tcW w:w="1134" w:type="dxa"/>
            <w:tcBorders>
              <w:top w:val="single" w:sz="4" w:space="0" w:color="auto"/>
              <w:bottom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臺大醫院</w:t>
            </w:r>
          </w:p>
        </w:tc>
        <w:tc>
          <w:tcPr>
            <w:tcW w:w="1134" w:type="dxa"/>
            <w:tcBorders>
              <w:top w:val="single" w:sz="4" w:space="0" w:color="auto"/>
              <w:bottom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4.17</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3.22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3.72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0.49</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1.89</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2.32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2</w:t>
            </w:r>
            <w:r w:rsidRPr="00C0567B">
              <w:rPr>
                <w:rFonts w:hAnsi="標楷體" w:cs="Arial Unicode MS"/>
                <w:b/>
                <w:kern w:val="0"/>
                <w:sz w:val="22"/>
                <w:szCs w:val="22"/>
              </w:rPr>
              <w:t>1.61</w:t>
            </w:r>
          </w:p>
        </w:tc>
        <w:tc>
          <w:tcPr>
            <w:tcW w:w="709" w:type="dxa"/>
            <w:tcBorders>
              <w:top w:val="single" w:sz="4" w:space="0" w:color="auto"/>
              <w:bottom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230"/>
        </w:trPr>
        <w:tc>
          <w:tcPr>
            <w:tcW w:w="852" w:type="dxa"/>
            <w:vMerge/>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p>
        </w:tc>
        <w:tc>
          <w:tcPr>
            <w:tcW w:w="1134" w:type="dxa"/>
            <w:tcBorders>
              <w:top w:val="single" w:sz="2" w:space="0" w:color="auto"/>
              <w:bottom w:val="single" w:sz="4"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臺大醫院</w:t>
            </w:r>
            <w:r w:rsidRPr="00C0567B">
              <w:rPr>
                <w:rFonts w:hAnsi="標楷體" w:cs="Arial Unicode MS" w:hint="eastAsia"/>
                <w:b/>
                <w:kern w:val="0"/>
                <w:sz w:val="22"/>
                <w:szCs w:val="22"/>
              </w:rPr>
              <w:t>新竹分院</w:t>
            </w:r>
          </w:p>
        </w:tc>
        <w:tc>
          <w:tcPr>
            <w:tcW w:w="1134" w:type="dxa"/>
            <w:tcBorders>
              <w:top w:val="single" w:sz="2" w:space="0" w:color="auto"/>
              <w:bottom w:val="single" w:sz="4"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.67</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2</w:t>
            </w:r>
            <w:r w:rsidRPr="00C0567B">
              <w:rPr>
                <w:rFonts w:hAnsi="標楷體" w:cs="Arial Unicode MS"/>
                <w:bCs/>
                <w:kern w:val="0"/>
                <w:sz w:val="22"/>
                <w:szCs w:val="22"/>
              </w:rPr>
              <w:t>.67</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.05</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.49</w:t>
            </w:r>
          </w:p>
        </w:tc>
        <w:tc>
          <w:tcPr>
            <w:tcW w:w="708"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.64</w:t>
            </w:r>
          </w:p>
        </w:tc>
        <w:tc>
          <w:tcPr>
            <w:tcW w:w="709"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2.33</w:t>
            </w:r>
          </w:p>
        </w:tc>
        <w:tc>
          <w:tcPr>
            <w:tcW w:w="709" w:type="dxa"/>
            <w:tcBorders>
              <w:top w:val="single" w:sz="2" w:space="0" w:color="auto"/>
              <w:bottom w:val="single" w:sz="4"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0.36</w:t>
            </w:r>
          </w:p>
        </w:tc>
        <w:tc>
          <w:tcPr>
            <w:tcW w:w="709" w:type="dxa"/>
            <w:tcBorders>
              <w:top w:val="single" w:sz="2" w:space="0" w:color="auto"/>
              <w:bottom w:val="single" w:sz="4"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BD5E89">
        <w:trPr>
          <w:trHeight w:val="230"/>
        </w:trPr>
        <w:tc>
          <w:tcPr>
            <w:tcW w:w="852" w:type="dxa"/>
            <w:vMerge/>
            <w:tcBorders>
              <w:bottom w:val="single" w:sz="4"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p>
        </w:tc>
        <w:tc>
          <w:tcPr>
            <w:tcW w:w="1134" w:type="dxa"/>
            <w:tcBorders>
              <w:top w:val="single" w:sz="4" w:space="0" w:color="auto"/>
              <w:bottom w:val="single" w:sz="4"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Cs/>
                <w:kern w:val="0"/>
                <w:sz w:val="22"/>
                <w:szCs w:val="22"/>
              </w:rPr>
            </w:pPr>
            <w:r w:rsidRPr="00C0567B">
              <w:rPr>
                <w:rFonts w:hAnsi="標楷體" w:cs="Arial Unicode MS" w:hint="eastAsia"/>
                <w:bCs/>
                <w:kern w:val="0"/>
                <w:sz w:val="22"/>
                <w:szCs w:val="22"/>
              </w:rPr>
              <w:t>臺大醫院癌醫中心</w:t>
            </w:r>
          </w:p>
        </w:tc>
        <w:tc>
          <w:tcPr>
            <w:tcW w:w="1134" w:type="dxa"/>
            <w:tcBorders>
              <w:top w:val="single" w:sz="4" w:space="0" w:color="auto"/>
              <w:bottom w:val="single" w:sz="4"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bCs/>
                <w:kern w:val="0"/>
                <w:sz w:val="22"/>
                <w:szCs w:val="22"/>
              </w:rPr>
              <w:t>區域醫院</w:t>
            </w:r>
          </w:p>
        </w:tc>
        <w:tc>
          <w:tcPr>
            <w:tcW w:w="708"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.93</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.23</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p>
        </w:tc>
        <w:tc>
          <w:tcPr>
            <w:tcW w:w="708"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.65</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2</w:t>
            </w:r>
            <w:r w:rsidRPr="00C0567B">
              <w:rPr>
                <w:rFonts w:hAnsi="標楷體" w:cs="Arial Unicode MS"/>
                <w:bCs/>
                <w:kern w:val="0"/>
                <w:sz w:val="22"/>
                <w:szCs w:val="22"/>
              </w:rPr>
              <w:t>.10</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.09</w:t>
            </w:r>
          </w:p>
        </w:tc>
        <w:tc>
          <w:tcPr>
            <w:tcW w:w="709" w:type="dxa"/>
            <w:tcBorders>
              <w:top w:val="single" w:sz="4" w:space="0" w:color="auto"/>
              <w:bottom w:val="single" w:sz="4"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352"/>
        </w:trPr>
        <w:tc>
          <w:tcPr>
            <w:tcW w:w="852" w:type="dxa"/>
            <w:vMerge w:val="restart"/>
            <w:tcBorders>
              <w:top w:val="single" w:sz="4" w:space="0" w:color="auto"/>
              <w:bottom w:val="single" w:sz="2"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hint="eastAsia"/>
                <w:kern w:val="0"/>
                <w:sz w:val="22"/>
                <w:szCs w:val="22"/>
              </w:rPr>
            </w:pPr>
            <w:r>
              <w:rPr>
                <w:rFonts w:hAnsi="標楷體" w:cs="Arial Unicode MS" w:hint="eastAsia"/>
                <w:kern w:val="0"/>
                <w:sz w:val="22"/>
                <w:szCs w:val="22"/>
              </w:rPr>
              <w:t>教育部</w:t>
            </w:r>
          </w:p>
        </w:tc>
        <w:tc>
          <w:tcPr>
            <w:tcW w:w="1134" w:type="dxa"/>
            <w:tcBorders>
              <w:top w:val="single" w:sz="4" w:space="0" w:color="auto"/>
              <w:bottom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臺大雲林</w:t>
            </w:r>
            <w:r w:rsidRPr="00C0567B">
              <w:rPr>
                <w:rFonts w:hAnsi="標楷體" w:cs="Arial Unicode MS" w:hint="eastAsia"/>
                <w:kern w:val="0"/>
                <w:sz w:val="22"/>
                <w:szCs w:val="22"/>
              </w:rPr>
              <w:t>分院</w:t>
            </w:r>
          </w:p>
        </w:tc>
        <w:tc>
          <w:tcPr>
            <w:tcW w:w="1134" w:type="dxa"/>
            <w:tcBorders>
              <w:top w:val="single" w:sz="4" w:space="0" w:color="auto"/>
              <w:bottom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7.19</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8.41</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7.64</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3.22</w:t>
            </w:r>
          </w:p>
        </w:tc>
        <w:tc>
          <w:tcPr>
            <w:tcW w:w="708"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6.12</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8.64</w:t>
            </w:r>
          </w:p>
        </w:tc>
        <w:tc>
          <w:tcPr>
            <w:tcW w:w="709" w:type="dxa"/>
            <w:tcBorders>
              <w:top w:val="single" w:sz="4"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bCs/>
                <w:kern w:val="0"/>
                <w:sz w:val="22"/>
                <w:szCs w:val="22"/>
              </w:rPr>
              <w:t>21.84</w:t>
            </w:r>
          </w:p>
        </w:tc>
        <w:tc>
          <w:tcPr>
            <w:tcW w:w="709" w:type="dxa"/>
            <w:tcBorders>
              <w:top w:val="single" w:sz="4" w:space="0" w:color="auto"/>
              <w:bottom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BD5E89" w:rsidRPr="00C0567B" w:rsidTr="006D0C8D">
        <w:trPr>
          <w:trHeight w:val="346"/>
        </w:trPr>
        <w:tc>
          <w:tcPr>
            <w:tcW w:w="852" w:type="dxa"/>
            <w:vMerge/>
            <w:tcBorders>
              <w:top w:val="single" w:sz="2" w:space="0" w:color="auto"/>
            </w:tcBorders>
            <w:shd w:val="clear" w:color="auto" w:fill="auto"/>
            <w:noWrap/>
            <w:vAlign w:val="center"/>
          </w:tcPr>
          <w:p w:rsidR="00BD5E89" w:rsidRPr="00C0567B" w:rsidRDefault="00BD5E89"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tcBorders>
              <w:top w:val="single" w:sz="2" w:space="0" w:color="auto"/>
            </w:tcBorders>
            <w:shd w:val="clear" w:color="auto" w:fill="auto"/>
            <w:vAlign w:val="center"/>
          </w:tcPr>
          <w:p w:rsidR="00BD5E89" w:rsidRPr="00C0567B" w:rsidRDefault="00BD5E89" w:rsidP="0017173A">
            <w:pPr>
              <w:widowControl/>
              <w:spacing w:line="220" w:lineRule="exact"/>
              <w:ind w:leftChars="0" w:left="0" w:firstLineChars="0" w:firstLine="0"/>
              <w:jc w:val="left"/>
              <w:rPr>
                <w:rFonts w:hAnsi="標楷體" w:cs="Arial Unicode MS"/>
                <w:b/>
                <w:bCs/>
                <w:kern w:val="0"/>
                <w:sz w:val="22"/>
                <w:szCs w:val="22"/>
              </w:rPr>
            </w:pPr>
            <w:r w:rsidRPr="00C0567B">
              <w:rPr>
                <w:rFonts w:hAnsi="標楷體" w:cs="Arial Unicode MS"/>
                <w:b/>
                <w:kern w:val="0"/>
                <w:sz w:val="22"/>
                <w:szCs w:val="22"/>
              </w:rPr>
              <w:t>成大醫院</w:t>
            </w:r>
          </w:p>
        </w:tc>
        <w:tc>
          <w:tcPr>
            <w:tcW w:w="1134" w:type="dxa"/>
            <w:tcBorders>
              <w:top w:val="single" w:sz="2" w:space="0" w:color="auto"/>
            </w:tcBorders>
            <w:shd w:val="clear" w:color="auto" w:fill="auto"/>
            <w:vAlign w:val="center"/>
          </w:tcPr>
          <w:p w:rsidR="00BD5E89" w:rsidRPr="00C0567B" w:rsidRDefault="00BD5E89" w:rsidP="004C7EA5">
            <w:pPr>
              <w:widowControl/>
              <w:spacing w:line="220" w:lineRule="exact"/>
              <w:ind w:leftChars="0" w:left="0" w:firstLineChars="0" w:firstLine="0"/>
              <w:jc w:val="center"/>
              <w:rPr>
                <w:rFonts w:hAnsi="標楷體" w:cs="Arial Unicode MS"/>
                <w:b/>
                <w:bCs/>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6.39</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4.10</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5.97</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3.91</w:t>
            </w:r>
          </w:p>
        </w:tc>
        <w:tc>
          <w:tcPr>
            <w:tcW w:w="708"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2.41</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4.40</w:t>
            </w:r>
          </w:p>
        </w:tc>
        <w:tc>
          <w:tcPr>
            <w:tcW w:w="709" w:type="dxa"/>
            <w:tcBorders>
              <w:top w:val="single" w:sz="2" w:space="0" w:color="auto"/>
              <w:bottom w:val="single" w:sz="2" w:space="0" w:color="auto"/>
            </w:tcBorders>
            <w:shd w:val="clear" w:color="auto" w:fill="E7E6E6"/>
            <w:noWrap/>
            <w:vAlign w:val="center"/>
          </w:tcPr>
          <w:p w:rsidR="00BD5E89" w:rsidRPr="00C0567B" w:rsidRDefault="00BD5E89"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b/>
                <w:kern w:val="0"/>
                <w:sz w:val="22"/>
                <w:szCs w:val="22"/>
              </w:rPr>
              <w:t>16.31</w:t>
            </w:r>
          </w:p>
        </w:tc>
        <w:tc>
          <w:tcPr>
            <w:tcW w:w="709" w:type="dxa"/>
            <w:tcBorders>
              <w:top w:val="single" w:sz="2" w:space="0" w:color="auto"/>
            </w:tcBorders>
            <w:shd w:val="clear" w:color="auto" w:fill="FFFFFF"/>
            <w:noWrap/>
            <w:vAlign w:val="center"/>
          </w:tcPr>
          <w:p w:rsidR="00BD5E89" w:rsidRPr="00C0567B" w:rsidRDefault="00BD5E89"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14"/>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hint="eastAsia"/>
                <w:kern w:val="0"/>
                <w:sz w:val="22"/>
                <w:szCs w:val="22"/>
              </w:rPr>
              <w:t>退輔會</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b/>
                <w:kern w:val="0"/>
                <w:sz w:val="22"/>
                <w:szCs w:val="22"/>
              </w:rPr>
              <w:t>臺北榮總</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b/>
                <w:kern w:val="0"/>
                <w:sz w:val="22"/>
                <w:szCs w:val="22"/>
              </w:rPr>
              <w:t>醫學中心</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.46</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9</w:t>
            </w:r>
            <w:r w:rsidRPr="00C0567B">
              <w:rPr>
                <w:rFonts w:hAnsi="標楷體" w:cs="Arial Unicode MS"/>
                <w:b/>
                <w:kern w:val="0"/>
                <w:sz w:val="22"/>
                <w:szCs w:val="22"/>
              </w:rPr>
              <w:t>.99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.27</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.92</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.84</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8</w:t>
            </w:r>
            <w:r w:rsidRPr="00C0567B">
              <w:rPr>
                <w:rFonts w:hAnsi="標楷體" w:cs="Arial Unicode MS"/>
                <w:b/>
                <w:kern w:val="0"/>
                <w:sz w:val="22"/>
                <w:szCs w:val="22"/>
              </w:rPr>
              <w:t>.22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9</w:t>
            </w:r>
            <w:r w:rsidRPr="00C0567B">
              <w:rPr>
                <w:rFonts w:hAnsi="標楷體" w:cs="Arial Unicode MS"/>
                <w:b/>
                <w:kern w:val="0"/>
                <w:sz w:val="22"/>
                <w:szCs w:val="22"/>
              </w:rPr>
              <w:t>.38</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99"/>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Cs/>
                <w:kern w:val="0"/>
                <w:sz w:val="22"/>
                <w:szCs w:val="22"/>
              </w:rPr>
            </w:pPr>
            <w:r w:rsidRPr="00C0567B">
              <w:rPr>
                <w:rFonts w:hAnsi="標楷體" w:cs="Arial Unicode MS" w:hint="eastAsia"/>
                <w:bCs/>
                <w:kern w:val="0"/>
                <w:sz w:val="22"/>
                <w:szCs w:val="22"/>
              </w:rPr>
              <w:t>臺北榮總桃園分院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bCs/>
                <w:kern w:val="0"/>
                <w:sz w:val="22"/>
                <w:szCs w:val="22"/>
              </w:rPr>
              <w:t>區域醫院</w:t>
            </w:r>
          </w:p>
        </w:tc>
        <w:tc>
          <w:tcPr>
            <w:tcW w:w="708"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.56</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.15</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1</w:t>
            </w:r>
            <w:r w:rsidRPr="00C0567B">
              <w:rPr>
                <w:rFonts w:hAnsi="標楷體" w:cs="Arial Unicode MS"/>
                <w:bCs/>
                <w:kern w:val="0"/>
                <w:sz w:val="22"/>
                <w:szCs w:val="22"/>
              </w:rPr>
              <w:t>.44</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.59</w:t>
            </w:r>
          </w:p>
        </w:tc>
        <w:tc>
          <w:tcPr>
            <w:tcW w:w="708"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0</w:t>
            </w:r>
            <w:r w:rsidRPr="00C0567B">
              <w:rPr>
                <w:rFonts w:hAnsi="標楷體" w:cs="Arial Unicode MS"/>
                <w:bCs/>
                <w:kern w:val="0"/>
                <w:sz w:val="22"/>
                <w:szCs w:val="22"/>
              </w:rPr>
              <w:t>.21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.53</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7</w:t>
            </w:r>
            <w:r w:rsidRPr="00C0567B">
              <w:rPr>
                <w:rFonts w:hAnsi="標楷體" w:cs="Arial Unicode MS"/>
                <w:b/>
                <w:kern w:val="0"/>
                <w:sz w:val="22"/>
                <w:szCs w:val="22"/>
              </w:rPr>
              <w:t>.52</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42"/>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hint="eastAsia"/>
                <w:kern w:val="0"/>
                <w:sz w:val="22"/>
                <w:szCs w:val="22"/>
              </w:rPr>
              <w:t>衛福部</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kern w:val="0"/>
                <w:sz w:val="22"/>
                <w:szCs w:val="22"/>
              </w:rPr>
            </w:pPr>
            <w:r w:rsidRPr="00C0567B">
              <w:rPr>
                <w:rFonts w:hAnsi="標楷體" w:cs="Arial Unicode MS"/>
                <w:kern w:val="0"/>
                <w:sz w:val="22"/>
                <w:szCs w:val="22"/>
              </w:rPr>
              <w:t>八里療養院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.72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.19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.59</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3</w:t>
            </w:r>
            <w:r w:rsidRPr="00C0567B">
              <w:rPr>
                <w:rFonts w:hAnsi="標楷體" w:cs="Arial Unicode MS"/>
                <w:bCs/>
                <w:kern w:val="0"/>
                <w:sz w:val="22"/>
                <w:szCs w:val="22"/>
              </w:rPr>
              <w:t>.26</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Cs/>
                <w:kern w:val="0"/>
                <w:sz w:val="22"/>
                <w:szCs w:val="22"/>
              </w:rPr>
            </w:pPr>
            <w:r w:rsidRPr="00C0567B">
              <w:rPr>
                <w:rFonts w:hAnsi="標楷體" w:cs="Arial Unicode MS" w:hint="eastAsia"/>
                <w:bCs/>
                <w:kern w:val="0"/>
                <w:sz w:val="22"/>
                <w:szCs w:val="22"/>
              </w:rPr>
              <w:t>3</w:t>
            </w:r>
            <w:r w:rsidRPr="00C0567B">
              <w:rPr>
                <w:rFonts w:hAnsi="標楷體" w:cs="Arial Unicode MS"/>
                <w:bCs/>
                <w:kern w:val="0"/>
                <w:sz w:val="22"/>
                <w:szCs w:val="22"/>
              </w:rPr>
              <w:t>.23</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1</w:t>
            </w:r>
            <w:r w:rsidRPr="00C0567B">
              <w:rPr>
                <w:rFonts w:hAnsi="標楷體" w:cs="Arial Unicode MS"/>
                <w:b/>
                <w:kern w:val="0"/>
                <w:sz w:val="22"/>
                <w:szCs w:val="22"/>
              </w:rPr>
              <w:t>3.59</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6</w:t>
            </w:r>
            <w:r w:rsidRPr="00C0567B">
              <w:rPr>
                <w:rFonts w:hAnsi="標楷體" w:cs="Arial Unicode MS"/>
                <w:b/>
                <w:kern w:val="0"/>
                <w:sz w:val="22"/>
                <w:szCs w:val="22"/>
              </w:rPr>
              <w:t>.32</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20"/>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桃園醫院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.10</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w:t>
            </w:r>
            <w:r w:rsidRPr="00C0567B">
              <w:rPr>
                <w:rFonts w:hAnsi="標楷體" w:cs="Arial Unicode MS"/>
                <w:kern w:val="0"/>
                <w:sz w:val="22"/>
                <w:szCs w:val="22"/>
              </w:rPr>
              <w:t>.47</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4</w:t>
            </w:r>
            <w:r w:rsidRPr="00C0567B">
              <w:rPr>
                <w:rFonts w:hAnsi="標楷體" w:cs="Arial Unicode MS"/>
                <w:b/>
                <w:bCs/>
                <w:kern w:val="0"/>
                <w:sz w:val="22"/>
                <w:szCs w:val="22"/>
              </w:rPr>
              <w:t>.87</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4</w:t>
            </w:r>
            <w:r w:rsidRPr="00C0567B">
              <w:rPr>
                <w:rFonts w:hAnsi="標楷體" w:cs="Arial Unicode MS"/>
                <w:b/>
                <w:bCs/>
                <w:kern w:val="0"/>
                <w:sz w:val="22"/>
                <w:szCs w:val="22"/>
              </w:rPr>
              <w:t>.94</w:t>
            </w:r>
          </w:p>
        </w:tc>
        <w:tc>
          <w:tcPr>
            <w:tcW w:w="708"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0.36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8</w:t>
            </w:r>
            <w:r w:rsidRPr="00C0567B">
              <w:rPr>
                <w:rFonts w:hAnsi="標楷體" w:cs="Arial Unicode MS"/>
                <w:b/>
                <w:bCs/>
                <w:kern w:val="0"/>
                <w:sz w:val="22"/>
                <w:szCs w:val="22"/>
              </w:rPr>
              <w:t>.71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1.93</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441"/>
        </w:trPr>
        <w:tc>
          <w:tcPr>
            <w:tcW w:w="852" w:type="dxa"/>
            <w:vMerge/>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kern w:val="0"/>
                <w:sz w:val="22"/>
                <w:szCs w:val="22"/>
              </w:rPr>
              <w:t>臺南醫院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.19</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.91</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.76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.02</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.76</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hint="eastAsia"/>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.57</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hint="eastAsia"/>
                <w:b/>
                <w:bCs/>
                <w:kern w:val="0"/>
                <w:sz w:val="22"/>
                <w:szCs w:val="22"/>
              </w:rPr>
            </w:pPr>
            <w:r w:rsidRPr="00C0567B">
              <w:rPr>
                <w:rFonts w:hAnsi="標楷體" w:cs="Arial Unicode MS"/>
                <w:b/>
                <w:bCs/>
                <w:kern w:val="0"/>
                <w:sz w:val="22"/>
                <w:szCs w:val="22"/>
              </w:rPr>
              <w:t>6.63</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6D0C8D">
        <w:trPr>
          <w:trHeight w:val="393"/>
        </w:trPr>
        <w:tc>
          <w:tcPr>
            <w:tcW w:w="852" w:type="dxa"/>
            <w:vMerge w:val="restart"/>
            <w:shd w:val="clear" w:color="auto" w:fill="auto"/>
            <w:noWrap/>
            <w:vAlign w:val="center"/>
          </w:tcPr>
          <w:p w:rsidR="0017173A" w:rsidRPr="00C0567B" w:rsidRDefault="0017173A" w:rsidP="004C7EA5">
            <w:pPr>
              <w:widowControl/>
              <w:spacing w:line="220" w:lineRule="exact"/>
              <w:ind w:leftChars="0" w:left="0" w:firstLineChars="0" w:firstLine="0"/>
              <w:jc w:val="center"/>
              <w:rPr>
                <w:rFonts w:hAnsi="標楷體" w:cs="Arial Unicode MS" w:hint="eastAsia"/>
                <w:kern w:val="0"/>
                <w:sz w:val="22"/>
                <w:szCs w:val="22"/>
              </w:rPr>
            </w:pPr>
            <w:r w:rsidRPr="00C0567B">
              <w:rPr>
                <w:rFonts w:hAnsi="標楷體" w:cs="Arial Unicode MS"/>
                <w:kern w:val="0"/>
                <w:sz w:val="22"/>
                <w:szCs w:val="22"/>
              </w:rPr>
              <w:t>國</w:t>
            </w:r>
            <w:r w:rsidRPr="00C0567B">
              <w:rPr>
                <w:rFonts w:hAnsi="標楷體" w:cs="Arial Unicode MS" w:hint="eastAsia"/>
                <w:kern w:val="0"/>
                <w:sz w:val="22"/>
                <w:szCs w:val="22"/>
              </w:rPr>
              <w:t>防部</w:t>
            </w:r>
          </w:p>
        </w:tc>
        <w:tc>
          <w:tcPr>
            <w:tcW w:w="1134" w:type="dxa"/>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b/>
                <w:bCs/>
                <w:kern w:val="0"/>
                <w:sz w:val="22"/>
                <w:szCs w:val="22"/>
              </w:rPr>
            </w:pPr>
            <w:r w:rsidRPr="00C0567B">
              <w:rPr>
                <w:rFonts w:hAnsi="標楷體" w:cs="Arial Unicode MS" w:hint="eastAsia"/>
                <w:b/>
                <w:bCs/>
                <w:kern w:val="0"/>
                <w:sz w:val="22"/>
                <w:szCs w:val="22"/>
              </w:rPr>
              <w:t>三軍總院</w:t>
            </w:r>
          </w:p>
        </w:tc>
        <w:tc>
          <w:tcPr>
            <w:tcW w:w="1134" w:type="dxa"/>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b/>
                <w:bCs/>
                <w:kern w:val="0"/>
                <w:sz w:val="22"/>
                <w:szCs w:val="22"/>
              </w:rPr>
            </w:pPr>
            <w:r w:rsidRPr="00C0567B">
              <w:rPr>
                <w:rFonts w:hAnsi="標楷體" w:cs="Arial Unicode MS"/>
                <w:b/>
                <w:bCs/>
                <w:kern w:val="0"/>
                <w:sz w:val="22"/>
                <w:szCs w:val="22"/>
              </w:rPr>
              <w:t>醫學中心</w:t>
            </w:r>
          </w:p>
        </w:tc>
        <w:tc>
          <w:tcPr>
            <w:tcW w:w="708"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.50</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.96</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.10</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3</w:t>
            </w:r>
            <w:r w:rsidRPr="00C0567B">
              <w:rPr>
                <w:rFonts w:hAnsi="標楷體" w:cs="Arial Unicode MS"/>
                <w:kern w:val="0"/>
                <w:sz w:val="22"/>
                <w:szCs w:val="22"/>
              </w:rPr>
              <w:t>.76</w:t>
            </w:r>
          </w:p>
        </w:tc>
        <w:tc>
          <w:tcPr>
            <w:tcW w:w="708"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.35</w:t>
            </w:r>
          </w:p>
        </w:tc>
        <w:tc>
          <w:tcPr>
            <w:tcW w:w="709" w:type="dxa"/>
            <w:tcBorders>
              <w:top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b/>
                <w:bCs/>
                <w:kern w:val="0"/>
                <w:sz w:val="22"/>
                <w:szCs w:val="22"/>
              </w:rPr>
              <w:t>5.62</w:t>
            </w:r>
          </w:p>
        </w:tc>
        <w:tc>
          <w:tcPr>
            <w:tcW w:w="709" w:type="dxa"/>
            <w:tcBorders>
              <w:top w:val="single" w:sz="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.51</w:t>
            </w:r>
          </w:p>
        </w:tc>
        <w:tc>
          <w:tcPr>
            <w:tcW w:w="709" w:type="dxa"/>
            <w:tcBorders>
              <w:top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430"/>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bottom w:val="single" w:sz="2"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國軍桃園總院</w:t>
            </w:r>
          </w:p>
        </w:tc>
        <w:tc>
          <w:tcPr>
            <w:tcW w:w="1134" w:type="dxa"/>
            <w:tcBorders>
              <w:bottom w:val="single" w:sz="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.52</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8</w:t>
            </w:r>
            <w:r w:rsidRPr="00C0567B">
              <w:rPr>
                <w:rFonts w:hAnsi="標楷體" w:cs="Arial Unicode MS"/>
                <w:b/>
                <w:bCs/>
                <w:kern w:val="0"/>
                <w:sz w:val="22"/>
                <w:szCs w:val="22"/>
              </w:rPr>
              <w:t>.87</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5.31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.51</w:t>
            </w:r>
          </w:p>
        </w:tc>
        <w:tc>
          <w:tcPr>
            <w:tcW w:w="708"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2.41</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8.0</w:t>
            </w:r>
          </w:p>
        </w:tc>
        <w:tc>
          <w:tcPr>
            <w:tcW w:w="709" w:type="dxa"/>
            <w:tcBorders>
              <w:top w:val="single" w:sz="2" w:space="0" w:color="auto"/>
              <w:bottom w:val="single" w:sz="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2</w:t>
            </w:r>
            <w:r w:rsidRPr="00C0567B">
              <w:rPr>
                <w:rFonts w:hAnsi="標楷體" w:cs="Arial Unicode MS"/>
                <w:b/>
                <w:bCs/>
                <w:kern w:val="0"/>
                <w:sz w:val="22"/>
                <w:szCs w:val="22"/>
              </w:rPr>
              <w:t>1.60</w:t>
            </w:r>
          </w:p>
        </w:tc>
        <w:tc>
          <w:tcPr>
            <w:tcW w:w="709" w:type="dxa"/>
            <w:tcBorders>
              <w:top w:val="single" w:sz="2" w:space="0" w:color="auto"/>
              <w:bottom w:val="single" w:sz="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415"/>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top w:val="single" w:sz="2" w:space="0" w:color="auto"/>
              <w:bottom w:val="single" w:sz="12"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國軍高雄總院</w:t>
            </w:r>
          </w:p>
        </w:tc>
        <w:tc>
          <w:tcPr>
            <w:tcW w:w="1134" w:type="dxa"/>
            <w:tcBorders>
              <w:top w:val="single" w:sz="2" w:space="0" w:color="auto"/>
              <w:bottom w:val="single" w:sz="12"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3</w:t>
            </w:r>
            <w:r w:rsidRPr="00C0567B">
              <w:rPr>
                <w:rFonts w:hAnsi="標楷體" w:cs="Arial Unicode MS"/>
                <w:kern w:val="0"/>
                <w:sz w:val="22"/>
                <w:szCs w:val="22"/>
              </w:rPr>
              <w:t>.48</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b/>
                <w:bCs/>
                <w:kern w:val="0"/>
                <w:sz w:val="22"/>
                <w:szCs w:val="22"/>
              </w:rPr>
              <w:t>5.57</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5</w:t>
            </w:r>
            <w:r w:rsidRPr="00C0567B">
              <w:rPr>
                <w:rFonts w:hAnsi="標楷體" w:cs="Arial Unicode MS"/>
                <w:b/>
                <w:bCs/>
                <w:kern w:val="0"/>
                <w:sz w:val="22"/>
                <w:szCs w:val="22"/>
              </w:rPr>
              <w:t>.88</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4.23</w:t>
            </w:r>
          </w:p>
        </w:tc>
        <w:tc>
          <w:tcPr>
            <w:tcW w:w="708"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3.01</w:t>
            </w:r>
          </w:p>
        </w:tc>
        <w:tc>
          <w:tcPr>
            <w:tcW w:w="709" w:type="dxa"/>
            <w:tcBorders>
              <w:top w:val="single" w:sz="2" w:space="0" w:color="auto"/>
              <w:bottom w:val="single" w:sz="12"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hint="eastAsia"/>
                <w:b/>
                <w:bCs/>
                <w:kern w:val="0"/>
                <w:sz w:val="22"/>
                <w:szCs w:val="22"/>
              </w:rPr>
              <w:t>7</w:t>
            </w:r>
            <w:r w:rsidRPr="00C0567B">
              <w:rPr>
                <w:rFonts w:hAnsi="標楷體" w:cs="Arial Unicode MS"/>
                <w:b/>
                <w:bCs/>
                <w:kern w:val="0"/>
                <w:sz w:val="22"/>
                <w:szCs w:val="22"/>
              </w:rPr>
              <w:t>.93</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3.47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8F27C3">
        <w:trPr>
          <w:trHeight w:val="503"/>
        </w:trPr>
        <w:tc>
          <w:tcPr>
            <w:tcW w:w="852" w:type="dxa"/>
            <w:vMerge/>
            <w:shd w:val="clear" w:color="auto" w:fill="auto"/>
            <w:noWrap/>
            <w:vAlign w:val="center"/>
          </w:tcPr>
          <w:p w:rsidR="0017173A" w:rsidRPr="00C0567B" w:rsidRDefault="0017173A" w:rsidP="0017173A">
            <w:pPr>
              <w:widowControl/>
              <w:spacing w:line="220" w:lineRule="exact"/>
              <w:ind w:left="566" w:firstLine="446"/>
              <w:rPr>
                <w:rFonts w:hAnsi="標楷體" w:cs="Arial Unicode MS" w:hint="eastAsia"/>
                <w:kern w:val="0"/>
                <w:sz w:val="22"/>
                <w:szCs w:val="22"/>
              </w:rPr>
            </w:pPr>
          </w:p>
        </w:tc>
        <w:tc>
          <w:tcPr>
            <w:tcW w:w="1134" w:type="dxa"/>
            <w:tcBorders>
              <w:top w:val="single" w:sz="4" w:space="0" w:color="auto"/>
            </w:tcBorders>
            <w:shd w:val="clear" w:color="auto" w:fill="auto"/>
            <w:vAlign w:val="center"/>
          </w:tcPr>
          <w:p w:rsidR="0017173A" w:rsidRPr="00C0567B" w:rsidRDefault="0017173A" w:rsidP="0017173A">
            <w:pPr>
              <w:widowControl/>
              <w:spacing w:line="220" w:lineRule="exact"/>
              <w:ind w:leftChars="0" w:left="0" w:firstLineChars="0" w:firstLine="0"/>
              <w:jc w:val="left"/>
              <w:rPr>
                <w:rFonts w:hAnsi="標楷體" w:cs="Arial Unicode MS"/>
                <w:kern w:val="0"/>
                <w:sz w:val="22"/>
                <w:szCs w:val="22"/>
              </w:rPr>
            </w:pPr>
            <w:r w:rsidRPr="00C0567B">
              <w:rPr>
                <w:rFonts w:hAnsi="標楷體" w:cs="Arial Unicode MS" w:hint="eastAsia"/>
                <w:kern w:val="0"/>
                <w:sz w:val="22"/>
                <w:szCs w:val="22"/>
              </w:rPr>
              <w:t>國軍左營總院</w:t>
            </w:r>
          </w:p>
        </w:tc>
        <w:tc>
          <w:tcPr>
            <w:tcW w:w="1134" w:type="dxa"/>
            <w:tcBorders>
              <w:top w:val="single" w:sz="4" w:space="0" w:color="auto"/>
            </w:tcBorders>
            <w:shd w:val="clear" w:color="auto" w:fill="auto"/>
            <w:vAlign w:val="center"/>
          </w:tcPr>
          <w:p w:rsidR="0017173A" w:rsidRPr="00C0567B" w:rsidRDefault="0017173A" w:rsidP="004C7EA5">
            <w:pPr>
              <w:widowControl/>
              <w:spacing w:line="220" w:lineRule="exact"/>
              <w:ind w:leftChars="0" w:left="0" w:firstLineChars="0" w:firstLine="0"/>
              <w:jc w:val="center"/>
              <w:rPr>
                <w:rFonts w:hAnsi="標楷體" w:cs="Arial Unicode MS"/>
                <w:kern w:val="0"/>
                <w:sz w:val="22"/>
                <w:szCs w:val="22"/>
              </w:rPr>
            </w:pPr>
            <w:r w:rsidRPr="00C0567B">
              <w:rPr>
                <w:rFonts w:hAnsi="標楷體" w:cs="Arial Unicode MS"/>
                <w:kern w:val="0"/>
                <w:sz w:val="22"/>
                <w:szCs w:val="22"/>
              </w:rPr>
              <w:t>區域醫院</w:t>
            </w:r>
          </w:p>
        </w:tc>
        <w:tc>
          <w:tcPr>
            <w:tcW w:w="708"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6</w:t>
            </w:r>
            <w:r w:rsidRPr="00C0567B">
              <w:rPr>
                <w:rFonts w:hAnsi="標楷體" w:cs="Arial Unicode MS"/>
                <w:b/>
                <w:bCs/>
                <w:kern w:val="0"/>
                <w:sz w:val="22"/>
                <w:szCs w:val="22"/>
              </w:rPr>
              <w:t>.62</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5</w:t>
            </w:r>
            <w:r w:rsidRPr="00C0567B">
              <w:rPr>
                <w:rFonts w:hAnsi="標楷體" w:cs="Arial Unicode MS"/>
                <w:b/>
                <w:bCs/>
                <w:kern w:val="0"/>
                <w:sz w:val="22"/>
                <w:szCs w:val="22"/>
              </w:rPr>
              <w:t>.40</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9</w:t>
            </w:r>
            <w:r w:rsidRPr="00C0567B">
              <w:rPr>
                <w:rFonts w:hAnsi="標楷體" w:cs="Arial Unicode MS"/>
                <w:b/>
                <w:bCs/>
                <w:kern w:val="0"/>
                <w:sz w:val="22"/>
                <w:szCs w:val="22"/>
              </w:rPr>
              <w:t>.92</w:t>
            </w:r>
          </w:p>
        </w:tc>
        <w:tc>
          <w:tcPr>
            <w:tcW w:w="709" w:type="dxa"/>
            <w:tcBorders>
              <w:top w:val="single" w:sz="4" w:space="0" w:color="auto"/>
            </w:tcBorders>
            <w:shd w:val="clear" w:color="auto" w:fill="E7E6E6"/>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b/>
                <w:bCs/>
                <w:kern w:val="0"/>
                <w:sz w:val="22"/>
                <w:szCs w:val="22"/>
              </w:rPr>
              <w:t>1</w:t>
            </w:r>
            <w:r w:rsidRPr="00C0567B">
              <w:rPr>
                <w:rFonts w:hAnsi="標楷體" w:cs="Arial Unicode MS"/>
                <w:b/>
                <w:bCs/>
                <w:kern w:val="0"/>
                <w:sz w:val="22"/>
                <w:szCs w:val="22"/>
              </w:rPr>
              <w:t>0.04</w:t>
            </w:r>
          </w:p>
        </w:tc>
        <w:tc>
          <w:tcPr>
            <w:tcW w:w="708"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kern w:val="0"/>
                <w:sz w:val="22"/>
                <w:szCs w:val="22"/>
              </w:rPr>
              <w:t>2</w:t>
            </w:r>
            <w:r w:rsidRPr="00C0567B">
              <w:rPr>
                <w:rFonts w:hAnsi="標楷體" w:cs="Arial Unicode MS"/>
                <w:kern w:val="0"/>
                <w:sz w:val="22"/>
                <w:szCs w:val="22"/>
              </w:rPr>
              <w:t>.41</w:t>
            </w:r>
          </w:p>
        </w:tc>
        <w:tc>
          <w:tcPr>
            <w:tcW w:w="709"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hint="eastAsia"/>
                <w:kern w:val="0"/>
                <w:sz w:val="22"/>
                <w:szCs w:val="22"/>
              </w:rPr>
              <w:t>4</w:t>
            </w:r>
            <w:r w:rsidRPr="00C0567B">
              <w:rPr>
                <w:rFonts w:hAnsi="標楷體" w:cs="Arial Unicode MS"/>
                <w:kern w:val="0"/>
                <w:sz w:val="22"/>
                <w:szCs w:val="22"/>
              </w:rPr>
              <w:t>.33</w:t>
            </w:r>
          </w:p>
        </w:tc>
        <w:tc>
          <w:tcPr>
            <w:tcW w:w="709" w:type="dxa"/>
            <w:tcBorders>
              <w:top w:val="single" w:sz="4"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bCs/>
                <w:kern w:val="0"/>
                <w:sz w:val="22"/>
                <w:szCs w:val="22"/>
              </w:rPr>
            </w:pPr>
            <w:r w:rsidRPr="00C0567B">
              <w:rPr>
                <w:rFonts w:hAnsi="標楷體" w:cs="Arial Unicode MS"/>
                <w:kern w:val="0"/>
                <w:sz w:val="22"/>
                <w:szCs w:val="22"/>
              </w:rPr>
              <w:t>5.60</w:t>
            </w:r>
          </w:p>
        </w:tc>
        <w:tc>
          <w:tcPr>
            <w:tcW w:w="709" w:type="dxa"/>
            <w:tcBorders>
              <w:top w:val="single" w:sz="4"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r w:rsidR="0017173A" w:rsidRPr="00C0567B" w:rsidTr="00DD0E58">
        <w:trPr>
          <w:trHeight w:val="343"/>
        </w:trPr>
        <w:tc>
          <w:tcPr>
            <w:tcW w:w="3120" w:type="dxa"/>
            <w:gridSpan w:val="3"/>
            <w:shd w:val="clear" w:color="auto" w:fill="auto"/>
            <w:noWrap/>
            <w:vAlign w:val="center"/>
          </w:tcPr>
          <w:p w:rsidR="0017173A" w:rsidRPr="00C0567B" w:rsidRDefault="0017173A" w:rsidP="0017173A">
            <w:pPr>
              <w:widowControl/>
              <w:spacing w:line="220" w:lineRule="exact"/>
              <w:ind w:leftChars="0" w:left="0" w:firstLineChars="0" w:firstLine="0"/>
              <w:jc w:val="center"/>
              <w:rPr>
                <w:rFonts w:hAnsi="標楷體" w:cs="Arial Unicode MS" w:hint="eastAsia"/>
                <w:b/>
                <w:kern w:val="0"/>
                <w:sz w:val="22"/>
                <w:szCs w:val="22"/>
              </w:rPr>
            </w:pPr>
            <w:r w:rsidRPr="00C0567B">
              <w:rPr>
                <w:rFonts w:hAnsi="標楷體" w:cs="Arial Unicode MS" w:hint="eastAsia"/>
                <w:b/>
                <w:kern w:val="0"/>
                <w:sz w:val="22"/>
                <w:szCs w:val="22"/>
              </w:rPr>
              <w:t>全國</w:t>
            </w:r>
            <w:r w:rsidRPr="00C0567B">
              <w:rPr>
                <w:rFonts w:hAnsi="標楷體" w:cs="Arial Unicode MS" w:hint="eastAsia"/>
                <w:b/>
                <w:bCs/>
                <w:kern w:val="0"/>
                <w:sz w:val="22"/>
                <w:szCs w:val="22"/>
              </w:rPr>
              <w:t>指標值</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.44</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.47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.78</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hint="eastAsia"/>
                <w:b/>
                <w:kern w:val="0"/>
                <w:sz w:val="22"/>
                <w:szCs w:val="22"/>
              </w:rPr>
              <w:t>4</w:t>
            </w:r>
            <w:r w:rsidRPr="00C0567B">
              <w:rPr>
                <w:rFonts w:hAnsi="標楷體" w:cs="Arial Unicode MS"/>
                <w:b/>
                <w:kern w:val="0"/>
                <w:sz w:val="22"/>
                <w:szCs w:val="22"/>
              </w:rPr>
              <w:t>.06</w:t>
            </w:r>
          </w:p>
        </w:tc>
        <w:tc>
          <w:tcPr>
            <w:tcW w:w="708"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4.78</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5.34</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4C7EA5">
            <w:pPr>
              <w:widowControl/>
              <w:spacing w:line="220" w:lineRule="exact"/>
              <w:ind w:leftChars="0" w:left="0" w:firstLineChars="0" w:firstLine="0"/>
              <w:jc w:val="right"/>
              <w:rPr>
                <w:rFonts w:hAnsi="標楷體" w:cs="Arial Unicode MS"/>
                <w:b/>
                <w:kern w:val="0"/>
                <w:sz w:val="22"/>
                <w:szCs w:val="22"/>
              </w:rPr>
            </w:pPr>
            <w:r w:rsidRPr="00C0567B">
              <w:rPr>
                <w:rFonts w:hAnsi="標楷體" w:cs="Arial Unicode MS"/>
                <w:b/>
                <w:kern w:val="0"/>
                <w:sz w:val="22"/>
                <w:szCs w:val="22"/>
              </w:rPr>
              <w:t>5.87</w:t>
            </w:r>
          </w:p>
        </w:tc>
        <w:tc>
          <w:tcPr>
            <w:tcW w:w="709" w:type="dxa"/>
            <w:tcBorders>
              <w:top w:val="single" w:sz="2" w:space="0" w:color="auto"/>
              <w:bottom w:val="single" w:sz="12" w:space="0" w:color="auto"/>
            </w:tcBorders>
            <w:shd w:val="clear" w:color="auto" w:fill="FFFFFF"/>
            <w:noWrap/>
            <w:vAlign w:val="center"/>
          </w:tcPr>
          <w:p w:rsidR="0017173A" w:rsidRPr="00C0567B" w:rsidRDefault="0017173A" w:rsidP="0017173A">
            <w:pPr>
              <w:widowControl/>
              <w:spacing w:line="220" w:lineRule="exact"/>
              <w:ind w:leftChars="0" w:left="0" w:firstLineChars="0" w:firstLine="0"/>
              <w:jc w:val="center"/>
              <w:rPr>
                <w:rFonts w:hAnsi="標楷體" w:cs="Arial Unicode MS"/>
                <w:bCs/>
                <w:kern w:val="0"/>
                <w:sz w:val="22"/>
                <w:szCs w:val="22"/>
              </w:rPr>
            </w:pPr>
            <w:r w:rsidRPr="00C0567B">
              <w:rPr>
                <w:rFonts w:hAnsi="標楷體" w:cs="Arial Unicode MS" w:hint="eastAsia"/>
                <w:bCs/>
                <w:kern w:val="0"/>
                <w:sz w:val="22"/>
                <w:szCs w:val="22"/>
              </w:rPr>
              <w:t>-</w:t>
            </w:r>
          </w:p>
        </w:tc>
      </w:tr>
    </w:tbl>
    <w:p w:rsidR="0017173A" w:rsidRPr="002B5D53" w:rsidRDefault="0017173A" w:rsidP="002B5D53">
      <w:pPr>
        <w:widowControl/>
        <w:spacing w:line="300" w:lineRule="exact"/>
        <w:ind w:leftChars="-100" w:left="1176" w:hangingChars="600" w:hanging="1459"/>
        <w:jc w:val="left"/>
        <w:rPr>
          <w:rStyle w:val="143"/>
        </w:rPr>
      </w:pPr>
      <w:r w:rsidRPr="00C0567B">
        <w:rPr>
          <w:rFonts w:hAnsi="標楷體" w:cs="Arial Unicode MS" w:hint="eastAsia"/>
          <w:kern w:val="0"/>
          <w:sz w:val="24"/>
          <w:szCs w:val="24"/>
        </w:rPr>
        <w:t xml:space="preserve">說   </w:t>
      </w:r>
      <w:r w:rsidRPr="00C0567B">
        <w:rPr>
          <w:rFonts w:hAnsi="標楷體" w:cs="Arial Unicode MS"/>
          <w:kern w:val="0"/>
          <w:sz w:val="24"/>
          <w:szCs w:val="24"/>
        </w:rPr>
        <w:t xml:space="preserve"> </w:t>
      </w:r>
      <w:r w:rsidRPr="00C0567B">
        <w:rPr>
          <w:rFonts w:hAnsi="標楷體" w:cs="Arial Unicode MS" w:hint="eastAsia"/>
          <w:kern w:val="0"/>
          <w:sz w:val="24"/>
          <w:szCs w:val="24"/>
        </w:rPr>
        <w:t>明：1</w:t>
      </w:r>
      <w:r w:rsidRPr="00C0567B">
        <w:rPr>
          <w:rFonts w:hAnsi="標楷體" w:cs="Arial Unicode MS"/>
          <w:kern w:val="0"/>
          <w:sz w:val="24"/>
          <w:szCs w:val="24"/>
        </w:rPr>
        <w:t>.</w:t>
      </w:r>
      <w:r w:rsidRPr="002B5D53">
        <w:rPr>
          <w:rStyle w:val="143"/>
          <w:rFonts w:hint="eastAsia"/>
        </w:rPr>
        <w:t>表列資料僅列1</w:t>
      </w:r>
      <w:r w:rsidRPr="002B5D53">
        <w:rPr>
          <w:rStyle w:val="143"/>
        </w:rPr>
        <w:t>12</w:t>
      </w:r>
      <w:r w:rsidR="00E91791">
        <w:rPr>
          <w:rStyle w:val="143"/>
          <w:rFonts w:hint="eastAsia"/>
        </w:rPr>
        <w:t>及</w:t>
      </w:r>
      <w:r w:rsidRPr="002B5D53">
        <w:rPr>
          <w:rStyle w:val="143"/>
          <w:rFonts w:hint="eastAsia"/>
        </w:rPr>
        <w:t>1</w:t>
      </w:r>
      <w:r w:rsidRPr="002B5D53">
        <w:rPr>
          <w:rStyle w:val="143"/>
        </w:rPr>
        <w:t>13</w:t>
      </w:r>
      <w:r w:rsidRPr="002B5D53">
        <w:rPr>
          <w:rStyle w:val="143"/>
          <w:rFonts w:hint="eastAsia"/>
        </w:rPr>
        <w:t>年度有連續2季以上指標值超過全國指標值之醫療院所。</w:t>
      </w:r>
    </w:p>
    <w:p w:rsidR="0017173A" w:rsidRPr="00C0567B" w:rsidRDefault="0017173A" w:rsidP="002B5D53">
      <w:pPr>
        <w:pStyle w:val="142"/>
        <w:ind w:leftChars="330" w:left="935"/>
        <w:rPr>
          <w:rFonts w:hint="eastAsia"/>
        </w:rPr>
      </w:pPr>
      <w:r w:rsidRPr="00C0567B">
        <w:rPr>
          <w:rFonts w:hint="eastAsia"/>
        </w:rPr>
        <w:t>2</w:t>
      </w:r>
      <w:r w:rsidRPr="00C0567B">
        <w:t>.113</w:t>
      </w:r>
      <w:r w:rsidRPr="00C0567B">
        <w:rPr>
          <w:rFonts w:hint="eastAsia"/>
        </w:rPr>
        <w:t>年度第4季尚未公布(1</w:t>
      </w:r>
      <w:r w:rsidRPr="00C0567B">
        <w:t>14</w:t>
      </w:r>
      <w:r w:rsidRPr="00C0567B">
        <w:rPr>
          <w:rFonts w:hint="eastAsia"/>
        </w:rPr>
        <w:t>年7月1日查詢)。</w:t>
      </w:r>
    </w:p>
    <w:p w:rsidR="0017173A" w:rsidRPr="00C0567B" w:rsidRDefault="0017173A" w:rsidP="0017173A">
      <w:pPr>
        <w:widowControl/>
        <w:spacing w:line="300" w:lineRule="exact"/>
        <w:ind w:leftChars="-100" w:left="203" w:hangingChars="200" w:hanging="486"/>
        <w:jc w:val="left"/>
        <w:rPr>
          <w:rFonts w:hAnsi="標楷體" w:cs="Arial Unicode MS"/>
          <w:kern w:val="0"/>
          <w:sz w:val="24"/>
          <w:szCs w:val="24"/>
        </w:rPr>
      </w:pPr>
      <w:r w:rsidRPr="00C0567B">
        <w:rPr>
          <w:rFonts w:hAnsi="標楷體" w:cs="Arial Unicode MS" w:hint="eastAsia"/>
          <w:kern w:val="0"/>
          <w:sz w:val="24"/>
          <w:szCs w:val="24"/>
        </w:rPr>
        <w:t>資料來源：全民健康保險醫療品質資訊公開網；本中心彙製。</w:t>
      </w:r>
    </w:p>
    <w:p w:rsidR="00DD1AC5" w:rsidRP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bookmarkEnd w:id="1"/>
    <w:sectPr w:rsidR="00DD1AC5" w:rsidRPr="00DD1AC5"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3E4F1A" w:rsidRPr="003E4F1A">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7D115E" w:rsidRDefault="00E94DB3" w:rsidP="0017173A">
      <w:pPr>
        <w:pStyle w:val="af9"/>
        <w:ind w:left="203" w:hangingChars="100" w:hanging="203"/>
        <w:rPr>
          <w:rFonts w:hint="eastAsia"/>
        </w:rPr>
      </w:pPr>
      <w:r>
        <w:rPr>
          <w:rStyle w:val="af8"/>
        </w:rPr>
        <w:footnoteRef/>
      </w:r>
      <w:r>
        <w:rPr>
          <w:rFonts w:hAnsi="標楷體" w:hint="eastAsia"/>
          <w:sz w:val="24"/>
          <w:szCs w:val="24"/>
        </w:rPr>
        <w:t xml:space="preserve"> </w:t>
      </w:r>
      <w:r w:rsidRPr="00044325">
        <w:rPr>
          <w:rStyle w:val="143"/>
          <w:rFonts w:hint="eastAsia"/>
        </w:rPr>
        <w:t>急診是依據「檢傷分類</w:t>
      </w:r>
      <w:r w:rsidRPr="00044325">
        <w:rPr>
          <w:rStyle w:val="143"/>
        </w:rPr>
        <w:t xml:space="preserve"> (病人疾病之嚴重度及急迫性 )」看診，而非依照到院之先後次序。依照病人疾病的嚴重度及急迫性等，經急診專業人員加以篩檢以分別疾病的輕重緩急來決定看診的次序</w:t>
      </w:r>
      <w:r w:rsidRPr="00044325">
        <w:rPr>
          <w:rStyle w:val="143"/>
          <w:rFonts w:hint="eastAsia"/>
        </w:rPr>
        <w:t>。</w:t>
      </w:r>
    </w:p>
  </w:footnote>
  <w:footnote w:id="2">
    <w:p w:rsidR="00E94DB3" w:rsidRPr="00131C51" w:rsidRDefault="00E94DB3" w:rsidP="0017173A">
      <w:pPr>
        <w:pStyle w:val="af9"/>
        <w:ind w:left="203" w:hangingChars="100" w:hanging="203"/>
        <w:rPr>
          <w:rFonts w:hint="eastAsia"/>
        </w:rPr>
      </w:pPr>
      <w:r>
        <w:rPr>
          <w:rStyle w:val="af8"/>
        </w:rPr>
        <w:footnoteRef/>
      </w:r>
      <w:r>
        <w:rPr>
          <w:rFonts w:hAnsi="標楷體" w:hint="eastAsia"/>
          <w:sz w:val="24"/>
          <w:szCs w:val="24"/>
        </w:rPr>
        <w:t xml:space="preserve"> </w:t>
      </w:r>
      <w:r w:rsidRPr="00044325">
        <w:rPr>
          <w:rStyle w:val="143"/>
          <w:rFonts w:hint="eastAsia"/>
        </w:rPr>
        <w:t>參考</w:t>
      </w:r>
      <w:r w:rsidRPr="00044325">
        <w:rPr>
          <w:rStyle w:val="143"/>
        </w:rPr>
        <w:t>114年2月22日</w:t>
      </w:r>
      <w:r w:rsidRPr="00044325">
        <w:rPr>
          <w:rStyle w:val="143"/>
          <w:rFonts w:hint="eastAsia"/>
        </w:rPr>
        <w:t>台灣急診醫學會新聞公告。</w:t>
      </w:r>
    </w:p>
  </w:footnote>
  <w:footnote w:id="3">
    <w:p w:rsidR="00E94DB3" w:rsidRPr="00D46465" w:rsidRDefault="00E94DB3" w:rsidP="0017173A">
      <w:pPr>
        <w:pStyle w:val="af9"/>
        <w:rPr>
          <w:rFonts w:hint="eastAsia"/>
        </w:rPr>
      </w:pPr>
      <w:r>
        <w:rPr>
          <w:rStyle w:val="af8"/>
        </w:rPr>
        <w:footnoteRef/>
      </w:r>
      <w:r>
        <w:t xml:space="preserve"> </w:t>
      </w:r>
      <w:r w:rsidRPr="008138E4">
        <w:rPr>
          <w:rFonts w:hAnsi="標楷體" w:hint="eastAsia"/>
          <w:sz w:val="24"/>
          <w:szCs w:val="24"/>
        </w:rPr>
        <w:t>摘錄自衛福部中央健康保險署急診品質提升方案前言。</w:t>
      </w:r>
    </w:p>
  </w:footnote>
  <w:footnote w:id="4">
    <w:p w:rsidR="00E94DB3" w:rsidRPr="00A8350B" w:rsidRDefault="00E94DB3" w:rsidP="0017173A">
      <w:pPr>
        <w:pStyle w:val="af9"/>
        <w:ind w:left="203" w:hangingChars="100" w:hanging="203"/>
        <w:rPr>
          <w:rFonts w:hint="eastAsia"/>
        </w:rPr>
      </w:pPr>
      <w:r>
        <w:rPr>
          <w:rStyle w:val="af8"/>
        </w:rPr>
        <w:footnoteRef/>
      </w:r>
      <w:r>
        <w:t xml:space="preserve"> </w:t>
      </w:r>
      <w:r w:rsidRPr="008138E4">
        <w:rPr>
          <w:rFonts w:hAnsi="標楷體" w:hint="eastAsia"/>
          <w:sz w:val="24"/>
          <w:szCs w:val="24"/>
        </w:rPr>
        <w:t>參考衛福部1</w:t>
      </w:r>
      <w:r w:rsidRPr="008138E4">
        <w:rPr>
          <w:rFonts w:hAnsi="標楷體"/>
          <w:sz w:val="24"/>
          <w:szCs w:val="24"/>
        </w:rPr>
        <w:t>12</w:t>
      </w:r>
      <w:r w:rsidRPr="008138E4">
        <w:rPr>
          <w:rFonts w:hAnsi="標楷體" w:hint="eastAsia"/>
          <w:sz w:val="24"/>
          <w:szCs w:val="24"/>
        </w:rPr>
        <w:t>年6月2</w:t>
      </w:r>
      <w:r w:rsidRPr="008138E4">
        <w:rPr>
          <w:rFonts w:hAnsi="標楷體"/>
          <w:sz w:val="24"/>
          <w:szCs w:val="24"/>
        </w:rPr>
        <w:t>1</w:t>
      </w:r>
      <w:r w:rsidRPr="008138E4">
        <w:rPr>
          <w:rFonts w:hAnsi="標楷體" w:hint="eastAsia"/>
          <w:sz w:val="24"/>
          <w:szCs w:val="24"/>
        </w:rPr>
        <w:t>日「</w:t>
      </w:r>
      <w:r w:rsidRPr="008138E4">
        <w:rPr>
          <w:rFonts w:hAnsi="標楷體"/>
          <w:sz w:val="24"/>
          <w:szCs w:val="24"/>
        </w:rPr>
        <w:t>12年7月1日正式實施健保部分負擔調整方案</w:t>
      </w:r>
      <w:r w:rsidRPr="008138E4">
        <w:rPr>
          <w:rFonts w:hAnsi="標楷體" w:hint="eastAsia"/>
          <w:sz w:val="24"/>
          <w:szCs w:val="24"/>
        </w:rPr>
        <w:t>」公布新聞。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4F1A"/>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5CE767-7DAF-4E4F-AC3B-DE0A67FA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10C5D-DDF9-4E0A-8F1E-2D5AA56A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