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r w:rsidRPr="00A25379">
        <w:rPr>
          <w:rFonts w:hAnsi="標楷體" w:hint="eastAsia"/>
          <w:snapToGrid w:val="0"/>
        </w:rPr>
        <w:t>近年我國對原住民族及客家族群文化推廣措施之辦理成效及相關問題探討</w:t>
      </w:r>
    </w:p>
    <w:p w:rsidR="00951828" w:rsidRPr="00A25379" w:rsidRDefault="00951828" w:rsidP="00951828">
      <w:pPr>
        <w:pStyle w:val="144"/>
        <w:ind w:left="647" w:hanging="647"/>
        <w:rPr>
          <w:rFonts w:hAnsi="標楷體" w:hint="eastAsia"/>
          <w:sz w:val="32"/>
          <w:szCs w:val="32"/>
        </w:rPr>
      </w:pPr>
      <w:bookmarkStart w:id="0" w:name="_Toc204589738"/>
      <w:r w:rsidRPr="00A25379">
        <w:rPr>
          <w:rFonts w:hAnsi="標楷體" w:hint="eastAsia"/>
          <w:sz w:val="32"/>
          <w:szCs w:val="32"/>
        </w:rPr>
        <w:t>肆、</w:t>
      </w:r>
      <w:r w:rsidR="006F2006" w:rsidRPr="00A25379">
        <w:rPr>
          <w:rFonts w:hAnsi="標楷體" w:hint="eastAsia"/>
          <w:sz w:val="32"/>
          <w:szCs w:val="32"/>
        </w:rPr>
        <w:t>結論與建議</w:t>
      </w:r>
      <w:bookmarkEnd w:id="0"/>
    </w:p>
    <w:p w:rsidR="006F2006" w:rsidRPr="00A25379" w:rsidRDefault="000803B6" w:rsidP="003B4B0E">
      <w:pPr>
        <w:ind w:left="566" w:firstLine="566"/>
        <w:rPr>
          <w:rFonts w:hAnsi="標楷體" w:hint="eastAsia"/>
        </w:rPr>
      </w:pPr>
      <w:r w:rsidRPr="00A25379">
        <w:rPr>
          <w:rFonts w:hAnsi="標楷體" w:hint="eastAsia"/>
        </w:rPr>
        <w:t>推動原住民族及客家族群文化措施，旨在確保其獨特語言、傳統習俗及藝術等珍貴文化得以世代傳承，維繫族群認同與文化命脈。如何改善原住民族及客家</w:t>
      </w:r>
      <w:r w:rsidR="000E09C0" w:rsidRPr="00A25379">
        <w:rPr>
          <w:rFonts w:hAnsi="標楷體" w:hint="eastAsia"/>
        </w:rPr>
        <w:t>族群之</w:t>
      </w:r>
      <w:r w:rsidRPr="00A25379">
        <w:rPr>
          <w:rFonts w:hAnsi="標楷體" w:hint="eastAsia"/>
        </w:rPr>
        <w:t>文化素材</w:t>
      </w:r>
      <w:r w:rsidR="000E09C0" w:rsidRPr="00A25379">
        <w:rPr>
          <w:rFonts w:hAnsi="標楷體" w:hint="eastAsia"/>
        </w:rPr>
        <w:t>能</w:t>
      </w:r>
      <w:r w:rsidRPr="00A25379">
        <w:rPr>
          <w:rFonts w:hAnsi="標楷體" w:hint="eastAsia"/>
        </w:rPr>
        <w:t>更貼近現代生活，並進一步提升族群文化在社會中之能見度及影響</w:t>
      </w:r>
      <w:r w:rsidR="000E09C0" w:rsidRPr="00A25379">
        <w:rPr>
          <w:rFonts w:hAnsi="標楷體" w:hint="eastAsia"/>
        </w:rPr>
        <w:t>力，促進大眾理解與尊重多元性，最終實現各族群相互理解、包容共榮之</w:t>
      </w:r>
      <w:r w:rsidRPr="00A25379">
        <w:rPr>
          <w:rFonts w:hAnsi="標楷體" w:hint="eastAsia"/>
        </w:rPr>
        <w:t>社</w:t>
      </w:r>
      <w:r w:rsidR="000E09C0" w:rsidRPr="00A25379">
        <w:rPr>
          <w:rFonts w:hAnsi="標楷體" w:hint="eastAsia"/>
        </w:rPr>
        <w:t>會願景</w:t>
      </w:r>
      <w:r w:rsidR="00A26529" w:rsidRPr="00A25379">
        <w:rPr>
          <w:rFonts w:hAnsi="標楷體" w:hint="eastAsia"/>
        </w:rPr>
        <w:t>，為政府施政重要之課題</w:t>
      </w:r>
      <w:r w:rsidRPr="00A25379">
        <w:rPr>
          <w:rFonts w:hAnsi="標楷體" w:hint="eastAsia"/>
        </w:rPr>
        <w:t>。爰本報告就近年政府推廣</w:t>
      </w:r>
      <w:r w:rsidR="00A26529" w:rsidRPr="00A25379">
        <w:rPr>
          <w:rFonts w:hAnsi="標楷體" w:hint="eastAsia"/>
        </w:rPr>
        <w:t>原住民族</w:t>
      </w:r>
      <w:r w:rsidRPr="00A25379">
        <w:rPr>
          <w:rFonts w:hAnsi="標楷體" w:hint="eastAsia"/>
        </w:rPr>
        <w:t>及客家族群文化相關措施</w:t>
      </w:r>
      <w:r w:rsidR="00A26529" w:rsidRPr="00A25379">
        <w:rPr>
          <w:rFonts w:hAnsi="標楷體" w:hint="eastAsia"/>
        </w:rPr>
        <w:t>之</w:t>
      </w:r>
      <w:r w:rsidR="007E7C62" w:rsidRPr="00A25379">
        <w:rPr>
          <w:rFonts w:hAnsi="標楷體" w:hint="eastAsia"/>
        </w:rPr>
        <w:t>情形，提出相關建議如下</w:t>
      </w:r>
      <w:r w:rsidR="006F2006" w:rsidRPr="00A25379">
        <w:rPr>
          <w:rFonts w:hAnsi="標楷體" w:hint="eastAsia"/>
        </w:rPr>
        <w:t>：</w:t>
      </w:r>
    </w:p>
    <w:p w:rsidR="00951828" w:rsidRPr="00A25379" w:rsidRDefault="00FA770C" w:rsidP="009B3A1F">
      <w:pPr>
        <w:pStyle w:val="a4"/>
        <w:ind w:leftChars="30" w:left="629" w:hangingChars="192" w:hanging="544"/>
        <w:rPr>
          <w:rFonts w:hAnsi="標楷體" w:hint="eastAsia"/>
        </w:rPr>
      </w:pPr>
      <w:r w:rsidRPr="00A25379">
        <w:rPr>
          <w:rFonts w:hAnsi="標楷體" w:hint="eastAsia"/>
        </w:rPr>
        <w:t>一、</w:t>
      </w:r>
      <w:r w:rsidR="009B3A1F" w:rsidRPr="00A25379">
        <w:rPr>
          <w:rFonts w:hAnsi="標楷體" w:hint="eastAsia"/>
        </w:rPr>
        <w:t>我國近年陸續施行國家語言發展法及原住民族語言發展法，並推動「國家語言整體發展方案」等政策，惟</w:t>
      </w:r>
      <w:r w:rsidR="000664BF" w:rsidRPr="00A25379">
        <w:rPr>
          <w:rFonts w:hAnsi="標楷體" w:hint="eastAsia"/>
        </w:rPr>
        <w:t>原住民族語及客語</w:t>
      </w:r>
      <w:r w:rsidR="009B3A1F" w:rsidRPr="00A25379">
        <w:rPr>
          <w:rFonts w:hAnsi="標楷體" w:hint="eastAsia"/>
        </w:rPr>
        <w:t>仍</w:t>
      </w:r>
      <w:r w:rsidR="000664BF" w:rsidRPr="00A25379">
        <w:rPr>
          <w:rFonts w:hAnsi="標楷體" w:hint="eastAsia"/>
        </w:rPr>
        <w:t>面臨嚴重流失危機，世代間存在明顯斷層，危及文化傳</w:t>
      </w:r>
      <w:r w:rsidR="004434FF" w:rsidRPr="00A25379">
        <w:rPr>
          <w:rFonts w:hAnsi="標楷體" w:hint="eastAsia"/>
        </w:rPr>
        <w:t>承，有賴政府賡續推動語言復振並完備相關法制作業，俾使語言文化順利傳承</w:t>
      </w:r>
      <w:r w:rsidR="004C262D" w:rsidRPr="00A25379">
        <w:rPr>
          <w:rFonts w:hAnsi="標楷體" w:hint="eastAsia"/>
        </w:rPr>
        <w:t>。</w:t>
      </w:r>
    </w:p>
    <w:p w:rsidR="004C262D" w:rsidRPr="00A25379" w:rsidRDefault="00FA770C" w:rsidP="009B3A1F">
      <w:pPr>
        <w:pStyle w:val="a4"/>
        <w:ind w:leftChars="30" w:left="629" w:hangingChars="192" w:hanging="544"/>
        <w:rPr>
          <w:rFonts w:hAnsi="標楷體"/>
        </w:rPr>
      </w:pPr>
      <w:r w:rsidRPr="00A25379">
        <w:rPr>
          <w:rFonts w:hAnsi="標楷體" w:hint="eastAsia"/>
        </w:rPr>
        <w:t>二、</w:t>
      </w:r>
      <w:r w:rsidR="000664BF" w:rsidRPr="00A25379">
        <w:rPr>
          <w:rFonts w:hAnsi="標楷體" w:hint="eastAsia"/>
        </w:rPr>
        <w:t>臺灣原住民族文化園區及客家文化園區持續推動特色觀光，有助於文化保存與</w:t>
      </w:r>
      <w:r w:rsidR="00B46068">
        <w:rPr>
          <w:rFonts w:hAnsi="標楷體" w:hint="eastAsia"/>
        </w:rPr>
        <w:t>活絡</w:t>
      </w:r>
      <w:r w:rsidR="000664BF" w:rsidRPr="00A25379">
        <w:rPr>
          <w:rFonts w:hAnsi="標楷體" w:hint="eastAsia"/>
        </w:rPr>
        <w:t>地方經濟</w:t>
      </w:r>
      <w:r w:rsidR="003D7695" w:rsidRPr="00A25379">
        <w:rPr>
          <w:rFonts w:hAnsi="標楷體" w:hint="eastAsia"/>
        </w:rPr>
        <w:t>，雖受疫情影響觀光人數下滑，近年已逐步回穩，惟整體發展仍</w:t>
      </w:r>
      <w:r w:rsidR="00FC484E" w:rsidRPr="00A25379">
        <w:rPr>
          <w:rFonts w:hAnsi="標楷體" w:hint="eastAsia"/>
        </w:rPr>
        <w:t>有提升</w:t>
      </w:r>
      <w:r w:rsidR="003D7695" w:rsidRPr="00A25379">
        <w:rPr>
          <w:rFonts w:hAnsi="標楷體" w:hint="eastAsia"/>
        </w:rPr>
        <w:t>空間</w:t>
      </w:r>
      <w:r w:rsidR="000664BF" w:rsidRPr="00A25379">
        <w:rPr>
          <w:rFonts w:hAnsi="標楷體" w:hint="eastAsia"/>
        </w:rPr>
        <w:t>。此外，規劃新建之</w:t>
      </w:r>
      <w:r w:rsidR="003D7695" w:rsidRPr="00A25379">
        <w:rPr>
          <w:rFonts w:hAnsi="標楷體" w:hint="eastAsia"/>
        </w:rPr>
        <w:t>原博</w:t>
      </w:r>
      <w:r w:rsidR="000664BF" w:rsidRPr="00A25379">
        <w:rPr>
          <w:rFonts w:hAnsi="標楷體" w:hint="eastAsia"/>
        </w:rPr>
        <w:t>館，允宜與現有原住民族文化園區之功能定位有所區隔，並互相搭配發展，以更全面地</w:t>
      </w:r>
      <w:r w:rsidR="003D7695" w:rsidRPr="00A25379">
        <w:rPr>
          <w:rFonts w:hAnsi="標楷體" w:hint="eastAsia"/>
        </w:rPr>
        <w:t>保存及推廣</w:t>
      </w:r>
      <w:r w:rsidR="000664BF" w:rsidRPr="00A25379">
        <w:rPr>
          <w:rFonts w:hAnsi="標楷體" w:hint="eastAsia"/>
        </w:rPr>
        <w:t>原住民族文化。</w:t>
      </w:r>
    </w:p>
    <w:p w:rsidR="004E403A" w:rsidRPr="00A25379" w:rsidRDefault="007C2DEC" w:rsidP="009B3A1F">
      <w:pPr>
        <w:pStyle w:val="a4"/>
        <w:ind w:leftChars="30" w:left="629" w:hangingChars="192" w:hanging="544"/>
        <w:rPr>
          <w:rFonts w:hAnsi="標楷體"/>
        </w:rPr>
      </w:pPr>
      <w:r w:rsidRPr="00A25379">
        <w:rPr>
          <w:rFonts w:hAnsi="標楷體" w:hint="eastAsia"/>
        </w:rPr>
        <w:t>三、</w:t>
      </w:r>
      <w:r w:rsidR="000664BF" w:rsidRPr="00A25379">
        <w:rPr>
          <w:rFonts w:hAnsi="標楷體" w:hint="eastAsia"/>
        </w:rPr>
        <w:t>客家電視台及原住民族電視台已製播多年，作為重要之文化傳播平台，肩負推廣族語、</w:t>
      </w:r>
      <w:r w:rsidR="00BB7E5A" w:rsidRPr="00A25379">
        <w:rPr>
          <w:rFonts w:hAnsi="標楷體" w:hint="eastAsia"/>
        </w:rPr>
        <w:t>文化及時事議題之責任，</w:t>
      </w:r>
      <w:r w:rsidR="000664BF" w:rsidRPr="00A25379">
        <w:rPr>
          <w:rFonts w:hAnsi="標楷體" w:hint="eastAsia"/>
        </w:rPr>
        <w:t>為更有效傳遞及深化文化內涵，兩電視台</w:t>
      </w:r>
      <w:r w:rsidR="00BB7E5A" w:rsidRPr="00A25379">
        <w:rPr>
          <w:rFonts w:hAnsi="標楷體" w:hint="eastAsia"/>
        </w:rPr>
        <w:t>之節目</w:t>
      </w:r>
      <w:r w:rsidR="000664BF" w:rsidRPr="00A25379">
        <w:rPr>
          <w:rFonts w:hAnsi="標楷體" w:hint="eastAsia"/>
        </w:rPr>
        <w:t>應持續增加各該族群視角，並提高</w:t>
      </w:r>
      <w:r w:rsidR="00BB7E5A" w:rsidRPr="00A25379">
        <w:rPr>
          <w:rFonts w:hAnsi="標楷體" w:hint="eastAsia"/>
        </w:rPr>
        <w:t>新首播及自製節目比率</w:t>
      </w:r>
      <w:r w:rsidR="000664BF" w:rsidRPr="00A25379">
        <w:rPr>
          <w:rFonts w:hAnsi="標楷體" w:hint="eastAsia"/>
        </w:rPr>
        <w:t>，以強化其在文化推廣上之影響力</w:t>
      </w:r>
      <w:r w:rsidR="00A510BF" w:rsidRPr="00A25379">
        <w:rPr>
          <w:rFonts w:hAnsi="標楷體" w:hint="eastAsia"/>
        </w:rPr>
        <w:t>。</w:t>
      </w:r>
    </w:p>
    <w:p w:rsidR="00101DA8" w:rsidRPr="00A25379" w:rsidRDefault="00101DA8" w:rsidP="00101DA8">
      <w:pPr>
        <w:pStyle w:val="ab"/>
        <w:rPr>
          <w:rFonts w:hAnsi="標楷體" w:hint="eastAsia"/>
        </w:rPr>
      </w:pPr>
      <w:r w:rsidRPr="00A25379">
        <w:rPr>
          <w:rFonts w:hAnsi="標楷體" w:hint="eastAsia"/>
        </w:rPr>
        <w:t>（分機：1919 傅勤文）</w:t>
      </w:r>
      <w:bookmarkStart w:id="1" w:name="_GoBack"/>
      <w:bookmarkEnd w:id="1"/>
    </w:p>
    <w:sectPr w:rsidR="00101DA8" w:rsidRPr="00A25379"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F735A0">
      <w:rPr>
        <w:rStyle w:val="ae"/>
        <w:noProof/>
      </w:rPr>
      <w:t>1</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5A0"/>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F42B1EA-A00B-42B6-ABF0-ACD9D6003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288A2C-0FCC-4C7A-B0AD-AD60BEB13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91</Words>
  <Characters>525</Characters>
  <Application>Microsoft Office Word</Application>
  <DocSecurity>0</DocSecurity>
  <Lines>4</Lines>
  <Paragraphs>1</Paragraphs>
  <ScaleCrop>false</ScaleCrop>
  <Company/>
  <LinksUpToDate>false</LinksUpToDate>
  <CharactersWithSpaces>615</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