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F72076" w:rsidRPr="0037121A" w:rsidRDefault="0043063B" w:rsidP="00F72076">
      <w:pPr>
        <w:pStyle w:val="14"/>
        <w:ind w:left="567" w:hanging="567"/>
        <w:rPr>
          <w:rStyle w:val="146"/>
          <w:b/>
        </w:rPr>
      </w:pPr>
      <w:bookmarkStart w:id="1" w:name="_Toc164679497"/>
      <w:bookmarkStart w:id="2" w:name="_Toc115337438"/>
      <w:bookmarkStart w:id="3" w:name="_Toc195717728"/>
      <w:bookmarkStart w:id="4" w:name="_Toc370291520"/>
      <w:bookmarkStart w:id="5" w:name="_Toc204326889"/>
      <w:r>
        <w:rPr>
          <w:rStyle w:val="146"/>
          <w:rFonts w:hint="eastAsia"/>
          <w:b/>
        </w:rPr>
        <w:t>六</w:t>
      </w:r>
      <w:r w:rsidR="00F72076" w:rsidRPr="0037121A">
        <w:rPr>
          <w:rStyle w:val="146"/>
          <w:rFonts w:hint="eastAsia"/>
          <w:b/>
        </w:rPr>
        <w:t>、部分長期水土保持計畫通盤檢討年數超逾5年，且特定水土保持區近年廢止件數增加，</w:t>
      </w:r>
      <w:r w:rsidR="00F72076">
        <w:rPr>
          <w:rStyle w:val="146"/>
          <w:rFonts w:hint="eastAsia"/>
          <w:b/>
        </w:rPr>
        <w:t>恐有危害</w:t>
      </w:r>
      <w:r w:rsidR="00F72076" w:rsidRPr="0037121A">
        <w:rPr>
          <w:rStyle w:val="146"/>
          <w:rFonts w:hint="eastAsia"/>
          <w:b/>
        </w:rPr>
        <w:t>水土保持</w:t>
      </w:r>
      <w:r w:rsidR="00F72076">
        <w:rPr>
          <w:rStyle w:val="146"/>
          <w:rFonts w:hint="eastAsia"/>
          <w:b/>
        </w:rPr>
        <w:t>之虞</w:t>
      </w:r>
      <w:bookmarkEnd w:id="5"/>
    </w:p>
    <w:p w:rsidR="00F72076" w:rsidRPr="003407A4" w:rsidRDefault="00F72076" w:rsidP="00F72076">
      <w:pPr>
        <w:ind w:left="566" w:firstLine="566"/>
        <w:rPr>
          <w:b/>
          <w:snapToGrid w:val="0"/>
        </w:rPr>
      </w:pPr>
      <w:r w:rsidRPr="003407A4">
        <w:rPr>
          <w:rFonts w:hint="eastAsia"/>
          <w:snapToGrid w:val="0"/>
        </w:rPr>
        <w:t>水土保持法</w:t>
      </w:r>
      <w:r w:rsidR="00576024">
        <w:rPr>
          <w:rFonts w:hint="eastAsia"/>
          <w:snapToGrid w:val="0"/>
        </w:rPr>
        <w:t>第16條第1項</w:t>
      </w:r>
      <w:r w:rsidRPr="003407A4">
        <w:rPr>
          <w:rFonts w:hint="eastAsia"/>
          <w:snapToGrid w:val="0"/>
        </w:rPr>
        <w:t>明定水庫集水區、主要河川上游之集水區、海岸、湖泊沿岸、水道兩岸須特別保護者、沙丘地、沙灘等風蝕嚴重者、山坡地坡度陡峭具危害公共安全之虞者，以及其他對水土保育有嚴重影響者，應劃定為特定水土保持區。其管理機關</w:t>
      </w:r>
      <w:r w:rsidRPr="003407A4">
        <w:rPr>
          <w:snapToGrid w:val="0"/>
          <w:vertAlign w:val="superscript"/>
        </w:rPr>
        <w:footnoteReference w:id="1"/>
      </w:r>
      <w:r w:rsidRPr="003407A4">
        <w:rPr>
          <w:rFonts w:hint="eastAsia"/>
          <w:snapToGrid w:val="0"/>
        </w:rPr>
        <w:t>應擬定長期水土保持計畫報請中央主管機關核定實施，且每5年應通盤檢討1次</w:t>
      </w:r>
      <w:r w:rsidRPr="003407A4">
        <w:rPr>
          <w:snapToGrid w:val="0"/>
          <w:vertAlign w:val="superscript"/>
        </w:rPr>
        <w:footnoteReference w:id="2"/>
      </w:r>
      <w:r w:rsidRPr="003407A4">
        <w:rPr>
          <w:rFonts w:hint="eastAsia"/>
          <w:snapToGrid w:val="0"/>
        </w:rPr>
        <w:t>。</w:t>
      </w:r>
      <w:r>
        <w:rPr>
          <w:rFonts w:hint="eastAsia"/>
          <w:snapToGrid w:val="0"/>
        </w:rPr>
        <w:t>經查</w:t>
      </w:r>
      <w:r w:rsidRPr="003407A4">
        <w:rPr>
          <w:rFonts w:hint="eastAsia"/>
          <w:snapToGrid w:val="0"/>
        </w:rPr>
        <w:t>：</w:t>
      </w:r>
    </w:p>
    <w:p w:rsidR="00F72076" w:rsidRPr="004A3EAC" w:rsidRDefault="00F72076" w:rsidP="00F72076">
      <w:pPr>
        <w:pStyle w:val="a4"/>
        <w:ind w:left="849" w:hanging="283"/>
        <w:rPr>
          <w:b/>
          <w:snapToGrid w:val="0"/>
        </w:rPr>
      </w:pPr>
      <w:r w:rsidRPr="004A3EAC">
        <w:rPr>
          <w:rFonts w:hint="eastAsia"/>
          <w:b/>
          <w:snapToGrid w:val="0"/>
        </w:rPr>
        <w:t>(一)</w:t>
      </w:r>
      <w:r w:rsidR="004A3EAC" w:rsidRPr="004A3EAC">
        <w:rPr>
          <w:rFonts w:hint="eastAsia"/>
          <w:b/>
          <w:snapToGrid w:val="0"/>
        </w:rPr>
        <w:t>特定水土保持區長期水土保持計畫，每5年應通盤檢討1次</w:t>
      </w:r>
      <w:r w:rsidR="00576024">
        <w:rPr>
          <w:rFonts w:hAnsi="標楷體" w:hint="eastAsia"/>
          <w:b/>
          <w:snapToGrid w:val="0"/>
        </w:rPr>
        <w:t>，</w:t>
      </w:r>
      <w:r w:rsidRPr="004A3EAC">
        <w:rPr>
          <w:rFonts w:hint="eastAsia"/>
          <w:b/>
          <w:snapToGrid w:val="0"/>
        </w:rPr>
        <w:t>部分</w:t>
      </w:r>
      <w:r w:rsidRPr="004A3EAC">
        <w:rPr>
          <w:rFonts w:hint="eastAsia"/>
          <w:b/>
        </w:rPr>
        <w:t>地區通盤檢討時間超逾規定</w:t>
      </w:r>
    </w:p>
    <w:p w:rsidR="00F72076" w:rsidRPr="003407A4" w:rsidRDefault="00F72076" w:rsidP="00F72076">
      <w:pPr>
        <w:pStyle w:val="21"/>
        <w:ind w:left="850" w:firstLine="566"/>
        <w:rPr>
          <w:snapToGrid w:val="0"/>
        </w:rPr>
      </w:pPr>
      <w:r w:rsidRPr="003407A4">
        <w:rPr>
          <w:rFonts w:hint="eastAsia"/>
          <w:snapToGrid w:val="0"/>
        </w:rPr>
        <w:t>依水土保持法第1</w:t>
      </w:r>
      <w:r w:rsidRPr="003407A4">
        <w:rPr>
          <w:snapToGrid w:val="0"/>
        </w:rPr>
        <w:t>8</w:t>
      </w:r>
      <w:r w:rsidRPr="003407A4">
        <w:rPr>
          <w:rFonts w:hint="eastAsia"/>
          <w:snapToGrid w:val="0"/>
        </w:rPr>
        <w:t>條規定略以，特定水土保持區長期水土保持計畫，每5年應通盤檢討1次。詢據農村水保署已公告之特定水土保持區一覽表，其中6</w:t>
      </w:r>
      <w:r w:rsidRPr="003407A4">
        <w:rPr>
          <w:snapToGrid w:val="0"/>
        </w:rPr>
        <w:t>8</w:t>
      </w:r>
      <w:r w:rsidRPr="003407A4">
        <w:rPr>
          <w:rFonts w:hint="eastAsia"/>
          <w:snapToGrid w:val="0"/>
        </w:rPr>
        <w:t>件第1次通盤檢討日期距長期水土保持計畫核定日期超逾5年；另53件第2次通盤檢討距第1次檢討已逾5年，允宜配合新1期治山防災計畫之推動</w:t>
      </w:r>
      <w:r w:rsidRPr="003407A4">
        <w:rPr>
          <w:rFonts w:hAnsi="標楷體" w:hint="eastAsia"/>
          <w:snapToGrid w:val="0"/>
        </w:rPr>
        <w:t>，</w:t>
      </w:r>
      <w:r w:rsidRPr="003407A4">
        <w:rPr>
          <w:rFonts w:hint="eastAsia"/>
          <w:snapToGrid w:val="0"/>
        </w:rPr>
        <w:t>研謀強化相關管理作為，督導各管理機關依法定期檢討水保計畫和通盤檢討作業提報與核定時程，以發揮保護特定水土保持區內水土資源之目標。</w:t>
      </w:r>
    </w:p>
    <w:p w:rsidR="00F72076" w:rsidRPr="00F72076" w:rsidRDefault="00F72076" w:rsidP="00F72076">
      <w:pPr>
        <w:pStyle w:val="a4"/>
        <w:ind w:left="849" w:hanging="283"/>
        <w:rPr>
          <w:b/>
          <w:snapToGrid w:val="0"/>
        </w:rPr>
      </w:pPr>
      <w:r w:rsidRPr="00F72076">
        <w:rPr>
          <w:rFonts w:hint="eastAsia"/>
          <w:b/>
          <w:snapToGrid w:val="0"/>
        </w:rPr>
        <w:t>(二)特定水土保持區廢止件數增加，占已公告面積比率達23.15</w:t>
      </w:r>
      <w:r w:rsidRPr="00F72076">
        <w:rPr>
          <w:b/>
          <w:snapToGrid w:val="0"/>
        </w:rPr>
        <w:t>%</w:t>
      </w:r>
    </w:p>
    <w:p w:rsidR="00F72076" w:rsidRPr="003407A4" w:rsidRDefault="00F72076" w:rsidP="00F72076">
      <w:pPr>
        <w:pStyle w:val="21"/>
        <w:ind w:left="850" w:firstLine="566"/>
        <w:rPr>
          <w:snapToGrid w:val="0"/>
        </w:rPr>
      </w:pPr>
      <w:r w:rsidRPr="003407A4">
        <w:rPr>
          <w:rFonts w:hint="eastAsia"/>
          <w:snapToGrid w:val="0"/>
        </w:rPr>
        <w:t>據農村水保署公告之特定水土保持區一覽表，截至1</w:t>
      </w:r>
      <w:r w:rsidRPr="003407A4">
        <w:rPr>
          <w:snapToGrid w:val="0"/>
        </w:rPr>
        <w:t>14</w:t>
      </w:r>
      <w:r w:rsidRPr="003407A4">
        <w:rPr>
          <w:rFonts w:hint="eastAsia"/>
          <w:snapToGrid w:val="0"/>
        </w:rPr>
        <w:t>年</w:t>
      </w:r>
      <w:r w:rsidRPr="003407A4">
        <w:rPr>
          <w:snapToGrid w:val="0"/>
        </w:rPr>
        <w:t>5</w:t>
      </w:r>
      <w:r w:rsidRPr="003407A4">
        <w:rPr>
          <w:rFonts w:hint="eastAsia"/>
          <w:snapToGrid w:val="0"/>
        </w:rPr>
        <w:t>月31日，累計已公告之特定水土保持區共計9</w:t>
      </w:r>
      <w:r w:rsidR="00576024">
        <w:rPr>
          <w:rFonts w:hint="eastAsia"/>
          <w:snapToGrid w:val="0"/>
        </w:rPr>
        <w:t>8</w:t>
      </w:r>
      <w:r w:rsidRPr="003407A4">
        <w:rPr>
          <w:rFonts w:hint="eastAsia"/>
          <w:snapToGrid w:val="0"/>
        </w:rPr>
        <w:t>件(面積2萬</w:t>
      </w:r>
      <w:r w:rsidRPr="003407A4">
        <w:rPr>
          <w:snapToGrid w:val="0"/>
        </w:rPr>
        <w:t>459.26</w:t>
      </w:r>
      <w:r w:rsidRPr="003407A4">
        <w:rPr>
          <w:rFonts w:hint="eastAsia"/>
          <w:snapToGrid w:val="0"/>
        </w:rPr>
        <w:t>公頃)，其中47件已廢止，</w:t>
      </w:r>
      <w:r w:rsidRPr="003407A4">
        <w:rPr>
          <w:snapToGrid w:val="0"/>
        </w:rPr>
        <w:t>3</w:t>
      </w:r>
      <w:r w:rsidRPr="003407A4">
        <w:rPr>
          <w:rFonts w:hint="eastAsia"/>
          <w:snapToGrid w:val="0"/>
        </w:rPr>
        <w:t>件部分廢止，1件尚未提出</w:t>
      </w:r>
      <w:r w:rsidRPr="003407A4">
        <w:rPr>
          <w:rFonts w:hint="eastAsia"/>
          <w:snapToGrid w:val="0"/>
        </w:rPr>
        <w:lastRenderedPageBreak/>
        <w:t>長期水土保持計畫(詳表</w:t>
      </w:r>
      <w:r w:rsidR="0043063B">
        <w:rPr>
          <w:rFonts w:hint="eastAsia"/>
          <w:snapToGrid w:val="0"/>
        </w:rPr>
        <w:t>3-6</w:t>
      </w:r>
      <w:r w:rsidRPr="003407A4">
        <w:rPr>
          <w:snapToGrid w:val="0"/>
        </w:rPr>
        <w:t>)</w:t>
      </w:r>
      <w:r w:rsidRPr="003407A4">
        <w:rPr>
          <w:rFonts w:hint="eastAsia"/>
          <w:snapToGrid w:val="0"/>
        </w:rPr>
        <w:t>，扣除已廢止件數之面積，現有公告面積1萬3</w:t>
      </w:r>
      <w:r w:rsidRPr="003407A4">
        <w:rPr>
          <w:snapToGrid w:val="0"/>
        </w:rPr>
        <w:t>,349.47</w:t>
      </w:r>
      <w:r w:rsidR="00576024">
        <w:rPr>
          <w:rFonts w:hint="eastAsia"/>
          <w:snapToGrid w:val="0"/>
        </w:rPr>
        <w:t>公頃。依特定水土保持區劃定與廢止準則</w:t>
      </w:r>
      <w:r w:rsidRPr="003407A4">
        <w:rPr>
          <w:rFonts w:hint="eastAsia"/>
          <w:snapToGrid w:val="0"/>
        </w:rPr>
        <w:t>第5條</w:t>
      </w:r>
      <w:r w:rsidR="00576024">
        <w:rPr>
          <w:rFonts w:hint="eastAsia"/>
          <w:snapToGrid w:val="0"/>
        </w:rPr>
        <w:t>規定</w:t>
      </w:r>
      <w:r w:rsidRPr="003407A4">
        <w:rPr>
          <w:rFonts w:hint="eastAsia"/>
          <w:snapToGrid w:val="0"/>
        </w:rPr>
        <w:t>略以，特定水土保持區一部或全部已無保全對象、近3年無重大土砂災害致人民生命或財產損失、已無加強水土保持處理與維護之需求或長期水土保持計畫已執行完畢者得廢止之。而</w:t>
      </w:r>
      <w:r w:rsidRPr="003407A4">
        <w:rPr>
          <w:snapToGrid w:val="0"/>
        </w:rPr>
        <w:t>110</w:t>
      </w:r>
      <w:r w:rsidRPr="003407A4">
        <w:rPr>
          <w:rFonts w:hint="eastAsia"/>
          <w:snapToGrid w:val="0"/>
        </w:rPr>
        <w:t>年至1</w:t>
      </w:r>
      <w:r w:rsidRPr="003407A4">
        <w:rPr>
          <w:snapToGrid w:val="0"/>
        </w:rPr>
        <w:t>14</w:t>
      </w:r>
      <w:r w:rsidRPr="003407A4">
        <w:rPr>
          <w:rFonts w:hint="eastAsia"/>
          <w:snapToGrid w:val="0"/>
        </w:rPr>
        <w:t>年</w:t>
      </w:r>
      <w:r w:rsidRPr="003407A4">
        <w:rPr>
          <w:snapToGrid w:val="0"/>
        </w:rPr>
        <w:t>5</w:t>
      </w:r>
      <w:r w:rsidRPr="003407A4">
        <w:rPr>
          <w:rFonts w:hint="eastAsia"/>
          <w:snapToGrid w:val="0"/>
        </w:rPr>
        <w:t>月31日雖新增公告</w:t>
      </w:r>
      <w:r w:rsidRPr="003407A4">
        <w:rPr>
          <w:snapToGrid w:val="0"/>
        </w:rPr>
        <w:t>23</w:t>
      </w:r>
      <w:r w:rsidRPr="003407A4">
        <w:rPr>
          <w:rFonts w:hint="eastAsia"/>
          <w:snapToGrid w:val="0"/>
        </w:rPr>
        <w:t>件特定水土保持區，惟1</w:t>
      </w:r>
      <w:r w:rsidRPr="003407A4">
        <w:rPr>
          <w:snapToGrid w:val="0"/>
        </w:rPr>
        <w:t>10</w:t>
      </w:r>
      <w:r w:rsidRPr="003407A4">
        <w:rPr>
          <w:rFonts w:hint="eastAsia"/>
          <w:snapToGrid w:val="0"/>
        </w:rPr>
        <w:t>至1</w:t>
      </w:r>
      <w:r w:rsidRPr="003407A4">
        <w:rPr>
          <w:snapToGrid w:val="0"/>
        </w:rPr>
        <w:t>1</w:t>
      </w:r>
      <w:r w:rsidRPr="003407A4">
        <w:rPr>
          <w:rFonts w:hint="eastAsia"/>
          <w:snapToGrid w:val="0"/>
        </w:rPr>
        <w:t>3年廢止件數合計3</w:t>
      </w:r>
      <w:r w:rsidRPr="003407A4">
        <w:rPr>
          <w:snapToGrid w:val="0"/>
        </w:rPr>
        <w:t>6</w:t>
      </w:r>
      <w:r w:rsidRPr="003407A4">
        <w:rPr>
          <w:rFonts w:hint="eastAsia"/>
          <w:snapToGrid w:val="0"/>
        </w:rPr>
        <w:t>件(含部分廢止)</w:t>
      </w:r>
      <w:r w:rsidRPr="003407A4">
        <w:rPr>
          <w:rFonts w:hAnsi="標楷體" w:hint="eastAsia"/>
          <w:snapToGrid w:val="0"/>
        </w:rPr>
        <w:t>，</w:t>
      </w:r>
      <w:r w:rsidRPr="003407A4">
        <w:rPr>
          <w:rFonts w:hint="eastAsia"/>
          <w:snapToGrid w:val="0"/>
        </w:rPr>
        <w:t>廢止面積4</w:t>
      </w:r>
      <w:r w:rsidRPr="003407A4">
        <w:rPr>
          <w:snapToGrid w:val="0"/>
        </w:rPr>
        <w:t>,</w:t>
      </w:r>
      <w:r w:rsidRPr="003407A4">
        <w:rPr>
          <w:rFonts w:hint="eastAsia"/>
          <w:snapToGrid w:val="0"/>
        </w:rPr>
        <w:t>685</w:t>
      </w:r>
      <w:r w:rsidRPr="003407A4">
        <w:rPr>
          <w:snapToGrid w:val="0"/>
        </w:rPr>
        <w:t>.</w:t>
      </w:r>
      <w:r w:rsidRPr="003407A4">
        <w:rPr>
          <w:rFonts w:hint="eastAsia"/>
          <w:snapToGrid w:val="0"/>
        </w:rPr>
        <w:t>5公頃，占已公告面積2萬</w:t>
      </w:r>
      <w:r w:rsidRPr="003407A4">
        <w:rPr>
          <w:snapToGrid w:val="0"/>
        </w:rPr>
        <w:t>459</w:t>
      </w:r>
      <w:r w:rsidRPr="003407A4">
        <w:rPr>
          <w:rFonts w:hint="eastAsia"/>
          <w:snapToGrid w:val="0"/>
        </w:rPr>
        <w:t>.</w:t>
      </w:r>
      <w:r w:rsidRPr="003407A4">
        <w:rPr>
          <w:snapToGrid w:val="0"/>
        </w:rPr>
        <w:t>26</w:t>
      </w:r>
      <w:r w:rsidRPr="003407A4">
        <w:rPr>
          <w:rFonts w:hint="eastAsia"/>
          <w:snapToGrid w:val="0"/>
        </w:rPr>
        <w:t>公頃之2</w:t>
      </w:r>
      <w:r w:rsidRPr="003407A4">
        <w:rPr>
          <w:snapToGrid w:val="0"/>
        </w:rPr>
        <w:t>2.90%</w:t>
      </w:r>
      <w:r w:rsidRPr="003407A4">
        <w:rPr>
          <w:rFonts w:hint="eastAsia"/>
          <w:snapToGrid w:val="0"/>
        </w:rPr>
        <w:t>，鑒於氣候變遷帶來極端降雨導致土石流或大規模崩塌之可能性提高，近年廢止特定水土保持區件數及面積增加，允宜審慎評估特定水土保持區廢止程序，以避免發生土砂災害危害人民安全或致重大財損。</w:t>
      </w:r>
    </w:p>
    <w:p w:rsidR="00F72076" w:rsidRPr="003407A4" w:rsidRDefault="00F72076" w:rsidP="00F72076">
      <w:pPr>
        <w:adjustRightInd w:val="0"/>
        <w:spacing w:line="500" w:lineRule="exact"/>
        <w:ind w:leftChars="0" w:left="850" w:hangingChars="300" w:hanging="850"/>
        <w:rPr>
          <w:b/>
          <w:snapToGrid w:val="0"/>
        </w:rPr>
      </w:pPr>
      <w:r w:rsidRPr="003407A4">
        <w:rPr>
          <w:rFonts w:hint="eastAsia"/>
          <w:b/>
          <w:snapToGrid w:val="0"/>
        </w:rPr>
        <w:t>表</w:t>
      </w:r>
      <w:r w:rsidR="0043063B">
        <w:rPr>
          <w:rFonts w:hint="eastAsia"/>
          <w:b/>
          <w:snapToGrid w:val="0"/>
        </w:rPr>
        <w:t>3-6</w:t>
      </w:r>
      <w:r w:rsidRPr="003407A4">
        <w:rPr>
          <w:b/>
          <w:snapToGrid w:val="0"/>
        </w:rPr>
        <w:t xml:space="preserve">  </w:t>
      </w:r>
      <w:r w:rsidRPr="003407A4">
        <w:rPr>
          <w:rFonts w:hint="eastAsia"/>
          <w:b/>
          <w:snapToGrid w:val="0"/>
        </w:rPr>
        <w:t>截至1</w:t>
      </w:r>
      <w:r w:rsidRPr="003407A4">
        <w:rPr>
          <w:b/>
          <w:snapToGrid w:val="0"/>
        </w:rPr>
        <w:t>14</w:t>
      </w:r>
      <w:r w:rsidRPr="003407A4">
        <w:rPr>
          <w:rFonts w:hint="eastAsia"/>
          <w:b/>
          <w:snapToGrid w:val="0"/>
        </w:rPr>
        <w:t>年</w:t>
      </w:r>
      <w:r w:rsidRPr="003407A4">
        <w:rPr>
          <w:b/>
          <w:snapToGrid w:val="0"/>
        </w:rPr>
        <w:t>5</w:t>
      </w:r>
      <w:r w:rsidRPr="003407A4">
        <w:rPr>
          <w:rFonts w:hint="eastAsia"/>
          <w:b/>
          <w:snapToGrid w:val="0"/>
        </w:rPr>
        <w:t>月31日特定水土保持區公告及廢止概況表</w:t>
      </w:r>
    </w:p>
    <w:p w:rsidR="00F72076" w:rsidRDefault="00F72076" w:rsidP="00F72076">
      <w:pPr>
        <w:spacing w:line="280" w:lineRule="exact"/>
        <w:ind w:leftChars="0" w:left="0" w:firstLineChars="0" w:firstLine="0"/>
        <w:jc w:val="right"/>
        <w:rPr>
          <w:snapToGrid w:val="0"/>
          <w:sz w:val="24"/>
        </w:rPr>
      </w:pPr>
      <w:r w:rsidRPr="003407A4">
        <w:rPr>
          <w:rFonts w:hint="eastAsia"/>
          <w:snapToGrid w:val="0"/>
          <w:sz w:val="24"/>
        </w:rPr>
        <w:t>單位：件</w:t>
      </w:r>
    </w:p>
    <w:tbl>
      <w:tblPr>
        <w:tblW w:w="838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85"/>
        <w:gridCol w:w="671"/>
        <w:gridCol w:w="708"/>
        <w:gridCol w:w="707"/>
        <w:gridCol w:w="850"/>
        <w:gridCol w:w="577"/>
        <w:gridCol w:w="577"/>
        <w:gridCol w:w="577"/>
        <w:gridCol w:w="577"/>
        <w:gridCol w:w="577"/>
        <w:gridCol w:w="791"/>
        <w:gridCol w:w="585"/>
      </w:tblGrid>
      <w:tr w:rsidR="00F72076" w:rsidRPr="004C5696" w:rsidTr="00576024">
        <w:trPr>
          <w:tblHeader/>
        </w:trPr>
        <w:tc>
          <w:tcPr>
            <w:tcW w:w="1185" w:type="dxa"/>
            <w:shd w:val="clear" w:color="auto" w:fill="auto"/>
            <w:vAlign w:val="center"/>
          </w:tcPr>
          <w:p w:rsidR="00F72076" w:rsidRPr="004C5696" w:rsidRDefault="00F72076" w:rsidP="00E7510E">
            <w:pPr>
              <w:pStyle w:val="142"/>
              <w:jc w:val="center"/>
              <w:rPr>
                <w:b/>
                <w:snapToGrid w:val="0"/>
              </w:rPr>
            </w:pPr>
            <w:r w:rsidRPr="004C5696">
              <w:rPr>
                <w:rFonts w:hint="eastAsia"/>
                <w:b/>
                <w:snapToGrid w:val="0"/>
              </w:rPr>
              <w:t>年度</w:t>
            </w:r>
          </w:p>
        </w:tc>
        <w:tc>
          <w:tcPr>
            <w:tcW w:w="671" w:type="dxa"/>
            <w:shd w:val="clear" w:color="auto" w:fill="auto"/>
            <w:vAlign w:val="center"/>
          </w:tcPr>
          <w:p w:rsidR="00F72076" w:rsidRPr="004C5696" w:rsidRDefault="00F72076" w:rsidP="00E7510E">
            <w:pPr>
              <w:pStyle w:val="142"/>
              <w:jc w:val="center"/>
              <w:rPr>
                <w:b/>
                <w:snapToGrid w:val="0"/>
              </w:rPr>
            </w:pPr>
            <w:r w:rsidRPr="0037121A">
              <w:rPr>
                <w:rFonts w:hint="eastAsia"/>
                <w:b/>
                <w:snapToGrid w:val="0"/>
              </w:rPr>
              <w:t>89至93</w:t>
            </w:r>
          </w:p>
        </w:tc>
        <w:tc>
          <w:tcPr>
            <w:tcW w:w="708" w:type="dxa"/>
            <w:shd w:val="clear" w:color="auto" w:fill="auto"/>
            <w:vAlign w:val="center"/>
          </w:tcPr>
          <w:p w:rsidR="00F72076" w:rsidRPr="004C5696" w:rsidRDefault="00F72076" w:rsidP="00E7510E">
            <w:pPr>
              <w:pStyle w:val="142"/>
              <w:jc w:val="center"/>
              <w:rPr>
                <w:b/>
                <w:snapToGrid w:val="0"/>
              </w:rPr>
            </w:pPr>
            <w:r w:rsidRPr="0037121A">
              <w:rPr>
                <w:rFonts w:hint="eastAsia"/>
                <w:b/>
                <w:snapToGrid w:val="0"/>
              </w:rPr>
              <w:t>94至98</w:t>
            </w:r>
          </w:p>
        </w:tc>
        <w:tc>
          <w:tcPr>
            <w:tcW w:w="707" w:type="dxa"/>
            <w:vAlign w:val="center"/>
          </w:tcPr>
          <w:p w:rsidR="00F72076" w:rsidRPr="004C5696" w:rsidRDefault="00F72076" w:rsidP="00E7510E">
            <w:pPr>
              <w:pStyle w:val="142"/>
              <w:jc w:val="center"/>
              <w:rPr>
                <w:b/>
                <w:snapToGrid w:val="0"/>
              </w:rPr>
            </w:pPr>
            <w:r w:rsidRPr="0037121A">
              <w:rPr>
                <w:rFonts w:hint="eastAsia"/>
                <w:b/>
                <w:snapToGrid w:val="0"/>
              </w:rPr>
              <w:t>99至103</w:t>
            </w:r>
          </w:p>
        </w:tc>
        <w:tc>
          <w:tcPr>
            <w:tcW w:w="850" w:type="dxa"/>
            <w:vAlign w:val="center"/>
          </w:tcPr>
          <w:p w:rsidR="00F72076" w:rsidRPr="004C5696" w:rsidRDefault="00F72076" w:rsidP="00E7510E">
            <w:pPr>
              <w:pStyle w:val="142"/>
              <w:jc w:val="center"/>
              <w:rPr>
                <w:b/>
                <w:snapToGrid w:val="0"/>
              </w:rPr>
            </w:pPr>
            <w:r w:rsidRPr="0037121A">
              <w:rPr>
                <w:rFonts w:hint="eastAsia"/>
                <w:b/>
                <w:snapToGrid w:val="0"/>
              </w:rPr>
              <w:t>104至108</w:t>
            </w:r>
          </w:p>
        </w:tc>
        <w:tc>
          <w:tcPr>
            <w:tcW w:w="577" w:type="dxa"/>
            <w:vAlign w:val="center"/>
          </w:tcPr>
          <w:p w:rsidR="00F72076" w:rsidRPr="004C5696" w:rsidRDefault="00F72076" w:rsidP="00E7510E">
            <w:pPr>
              <w:pStyle w:val="142"/>
              <w:jc w:val="center"/>
              <w:rPr>
                <w:b/>
                <w:snapToGrid w:val="0"/>
              </w:rPr>
            </w:pPr>
            <w:r>
              <w:rPr>
                <w:rFonts w:hint="eastAsia"/>
                <w:b/>
                <w:snapToGrid w:val="0"/>
              </w:rPr>
              <w:t>109</w:t>
            </w:r>
          </w:p>
        </w:tc>
        <w:tc>
          <w:tcPr>
            <w:tcW w:w="577" w:type="dxa"/>
            <w:vAlign w:val="center"/>
          </w:tcPr>
          <w:p w:rsidR="00F72076" w:rsidRPr="004C5696" w:rsidRDefault="00F72076" w:rsidP="00E7510E">
            <w:pPr>
              <w:pStyle w:val="142"/>
              <w:jc w:val="center"/>
              <w:rPr>
                <w:b/>
                <w:snapToGrid w:val="0"/>
              </w:rPr>
            </w:pPr>
            <w:r>
              <w:rPr>
                <w:rFonts w:hint="eastAsia"/>
                <w:b/>
                <w:snapToGrid w:val="0"/>
              </w:rPr>
              <w:t>110</w:t>
            </w:r>
          </w:p>
        </w:tc>
        <w:tc>
          <w:tcPr>
            <w:tcW w:w="577" w:type="dxa"/>
            <w:vAlign w:val="center"/>
          </w:tcPr>
          <w:p w:rsidR="00F72076" w:rsidRDefault="00F72076" w:rsidP="00E7510E">
            <w:pPr>
              <w:pStyle w:val="142"/>
              <w:jc w:val="center"/>
              <w:rPr>
                <w:b/>
                <w:snapToGrid w:val="0"/>
              </w:rPr>
            </w:pPr>
            <w:r>
              <w:rPr>
                <w:rFonts w:hint="eastAsia"/>
                <w:b/>
                <w:snapToGrid w:val="0"/>
              </w:rPr>
              <w:t>111</w:t>
            </w:r>
          </w:p>
        </w:tc>
        <w:tc>
          <w:tcPr>
            <w:tcW w:w="577" w:type="dxa"/>
            <w:vAlign w:val="center"/>
          </w:tcPr>
          <w:p w:rsidR="00F72076" w:rsidRDefault="00F72076" w:rsidP="00E7510E">
            <w:pPr>
              <w:pStyle w:val="142"/>
              <w:jc w:val="center"/>
              <w:rPr>
                <w:b/>
                <w:snapToGrid w:val="0"/>
              </w:rPr>
            </w:pPr>
            <w:r>
              <w:rPr>
                <w:rFonts w:hint="eastAsia"/>
                <w:b/>
                <w:snapToGrid w:val="0"/>
              </w:rPr>
              <w:t>112</w:t>
            </w:r>
          </w:p>
        </w:tc>
        <w:tc>
          <w:tcPr>
            <w:tcW w:w="577" w:type="dxa"/>
            <w:vAlign w:val="center"/>
          </w:tcPr>
          <w:p w:rsidR="00F72076" w:rsidRDefault="00F72076" w:rsidP="00E7510E">
            <w:pPr>
              <w:pStyle w:val="142"/>
              <w:jc w:val="center"/>
              <w:rPr>
                <w:b/>
                <w:snapToGrid w:val="0"/>
              </w:rPr>
            </w:pPr>
            <w:r>
              <w:rPr>
                <w:rFonts w:hint="eastAsia"/>
                <w:b/>
                <w:snapToGrid w:val="0"/>
              </w:rPr>
              <w:t>113</w:t>
            </w:r>
          </w:p>
        </w:tc>
        <w:tc>
          <w:tcPr>
            <w:tcW w:w="791" w:type="dxa"/>
            <w:vAlign w:val="center"/>
          </w:tcPr>
          <w:p w:rsidR="00F72076" w:rsidRDefault="00F72076" w:rsidP="00E7510E">
            <w:pPr>
              <w:pStyle w:val="142"/>
              <w:jc w:val="center"/>
              <w:rPr>
                <w:b/>
                <w:snapToGrid w:val="0"/>
              </w:rPr>
            </w:pPr>
            <w:r>
              <w:rPr>
                <w:rFonts w:hint="eastAsia"/>
                <w:b/>
                <w:snapToGrid w:val="0"/>
              </w:rPr>
              <w:t>114</w:t>
            </w:r>
          </w:p>
          <w:p w:rsidR="00576024" w:rsidRDefault="00576024" w:rsidP="00576024">
            <w:pPr>
              <w:pStyle w:val="142"/>
              <w:ind w:rightChars="-38" w:right="-108"/>
              <w:jc w:val="center"/>
              <w:rPr>
                <w:b/>
                <w:snapToGrid w:val="0"/>
              </w:rPr>
            </w:pPr>
            <w:r>
              <w:rPr>
                <w:rFonts w:hint="eastAsia"/>
                <w:b/>
                <w:snapToGrid w:val="0"/>
              </w:rPr>
              <w:t>(迄5月底)</w:t>
            </w:r>
          </w:p>
        </w:tc>
        <w:tc>
          <w:tcPr>
            <w:tcW w:w="585" w:type="dxa"/>
            <w:vAlign w:val="center"/>
          </w:tcPr>
          <w:p w:rsidR="00F72076" w:rsidRDefault="00F72076" w:rsidP="00E7510E">
            <w:pPr>
              <w:pStyle w:val="142"/>
              <w:jc w:val="center"/>
              <w:rPr>
                <w:b/>
                <w:snapToGrid w:val="0"/>
              </w:rPr>
            </w:pPr>
            <w:r w:rsidRPr="0037121A">
              <w:rPr>
                <w:rFonts w:hint="eastAsia"/>
                <w:b/>
                <w:snapToGrid w:val="0"/>
              </w:rPr>
              <w:t>合計</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公告件數</w:t>
            </w:r>
          </w:p>
        </w:tc>
        <w:tc>
          <w:tcPr>
            <w:tcW w:w="671" w:type="dxa"/>
            <w:shd w:val="clear" w:color="auto" w:fill="auto"/>
            <w:vAlign w:val="center"/>
          </w:tcPr>
          <w:p w:rsidR="00F72076" w:rsidRDefault="00F72076" w:rsidP="00D01775">
            <w:pPr>
              <w:pStyle w:val="142"/>
              <w:jc w:val="right"/>
              <w:rPr>
                <w:kern w:val="0"/>
              </w:rPr>
            </w:pPr>
            <w:r>
              <w:rPr>
                <w:rFonts w:hint="eastAsia"/>
              </w:rPr>
              <w:t>68</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4</w:t>
            </w:r>
          </w:p>
        </w:tc>
        <w:tc>
          <w:tcPr>
            <w:tcW w:w="850"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7</w:t>
            </w:r>
          </w:p>
        </w:tc>
        <w:tc>
          <w:tcPr>
            <w:tcW w:w="577" w:type="dxa"/>
            <w:shd w:val="clear" w:color="auto" w:fill="auto"/>
            <w:vAlign w:val="center"/>
          </w:tcPr>
          <w:p w:rsidR="00F72076" w:rsidRDefault="00F72076" w:rsidP="00D01775">
            <w:pPr>
              <w:pStyle w:val="142"/>
              <w:jc w:val="right"/>
            </w:pPr>
            <w:r>
              <w:rPr>
                <w:rFonts w:hint="eastAsia"/>
              </w:rPr>
              <w:t>6</w:t>
            </w:r>
          </w:p>
        </w:tc>
        <w:tc>
          <w:tcPr>
            <w:tcW w:w="577" w:type="dxa"/>
            <w:shd w:val="clear" w:color="auto" w:fill="auto"/>
            <w:vAlign w:val="center"/>
          </w:tcPr>
          <w:p w:rsidR="00F72076" w:rsidRDefault="00F72076" w:rsidP="00D01775">
            <w:pPr>
              <w:pStyle w:val="142"/>
              <w:jc w:val="right"/>
            </w:pPr>
            <w:r>
              <w:rPr>
                <w:rFonts w:hint="eastAsia"/>
              </w:rPr>
              <w:t>4</w:t>
            </w:r>
          </w:p>
        </w:tc>
        <w:tc>
          <w:tcPr>
            <w:tcW w:w="791" w:type="dxa"/>
            <w:shd w:val="clear" w:color="auto" w:fill="auto"/>
            <w:vAlign w:val="center"/>
          </w:tcPr>
          <w:p w:rsidR="00F72076" w:rsidRDefault="00F72076" w:rsidP="00D01775">
            <w:pPr>
              <w:pStyle w:val="142"/>
              <w:jc w:val="right"/>
            </w:pPr>
            <w:r>
              <w:rPr>
                <w:rFonts w:hint="eastAsia"/>
              </w:rPr>
              <w:t>6</w:t>
            </w:r>
          </w:p>
        </w:tc>
        <w:tc>
          <w:tcPr>
            <w:tcW w:w="585" w:type="dxa"/>
            <w:shd w:val="clear" w:color="auto" w:fill="auto"/>
            <w:vAlign w:val="center"/>
          </w:tcPr>
          <w:p w:rsidR="00F72076" w:rsidRDefault="00F72076" w:rsidP="00D01775">
            <w:pPr>
              <w:pStyle w:val="142"/>
              <w:jc w:val="right"/>
            </w:pPr>
            <w:r>
              <w:rPr>
                <w:rFonts w:hint="eastAsia"/>
              </w:rPr>
              <w:t>98</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長期水土保持計畫</w:t>
            </w:r>
          </w:p>
        </w:tc>
        <w:tc>
          <w:tcPr>
            <w:tcW w:w="671" w:type="dxa"/>
            <w:shd w:val="clear" w:color="auto" w:fill="auto"/>
            <w:vAlign w:val="center"/>
          </w:tcPr>
          <w:p w:rsidR="00F72076" w:rsidRDefault="00F72076" w:rsidP="00D01775">
            <w:pPr>
              <w:pStyle w:val="142"/>
              <w:jc w:val="right"/>
            </w:pPr>
            <w:r>
              <w:rPr>
                <w:rFonts w:hint="eastAsia"/>
              </w:rPr>
              <w:t>37</w:t>
            </w:r>
          </w:p>
        </w:tc>
        <w:tc>
          <w:tcPr>
            <w:tcW w:w="708" w:type="dxa"/>
            <w:shd w:val="clear" w:color="auto" w:fill="auto"/>
            <w:vAlign w:val="center"/>
          </w:tcPr>
          <w:p w:rsidR="00F72076" w:rsidRDefault="00F72076" w:rsidP="00D01775">
            <w:pPr>
              <w:pStyle w:val="142"/>
              <w:jc w:val="right"/>
            </w:pPr>
            <w:r>
              <w:rPr>
                <w:rFonts w:hint="eastAsia"/>
              </w:rPr>
              <w:t>27</w:t>
            </w:r>
          </w:p>
        </w:tc>
        <w:tc>
          <w:tcPr>
            <w:tcW w:w="707" w:type="dxa"/>
            <w:shd w:val="clear" w:color="auto" w:fill="auto"/>
            <w:vAlign w:val="center"/>
          </w:tcPr>
          <w:p w:rsidR="00F72076" w:rsidRDefault="00F72076" w:rsidP="00D01775">
            <w:pPr>
              <w:pStyle w:val="142"/>
              <w:jc w:val="right"/>
            </w:pPr>
            <w:r>
              <w:rPr>
                <w:rFonts w:hint="eastAsia"/>
              </w:rPr>
              <w:t>4</w:t>
            </w:r>
          </w:p>
        </w:tc>
        <w:tc>
          <w:tcPr>
            <w:tcW w:w="850" w:type="dxa"/>
            <w:shd w:val="clear" w:color="auto" w:fill="auto"/>
            <w:vAlign w:val="center"/>
          </w:tcPr>
          <w:p w:rsidR="00F72076" w:rsidRDefault="00F72076" w:rsidP="00D01775">
            <w:pPr>
              <w:pStyle w:val="142"/>
              <w:jc w:val="right"/>
            </w:pPr>
            <w:r>
              <w:rPr>
                <w:rFonts w:hint="eastAsia"/>
              </w:rPr>
              <w:t>4</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11</w:t>
            </w:r>
          </w:p>
        </w:tc>
        <w:tc>
          <w:tcPr>
            <w:tcW w:w="577" w:type="dxa"/>
            <w:shd w:val="clear" w:color="auto" w:fill="auto"/>
            <w:vAlign w:val="center"/>
          </w:tcPr>
          <w:p w:rsidR="00F72076" w:rsidRDefault="00F72076" w:rsidP="00D01775">
            <w:pPr>
              <w:pStyle w:val="142"/>
              <w:jc w:val="right"/>
            </w:pPr>
            <w:r>
              <w:rPr>
                <w:rFonts w:hint="eastAsia"/>
              </w:rPr>
              <w:t>6</w:t>
            </w:r>
          </w:p>
        </w:tc>
        <w:tc>
          <w:tcPr>
            <w:tcW w:w="791" w:type="dxa"/>
            <w:shd w:val="clear" w:color="auto" w:fill="auto"/>
            <w:vAlign w:val="center"/>
          </w:tcPr>
          <w:p w:rsidR="00F72076" w:rsidRDefault="00F72076" w:rsidP="00D01775">
            <w:pPr>
              <w:pStyle w:val="142"/>
              <w:jc w:val="right"/>
            </w:pPr>
            <w:r>
              <w:rPr>
                <w:rFonts w:hint="eastAsia"/>
              </w:rPr>
              <w:t>6</w:t>
            </w:r>
          </w:p>
        </w:tc>
        <w:tc>
          <w:tcPr>
            <w:tcW w:w="585" w:type="dxa"/>
            <w:shd w:val="clear" w:color="auto" w:fill="auto"/>
            <w:vAlign w:val="center"/>
          </w:tcPr>
          <w:p w:rsidR="00F72076" w:rsidRDefault="00F72076" w:rsidP="00D01775">
            <w:pPr>
              <w:pStyle w:val="142"/>
              <w:jc w:val="right"/>
            </w:pPr>
            <w:r>
              <w:rPr>
                <w:rFonts w:hint="eastAsia"/>
              </w:rPr>
              <w:t>97</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第一次通盤檢討</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2</w:t>
            </w:r>
          </w:p>
        </w:tc>
        <w:tc>
          <w:tcPr>
            <w:tcW w:w="707" w:type="dxa"/>
            <w:shd w:val="clear" w:color="auto" w:fill="auto"/>
            <w:vAlign w:val="center"/>
          </w:tcPr>
          <w:p w:rsidR="00F72076" w:rsidRDefault="00F72076" w:rsidP="00D01775">
            <w:pPr>
              <w:pStyle w:val="142"/>
              <w:jc w:val="right"/>
            </w:pPr>
            <w:r>
              <w:rPr>
                <w:rFonts w:hint="eastAsia"/>
              </w:rPr>
              <w:t>49</w:t>
            </w:r>
          </w:p>
        </w:tc>
        <w:tc>
          <w:tcPr>
            <w:tcW w:w="850" w:type="dxa"/>
            <w:shd w:val="clear" w:color="auto" w:fill="auto"/>
            <w:vAlign w:val="center"/>
          </w:tcPr>
          <w:p w:rsidR="00F72076" w:rsidRDefault="00F72076" w:rsidP="00D01775">
            <w:pPr>
              <w:pStyle w:val="142"/>
              <w:jc w:val="right"/>
            </w:pPr>
            <w:r>
              <w:rPr>
                <w:rFonts w:hint="eastAsia"/>
              </w:rPr>
              <w:t>14</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71</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第二次通盤檢討</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w:t>
            </w:r>
          </w:p>
        </w:tc>
        <w:tc>
          <w:tcPr>
            <w:tcW w:w="850" w:type="dxa"/>
            <w:shd w:val="clear" w:color="auto" w:fill="auto"/>
            <w:vAlign w:val="center"/>
          </w:tcPr>
          <w:p w:rsidR="00F72076" w:rsidRDefault="00F72076" w:rsidP="00D01775">
            <w:pPr>
              <w:pStyle w:val="142"/>
              <w:jc w:val="right"/>
            </w:pPr>
            <w:r>
              <w:rPr>
                <w:rFonts w:hint="eastAsia"/>
              </w:rPr>
              <w:t>7</w:t>
            </w:r>
          </w:p>
        </w:tc>
        <w:tc>
          <w:tcPr>
            <w:tcW w:w="577" w:type="dxa"/>
            <w:shd w:val="clear" w:color="auto" w:fill="auto"/>
            <w:vAlign w:val="center"/>
          </w:tcPr>
          <w:p w:rsidR="00F72076" w:rsidRDefault="00F72076" w:rsidP="00D01775">
            <w:pPr>
              <w:pStyle w:val="142"/>
              <w:jc w:val="right"/>
            </w:pPr>
            <w:r>
              <w:rPr>
                <w:rFonts w:hint="eastAsia"/>
              </w:rPr>
              <w:t>26</w:t>
            </w:r>
          </w:p>
        </w:tc>
        <w:tc>
          <w:tcPr>
            <w:tcW w:w="577" w:type="dxa"/>
            <w:shd w:val="clear" w:color="auto" w:fill="auto"/>
            <w:vAlign w:val="center"/>
          </w:tcPr>
          <w:p w:rsidR="00F72076" w:rsidRDefault="00F72076" w:rsidP="00D01775">
            <w:pPr>
              <w:pStyle w:val="142"/>
              <w:jc w:val="right"/>
            </w:pPr>
            <w:r>
              <w:rPr>
                <w:rFonts w:hint="eastAsia"/>
              </w:rPr>
              <w:t>4</w:t>
            </w:r>
          </w:p>
        </w:tc>
        <w:tc>
          <w:tcPr>
            <w:tcW w:w="577" w:type="dxa"/>
            <w:shd w:val="clear" w:color="auto" w:fill="auto"/>
            <w:vAlign w:val="center"/>
          </w:tcPr>
          <w:p w:rsidR="00F72076" w:rsidRDefault="00F72076" w:rsidP="00D01775">
            <w:pPr>
              <w:pStyle w:val="142"/>
              <w:jc w:val="right"/>
            </w:pPr>
            <w:r>
              <w:rPr>
                <w:rFonts w:hint="eastAsia"/>
              </w:rPr>
              <w:t>13</w:t>
            </w:r>
          </w:p>
        </w:tc>
        <w:tc>
          <w:tcPr>
            <w:tcW w:w="577" w:type="dxa"/>
            <w:shd w:val="clear" w:color="auto" w:fill="auto"/>
            <w:vAlign w:val="center"/>
          </w:tcPr>
          <w:p w:rsidR="00F72076" w:rsidRDefault="00F72076" w:rsidP="00D01775">
            <w:pPr>
              <w:pStyle w:val="142"/>
              <w:jc w:val="right"/>
            </w:pPr>
            <w:r>
              <w:rPr>
                <w:rFonts w:hint="eastAsia"/>
              </w:rPr>
              <w:t>2</w:t>
            </w:r>
          </w:p>
        </w:tc>
        <w:tc>
          <w:tcPr>
            <w:tcW w:w="577" w:type="dxa"/>
            <w:shd w:val="clear" w:color="auto" w:fill="auto"/>
            <w:vAlign w:val="center"/>
          </w:tcPr>
          <w:p w:rsidR="00F72076" w:rsidRDefault="00F72076" w:rsidP="00D01775">
            <w:pPr>
              <w:pStyle w:val="142"/>
              <w:jc w:val="right"/>
            </w:pPr>
            <w:r>
              <w:rPr>
                <w:rFonts w:hint="eastAsia"/>
              </w:rPr>
              <w:t>1</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53</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廢止</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2</w:t>
            </w:r>
          </w:p>
        </w:tc>
        <w:tc>
          <w:tcPr>
            <w:tcW w:w="850" w:type="dxa"/>
            <w:shd w:val="clear" w:color="auto" w:fill="auto"/>
            <w:vAlign w:val="center"/>
          </w:tcPr>
          <w:p w:rsidR="00F72076" w:rsidRDefault="00F72076" w:rsidP="00D01775">
            <w:pPr>
              <w:pStyle w:val="142"/>
              <w:jc w:val="right"/>
            </w:pPr>
            <w:r>
              <w:rPr>
                <w:rFonts w:hint="eastAsia"/>
              </w:rPr>
              <w:t>8</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20</w:t>
            </w:r>
          </w:p>
        </w:tc>
        <w:tc>
          <w:tcPr>
            <w:tcW w:w="577" w:type="dxa"/>
            <w:shd w:val="clear" w:color="auto" w:fill="auto"/>
            <w:vAlign w:val="center"/>
          </w:tcPr>
          <w:p w:rsidR="00F72076" w:rsidRDefault="00F72076" w:rsidP="00D01775">
            <w:pPr>
              <w:pStyle w:val="142"/>
              <w:jc w:val="right"/>
            </w:pPr>
            <w:r>
              <w:rPr>
                <w:rFonts w:hint="eastAsia"/>
              </w:rPr>
              <w:t>8</w:t>
            </w:r>
          </w:p>
        </w:tc>
        <w:tc>
          <w:tcPr>
            <w:tcW w:w="577" w:type="dxa"/>
            <w:shd w:val="clear" w:color="auto" w:fill="auto"/>
            <w:vAlign w:val="center"/>
          </w:tcPr>
          <w:p w:rsidR="00F72076" w:rsidRDefault="00F72076" w:rsidP="00D01775">
            <w:pPr>
              <w:pStyle w:val="142"/>
              <w:jc w:val="right"/>
            </w:pPr>
            <w:r>
              <w:rPr>
                <w:rFonts w:hint="eastAsia"/>
              </w:rPr>
              <w:t>3</w:t>
            </w:r>
          </w:p>
        </w:tc>
        <w:tc>
          <w:tcPr>
            <w:tcW w:w="577" w:type="dxa"/>
            <w:shd w:val="clear" w:color="auto" w:fill="auto"/>
            <w:vAlign w:val="center"/>
          </w:tcPr>
          <w:p w:rsidR="00F72076" w:rsidRDefault="00F72076" w:rsidP="00D01775">
            <w:pPr>
              <w:pStyle w:val="142"/>
              <w:jc w:val="right"/>
            </w:pPr>
            <w:r>
              <w:rPr>
                <w:rFonts w:hint="eastAsia"/>
              </w:rPr>
              <w:t>3</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47</w:t>
            </w:r>
          </w:p>
        </w:tc>
      </w:tr>
      <w:tr w:rsidR="00F72076" w:rsidRPr="003407A4" w:rsidTr="00576024">
        <w:tc>
          <w:tcPr>
            <w:tcW w:w="1185" w:type="dxa"/>
            <w:shd w:val="clear" w:color="auto" w:fill="auto"/>
            <w:vAlign w:val="center"/>
          </w:tcPr>
          <w:p w:rsidR="00F72076" w:rsidRPr="003407A4" w:rsidRDefault="00F72076" w:rsidP="009429F8">
            <w:pPr>
              <w:pStyle w:val="142"/>
              <w:rPr>
                <w:snapToGrid w:val="0"/>
              </w:rPr>
            </w:pPr>
            <w:r w:rsidRPr="0037121A">
              <w:rPr>
                <w:rFonts w:hint="eastAsia"/>
                <w:snapToGrid w:val="0"/>
              </w:rPr>
              <w:t>部分廢止</w:t>
            </w:r>
          </w:p>
        </w:tc>
        <w:tc>
          <w:tcPr>
            <w:tcW w:w="671" w:type="dxa"/>
            <w:shd w:val="clear" w:color="auto" w:fill="auto"/>
            <w:vAlign w:val="center"/>
          </w:tcPr>
          <w:p w:rsidR="00F72076" w:rsidRDefault="00F72076" w:rsidP="00D01775">
            <w:pPr>
              <w:pStyle w:val="142"/>
              <w:jc w:val="right"/>
            </w:pPr>
            <w:r>
              <w:rPr>
                <w:rFonts w:hint="eastAsia"/>
              </w:rPr>
              <w:t>-</w:t>
            </w:r>
          </w:p>
        </w:tc>
        <w:tc>
          <w:tcPr>
            <w:tcW w:w="708" w:type="dxa"/>
            <w:shd w:val="clear" w:color="auto" w:fill="auto"/>
            <w:vAlign w:val="center"/>
          </w:tcPr>
          <w:p w:rsidR="00F72076" w:rsidRDefault="00F72076" w:rsidP="00D01775">
            <w:pPr>
              <w:pStyle w:val="142"/>
              <w:jc w:val="right"/>
            </w:pPr>
            <w:r>
              <w:rPr>
                <w:rFonts w:hint="eastAsia"/>
              </w:rPr>
              <w:t>-</w:t>
            </w:r>
          </w:p>
        </w:tc>
        <w:tc>
          <w:tcPr>
            <w:tcW w:w="707" w:type="dxa"/>
            <w:shd w:val="clear" w:color="auto" w:fill="auto"/>
            <w:vAlign w:val="center"/>
          </w:tcPr>
          <w:p w:rsidR="00F72076" w:rsidRDefault="00F72076" w:rsidP="00D01775">
            <w:pPr>
              <w:pStyle w:val="142"/>
              <w:jc w:val="right"/>
            </w:pPr>
            <w:r>
              <w:rPr>
                <w:rFonts w:hint="eastAsia"/>
              </w:rPr>
              <w:t>-</w:t>
            </w:r>
          </w:p>
        </w:tc>
        <w:tc>
          <w:tcPr>
            <w:tcW w:w="850" w:type="dxa"/>
            <w:shd w:val="clear" w:color="auto" w:fill="auto"/>
            <w:vAlign w:val="center"/>
          </w:tcPr>
          <w:p w:rsidR="00F72076" w:rsidRDefault="00F72076" w:rsidP="00D01775">
            <w:pPr>
              <w:pStyle w:val="142"/>
              <w:jc w:val="right"/>
            </w:pPr>
            <w:r>
              <w:rPr>
                <w:rFonts w:hint="eastAsia"/>
              </w:rPr>
              <w:t>1</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w:t>
            </w:r>
          </w:p>
        </w:tc>
        <w:tc>
          <w:tcPr>
            <w:tcW w:w="577" w:type="dxa"/>
            <w:shd w:val="clear" w:color="auto" w:fill="auto"/>
            <w:vAlign w:val="center"/>
          </w:tcPr>
          <w:p w:rsidR="00F72076" w:rsidRDefault="00F72076" w:rsidP="00D01775">
            <w:pPr>
              <w:pStyle w:val="142"/>
              <w:jc w:val="right"/>
            </w:pPr>
            <w:r>
              <w:rPr>
                <w:rFonts w:hint="eastAsia"/>
              </w:rPr>
              <w:t>2</w:t>
            </w:r>
          </w:p>
        </w:tc>
        <w:tc>
          <w:tcPr>
            <w:tcW w:w="791" w:type="dxa"/>
            <w:shd w:val="clear" w:color="auto" w:fill="auto"/>
            <w:vAlign w:val="center"/>
          </w:tcPr>
          <w:p w:rsidR="00F72076" w:rsidRDefault="00F72076" w:rsidP="00D01775">
            <w:pPr>
              <w:pStyle w:val="142"/>
              <w:jc w:val="right"/>
            </w:pPr>
            <w:r>
              <w:rPr>
                <w:rFonts w:hint="eastAsia"/>
              </w:rPr>
              <w:t>-</w:t>
            </w:r>
          </w:p>
        </w:tc>
        <w:tc>
          <w:tcPr>
            <w:tcW w:w="585" w:type="dxa"/>
            <w:shd w:val="clear" w:color="auto" w:fill="auto"/>
            <w:vAlign w:val="center"/>
          </w:tcPr>
          <w:p w:rsidR="00F72076" w:rsidRDefault="00F72076" w:rsidP="00D01775">
            <w:pPr>
              <w:pStyle w:val="142"/>
              <w:jc w:val="right"/>
            </w:pPr>
            <w:r>
              <w:rPr>
                <w:rFonts w:hint="eastAsia"/>
              </w:rPr>
              <w:t>3</w:t>
            </w:r>
          </w:p>
        </w:tc>
      </w:tr>
    </w:tbl>
    <w:p w:rsidR="00F72076" w:rsidRPr="003407A4" w:rsidRDefault="00F72076" w:rsidP="00F72076">
      <w:pPr>
        <w:spacing w:line="280" w:lineRule="exact"/>
        <w:ind w:leftChars="0" w:left="1277" w:hangingChars="525" w:hanging="1277"/>
        <w:jc w:val="left"/>
        <w:rPr>
          <w:snapToGrid w:val="0"/>
          <w:sz w:val="24"/>
        </w:rPr>
      </w:pPr>
      <w:r w:rsidRPr="003407A4">
        <w:rPr>
          <w:rFonts w:hint="eastAsia"/>
          <w:snapToGrid w:val="0"/>
          <w:sz w:val="24"/>
        </w:rPr>
        <w:t>資料來源：農村水保署網站政府資訊公開\山坡地資源利用統計(</w:t>
      </w:r>
      <w:r w:rsidRPr="003407A4">
        <w:rPr>
          <w:snapToGrid w:val="0"/>
          <w:sz w:val="24"/>
        </w:rPr>
        <w:t>114</w:t>
      </w:r>
      <w:r w:rsidRPr="003407A4">
        <w:rPr>
          <w:rFonts w:hint="eastAsia"/>
          <w:snapToGrid w:val="0"/>
          <w:sz w:val="24"/>
        </w:rPr>
        <w:t>年</w:t>
      </w:r>
      <w:r w:rsidRPr="003407A4">
        <w:rPr>
          <w:snapToGrid w:val="0"/>
          <w:sz w:val="24"/>
        </w:rPr>
        <w:t>5</w:t>
      </w:r>
      <w:r w:rsidRPr="003407A4">
        <w:rPr>
          <w:rFonts w:hint="eastAsia"/>
          <w:snapToGrid w:val="0"/>
          <w:sz w:val="24"/>
        </w:rPr>
        <w:t>月31日檢索</w:t>
      </w:r>
      <w:r w:rsidRPr="003407A4">
        <w:rPr>
          <w:snapToGrid w:val="0"/>
          <w:sz w:val="24"/>
        </w:rPr>
        <w:t>)</w:t>
      </w:r>
      <w:r w:rsidRPr="003407A4">
        <w:rPr>
          <w:rFonts w:hint="eastAsia"/>
          <w:snapToGrid w:val="0"/>
          <w:sz w:val="24"/>
        </w:rPr>
        <w:t>，本報告整理。</w:t>
      </w:r>
    </w:p>
    <w:bookmarkEnd w:id="2"/>
    <w:bookmarkEnd w:id="3"/>
    <w:bookmarkEnd w:id="4"/>
    <w:bookmarkEnd w:id="1"/>
    <w:sectPr w:rsidR="00F72076" w:rsidRPr="003407A4"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195F8B" w:rsidRPr="00195F8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195F8B" w:rsidRPr="00195F8B">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 w:id="1">
    <w:p w:rsidR="008D2BE5" w:rsidRPr="001C04E7" w:rsidRDefault="008D2BE5" w:rsidP="00F72076">
      <w:pPr>
        <w:pStyle w:val="145"/>
        <w:rPr>
          <w:rFonts w:ascii="標楷體" w:eastAsia="標楷體" w:hAnsi="標楷體"/>
        </w:rPr>
      </w:pPr>
      <w:r w:rsidRPr="001C04E7">
        <w:rPr>
          <w:rStyle w:val="af5"/>
          <w:rFonts w:ascii="標楷體" w:eastAsia="標楷體" w:hAnsi="標楷體"/>
        </w:rPr>
        <w:footnoteRef/>
      </w:r>
      <w:r w:rsidRPr="001C04E7">
        <w:rPr>
          <w:rFonts w:ascii="標楷體" w:eastAsia="標楷體" w:hAnsi="標楷體"/>
        </w:rPr>
        <w:t xml:space="preserve"> </w:t>
      </w:r>
      <w:r w:rsidRPr="001C04E7">
        <w:rPr>
          <w:rFonts w:ascii="標楷體" w:eastAsia="標楷體" w:hAnsi="標楷體" w:hint="eastAsia"/>
        </w:rPr>
        <w:t>水土保持法第1</w:t>
      </w:r>
      <w:r w:rsidRPr="001C04E7">
        <w:rPr>
          <w:rFonts w:ascii="標楷體" w:eastAsia="標楷體" w:hAnsi="標楷體"/>
        </w:rPr>
        <w:t>6</w:t>
      </w:r>
      <w:r w:rsidRPr="001C04E7">
        <w:rPr>
          <w:rFonts w:ascii="標楷體" w:eastAsia="標楷體" w:hAnsi="標楷體" w:hint="eastAsia"/>
        </w:rPr>
        <w:t>條第2項規定：「前項特定水土保持區，應由中央或直轄市主管機關設置或指定管理機關管理之。」</w:t>
      </w:r>
    </w:p>
  </w:footnote>
  <w:footnote w:id="2">
    <w:p w:rsidR="008D2BE5" w:rsidRPr="001C04E7" w:rsidRDefault="008D2BE5" w:rsidP="00F72076">
      <w:pPr>
        <w:pStyle w:val="145"/>
        <w:rPr>
          <w:rFonts w:ascii="標楷體" w:eastAsia="標楷體" w:hAnsi="標楷體"/>
        </w:rPr>
      </w:pPr>
      <w:r w:rsidRPr="001C04E7">
        <w:rPr>
          <w:rStyle w:val="af5"/>
          <w:rFonts w:ascii="標楷體" w:eastAsia="標楷體" w:hAnsi="標楷體"/>
        </w:rPr>
        <w:footnoteRef/>
      </w:r>
      <w:r w:rsidRPr="001C04E7">
        <w:rPr>
          <w:rFonts w:ascii="標楷體" w:eastAsia="標楷體" w:hAnsi="標楷體"/>
        </w:rPr>
        <w:t xml:space="preserve"> </w:t>
      </w:r>
      <w:r w:rsidRPr="001C04E7">
        <w:rPr>
          <w:rFonts w:ascii="標楷體" w:eastAsia="標楷體" w:hAnsi="標楷體" w:hint="eastAsia"/>
        </w:rPr>
        <w:t>參據水土保持法第1</w:t>
      </w:r>
      <w:r w:rsidRPr="001C04E7">
        <w:rPr>
          <w:rFonts w:ascii="標楷體" w:eastAsia="標楷體" w:hAnsi="標楷體"/>
        </w:rPr>
        <w:t>8</w:t>
      </w:r>
      <w:r w:rsidRPr="001C04E7">
        <w:rPr>
          <w:rFonts w:ascii="標楷體" w:eastAsia="標楷體" w:hAnsi="標楷體" w:hint="eastAsia"/>
        </w:rPr>
        <w:t>條第1項規定：「特定水土保持區應由管理機關擬定長期水土保持計畫，報請直轄市主管機關層轉或逕請中央主管機關核定實施之。」第2項：「前項長期水土保持計畫，每</w:t>
      </w:r>
      <w:r w:rsidR="002D7FFA">
        <w:rPr>
          <w:rFonts w:ascii="標楷體" w:eastAsia="標楷體" w:hAnsi="標楷體" w:hint="eastAsia"/>
        </w:rPr>
        <w:t>5</w:t>
      </w:r>
      <w:r w:rsidRPr="001C04E7">
        <w:rPr>
          <w:rFonts w:ascii="標楷體" w:eastAsia="標楷體" w:hAnsi="標楷體" w:hint="eastAsia"/>
        </w:rPr>
        <w:t>年應通盤檢討</w:t>
      </w:r>
      <w:r w:rsidR="002D7FFA">
        <w:rPr>
          <w:rFonts w:ascii="標楷體" w:eastAsia="標楷體" w:hAnsi="標楷體" w:hint="eastAsia"/>
        </w:rPr>
        <w:t>1</w:t>
      </w:r>
      <w:r w:rsidRPr="001C04E7">
        <w:rPr>
          <w:rFonts w:ascii="標楷體" w:eastAsia="標楷體" w:hAnsi="標楷體" w:hint="eastAsia"/>
        </w:rPr>
        <w:t>次，並得視實際需要變更之；遇有特殊需要，並得隨時報請直轄市主管機關層轉或逕請中央主管機關核准變更之。」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5F8B"/>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26373B-DB8C-408F-B83F-08599F8AE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64506-A69E-4273-86A2-F54F01AB7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189</Words>
  <Characters>1080</Characters>
  <Application>Microsoft Office Word</Application>
  <DocSecurity>0</DocSecurity>
  <Lines>9</Lines>
  <Paragraphs>2</Paragraphs>
  <ScaleCrop>false</ScaleCrop>
  <Company/>
  <LinksUpToDate>false</LinksUpToDate>
  <CharactersWithSpaces>1267</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