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1F6D49" w:rsidRPr="00A15071" w:rsidRDefault="001F6D49" w:rsidP="00AE6986">
      <w:pPr>
        <w:pStyle w:val="144"/>
        <w:outlineLvl w:val="0"/>
        <w:rPr>
          <w:rFonts w:hAnsi="標楷體" w:hint="eastAsia"/>
        </w:rPr>
      </w:pPr>
      <w:bookmarkStart w:id="2" w:name="_Toc519516972"/>
      <w:bookmarkStart w:id="3" w:name="_Toc80120297"/>
      <w:bookmarkStart w:id="4" w:name="_Toc109379505"/>
      <w:bookmarkStart w:id="5" w:name="_Toc204680140"/>
      <w:bookmarkEnd w:id="0"/>
      <w:r w:rsidRPr="00A15071">
        <w:rPr>
          <w:rFonts w:hAnsi="標楷體" w:hint="eastAsia"/>
        </w:rPr>
        <w:t>壹、</w:t>
      </w:r>
      <w:bookmarkEnd w:id="2"/>
      <w:bookmarkEnd w:id="3"/>
      <w:r w:rsidR="00861C36" w:rsidRPr="00A15071">
        <w:rPr>
          <w:rFonts w:hAnsi="標楷體" w:hint="eastAsia"/>
        </w:rPr>
        <w:t>前言</w:t>
      </w:r>
      <w:bookmarkEnd w:id="4"/>
      <w:bookmarkEnd w:id="5"/>
    </w:p>
    <w:p w:rsidR="009A7B49" w:rsidRPr="00A15071" w:rsidRDefault="00860740" w:rsidP="006E14AF">
      <w:pPr>
        <w:pStyle w:val="a7"/>
        <w:rPr>
          <w:rFonts w:ascii="標楷體" w:hAnsi="標楷體"/>
          <w:snapToGrid w:val="0"/>
          <w:color w:val="000000"/>
        </w:rPr>
      </w:pPr>
      <w:r w:rsidRPr="00A15071">
        <w:rPr>
          <w:rFonts w:ascii="標楷體" w:hAnsi="標楷體" w:hint="eastAsia"/>
          <w:snapToGrid w:val="0"/>
          <w:color w:val="000000"/>
        </w:rPr>
        <w:t>近年隨著</w:t>
      </w:r>
      <w:r w:rsidR="000D6F03" w:rsidRPr="00A15071">
        <w:rPr>
          <w:rFonts w:ascii="標楷體" w:hAnsi="標楷體" w:hint="eastAsia"/>
          <w:snapToGrid w:val="0"/>
          <w:color w:val="000000"/>
        </w:rPr>
        <w:t>社會經濟情勢變化</w:t>
      </w:r>
      <w:r w:rsidRPr="00A15071">
        <w:rPr>
          <w:rFonts w:ascii="標楷體" w:hAnsi="標楷體" w:hint="eastAsia"/>
          <w:snapToGrid w:val="0"/>
          <w:color w:val="000000"/>
        </w:rPr>
        <w:t>，不僅影響國人結婚成家意願，連帶導致出生率呈下滑趨勢，</w:t>
      </w:r>
      <w:r w:rsidR="000D6F03" w:rsidRPr="00A15071">
        <w:rPr>
          <w:rFonts w:ascii="標楷體" w:hAnsi="標楷體" w:hint="eastAsia"/>
          <w:snapToGrid w:val="0"/>
          <w:color w:val="000000"/>
        </w:rPr>
        <w:t>加以生活水準提升與醫療保健服務之發展，人均壽命延長</w:t>
      </w:r>
      <w:r w:rsidR="000D6F03" w:rsidRPr="00A15071">
        <w:rPr>
          <w:rStyle w:val="af6"/>
          <w:rFonts w:ascii="標楷體" w:hAnsi="標楷體"/>
          <w:snapToGrid w:val="0"/>
          <w:color w:val="000000"/>
        </w:rPr>
        <w:footnoteReference w:id="1"/>
      </w:r>
      <w:r w:rsidR="000D6F03" w:rsidRPr="00A15071">
        <w:rPr>
          <w:rFonts w:ascii="標楷體" w:hAnsi="標楷體" w:hint="eastAsia"/>
          <w:snapToGrid w:val="0"/>
          <w:color w:val="000000"/>
        </w:rPr>
        <w:t>，</w:t>
      </w:r>
      <w:r w:rsidR="001A0379" w:rsidRPr="00A15071">
        <w:rPr>
          <w:rFonts w:ascii="標楷體" w:hAnsi="標楷體" w:hint="eastAsia"/>
          <w:snapToGrid w:val="0"/>
          <w:color w:val="000000"/>
        </w:rPr>
        <w:t>惟器官功能亦隨年齡增長而衰退，進而使包括</w:t>
      </w:r>
      <w:r w:rsidR="00311A05">
        <w:rPr>
          <w:rFonts w:ascii="標楷體" w:hAnsi="標楷體" w:hint="eastAsia"/>
          <w:snapToGrid w:val="0"/>
          <w:color w:val="000000"/>
        </w:rPr>
        <w:t>失智症在內之疾病</w:t>
      </w:r>
      <w:r w:rsidR="001A0379" w:rsidRPr="00A15071">
        <w:rPr>
          <w:rFonts w:ascii="標楷體" w:hAnsi="標楷體" w:hint="eastAsia"/>
          <w:snapToGrid w:val="0"/>
          <w:color w:val="000000"/>
        </w:rPr>
        <w:t>盛行率提高</w:t>
      </w:r>
      <w:r w:rsidR="001A0379" w:rsidRPr="00A15071">
        <w:rPr>
          <w:rStyle w:val="af6"/>
          <w:rFonts w:ascii="標楷體" w:hAnsi="標楷體"/>
          <w:snapToGrid w:val="0"/>
          <w:color w:val="000000"/>
        </w:rPr>
        <w:footnoteReference w:id="2"/>
      </w:r>
      <w:r w:rsidR="001A0379" w:rsidRPr="00A15071">
        <w:rPr>
          <w:rFonts w:ascii="標楷體" w:hAnsi="標楷體" w:hint="eastAsia"/>
          <w:snapToGrid w:val="0"/>
          <w:color w:val="000000"/>
        </w:rPr>
        <w:t>。</w:t>
      </w:r>
      <w:r w:rsidR="000D6F03" w:rsidRPr="00A15071">
        <w:rPr>
          <w:rFonts w:ascii="標楷體" w:hAnsi="標楷體" w:hint="eastAsia"/>
          <w:snapToGrid w:val="0"/>
          <w:color w:val="000000"/>
        </w:rPr>
        <w:t>面對</w:t>
      </w:r>
      <w:r w:rsidRPr="00A15071">
        <w:rPr>
          <w:rFonts w:ascii="標楷體" w:hAnsi="標楷體" w:hint="eastAsia"/>
          <w:snapToGrid w:val="0"/>
          <w:color w:val="000000"/>
        </w:rPr>
        <w:t>少子女化</w:t>
      </w:r>
      <w:r w:rsidR="000D6F03" w:rsidRPr="00A15071">
        <w:rPr>
          <w:rFonts w:ascii="標楷體" w:hAnsi="標楷體" w:hint="eastAsia"/>
          <w:snapToGrid w:val="0"/>
          <w:color w:val="000000"/>
        </w:rPr>
        <w:t>、高齡化</w:t>
      </w:r>
      <w:r w:rsidRPr="00A15071">
        <w:rPr>
          <w:rFonts w:ascii="標楷體" w:hAnsi="標楷體" w:hint="eastAsia"/>
          <w:snapToGrid w:val="0"/>
          <w:color w:val="000000"/>
        </w:rPr>
        <w:t>之人口結構</w:t>
      </w:r>
      <w:r w:rsidR="00DF3855" w:rsidRPr="00A15071">
        <w:rPr>
          <w:rFonts w:ascii="標楷體" w:hAnsi="標楷體" w:hint="eastAsia"/>
          <w:snapToGrid w:val="0"/>
          <w:color w:val="000000"/>
        </w:rPr>
        <w:t>演變</w:t>
      </w:r>
      <w:r w:rsidRPr="00A15071">
        <w:rPr>
          <w:rFonts w:ascii="標楷體" w:hAnsi="標楷體" w:hint="eastAsia"/>
          <w:snapToGrid w:val="0"/>
          <w:color w:val="000000"/>
        </w:rPr>
        <w:t>，</w:t>
      </w:r>
      <w:r w:rsidR="00C207ED" w:rsidRPr="00A15071">
        <w:rPr>
          <w:rFonts w:ascii="標楷體" w:hAnsi="標楷體" w:hint="eastAsia"/>
          <w:snapToGrid w:val="0"/>
          <w:color w:val="000000"/>
        </w:rPr>
        <w:t>家庭內之照顧高齡者之人力預料將呈縮減趨勢，</w:t>
      </w:r>
      <w:r w:rsidR="00C67D2B" w:rsidRPr="00A15071">
        <w:rPr>
          <w:rFonts w:ascii="標楷體" w:hAnsi="標楷體" w:hint="eastAsia"/>
          <w:snapToGrid w:val="0"/>
          <w:color w:val="000000"/>
        </w:rPr>
        <w:t>唯有</w:t>
      </w:r>
      <w:r w:rsidR="00DF3855" w:rsidRPr="00A15071">
        <w:rPr>
          <w:rFonts w:ascii="標楷體" w:hAnsi="標楷體" w:hint="eastAsia"/>
          <w:snapToGrid w:val="0"/>
          <w:color w:val="000000"/>
        </w:rPr>
        <w:t>重視</w:t>
      </w:r>
      <w:r w:rsidR="00C207ED" w:rsidRPr="00A15071">
        <w:rPr>
          <w:rFonts w:ascii="標楷體" w:hAnsi="標楷體" w:hint="eastAsia"/>
          <w:snapToGrid w:val="0"/>
          <w:color w:val="000000"/>
        </w:rPr>
        <w:t>個人</w:t>
      </w:r>
      <w:r w:rsidR="00DF3855" w:rsidRPr="00A15071">
        <w:rPr>
          <w:rFonts w:ascii="標楷體" w:hAnsi="標楷體" w:hint="eastAsia"/>
          <w:snapToGrid w:val="0"/>
          <w:color w:val="000000"/>
        </w:rPr>
        <w:t>預防保健，在邁向高齡階段維持健康自主</w:t>
      </w:r>
      <w:r w:rsidR="003554EA" w:rsidRPr="00A15071">
        <w:rPr>
          <w:rFonts w:ascii="標楷體" w:hAnsi="標楷體" w:hint="eastAsia"/>
          <w:snapToGrid w:val="0"/>
          <w:color w:val="000000"/>
        </w:rPr>
        <w:t>尊嚴</w:t>
      </w:r>
      <w:r w:rsidR="002B4B6D" w:rsidRPr="00A15071">
        <w:rPr>
          <w:rFonts w:ascii="標楷體" w:hAnsi="標楷體" w:hint="eastAsia"/>
          <w:snapToGrid w:val="0"/>
          <w:color w:val="000000"/>
        </w:rPr>
        <w:t>及良好生活品質</w:t>
      </w:r>
      <w:r w:rsidR="00DF3855" w:rsidRPr="00A15071">
        <w:rPr>
          <w:rFonts w:ascii="標楷體" w:hAnsi="標楷體" w:hint="eastAsia"/>
          <w:snapToGrid w:val="0"/>
          <w:color w:val="000000"/>
        </w:rPr>
        <w:t>，</w:t>
      </w:r>
      <w:r w:rsidR="00C207ED" w:rsidRPr="00A15071">
        <w:rPr>
          <w:rFonts w:ascii="標楷體" w:hAnsi="標楷體" w:hint="eastAsia"/>
          <w:snapToGrid w:val="0"/>
          <w:color w:val="000000"/>
        </w:rPr>
        <w:t>始能</w:t>
      </w:r>
      <w:r w:rsidR="002B4B6D" w:rsidRPr="00A15071">
        <w:rPr>
          <w:rFonts w:ascii="標楷體" w:hAnsi="標楷體" w:hint="eastAsia"/>
          <w:snapToGrid w:val="0"/>
          <w:color w:val="000000"/>
        </w:rPr>
        <w:t>減少</w:t>
      </w:r>
      <w:r w:rsidR="00C207ED" w:rsidRPr="00A15071">
        <w:rPr>
          <w:rFonts w:ascii="標楷體" w:hAnsi="標楷體" w:hint="eastAsia"/>
          <w:snapToGrid w:val="0"/>
          <w:color w:val="000000"/>
        </w:rPr>
        <w:t>對</w:t>
      </w:r>
      <w:r w:rsidR="002B4B6D" w:rsidRPr="00A15071">
        <w:rPr>
          <w:rFonts w:ascii="標楷體" w:hAnsi="標楷體" w:hint="eastAsia"/>
          <w:snapToGrid w:val="0"/>
          <w:color w:val="000000"/>
        </w:rPr>
        <w:t>醫療及照護</w:t>
      </w:r>
      <w:r w:rsidR="00C207ED" w:rsidRPr="00A15071">
        <w:rPr>
          <w:rFonts w:ascii="標楷體" w:hAnsi="標楷體" w:hint="eastAsia"/>
          <w:snapToGrid w:val="0"/>
          <w:color w:val="000000"/>
        </w:rPr>
        <w:t>服務之需求</w:t>
      </w:r>
      <w:r w:rsidR="002B4B6D" w:rsidRPr="00A15071">
        <w:rPr>
          <w:rFonts w:ascii="標楷體" w:hAnsi="標楷體" w:hint="eastAsia"/>
          <w:snapToGrid w:val="0"/>
          <w:color w:val="000000"/>
        </w:rPr>
        <w:t>及相關經費支出</w:t>
      </w:r>
      <w:r w:rsidR="002F339D" w:rsidRPr="00A15071">
        <w:rPr>
          <w:rFonts w:ascii="標楷體" w:hAnsi="標楷體" w:hint="eastAsia"/>
          <w:snapToGrid w:val="0"/>
          <w:color w:val="000000"/>
        </w:rPr>
        <w:t>。</w:t>
      </w:r>
    </w:p>
    <w:p w:rsidR="001B7752" w:rsidRPr="00A15071" w:rsidRDefault="00C67D2B" w:rsidP="006E14AF">
      <w:pPr>
        <w:pStyle w:val="a7"/>
        <w:rPr>
          <w:rFonts w:ascii="標楷體" w:hAnsi="標楷體"/>
          <w:snapToGrid w:val="0"/>
          <w:color w:val="000000"/>
        </w:rPr>
      </w:pPr>
      <w:r w:rsidRPr="00A15071">
        <w:rPr>
          <w:rFonts w:ascii="標楷體" w:hAnsi="標楷體" w:hint="eastAsia"/>
          <w:snapToGrid w:val="0"/>
          <w:color w:val="000000"/>
        </w:rPr>
        <w:t>世界衛生組織(</w:t>
      </w:r>
      <w:r w:rsidRPr="00A15071">
        <w:rPr>
          <w:rFonts w:ascii="標楷體" w:hAnsi="標楷體"/>
          <w:snapToGrid w:val="0"/>
          <w:color w:val="000000"/>
        </w:rPr>
        <w:t>WHO</w:t>
      </w:r>
      <w:r w:rsidRPr="00A15071">
        <w:rPr>
          <w:rFonts w:ascii="標楷體" w:hAnsi="標楷體" w:hint="eastAsia"/>
          <w:snapToGrid w:val="0"/>
          <w:color w:val="000000"/>
        </w:rPr>
        <w:t>)於2002年提出「活力老化：一個政策架構(Active Ageing：A Policy Framework</w:t>
      </w:r>
      <w:r w:rsidR="003C315F" w:rsidRPr="00A15071">
        <w:rPr>
          <w:rFonts w:ascii="標楷體" w:hAnsi="標楷體" w:hint="eastAsia"/>
          <w:snapToGrid w:val="0"/>
          <w:color w:val="000000"/>
        </w:rPr>
        <w:t>)</w:t>
      </w:r>
      <w:r w:rsidRPr="00A15071">
        <w:rPr>
          <w:rFonts w:ascii="標楷體" w:hAnsi="標楷體" w:hint="eastAsia"/>
          <w:snapToGrid w:val="0"/>
          <w:color w:val="000000"/>
        </w:rPr>
        <w:t>」報告</w:t>
      </w:r>
      <w:r w:rsidR="00494185" w:rsidRPr="00A15071">
        <w:rPr>
          <w:rStyle w:val="af6"/>
          <w:rFonts w:ascii="標楷體" w:hAnsi="標楷體"/>
          <w:snapToGrid w:val="0"/>
          <w:color w:val="000000"/>
        </w:rPr>
        <w:footnoteReference w:id="3"/>
      </w:r>
      <w:r w:rsidRPr="00A15071">
        <w:rPr>
          <w:rFonts w:ascii="標楷體" w:hAnsi="標楷體" w:hint="eastAsia"/>
          <w:snapToGrid w:val="0"/>
          <w:color w:val="000000"/>
        </w:rPr>
        <w:t>，</w:t>
      </w:r>
      <w:r w:rsidR="00256950">
        <w:rPr>
          <w:rFonts w:ascii="標楷體" w:hAnsi="標楷體" w:hint="eastAsia"/>
          <w:snapToGrid w:val="0"/>
          <w:color w:val="000000"/>
        </w:rPr>
        <w:t>其中對「活力老化」</w:t>
      </w:r>
      <w:r w:rsidR="008E4D02" w:rsidRPr="00A15071">
        <w:rPr>
          <w:rFonts w:ascii="標楷體" w:hAnsi="標楷體" w:hint="eastAsia"/>
          <w:snapToGrid w:val="0"/>
          <w:color w:val="000000"/>
        </w:rPr>
        <w:t>定義為：「</w:t>
      </w:r>
      <w:r w:rsidR="00F61E47" w:rsidRPr="00A15071">
        <w:rPr>
          <w:rFonts w:ascii="標楷體" w:hAnsi="標楷體" w:hint="eastAsia"/>
          <w:snapToGrid w:val="0"/>
          <w:color w:val="000000"/>
        </w:rPr>
        <w:t>為增進民眾老年時之生活品質，就渠等之健康、社會參與及安全予以最適化之過程</w:t>
      </w:r>
      <w:r w:rsidR="008E4D02" w:rsidRPr="00A15071">
        <w:rPr>
          <w:rFonts w:ascii="標楷體" w:hAnsi="標楷體" w:hint="eastAsia"/>
          <w:snapToGrid w:val="0"/>
          <w:color w:val="000000"/>
        </w:rPr>
        <w:t>」</w:t>
      </w:r>
      <w:r w:rsidR="008E4D02" w:rsidRPr="00A15071">
        <w:rPr>
          <w:rStyle w:val="af6"/>
          <w:rFonts w:ascii="標楷體" w:hAnsi="標楷體"/>
          <w:snapToGrid w:val="0"/>
          <w:color w:val="000000"/>
        </w:rPr>
        <w:footnoteReference w:id="4"/>
      </w:r>
      <w:r w:rsidR="00F61E47" w:rsidRPr="00A15071">
        <w:rPr>
          <w:rFonts w:ascii="標楷體" w:hAnsi="標楷體" w:hint="eastAsia"/>
          <w:snapToGrid w:val="0"/>
          <w:color w:val="000000"/>
        </w:rPr>
        <w:t>，</w:t>
      </w:r>
      <w:r w:rsidR="00B64D79" w:rsidRPr="00A15071">
        <w:rPr>
          <w:rFonts w:ascii="標楷體" w:hAnsi="標楷體" w:hint="eastAsia"/>
          <w:snapToGrid w:val="0"/>
          <w:color w:val="000000"/>
        </w:rPr>
        <w:t>亦即</w:t>
      </w:r>
      <w:r w:rsidR="00F61E47" w:rsidRPr="00A15071">
        <w:rPr>
          <w:rFonts w:ascii="標楷體" w:hAnsi="標楷體" w:hint="eastAsia"/>
          <w:snapToGrid w:val="0"/>
          <w:color w:val="000000"/>
        </w:rPr>
        <w:t>促進高齡者健康自主係達成活力老化之</w:t>
      </w:r>
      <w:r w:rsidR="00B64D79" w:rsidRPr="00A15071">
        <w:rPr>
          <w:rFonts w:ascii="標楷體" w:hAnsi="標楷體" w:hint="eastAsia"/>
          <w:snapToGrid w:val="0"/>
          <w:color w:val="000000"/>
        </w:rPr>
        <w:t>關鍵因素之一</w:t>
      </w:r>
      <w:r w:rsidR="00F61E47" w:rsidRPr="00A15071">
        <w:rPr>
          <w:rFonts w:ascii="標楷體" w:hAnsi="標楷體" w:hint="eastAsia"/>
          <w:snapToGrid w:val="0"/>
          <w:color w:val="000000"/>
        </w:rPr>
        <w:t>。近年</w:t>
      </w:r>
      <w:r w:rsidR="00B524F0">
        <w:rPr>
          <w:rFonts w:ascii="標楷體" w:hAnsi="標楷體" w:hint="eastAsia"/>
          <w:snapToGrid w:val="0"/>
          <w:color w:val="000000"/>
        </w:rPr>
        <w:t>中央政府因應我國高齡人口對照護需求之持續增加，</w:t>
      </w:r>
      <w:r w:rsidR="002B4B6D" w:rsidRPr="00A15071">
        <w:rPr>
          <w:rFonts w:ascii="標楷體" w:hAnsi="標楷體" w:hint="eastAsia"/>
          <w:snapToGrid w:val="0"/>
          <w:color w:val="000000"/>
        </w:rPr>
        <w:t>96年</w:t>
      </w:r>
      <w:r w:rsidR="005C208F" w:rsidRPr="00A15071">
        <w:rPr>
          <w:rFonts w:ascii="標楷體" w:hAnsi="標楷體" w:hint="eastAsia"/>
          <w:snapToGrid w:val="0"/>
          <w:color w:val="000000"/>
        </w:rPr>
        <w:t>起</w:t>
      </w:r>
      <w:r w:rsidR="002B4B6D" w:rsidRPr="00A15071">
        <w:rPr>
          <w:rFonts w:ascii="標楷體" w:hAnsi="標楷體" w:hint="eastAsia"/>
          <w:snapToGrid w:val="0"/>
          <w:color w:val="000000"/>
        </w:rPr>
        <w:t>推動「長期照顧十年計畫」(長照1.0</w:t>
      </w:r>
      <w:r w:rsidR="00856EE8" w:rsidRPr="00A15071">
        <w:rPr>
          <w:rFonts w:ascii="標楷體" w:hAnsi="標楷體" w:hint="eastAsia"/>
          <w:snapToGrid w:val="0"/>
          <w:color w:val="000000"/>
        </w:rPr>
        <w:t>，期程為96至105年度</w:t>
      </w:r>
      <w:r w:rsidR="002B4B6D" w:rsidRPr="00A15071">
        <w:rPr>
          <w:rFonts w:ascii="標楷體" w:hAnsi="標楷體"/>
          <w:snapToGrid w:val="0"/>
          <w:color w:val="000000"/>
        </w:rPr>
        <w:t>)</w:t>
      </w:r>
      <w:r w:rsidR="005C208F" w:rsidRPr="00A15071">
        <w:rPr>
          <w:rFonts w:ascii="標楷體" w:hAnsi="標楷體" w:hint="eastAsia"/>
          <w:snapToGrid w:val="0"/>
          <w:color w:val="000000"/>
        </w:rPr>
        <w:t>，</w:t>
      </w:r>
      <w:r w:rsidR="002B4B6D" w:rsidRPr="00A15071">
        <w:rPr>
          <w:rFonts w:ascii="標楷體" w:hAnsi="標楷體" w:hint="eastAsia"/>
          <w:snapToGrid w:val="0"/>
          <w:color w:val="000000"/>
        </w:rPr>
        <w:t>10</w:t>
      </w:r>
      <w:r w:rsidR="00856EE8" w:rsidRPr="00A15071">
        <w:rPr>
          <w:rFonts w:ascii="標楷體" w:hAnsi="標楷體" w:hint="eastAsia"/>
          <w:snapToGrid w:val="0"/>
          <w:color w:val="000000"/>
        </w:rPr>
        <w:t>6</w:t>
      </w:r>
      <w:r w:rsidR="002B4B6D" w:rsidRPr="00A15071">
        <w:rPr>
          <w:rFonts w:ascii="標楷體" w:hAnsi="標楷體" w:hint="eastAsia"/>
          <w:snapToGrid w:val="0"/>
          <w:color w:val="000000"/>
        </w:rPr>
        <w:t>年起</w:t>
      </w:r>
      <w:r w:rsidR="005C208F" w:rsidRPr="00A15071">
        <w:rPr>
          <w:rFonts w:ascii="標楷體" w:hAnsi="標楷體" w:hint="eastAsia"/>
          <w:snapToGrid w:val="0"/>
          <w:color w:val="000000"/>
        </w:rPr>
        <w:t>則</w:t>
      </w:r>
      <w:r w:rsidR="002B4B6D" w:rsidRPr="00A15071">
        <w:rPr>
          <w:rFonts w:ascii="標楷體" w:hAnsi="標楷體" w:hint="eastAsia"/>
          <w:snapToGrid w:val="0"/>
          <w:color w:val="000000"/>
        </w:rPr>
        <w:t>辦理以社區為基礎、提供多元且連續性服務之「長</w:t>
      </w:r>
      <w:r w:rsidR="002B4B6D" w:rsidRPr="00A15071">
        <w:rPr>
          <w:rFonts w:ascii="標楷體" w:hAnsi="標楷體" w:hint="eastAsia"/>
          <w:snapToGrid w:val="0"/>
          <w:color w:val="000000"/>
        </w:rPr>
        <w:lastRenderedPageBreak/>
        <w:t>期照顧十年計畫2.0」(長照2.0</w:t>
      </w:r>
      <w:r w:rsidR="00856EE8" w:rsidRPr="00A15071">
        <w:rPr>
          <w:rFonts w:ascii="標楷體" w:hAnsi="標楷體" w:hint="eastAsia"/>
          <w:snapToGrid w:val="0"/>
          <w:color w:val="000000"/>
        </w:rPr>
        <w:t>，期程為106至115年度</w:t>
      </w:r>
      <w:r w:rsidR="002B4B6D" w:rsidRPr="00A15071">
        <w:rPr>
          <w:rFonts w:ascii="標楷體" w:hAnsi="標楷體" w:hint="eastAsia"/>
          <w:snapToGrid w:val="0"/>
          <w:color w:val="000000"/>
        </w:rPr>
        <w:t>)，</w:t>
      </w:r>
      <w:r w:rsidR="00856EE8" w:rsidRPr="00A15071">
        <w:rPr>
          <w:rFonts w:ascii="標楷體" w:hAnsi="標楷體" w:hint="eastAsia"/>
          <w:snapToGrid w:val="0"/>
          <w:color w:val="000000"/>
        </w:rPr>
        <w:t>其中計畫總目標之一係延伸初級預防功能，預防保健、活力老化及延緩失能等。</w:t>
      </w:r>
      <w:r w:rsidR="00E95788" w:rsidRPr="00A15071">
        <w:rPr>
          <w:rFonts w:ascii="標楷體" w:hAnsi="標楷體" w:hint="eastAsia"/>
          <w:snapToGrid w:val="0"/>
          <w:color w:val="000000"/>
        </w:rPr>
        <w:t>此外，行政院因應我國即將邁入超高齡社會，於111年11月</w:t>
      </w:r>
      <w:r w:rsidR="0030473C">
        <w:rPr>
          <w:rFonts w:ascii="標楷體" w:hAnsi="標楷體" w:hint="eastAsia"/>
          <w:snapToGrid w:val="0"/>
          <w:color w:val="000000"/>
        </w:rPr>
        <w:t>推動</w:t>
      </w:r>
      <w:r w:rsidR="00E95788" w:rsidRPr="00A15071">
        <w:rPr>
          <w:rFonts w:ascii="標楷體" w:hAnsi="標楷體" w:hint="eastAsia"/>
          <w:snapToGrid w:val="0"/>
          <w:color w:val="000000"/>
        </w:rPr>
        <w:t>「因應超高齡社會對策方案」(以下簡稱因應超高齡方案，期程為112至115年度)，</w:t>
      </w:r>
      <w:r w:rsidR="00D26333" w:rsidRPr="00A15071">
        <w:rPr>
          <w:rFonts w:ascii="標楷體" w:hAnsi="標楷體" w:hint="eastAsia"/>
          <w:snapToGrid w:val="0"/>
          <w:color w:val="000000"/>
        </w:rPr>
        <w:t>政策目標</w:t>
      </w:r>
      <w:r w:rsidR="00B64D79" w:rsidRPr="00A15071">
        <w:rPr>
          <w:rStyle w:val="af6"/>
          <w:rFonts w:ascii="標楷體" w:hAnsi="標楷體"/>
          <w:snapToGrid w:val="0"/>
          <w:color w:val="000000"/>
        </w:rPr>
        <w:footnoteReference w:id="5"/>
      </w:r>
      <w:r w:rsidR="00D26333" w:rsidRPr="00A15071">
        <w:rPr>
          <w:rFonts w:ascii="標楷體" w:hAnsi="標楷體" w:hint="eastAsia"/>
          <w:snapToGrid w:val="0"/>
          <w:color w:val="000000"/>
        </w:rPr>
        <w:t>包括增進高齡者健康與自主</w:t>
      </w:r>
      <w:r w:rsidR="00E95788" w:rsidRPr="00A15071">
        <w:rPr>
          <w:rFonts w:ascii="標楷體" w:hAnsi="標楷體" w:hint="eastAsia"/>
          <w:snapToGrid w:val="0"/>
          <w:color w:val="000000"/>
        </w:rPr>
        <w:t>。</w:t>
      </w:r>
      <w:r w:rsidR="00E22C9E" w:rsidRPr="00A15071">
        <w:rPr>
          <w:rFonts w:ascii="標楷體" w:hAnsi="標楷體" w:hint="eastAsia"/>
          <w:snapToGrid w:val="0"/>
          <w:color w:val="000000"/>
        </w:rPr>
        <w:t>又</w:t>
      </w:r>
      <w:r w:rsidR="00856EE8" w:rsidRPr="00A15071">
        <w:rPr>
          <w:rFonts w:ascii="標楷體" w:hAnsi="標楷體" w:hint="eastAsia"/>
          <w:snapToGrid w:val="0"/>
          <w:color w:val="000000"/>
        </w:rPr>
        <w:t>為</w:t>
      </w:r>
      <w:r w:rsidR="0030473C">
        <w:rPr>
          <w:rFonts w:ascii="標楷體" w:hAnsi="標楷體" w:hint="eastAsia"/>
          <w:snapToGrid w:val="0"/>
          <w:color w:val="000000"/>
        </w:rPr>
        <w:t>強化醫療及照顧之</w:t>
      </w:r>
      <w:r w:rsidR="001B7752" w:rsidRPr="00A15071">
        <w:rPr>
          <w:rFonts w:ascii="標楷體" w:hAnsi="標楷體" w:hint="eastAsia"/>
          <w:snapToGrid w:val="0"/>
          <w:color w:val="000000"/>
        </w:rPr>
        <w:t>整合，增進對中重症</w:t>
      </w:r>
      <w:r w:rsidR="0030473C">
        <w:rPr>
          <w:rFonts w:ascii="標楷體" w:hAnsi="標楷體" w:hint="eastAsia"/>
          <w:snapToGrid w:val="0"/>
          <w:color w:val="000000"/>
        </w:rPr>
        <w:t>之</w:t>
      </w:r>
      <w:r w:rsidR="001B7752" w:rsidRPr="00A15071">
        <w:rPr>
          <w:rFonts w:ascii="標楷體" w:hAnsi="標楷體" w:hint="eastAsia"/>
          <w:snapToGrid w:val="0"/>
          <w:color w:val="000000"/>
        </w:rPr>
        <w:t>照顧</w:t>
      </w:r>
      <w:r w:rsidR="00856EE8" w:rsidRPr="00A15071">
        <w:rPr>
          <w:rFonts w:ascii="標楷體" w:hAnsi="標楷體" w:hint="eastAsia"/>
          <w:snapToGrid w:val="0"/>
          <w:color w:val="000000"/>
        </w:rPr>
        <w:t>，</w:t>
      </w:r>
      <w:r w:rsidR="006E14AF" w:rsidRPr="00A15071">
        <w:rPr>
          <w:rFonts w:ascii="標楷體" w:hAnsi="標楷體" w:hint="eastAsia"/>
          <w:snapToGrid w:val="0"/>
          <w:color w:val="000000"/>
        </w:rPr>
        <w:t>行政院</w:t>
      </w:r>
      <w:r w:rsidR="00B17DF9" w:rsidRPr="00A15071">
        <w:rPr>
          <w:rFonts w:ascii="標楷體" w:hAnsi="標楷體" w:hint="eastAsia"/>
          <w:snapToGrid w:val="0"/>
          <w:color w:val="000000"/>
        </w:rPr>
        <w:t>將</w:t>
      </w:r>
      <w:r w:rsidR="006E14AF" w:rsidRPr="00A15071">
        <w:rPr>
          <w:rFonts w:ascii="標楷體" w:hAnsi="標楷體" w:hint="eastAsia"/>
          <w:snapToGrid w:val="0"/>
          <w:color w:val="000000"/>
        </w:rPr>
        <w:t>自</w:t>
      </w:r>
      <w:r w:rsidR="00B17DF9" w:rsidRPr="00A15071">
        <w:rPr>
          <w:rFonts w:ascii="標楷體" w:hAnsi="標楷體" w:hint="eastAsia"/>
          <w:snapToGrid w:val="0"/>
          <w:color w:val="000000"/>
        </w:rPr>
        <w:t>115年度</w:t>
      </w:r>
      <w:r w:rsidR="00856EE8" w:rsidRPr="00A15071">
        <w:rPr>
          <w:rFonts w:ascii="標楷體" w:hAnsi="標楷體" w:hint="eastAsia"/>
          <w:snapToGrid w:val="0"/>
          <w:color w:val="000000"/>
        </w:rPr>
        <w:t>起提前</w:t>
      </w:r>
      <w:r w:rsidR="00B17DF9" w:rsidRPr="00A15071">
        <w:rPr>
          <w:rFonts w:ascii="標楷體" w:hAnsi="標楷體" w:hint="eastAsia"/>
          <w:snapToGrid w:val="0"/>
          <w:color w:val="000000"/>
        </w:rPr>
        <w:t>推動</w:t>
      </w:r>
      <w:r w:rsidR="00202FF2" w:rsidRPr="00A15071">
        <w:rPr>
          <w:rFonts w:ascii="標楷體" w:hAnsi="標楷體" w:hint="eastAsia"/>
          <w:snapToGrid w:val="0"/>
          <w:color w:val="000000"/>
        </w:rPr>
        <w:t>「</w:t>
      </w:r>
      <w:r w:rsidR="00B17DF9" w:rsidRPr="00A15071">
        <w:rPr>
          <w:rFonts w:ascii="標楷體" w:hAnsi="標楷體" w:hint="eastAsia"/>
          <w:snapToGrid w:val="0"/>
          <w:color w:val="000000"/>
        </w:rPr>
        <w:t>長照</w:t>
      </w:r>
      <w:r w:rsidR="00856EE8" w:rsidRPr="00A15071">
        <w:rPr>
          <w:rFonts w:ascii="標楷體" w:hAnsi="標楷體" w:hint="eastAsia"/>
          <w:snapToGrid w:val="0"/>
          <w:color w:val="000000"/>
        </w:rPr>
        <w:t>3</w:t>
      </w:r>
      <w:r w:rsidR="00B17DF9" w:rsidRPr="00A15071">
        <w:rPr>
          <w:rFonts w:ascii="標楷體" w:hAnsi="標楷體" w:hint="eastAsia"/>
          <w:snapToGrid w:val="0"/>
          <w:color w:val="000000"/>
        </w:rPr>
        <w:t>.0計畫</w:t>
      </w:r>
      <w:r w:rsidR="00202FF2" w:rsidRPr="00A15071">
        <w:rPr>
          <w:rFonts w:ascii="標楷體" w:hAnsi="標楷體" w:hint="eastAsia"/>
          <w:snapToGrid w:val="0"/>
          <w:color w:val="000000"/>
        </w:rPr>
        <w:t>」</w:t>
      </w:r>
      <w:r w:rsidR="00F22B43" w:rsidRPr="00A15071">
        <w:rPr>
          <w:rFonts w:ascii="標楷體" w:hAnsi="標楷體" w:hint="eastAsia"/>
          <w:snapToGrid w:val="0"/>
          <w:color w:val="000000"/>
        </w:rPr>
        <w:t>，</w:t>
      </w:r>
      <w:r w:rsidR="006E14AF" w:rsidRPr="00A15071">
        <w:rPr>
          <w:rFonts w:ascii="標楷體" w:hAnsi="標楷體" w:hint="eastAsia"/>
          <w:snapToGrid w:val="0"/>
          <w:color w:val="000000"/>
        </w:rPr>
        <w:t>在</w:t>
      </w:r>
      <w:r w:rsidR="001B7752" w:rsidRPr="00A15071">
        <w:rPr>
          <w:rFonts w:ascii="標楷體" w:hAnsi="標楷體" w:hint="eastAsia"/>
          <w:snapToGrid w:val="0"/>
          <w:color w:val="000000"/>
        </w:rPr>
        <w:t>既有</w:t>
      </w:r>
      <w:r w:rsidR="006E14AF" w:rsidRPr="00A15071">
        <w:rPr>
          <w:rFonts w:ascii="標楷體" w:hAnsi="標楷體" w:hint="eastAsia"/>
          <w:snapToGrid w:val="0"/>
          <w:color w:val="000000"/>
        </w:rPr>
        <w:t>基礎上，</w:t>
      </w:r>
      <w:r w:rsidR="005C208F" w:rsidRPr="00A15071">
        <w:rPr>
          <w:rFonts w:ascii="標楷體" w:hAnsi="標楷體" w:hint="eastAsia"/>
          <w:snapToGrid w:val="0"/>
          <w:color w:val="000000"/>
        </w:rPr>
        <w:t>提出包括</w:t>
      </w:r>
      <w:r w:rsidR="006E14AF" w:rsidRPr="00A15071">
        <w:rPr>
          <w:rFonts w:ascii="標楷體" w:hAnsi="標楷體" w:hint="eastAsia"/>
          <w:snapToGrid w:val="0"/>
          <w:color w:val="000000"/>
        </w:rPr>
        <w:t>「健康促進」</w:t>
      </w:r>
      <w:r w:rsidR="005C208F" w:rsidRPr="00A15071">
        <w:rPr>
          <w:rFonts w:ascii="標楷體" w:hAnsi="標楷體" w:hint="eastAsia"/>
          <w:snapToGrid w:val="0"/>
          <w:color w:val="000000"/>
        </w:rPr>
        <w:t>在內之8大目標</w:t>
      </w:r>
      <w:r w:rsidR="005C208F" w:rsidRPr="00A15071">
        <w:rPr>
          <w:rStyle w:val="af6"/>
          <w:rFonts w:ascii="標楷體" w:hAnsi="標楷體"/>
          <w:snapToGrid w:val="0"/>
          <w:color w:val="000000"/>
        </w:rPr>
        <w:footnoteReference w:id="6"/>
      </w:r>
      <w:r w:rsidR="0030473C">
        <w:rPr>
          <w:rFonts w:ascii="標楷體" w:hAnsi="標楷體" w:hint="eastAsia"/>
          <w:snapToGrid w:val="0"/>
          <w:color w:val="000000"/>
        </w:rPr>
        <w:t>，打造居家、社區、機構、醫療、社福連續性之</w:t>
      </w:r>
      <w:r w:rsidR="006E14AF" w:rsidRPr="00A15071">
        <w:rPr>
          <w:rFonts w:ascii="標楷體" w:hAnsi="標楷體" w:hint="eastAsia"/>
          <w:snapToGrid w:val="0"/>
          <w:color w:val="000000"/>
        </w:rPr>
        <w:t>整合服務，以達健康老化、在地安老、安寧善終之願景</w:t>
      </w:r>
      <w:r w:rsidR="00C34EDF" w:rsidRPr="00A15071">
        <w:rPr>
          <w:rStyle w:val="af6"/>
          <w:rFonts w:ascii="標楷體" w:hAnsi="標楷體"/>
          <w:snapToGrid w:val="0"/>
          <w:color w:val="000000"/>
        </w:rPr>
        <w:footnoteReference w:id="7"/>
      </w:r>
      <w:r w:rsidR="00346DB5" w:rsidRPr="00A15071">
        <w:rPr>
          <w:rFonts w:ascii="標楷體" w:hAnsi="標楷體" w:hint="eastAsia"/>
          <w:snapToGrid w:val="0"/>
          <w:color w:val="000000"/>
        </w:rPr>
        <w:t>。</w:t>
      </w:r>
    </w:p>
    <w:p w:rsidR="00A436DC" w:rsidRPr="00A15071" w:rsidRDefault="00346DB5" w:rsidP="006E14AF">
      <w:pPr>
        <w:pStyle w:val="a7"/>
        <w:rPr>
          <w:rFonts w:ascii="標楷體" w:hAnsi="標楷體"/>
          <w:snapToGrid w:val="0"/>
        </w:rPr>
      </w:pPr>
      <w:r w:rsidRPr="00A15071">
        <w:rPr>
          <w:rFonts w:ascii="標楷體" w:hAnsi="標楷體" w:hint="eastAsia"/>
          <w:snapToGrid w:val="0"/>
          <w:color w:val="000000"/>
        </w:rPr>
        <w:t>長照2.0計畫雖已</w:t>
      </w:r>
      <w:r w:rsidR="001B7752" w:rsidRPr="00A15071">
        <w:rPr>
          <w:rFonts w:ascii="標楷體" w:hAnsi="標楷體" w:hint="eastAsia"/>
          <w:snapToGrid w:val="0"/>
          <w:color w:val="000000"/>
        </w:rPr>
        <w:t>擴大</w:t>
      </w:r>
      <w:r w:rsidRPr="00A15071">
        <w:rPr>
          <w:rFonts w:ascii="標楷體" w:hAnsi="標楷體" w:hint="eastAsia"/>
          <w:snapToGrid w:val="0"/>
          <w:color w:val="000000"/>
        </w:rPr>
        <w:t>長照服務</w:t>
      </w:r>
      <w:r w:rsidR="001B7752" w:rsidRPr="00A15071">
        <w:rPr>
          <w:rFonts w:ascii="標楷體" w:hAnsi="標楷體" w:hint="eastAsia"/>
          <w:snapToGrid w:val="0"/>
          <w:color w:val="000000"/>
        </w:rPr>
        <w:t>之能量</w:t>
      </w:r>
      <w:r w:rsidRPr="00A15071">
        <w:rPr>
          <w:rFonts w:ascii="標楷體" w:hAnsi="標楷體" w:hint="eastAsia"/>
          <w:snapToGrid w:val="0"/>
          <w:color w:val="000000"/>
        </w:rPr>
        <w:t>，惟</w:t>
      </w:r>
      <w:r w:rsidR="0030473C">
        <w:rPr>
          <w:rFonts w:ascii="標楷體" w:hAnsi="標楷體" w:hint="eastAsia"/>
          <w:snapToGrid w:val="0"/>
          <w:color w:val="000000"/>
        </w:rPr>
        <w:t>政府</w:t>
      </w:r>
      <w:r w:rsidR="00725EC3" w:rsidRPr="00A15071">
        <w:rPr>
          <w:rFonts w:ascii="標楷體" w:hAnsi="標楷體" w:hint="eastAsia"/>
          <w:snapToGrid w:val="0"/>
          <w:color w:val="000000"/>
        </w:rPr>
        <w:t>財政負擔</w:t>
      </w:r>
      <w:r w:rsidR="0030473C">
        <w:rPr>
          <w:rFonts w:ascii="標楷體" w:hAnsi="標楷體" w:hint="eastAsia"/>
          <w:snapToGrid w:val="0"/>
          <w:color w:val="000000"/>
        </w:rPr>
        <w:t>亦愈趨沉重</w:t>
      </w:r>
      <w:r w:rsidR="00725EC3" w:rsidRPr="00A15071">
        <w:rPr>
          <w:rFonts w:ascii="標楷體" w:hAnsi="標楷體" w:hint="eastAsia"/>
          <w:snapToGrid w:val="0"/>
          <w:color w:val="000000"/>
        </w:rPr>
        <w:t>，</w:t>
      </w:r>
      <w:r w:rsidR="001B7752" w:rsidRPr="00A15071">
        <w:rPr>
          <w:rFonts w:ascii="標楷體" w:hAnsi="標楷體" w:hint="eastAsia"/>
          <w:snapToGrid w:val="0"/>
          <w:color w:val="000000"/>
        </w:rPr>
        <w:t>有必要提高資源配置效率</w:t>
      </w:r>
      <w:r w:rsidR="00725EC3" w:rsidRPr="00A15071">
        <w:rPr>
          <w:rFonts w:ascii="標楷體" w:hAnsi="標楷體" w:hint="eastAsia"/>
          <w:snapToGrid w:val="0"/>
          <w:color w:val="000000"/>
        </w:rPr>
        <w:t>，自促進高齡者之健康自主著手，</w:t>
      </w:r>
      <w:r w:rsidR="002D2BD2" w:rsidRPr="00A15071">
        <w:rPr>
          <w:rFonts w:ascii="標楷體" w:hAnsi="標楷體" w:hint="eastAsia"/>
          <w:snapToGrid w:val="0"/>
          <w:color w:val="000000"/>
        </w:rPr>
        <w:t>爰本</w:t>
      </w:r>
      <w:r w:rsidR="0089454A" w:rsidRPr="00A15071">
        <w:rPr>
          <w:rFonts w:ascii="標楷體" w:hAnsi="標楷體" w:hint="eastAsia"/>
          <w:snapToGrid w:val="0"/>
          <w:color w:val="000000"/>
        </w:rPr>
        <w:t>報告</w:t>
      </w:r>
      <w:r w:rsidR="002D2BD2" w:rsidRPr="00A15071">
        <w:rPr>
          <w:rFonts w:ascii="標楷體" w:hAnsi="標楷體" w:hint="eastAsia"/>
          <w:snapToGrid w:val="0"/>
          <w:color w:val="000000"/>
        </w:rPr>
        <w:t>擬</w:t>
      </w:r>
      <w:r w:rsidR="00687C28" w:rsidRPr="00A15071">
        <w:rPr>
          <w:rFonts w:ascii="標楷體" w:hAnsi="標楷體" w:hint="eastAsia"/>
          <w:snapToGrid w:val="0"/>
          <w:color w:val="000000"/>
        </w:rPr>
        <w:t>探究</w:t>
      </w:r>
      <w:r w:rsidR="002D2BD2" w:rsidRPr="00A15071">
        <w:rPr>
          <w:rFonts w:ascii="標楷體" w:hAnsi="標楷體" w:hint="eastAsia"/>
          <w:snapToGrid w:val="0"/>
          <w:color w:val="000000"/>
        </w:rPr>
        <w:t>當前中央相關部會</w:t>
      </w:r>
      <w:r w:rsidR="00687C28" w:rsidRPr="00A15071">
        <w:rPr>
          <w:rFonts w:ascii="標楷體" w:hAnsi="標楷體" w:hint="eastAsia"/>
          <w:snapToGrid w:val="0"/>
          <w:color w:val="000000"/>
        </w:rPr>
        <w:t>近年推動促進</w:t>
      </w:r>
      <w:r w:rsidR="002D2BD2" w:rsidRPr="00A15071">
        <w:rPr>
          <w:rFonts w:ascii="標楷體" w:hAnsi="標楷體" w:hint="eastAsia"/>
          <w:snapToGrid w:val="0"/>
          <w:color w:val="000000"/>
        </w:rPr>
        <w:t>高齡者</w:t>
      </w:r>
      <w:r w:rsidR="00687C28" w:rsidRPr="00A15071">
        <w:rPr>
          <w:rFonts w:ascii="標楷體" w:hAnsi="標楷體" w:hint="eastAsia"/>
          <w:snapToGrid w:val="0"/>
          <w:color w:val="000000"/>
        </w:rPr>
        <w:t>健康自主措施之經費運用及成效，</w:t>
      </w:r>
      <w:r w:rsidR="0030473C">
        <w:rPr>
          <w:rFonts w:ascii="標楷體" w:hAnsi="標楷體" w:hint="eastAsia"/>
          <w:snapToGrid w:val="0"/>
          <w:color w:val="000000"/>
        </w:rPr>
        <w:t>俾達健康老化之目標</w:t>
      </w:r>
      <w:r w:rsidR="00687C28" w:rsidRPr="00A15071">
        <w:rPr>
          <w:rFonts w:ascii="標楷體" w:hAnsi="標楷體" w:hint="eastAsia"/>
          <w:snapToGrid w:val="0"/>
          <w:color w:val="000000"/>
        </w:rPr>
        <w:t>。</w:t>
      </w:r>
      <w:r w:rsidR="009A747D" w:rsidRPr="00A15071">
        <w:rPr>
          <w:rFonts w:ascii="標楷體" w:hAnsi="標楷體" w:hint="eastAsia"/>
          <w:snapToGrid w:val="0"/>
        </w:rPr>
        <w:t xml:space="preserve">                                                                                                                                                                                                                                                                                                                                                                                                                                                                                                                                                                                           </w:t>
      </w:r>
    </w:p>
    <w:sectPr w:rsidR="00A436DC"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7C0D1F" w:rsidRPr="007C0D1F">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5C208F">
      <w:pPr>
        <w:pStyle w:val="af4"/>
        <w:spacing w:line="280" w:lineRule="exact"/>
        <w:ind w:leftChars="0" w:left="243" w:hangingChars="100" w:hanging="243"/>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依內政部統計處公布之歷年簡易生命表平均餘命統計，該部自81年度開始編算簡易生命表至112年度止，國人平均餘命自74.26歲提高至80.23歲。</w:t>
      </w:r>
    </w:p>
  </w:footnote>
  <w:footnote w:id="2">
    <w:p w:rsidR="00DC1269" w:rsidRPr="00B166B5" w:rsidRDefault="00DC1269" w:rsidP="00225382">
      <w:pPr>
        <w:pStyle w:val="af4"/>
        <w:spacing w:line="280" w:lineRule="exact"/>
        <w:ind w:leftChars="20" w:left="225" w:hangingChars="69" w:hanging="168"/>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114年3月21日公布最新臺灣社區失智症流行病學調查結果，社區65歲以上長者失智症盛行率為7.99%，其中在65至69歲、70至74歲、75至79歲、80至84歲及85歲以上之年齡別盛行率分別為2.40%、5.16%、9.10%、16%及23.23%，反映隨著國人年齡增長，失智症盛行率亦隨之提升。資料網址：</w:t>
      </w:r>
      <w:hyperlink r:id="rId1" w:history="1">
        <w:r w:rsidRPr="00B166B5">
          <w:rPr>
            <w:rFonts w:hAnsi="標楷體"/>
            <w:sz w:val="24"/>
            <w:szCs w:val="24"/>
          </w:rPr>
          <w:t>https://www.mohw.gov.tw/cp-16-78102-1.html</w:t>
        </w:r>
        <w:r>
          <w:rPr>
            <w:rFonts w:hAnsi="標楷體" w:hint="eastAsia"/>
            <w:sz w:val="24"/>
            <w:szCs w:val="24"/>
          </w:rPr>
          <w:t>，</w:t>
        </w:r>
        <w:r w:rsidRPr="00B166B5">
          <w:rPr>
            <w:rFonts w:hAnsi="標楷體"/>
            <w:sz w:val="24"/>
            <w:szCs w:val="24"/>
          </w:rPr>
          <w:t>最後瀏覽日期114</w:t>
        </w:r>
        <w:r w:rsidRPr="00B166B5">
          <w:rPr>
            <w:rFonts w:hAnsi="標楷體" w:hint="eastAsia"/>
            <w:sz w:val="24"/>
            <w:szCs w:val="24"/>
          </w:rPr>
          <w:t>年</w:t>
        </w:r>
        <w:r w:rsidRPr="00B166B5">
          <w:rPr>
            <w:rFonts w:hAnsi="標楷體"/>
            <w:sz w:val="24"/>
            <w:szCs w:val="24"/>
          </w:rPr>
          <w:t>6</w:t>
        </w:r>
        <w:r w:rsidRPr="00B166B5">
          <w:rPr>
            <w:rFonts w:hAnsi="標楷體" w:hint="eastAsia"/>
            <w:sz w:val="24"/>
            <w:szCs w:val="24"/>
          </w:rPr>
          <w:t>月</w:t>
        </w:r>
        <w:r w:rsidRPr="00B166B5">
          <w:rPr>
            <w:rFonts w:hAnsi="標楷體"/>
            <w:sz w:val="24"/>
            <w:szCs w:val="24"/>
          </w:rPr>
          <w:t>23</w:t>
        </w:r>
      </w:hyperlink>
      <w:r w:rsidRPr="00B166B5">
        <w:rPr>
          <w:rFonts w:hAnsi="標楷體" w:hint="eastAsia"/>
          <w:sz w:val="24"/>
          <w:szCs w:val="24"/>
        </w:rPr>
        <w:t>日。</w:t>
      </w:r>
    </w:p>
  </w:footnote>
  <w:footnote w:id="3">
    <w:p w:rsidR="00DC1269" w:rsidRPr="00B166B5" w:rsidRDefault="00DC1269" w:rsidP="00494185">
      <w:pPr>
        <w:wordWrap w:val="0"/>
        <w:spacing w:line="280" w:lineRule="exact"/>
        <w:ind w:leftChars="0" w:left="168" w:hangingChars="69" w:hanging="168"/>
        <w:jc w:val="left"/>
        <w:rPr>
          <w:rFonts w:ascii="標楷體" w:hAnsi="標楷體" w:hint="eastAsia"/>
          <w:sz w:val="24"/>
        </w:rPr>
      </w:pPr>
      <w:r w:rsidRPr="00B166B5">
        <w:rPr>
          <w:rStyle w:val="af6"/>
          <w:rFonts w:ascii="標楷體" w:hAnsi="標楷體"/>
          <w:sz w:val="24"/>
        </w:rPr>
        <w:footnoteRef/>
      </w:r>
      <w:r w:rsidRPr="00B166B5">
        <w:rPr>
          <w:rFonts w:ascii="標楷體" w:hAnsi="標楷體"/>
          <w:sz w:val="24"/>
        </w:rPr>
        <w:t xml:space="preserve"> WHO,</w:t>
      </w:r>
      <w:r w:rsidRPr="00B166B5">
        <w:rPr>
          <w:rFonts w:ascii="標楷體" w:hAnsi="標楷體" w:hint="eastAsia"/>
          <w:sz w:val="24"/>
        </w:rPr>
        <w:t>Active Ageing：A Poli</w:t>
      </w:r>
      <w:r w:rsidRPr="00B166B5">
        <w:rPr>
          <w:rFonts w:ascii="標楷體" w:hAnsi="標楷體" w:hint="eastAsia"/>
          <w:snapToGrid w:val="0"/>
          <w:sz w:val="24"/>
        </w:rPr>
        <w:t>cy Framework,2002，</w:t>
      </w:r>
      <w:hyperlink r:id="rId2" w:history="1">
        <w:r w:rsidRPr="00B166B5">
          <w:rPr>
            <w:rFonts w:ascii="標楷體" w:hAnsi="標楷體"/>
            <w:snapToGrid w:val="0"/>
            <w:sz w:val="24"/>
          </w:rPr>
          <w:t>https://iris.who.int/handle/10665/67215?locale-attribute=en&amp;</w:t>
        </w:r>
        <w:r w:rsidR="003F1005">
          <w:rPr>
            <w:rFonts w:ascii="標楷體" w:hAnsi="標楷體" w:hint="eastAsia"/>
            <w:snapToGrid w:val="0"/>
            <w:sz w:val="24"/>
          </w:rPr>
          <w:t>，</w:t>
        </w:r>
        <w:r w:rsidRPr="00B166B5">
          <w:rPr>
            <w:rFonts w:ascii="標楷體" w:hAnsi="標楷體"/>
            <w:snapToGrid w:val="0"/>
            <w:sz w:val="24"/>
          </w:rPr>
          <w:t>最後瀏覽日期114年7月7</w:t>
        </w:r>
      </w:hyperlink>
      <w:r w:rsidRPr="00B166B5">
        <w:rPr>
          <w:rFonts w:ascii="標楷體" w:hAnsi="標楷體" w:hint="eastAsia"/>
          <w:snapToGrid w:val="0"/>
          <w:sz w:val="24"/>
        </w:rPr>
        <w:t>日。</w:t>
      </w:r>
    </w:p>
  </w:footnote>
  <w:footnote w:id="4">
    <w:p w:rsidR="00DC1269" w:rsidRPr="00B166B5" w:rsidRDefault="00DC1269" w:rsidP="008E4D02">
      <w:pPr>
        <w:pStyle w:val="af4"/>
        <w:spacing w:line="280" w:lineRule="exact"/>
        <w:ind w:leftChars="-5" w:left="183" w:hangingChars="81" w:hanging="197"/>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其原文為：「</w:t>
      </w:r>
      <w:r w:rsidRPr="00B166B5">
        <w:rPr>
          <w:rFonts w:hAnsi="標楷體"/>
          <w:sz w:val="24"/>
          <w:szCs w:val="24"/>
        </w:rPr>
        <w:t>Active ageing is the process of</w:t>
      </w:r>
      <w:r w:rsidRPr="00B166B5">
        <w:rPr>
          <w:rFonts w:hAnsi="標楷體" w:hint="eastAsia"/>
          <w:sz w:val="24"/>
          <w:szCs w:val="24"/>
        </w:rPr>
        <w:t xml:space="preserve"> </w:t>
      </w:r>
      <w:r w:rsidRPr="00B166B5">
        <w:rPr>
          <w:rFonts w:hAnsi="標楷體"/>
          <w:sz w:val="24"/>
          <w:szCs w:val="24"/>
        </w:rPr>
        <w:t>optimizing opportunities for health,participation and security in order</w:t>
      </w:r>
      <w:r w:rsidRPr="00B166B5">
        <w:rPr>
          <w:rFonts w:hAnsi="標楷體" w:hint="eastAsia"/>
          <w:sz w:val="24"/>
          <w:szCs w:val="24"/>
        </w:rPr>
        <w:t xml:space="preserve"> </w:t>
      </w:r>
      <w:r w:rsidRPr="00B166B5">
        <w:rPr>
          <w:rFonts w:hAnsi="標楷體"/>
          <w:sz w:val="24"/>
          <w:szCs w:val="24"/>
        </w:rPr>
        <w:t>to enhance quality of life as people</w:t>
      </w:r>
      <w:r w:rsidRPr="00B166B5">
        <w:rPr>
          <w:rFonts w:hAnsi="標楷體" w:hint="eastAsia"/>
          <w:sz w:val="24"/>
          <w:szCs w:val="24"/>
        </w:rPr>
        <w:t xml:space="preserve"> </w:t>
      </w:r>
      <w:r w:rsidRPr="00B166B5">
        <w:rPr>
          <w:rFonts w:hAnsi="標楷體"/>
          <w:sz w:val="24"/>
          <w:szCs w:val="24"/>
        </w:rPr>
        <w:t>age.</w:t>
      </w:r>
      <w:r w:rsidRPr="00B166B5">
        <w:rPr>
          <w:rFonts w:hAnsi="標楷體" w:hint="eastAsia"/>
          <w:sz w:val="24"/>
          <w:szCs w:val="24"/>
        </w:rPr>
        <w:t>」，參見W</w:t>
      </w:r>
      <w:r w:rsidRPr="00B166B5">
        <w:rPr>
          <w:rFonts w:hAnsi="標楷體"/>
          <w:sz w:val="24"/>
          <w:szCs w:val="24"/>
        </w:rPr>
        <w:t>HO</w:t>
      </w:r>
      <w:r w:rsidRPr="00B166B5">
        <w:rPr>
          <w:rFonts w:hAnsi="標楷體" w:hint="eastAsia"/>
          <w:sz w:val="24"/>
          <w:szCs w:val="24"/>
        </w:rPr>
        <w:t xml:space="preserve"> 2002年發布之Active Ageing：A Policy Framework報告第12頁，最後瀏覽日期114年7月7日。</w:t>
      </w:r>
    </w:p>
  </w:footnote>
  <w:footnote w:id="5">
    <w:p w:rsidR="00DC1269" w:rsidRPr="00B166B5" w:rsidRDefault="00DC1269" w:rsidP="00B64D79">
      <w:pPr>
        <w:pStyle w:val="af4"/>
        <w:spacing w:line="280" w:lineRule="exact"/>
        <w:ind w:leftChars="4" w:left="237" w:hangingChars="93" w:hanging="226"/>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因應超高齡方案之政策目標包括增進高齡者健康與自主、提升高齡者社會連結、促進世代和諧共融、建構高齡友善及安全環境、強化社會永續發展等。</w:t>
      </w:r>
    </w:p>
  </w:footnote>
  <w:footnote w:id="6">
    <w:p w:rsidR="00DC1269" w:rsidRPr="00B166B5" w:rsidRDefault="00DC1269" w:rsidP="005C208F">
      <w:pPr>
        <w:pStyle w:val="af4"/>
        <w:spacing w:line="280" w:lineRule="exact"/>
        <w:ind w:leftChars="0" w:left="0" w:firstLineChars="0" w:firstLine="0"/>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長照3.0計畫之8大目標包括：「醫療照顧整合」、「積極復能」、「提升機構量能」、「強化家庭支持」、「導入智慧照顧」、「落實安寧善終」及「人力專業發展」</w:t>
      </w:r>
      <w:r>
        <w:rPr>
          <w:rFonts w:hAnsi="標楷體" w:hint="eastAsia"/>
          <w:sz w:val="24"/>
          <w:szCs w:val="24"/>
        </w:rPr>
        <w:t>。</w:t>
      </w:r>
    </w:p>
  </w:footnote>
  <w:footnote w:id="7">
    <w:p w:rsidR="00DC1269" w:rsidRPr="00B166B5" w:rsidRDefault="00DC1269" w:rsidP="005C208F">
      <w:pPr>
        <w:pStyle w:val="af4"/>
        <w:spacing w:line="280" w:lineRule="exact"/>
        <w:ind w:leftChars="6" w:left="197" w:hangingChars="74" w:hanging="180"/>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參照衛福部114年5月8日提報本院第11屆第3會期社會福利及衛生環境委員會第10次全體委員會議「長照2.0執行情形檢討及3.0未來規劃」專題報告第6頁以下。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0D1F"/>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DA1A40E-8726-40C9-ADF5-AF0E3522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iris.who.int/handle/10665/67215?locale-attribute=en&amp;,&#26368;&#24460;&#28687;&#35261;&#26085;&#26399;114&#24180;7&#26376;7" TargetMode="External"/><Relationship Id="rId1" Type="http://schemas.openxmlformats.org/officeDocument/2006/relationships/hyperlink" Target="https://www.mohw.gov.tw/cp-16-78102-1.html&#12290;&#26597;&#38321;&#26085;&#26399;114&#24180;6&#26376;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C8A28-965F-4A96-B876-B08A425D8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213</Words>
  <Characters>1215</Characters>
  <Application>Microsoft Office Word</Application>
  <DocSecurity>0</DocSecurity>
  <Lines>10</Lines>
  <Paragraphs>2</Paragraphs>
  <ScaleCrop>false</ScaleCrop>
  <Company/>
  <LinksUpToDate>false</LinksUpToDate>
  <CharactersWithSpaces>1426</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