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A113AA" w:rsidRDefault="00E060CA" w:rsidP="00A113AA">
      <w:pPr>
        <w:pStyle w:val="14"/>
        <w:ind w:left="567" w:hanging="567"/>
      </w:pPr>
      <w:bookmarkStart w:id="8" w:name="_Toc464543013"/>
      <w:bookmarkStart w:id="9" w:name="_Toc53477387"/>
      <w:bookmarkStart w:id="10" w:name="_Toc281290052"/>
      <w:bookmarkStart w:id="11" w:name="_Toc456886643"/>
      <w:bookmarkStart w:id="12" w:name="_Toc487132829"/>
      <w:bookmarkStart w:id="13" w:name="_Toc44686222"/>
      <w:bookmarkStart w:id="14" w:name="_Toc98423655"/>
      <w:bookmarkStart w:id="15" w:name="_Toc98505628"/>
      <w:bookmarkStart w:id="16" w:name="_Toc204592446"/>
      <w:bookmarkEnd w:id="3"/>
      <w:bookmarkEnd w:id="4"/>
      <w:bookmarkEnd w:id="5"/>
      <w:bookmarkEnd w:id="6"/>
      <w:r>
        <w:rPr>
          <w:rFonts w:hint="eastAsia"/>
        </w:rPr>
        <w:t>二</w:t>
      </w:r>
      <w:r w:rsidR="00A113AA" w:rsidRPr="00E04F94">
        <w:rPr>
          <w:rFonts w:hint="eastAsia"/>
        </w:rPr>
        <w:t>、</w:t>
      </w:r>
      <w:r w:rsidR="00EA7AD8">
        <w:rPr>
          <w:rFonts w:hint="eastAsia"/>
        </w:rPr>
        <w:t>營運概況</w:t>
      </w:r>
      <w:bookmarkEnd w:id="16"/>
    </w:p>
    <w:p w:rsidR="000A3453" w:rsidRDefault="00FC5EBF" w:rsidP="00033261">
      <w:pPr>
        <w:ind w:left="566" w:firstLine="566"/>
        <w:rPr>
          <w:rFonts w:hint="eastAsia"/>
        </w:rPr>
      </w:pPr>
      <w:r>
        <w:rPr>
          <w:rFonts w:hint="eastAsia"/>
        </w:rPr>
        <w:t>銀行最主要之功能為資金仲介，亦即向資金供給者吸收存款，再將其貸放給資</w:t>
      </w:r>
      <w:r w:rsidR="00542B24">
        <w:rPr>
          <w:rFonts w:hint="eastAsia"/>
        </w:rPr>
        <w:t>金需求者，因此存款和放款係銀行業所提供最主要之服務</w:t>
      </w:r>
      <w:r w:rsidR="00542B24">
        <w:rPr>
          <w:rStyle w:val="ae"/>
        </w:rPr>
        <w:footnoteReference w:id="1"/>
      </w:r>
      <w:r w:rsidR="00542B24">
        <w:rPr>
          <w:rFonts w:hint="eastAsia"/>
        </w:rPr>
        <w:t>，</w:t>
      </w:r>
      <w:r w:rsidR="00613A4F">
        <w:rPr>
          <w:rFonts w:hint="eastAsia"/>
        </w:rPr>
        <w:t>而</w:t>
      </w:r>
      <w:r w:rsidR="0010001E">
        <w:rPr>
          <w:rFonts w:hint="eastAsia"/>
        </w:rPr>
        <w:t>利息</w:t>
      </w:r>
      <w:r w:rsidR="00033261">
        <w:rPr>
          <w:rFonts w:hint="eastAsia"/>
        </w:rPr>
        <w:t>凈收益</w:t>
      </w:r>
      <w:r w:rsidR="006D0B5F">
        <w:rPr>
          <w:rFonts w:hint="eastAsia"/>
        </w:rPr>
        <w:t>則</w:t>
      </w:r>
      <w:r w:rsidR="0010001E">
        <w:rPr>
          <w:rFonts w:hint="eastAsia"/>
        </w:rPr>
        <w:t>為銀</w:t>
      </w:r>
      <w:r w:rsidR="000D0285">
        <w:rPr>
          <w:rFonts w:hint="eastAsia"/>
        </w:rPr>
        <w:t>行業</w:t>
      </w:r>
      <w:r w:rsidR="006D0B5F">
        <w:rPr>
          <w:rFonts w:hint="eastAsia"/>
        </w:rPr>
        <w:t>最</w:t>
      </w:r>
      <w:r w:rsidR="000D0285">
        <w:rPr>
          <w:rFonts w:hint="eastAsia"/>
        </w:rPr>
        <w:t>主要之獲利來源，</w:t>
      </w:r>
      <w:r>
        <w:rPr>
          <w:rFonts w:hint="eastAsia"/>
        </w:rPr>
        <w:t>為健全公股金融事業之經營韌性，</w:t>
      </w:r>
      <w:r w:rsidR="000D0285">
        <w:rPr>
          <w:rFonts w:hint="eastAsia"/>
        </w:rPr>
        <w:t>發展多元均衡獲利，財政部</w:t>
      </w:r>
      <w:r>
        <w:rPr>
          <w:rFonts w:hint="eastAsia"/>
        </w:rPr>
        <w:t>於109年推出「金控雙引擎，銀行雙翅膀」方案，並於113年賡續推出2.0版本，期各事業於維持整體獲利成長性下，同時兼顧提升關鍵事業(業務)之成長動能，以漸進發展多元均衡獲利之目標</w:t>
      </w:r>
      <w:r w:rsidR="000D0285">
        <w:rPr>
          <w:rFonts w:hint="eastAsia"/>
        </w:rPr>
        <w:t>，爰</w:t>
      </w:r>
      <w:r>
        <w:rPr>
          <w:rFonts w:hint="eastAsia"/>
        </w:rPr>
        <w:t>茲就</w:t>
      </w:r>
      <w:r w:rsidR="006D0B5F">
        <w:rPr>
          <w:rFonts w:hint="eastAsia"/>
        </w:rPr>
        <w:t>近年</w:t>
      </w:r>
      <w:r>
        <w:rPr>
          <w:rFonts w:hint="eastAsia"/>
        </w:rPr>
        <w:t>公股銀行</w:t>
      </w:r>
      <w:r w:rsidR="006D0B5F">
        <w:rPr>
          <w:rFonts w:hint="eastAsia"/>
        </w:rPr>
        <w:t>之</w:t>
      </w:r>
      <w:r>
        <w:rPr>
          <w:rFonts w:hint="eastAsia"/>
        </w:rPr>
        <w:t>存、放款業務及其獲利概況等分</w:t>
      </w:r>
      <w:r w:rsidR="00033261">
        <w:rPr>
          <w:rFonts w:hint="eastAsia"/>
        </w:rPr>
        <w:t>述</w:t>
      </w:r>
      <w:r>
        <w:rPr>
          <w:rFonts w:hint="eastAsia"/>
        </w:rPr>
        <w:t>如下：</w:t>
      </w:r>
    </w:p>
    <w:p w:rsidR="000900C1" w:rsidRDefault="00A113AA" w:rsidP="001C3FD1">
      <w:pPr>
        <w:pStyle w:val="a4"/>
        <w:ind w:left="849" w:hanging="283"/>
        <w:rPr>
          <w:b/>
        </w:rPr>
      </w:pPr>
      <w:r w:rsidRPr="001C3FD1">
        <w:rPr>
          <w:rFonts w:hint="eastAsia"/>
          <w:b/>
        </w:rPr>
        <w:t>(一)</w:t>
      </w:r>
      <w:r w:rsidR="009E7565">
        <w:rPr>
          <w:rFonts w:hint="eastAsia"/>
          <w:b/>
          <w:lang w:eastAsia="zh-TW"/>
        </w:rPr>
        <w:t>111</w:t>
      </w:r>
      <w:r w:rsidR="000A3F75">
        <w:rPr>
          <w:rFonts w:hint="eastAsia"/>
          <w:b/>
          <w:lang w:eastAsia="zh-TW"/>
        </w:rPr>
        <w:t>年底</w:t>
      </w:r>
      <w:r w:rsidR="009E7565">
        <w:rPr>
          <w:rFonts w:hint="eastAsia"/>
          <w:b/>
          <w:lang w:eastAsia="zh-TW"/>
        </w:rPr>
        <w:t>至114年3月底止，</w:t>
      </w:r>
      <w:r w:rsidR="006265EE">
        <w:rPr>
          <w:rFonts w:hint="eastAsia"/>
          <w:b/>
          <w:lang w:eastAsia="zh-TW"/>
        </w:rPr>
        <w:t>公股銀行</w:t>
      </w:r>
      <w:r w:rsidR="009E7565">
        <w:rPr>
          <w:rFonts w:hint="eastAsia"/>
          <w:b/>
          <w:lang w:eastAsia="zh-TW"/>
        </w:rPr>
        <w:t>之</w:t>
      </w:r>
      <w:r w:rsidR="006265EE">
        <w:rPr>
          <w:rFonts w:hint="eastAsia"/>
          <w:b/>
        </w:rPr>
        <w:t>存款</w:t>
      </w:r>
      <w:r w:rsidR="006265EE">
        <w:rPr>
          <w:rFonts w:hint="eastAsia"/>
          <w:b/>
          <w:lang w:eastAsia="zh-TW"/>
        </w:rPr>
        <w:t>與放款</w:t>
      </w:r>
      <w:r w:rsidR="009E7565">
        <w:rPr>
          <w:rFonts w:hint="eastAsia"/>
          <w:b/>
          <w:lang w:eastAsia="zh-TW"/>
        </w:rPr>
        <w:t>皆穩定成長，</w:t>
      </w:r>
      <w:r w:rsidR="000A3F75">
        <w:rPr>
          <w:rFonts w:hint="eastAsia"/>
          <w:b/>
          <w:lang w:eastAsia="zh-TW"/>
        </w:rPr>
        <w:t>且</w:t>
      </w:r>
      <w:r w:rsidR="009E7565">
        <w:rPr>
          <w:rFonts w:hint="eastAsia"/>
          <w:b/>
          <w:lang w:eastAsia="zh-TW"/>
        </w:rPr>
        <w:t>多數銀行之逾放比率概呈下降趨勢</w:t>
      </w:r>
    </w:p>
    <w:p w:rsidR="0071647C" w:rsidRDefault="00FA3362" w:rsidP="00FA3362">
      <w:pPr>
        <w:pStyle w:val="123"/>
        <w:ind w:left="1133" w:hanging="283"/>
      </w:pPr>
      <w:r w:rsidRPr="00FA3362">
        <w:rPr>
          <w:rFonts w:hint="eastAsia"/>
          <w:b/>
          <w:lang w:eastAsia="zh-TW"/>
        </w:rPr>
        <w:t>1.存款</w:t>
      </w:r>
      <w:r w:rsidR="002907C8">
        <w:rPr>
          <w:rFonts w:hint="eastAsia"/>
          <w:b/>
          <w:lang w:eastAsia="zh-TW"/>
        </w:rPr>
        <w:t>業務</w:t>
      </w:r>
      <w:r>
        <w:rPr>
          <w:rFonts w:hint="eastAsia"/>
          <w:lang w:eastAsia="zh-TW"/>
        </w:rPr>
        <w:t>：</w:t>
      </w:r>
      <w:r w:rsidR="0071647C">
        <w:rPr>
          <w:rFonts w:hint="eastAsia"/>
        </w:rPr>
        <w:t>檢視公股銀行於111至113年底之存款餘額，其中僅臺灣土地銀行112年底存款餘額較111</w:t>
      </w:r>
      <w:r w:rsidR="000C676D">
        <w:rPr>
          <w:rFonts w:hint="eastAsia"/>
        </w:rPr>
        <w:t>年底略</w:t>
      </w:r>
      <w:r w:rsidR="000C676D">
        <w:rPr>
          <w:rFonts w:hint="eastAsia"/>
          <w:lang w:eastAsia="zh-TW"/>
        </w:rPr>
        <w:t>減</w:t>
      </w:r>
      <w:r w:rsidR="00D94709">
        <w:rPr>
          <w:rFonts w:hint="eastAsia"/>
          <w:lang w:eastAsia="zh-TW"/>
        </w:rPr>
        <w:t>0.06兆</w:t>
      </w:r>
      <w:r w:rsidR="000A3F75">
        <w:rPr>
          <w:rFonts w:hint="eastAsia"/>
          <w:lang w:eastAsia="zh-TW"/>
        </w:rPr>
        <w:t>元</w:t>
      </w:r>
      <w:r w:rsidR="00D94709">
        <w:rPr>
          <w:rFonts w:hint="eastAsia"/>
          <w:lang w:eastAsia="zh-TW"/>
        </w:rPr>
        <w:t>(減幅</w:t>
      </w:r>
      <w:r w:rsidR="0071647C">
        <w:rPr>
          <w:rFonts w:hint="eastAsia"/>
        </w:rPr>
        <w:t>1.98%</w:t>
      </w:r>
      <w:r w:rsidR="00D94709">
        <w:rPr>
          <w:rFonts w:hint="eastAsia"/>
          <w:lang w:eastAsia="zh-TW"/>
        </w:rPr>
        <w:t>)</w:t>
      </w:r>
      <w:r w:rsidR="0071647C">
        <w:rPr>
          <w:rFonts w:hint="eastAsia"/>
        </w:rPr>
        <w:t>，餘各家</w:t>
      </w:r>
      <w:r w:rsidR="00887946">
        <w:rPr>
          <w:rFonts w:hint="eastAsia"/>
        </w:rPr>
        <w:t>公股銀行於上開期間皆</w:t>
      </w:r>
      <w:r w:rsidR="0071647C">
        <w:rPr>
          <w:rFonts w:hint="eastAsia"/>
        </w:rPr>
        <w:t>逐年成長，截至114年3月底止，多數公股銀行存款餘額</w:t>
      </w:r>
      <w:r w:rsidR="000A3F75">
        <w:rPr>
          <w:rFonts w:hint="eastAsia"/>
        </w:rPr>
        <w:t>雖</w:t>
      </w:r>
      <w:r w:rsidR="0071647C">
        <w:rPr>
          <w:rFonts w:hint="eastAsia"/>
        </w:rPr>
        <w:t>較113年底</w:t>
      </w:r>
      <w:r w:rsidR="000A3F75">
        <w:rPr>
          <w:rFonts w:hint="eastAsia"/>
          <w:lang w:eastAsia="zh-TW"/>
        </w:rPr>
        <w:t>減少</w:t>
      </w:r>
      <w:r w:rsidR="0071647C">
        <w:rPr>
          <w:rFonts w:hint="eastAsia"/>
        </w:rPr>
        <w:t>，然</w:t>
      </w:r>
      <w:r w:rsidR="00677F5D">
        <w:rPr>
          <w:rFonts w:hint="eastAsia"/>
        </w:rPr>
        <w:t>若與111年底數額相比，</w:t>
      </w:r>
      <w:r w:rsidR="006374E1">
        <w:rPr>
          <w:rFonts w:hint="eastAsia"/>
          <w:lang w:eastAsia="zh-TW"/>
        </w:rPr>
        <w:t>皆為成長，增幅</w:t>
      </w:r>
      <w:r w:rsidR="006374E1">
        <w:rPr>
          <w:rFonts w:hint="eastAsia"/>
        </w:rPr>
        <w:t>介於3.52%至15.34%間</w:t>
      </w:r>
      <w:r w:rsidR="006374E1">
        <w:rPr>
          <w:rFonts w:hint="eastAsia"/>
          <w:lang w:eastAsia="zh-TW"/>
        </w:rPr>
        <w:t>，爰</w:t>
      </w:r>
      <w:r w:rsidR="006374E1">
        <w:rPr>
          <w:rFonts w:hint="eastAsia"/>
        </w:rPr>
        <w:t>8</w:t>
      </w:r>
      <w:r w:rsidR="005D3DAB">
        <w:rPr>
          <w:rFonts w:hint="eastAsia"/>
        </w:rPr>
        <w:t>家公股銀行之</w:t>
      </w:r>
      <w:r w:rsidR="005D3DAB">
        <w:rPr>
          <w:rFonts w:hint="eastAsia"/>
          <w:lang w:eastAsia="zh-TW"/>
        </w:rPr>
        <w:t>存</w:t>
      </w:r>
      <w:r w:rsidR="006374E1">
        <w:rPr>
          <w:rFonts w:hint="eastAsia"/>
        </w:rPr>
        <w:t>款餘額</w:t>
      </w:r>
      <w:r w:rsidR="006374E1">
        <w:rPr>
          <w:rFonts w:hint="eastAsia"/>
          <w:lang w:eastAsia="zh-TW"/>
        </w:rPr>
        <w:t>於111</w:t>
      </w:r>
      <w:r w:rsidR="000A3F75">
        <w:rPr>
          <w:rFonts w:hint="eastAsia"/>
          <w:lang w:eastAsia="zh-TW"/>
        </w:rPr>
        <w:t>年底</w:t>
      </w:r>
      <w:r w:rsidR="006374E1">
        <w:rPr>
          <w:rFonts w:hint="eastAsia"/>
          <w:lang w:eastAsia="zh-TW"/>
        </w:rPr>
        <w:t>至114年3月底</w:t>
      </w:r>
      <w:r w:rsidR="00681450">
        <w:rPr>
          <w:rFonts w:hint="eastAsia"/>
          <w:lang w:eastAsia="zh-TW"/>
        </w:rPr>
        <w:t>間</w:t>
      </w:r>
      <w:r w:rsidR="006374E1">
        <w:rPr>
          <w:rFonts w:hint="eastAsia"/>
          <w:lang w:eastAsia="zh-TW"/>
        </w:rPr>
        <w:t>概</w:t>
      </w:r>
      <w:r w:rsidR="006374E1">
        <w:rPr>
          <w:rFonts w:hint="eastAsia"/>
        </w:rPr>
        <w:t>呈</w:t>
      </w:r>
      <w:r w:rsidR="006374E1">
        <w:rPr>
          <w:rFonts w:hint="eastAsia"/>
          <w:lang w:eastAsia="zh-TW"/>
        </w:rPr>
        <w:t>成長</w:t>
      </w:r>
      <w:r w:rsidR="00677F5D">
        <w:rPr>
          <w:rFonts w:hint="eastAsia"/>
        </w:rPr>
        <w:t>趨勢，</w:t>
      </w:r>
      <w:r w:rsidR="006374E1">
        <w:rPr>
          <w:rFonts w:hint="eastAsia"/>
          <w:lang w:eastAsia="zh-TW"/>
        </w:rPr>
        <w:t>其</w:t>
      </w:r>
      <w:r w:rsidR="006374E1">
        <w:rPr>
          <w:rFonts w:hint="eastAsia"/>
        </w:rPr>
        <w:t>中合作金庫商業銀行、第一商</w:t>
      </w:r>
      <w:r w:rsidR="006374E1">
        <w:rPr>
          <w:rFonts w:hint="eastAsia"/>
        </w:rPr>
        <w:lastRenderedPageBreak/>
        <w:t>業銀行及彰化商業銀行之</w:t>
      </w:r>
      <w:r w:rsidR="006374E1">
        <w:rPr>
          <w:rFonts w:hint="eastAsia"/>
          <w:lang w:eastAsia="zh-TW"/>
        </w:rPr>
        <w:t>增幅亦</w:t>
      </w:r>
      <w:r w:rsidR="00677F5D">
        <w:rPr>
          <w:rFonts w:hint="eastAsia"/>
        </w:rPr>
        <w:t>較本國銀行平均數14.52%為高</w:t>
      </w:r>
      <w:r w:rsidR="00905DF7">
        <w:rPr>
          <w:rFonts w:hint="eastAsia"/>
          <w:lang w:eastAsia="zh-TW"/>
        </w:rPr>
        <w:t>(詳表3)</w:t>
      </w:r>
      <w:r w:rsidR="00677F5D">
        <w:rPr>
          <w:rFonts w:hint="eastAsia"/>
        </w:rPr>
        <w:t>。</w:t>
      </w:r>
    </w:p>
    <w:p w:rsidR="00FC5EBF" w:rsidRPr="00FC5EBF" w:rsidRDefault="00FA3362" w:rsidP="00B1659C">
      <w:pPr>
        <w:pStyle w:val="123"/>
        <w:ind w:left="1133" w:hanging="283"/>
        <w:rPr>
          <w:b/>
          <w:lang w:val="en-US"/>
        </w:rPr>
      </w:pPr>
      <w:r w:rsidRPr="00FA3362">
        <w:rPr>
          <w:rFonts w:hint="eastAsia"/>
          <w:b/>
        </w:rPr>
        <w:t>2.</w:t>
      </w:r>
      <w:r w:rsidRPr="00FA3362">
        <w:rPr>
          <w:rFonts w:hint="eastAsia"/>
          <w:b/>
          <w:lang w:eastAsia="zh-TW"/>
        </w:rPr>
        <w:t>放款</w:t>
      </w:r>
      <w:r w:rsidR="005D3DAB">
        <w:rPr>
          <w:rFonts w:hint="eastAsia"/>
          <w:b/>
          <w:lang w:eastAsia="zh-TW"/>
        </w:rPr>
        <w:t>業務</w:t>
      </w:r>
      <w:r>
        <w:rPr>
          <w:rFonts w:hint="eastAsia"/>
          <w:b/>
          <w:lang w:eastAsia="zh-TW"/>
        </w:rPr>
        <w:t>及其資產品質：</w:t>
      </w:r>
      <w:r w:rsidR="0006703C">
        <w:rPr>
          <w:rFonts w:hint="eastAsia"/>
          <w:lang w:eastAsia="zh-TW"/>
        </w:rPr>
        <w:t>觀諸</w:t>
      </w:r>
      <w:r>
        <w:rPr>
          <w:rFonts w:hint="eastAsia"/>
        </w:rPr>
        <w:t>公股銀行於111至11</w:t>
      </w:r>
      <w:r w:rsidR="004160A5">
        <w:rPr>
          <w:rFonts w:hint="eastAsia"/>
          <w:lang w:eastAsia="zh-TW"/>
        </w:rPr>
        <w:t>3</w:t>
      </w:r>
      <w:r>
        <w:rPr>
          <w:rFonts w:hint="eastAsia"/>
        </w:rPr>
        <w:t>年</w:t>
      </w:r>
      <w:r w:rsidR="004160A5">
        <w:rPr>
          <w:rFonts w:hint="eastAsia"/>
          <w:lang w:eastAsia="zh-TW"/>
        </w:rPr>
        <w:t>底之放款餘額，僅臺灣銀行及臺灣土地銀行於112年底分別較111年底數額減少0.29兆</w:t>
      </w:r>
      <w:r w:rsidR="00681287">
        <w:rPr>
          <w:rFonts w:hint="eastAsia"/>
          <w:lang w:eastAsia="zh-TW"/>
        </w:rPr>
        <w:t>元</w:t>
      </w:r>
      <w:r w:rsidR="004160A5">
        <w:rPr>
          <w:rFonts w:hint="eastAsia"/>
          <w:lang w:eastAsia="zh-TW"/>
        </w:rPr>
        <w:t>(減幅8.23%)及0.02兆</w:t>
      </w:r>
      <w:r w:rsidR="00681287">
        <w:rPr>
          <w:rFonts w:hint="eastAsia"/>
          <w:lang w:eastAsia="zh-TW"/>
        </w:rPr>
        <w:t>元</w:t>
      </w:r>
      <w:r w:rsidR="004160A5">
        <w:rPr>
          <w:rFonts w:hint="eastAsia"/>
          <w:lang w:eastAsia="zh-TW"/>
        </w:rPr>
        <w:t>(減幅0.67%)，其餘6家公股銀行</w:t>
      </w:r>
      <w:r w:rsidR="00212A37">
        <w:rPr>
          <w:rFonts w:hint="eastAsia"/>
          <w:lang w:eastAsia="zh-TW"/>
        </w:rPr>
        <w:t>皆為逐年上升，迄</w:t>
      </w:r>
      <w:r w:rsidR="004160A5">
        <w:rPr>
          <w:rFonts w:hint="eastAsia"/>
          <w:lang w:eastAsia="zh-TW"/>
        </w:rPr>
        <w:t>114年3月底</w:t>
      </w:r>
      <w:r w:rsidR="00212A37">
        <w:rPr>
          <w:rFonts w:hint="eastAsia"/>
          <w:lang w:eastAsia="zh-TW"/>
        </w:rPr>
        <w:lastRenderedPageBreak/>
        <w:t>止</w:t>
      </w:r>
      <w:r w:rsidR="004160A5">
        <w:rPr>
          <w:rFonts w:hint="eastAsia"/>
          <w:lang w:eastAsia="zh-TW"/>
        </w:rPr>
        <w:t>，</w:t>
      </w:r>
      <w:r w:rsidR="00E523BB">
        <w:rPr>
          <w:rFonts w:hint="eastAsia"/>
          <w:lang w:eastAsia="zh-TW"/>
        </w:rPr>
        <w:t>各</w:t>
      </w:r>
      <w:r w:rsidR="00212A37">
        <w:rPr>
          <w:rFonts w:hint="eastAsia"/>
          <w:lang w:eastAsia="zh-TW"/>
        </w:rPr>
        <w:t>公股銀行於上</w:t>
      </w:r>
      <w:r w:rsidR="00E523BB">
        <w:rPr>
          <w:rFonts w:hint="eastAsia"/>
          <w:lang w:eastAsia="zh-TW"/>
        </w:rPr>
        <w:t>開</w:t>
      </w:r>
      <w:r w:rsidR="00212A37">
        <w:rPr>
          <w:rFonts w:hint="eastAsia"/>
          <w:lang w:eastAsia="zh-TW"/>
        </w:rPr>
        <w:t>期間之放款餘額</w:t>
      </w:r>
      <w:r w:rsidR="00556D14">
        <w:rPr>
          <w:rFonts w:hint="eastAsia"/>
          <w:lang w:eastAsia="zh-TW"/>
        </w:rPr>
        <w:t>亦</w:t>
      </w:r>
      <w:r w:rsidR="00212A37">
        <w:rPr>
          <w:rFonts w:hint="eastAsia"/>
          <w:lang w:eastAsia="zh-TW"/>
        </w:rPr>
        <w:t>概呈上升態勢，成長率介於5.67%至18.06%間，</w:t>
      </w:r>
      <w:r w:rsidR="00905DF7">
        <w:rPr>
          <w:rFonts w:hint="eastAsia"/>
          <w:lang w:eastAsia="zh-TW"/>
        </w:rPr>
        <w:t>其中</w:t>
      </w:r>
      <w:r w:rsidR="00101D7E">
        <w:rPr>
          <w:rFonts w:hint="eastAsia"/>
          <w:lang w:eastAsia="zh-TW"/>
        </w:rPr>
        <w:t>以</w:t>
      </w:r>
      <w:r w:rsidR="00905DF7">
        <w:rPr>
          <w:rFonts w:hint="eastAsia"/>
          <w:lang w:eastAsia="zh-TW"/>
        </w:rPr>
        <w:t>合作金庫商業銀行</w:t>
      </w:r>
      <w:r w:rsidR="00D94709">
        <w:rPr>
          <w:rFonts w:hint="eastAsia"/>
          <w:lang w:eastAsia="zh-TW"/>
        </w:rPr>
        <w:t>之增幅</w:t>
      </w:r>
      <w:r w:rsidR="00101D7E">
        <w:rPr>
          <w:rFonts w:hint="eastAsia"/>
          <w:lang w:eastAsia="zh-TW"/>
        </w:rPr>
        <w:t>最高，</w:t>
      </w:r>
      <w:r w:rsidR="00905DF7">
        <w:rPr>
          <w:rFonts w:hint="eastAsia"/>
          <w:lang w:eastAsia="zh-TW"/>
        </w:rPr>
        <w:t>較</w:t>
      </w:r>
      <w:r w:rsidR="00E523BB">
        <w:rPr>
          <w:rFonts w:hint="eastAsia"/>
          <w:lang w:eastAsia="zh-TW"/>
        </w:rPr>
        <w:t>同業平均增幅</w:t>
      </w:r>
      <w:r w:rsidR="008455CE">
        <w:rPr>
          <w:rFonts w:hint="eastAsia"/>
          <w:lang w:eastAsia="zh-TW"/>
        </w:rPr>
        <w:t>高出</w:t>
      </w:r>
      <w:r w:rsidR="00905DF7">
        <w:rPr>
          <w:rFonts w:hint="eastAsia"/>
          <w:lang w:eastAsia="zh-TW"/>
        </w:rPr>
        <w:t>0.12個百分點</w:t>
      </w:r>
      <w:r w:rsidR="00681287">
        <w:rPr>
          <w:rFonts w:hint="eastAsia"/>
          <w:lang w:eastAsia="zh-TW"/>
        </w:rPr>
        <w:t>；惟</w:t>
      </w:r>
      <w:r w:rsidR="00212A37">
        <w:rPr>
          <w:rFonts w:hint="eastAsia"/>
          <w:lang w:eastAsia="zh-TW"/>
        </w:rPr>
        <w:t>臺灣銀行及臺灣土地銀行</w:t>
      </w:r>
      <w:r w:rsidR="00E523BB">
        <w:rPr>
          <w:rFonts w:hint="eastAsia"/>
          <w:lang w:eastAsia="zh-TW"/>
        </w:rPr>
        <w:t>之成長率</w:t>
      </w:r>
      <w:r w:rsidR="00681287">
        <w:rPr>
          <w:rFonts w:hint="eastAsia"/>
          <w:lang w:eastAsia="zh-TW"/>
        </w:rPr>
        <w:t>各</w:t>
      </w:r>
      <w:r w:rsidR="00E523BB">
        <w:rPr>
          <w:rFonts w:hint="eastAsia"/>
          <w:lang w:eastAsia="zh-TW"/>
        </w:rPr>
        <w:t>為5.67%及6.69%，</w:t>
      </w:r>
      <w:r w:rsidR="00681287">
        <w:rPr>
          <w:rFonts w:hint="eastAsia"/>
          <w:lang w:eastAsia="zh-TW"/>
        </w:rPr>
        <w:t>與</w:t>
      </w:r>
      <w:r w:rsidR="00E523BB">
        <w:rPr>
          <w:rFonts w:hint="eastAsia"/>
          <w:lang w:eastAsia="zh-TW"/>
        </w:rPr>
        <w:t>同期間本國銀行平均成長率</w:t>
      </w:r>
      <w:r w:rsidR="00681287">
        <w:rPr>
          <w:rFonts w:hint="eastAsia"/>
          <w:lang w:eastAsia="zh-TW"/>
        </w:rPr>
        <w:t>及</w:t>
      </w:r>
      <w:r w:rsidR="00E523BB">
        <w:rPr>
          <w:rFonts w:hint="eastAsia"/>
          <w:lang w:eastAsia="zh-TW"/>
        </w:rPr>
        <w:t>其他公股銀行放款成長率</w:t>
      </w:r>
      <w:r w:rsidR="00681287">
        <w:rPr>
          <w:rFonts w:hint="eastAsia"/>
          <w:lang w:eastAsia="zh-TW"/>
        </w:rPr>
        <w:t>之落差甚明顯</w:t>
      </w:r>
      <w:r w:rsidR="00905DF7">
        <w:rPr>
          <w:rFonts w:hint="eastAsia"/>
          <w:lang w:eastAsia="zh-TW"/>
        </w:rPr>
        <w:t>(詳表4)。</w:t>
      </w:r>
      <w:r w:rsidR="0006703C">
        <w:rPr>
          <w:rFonts w:hint="eastAsia"/>
          <w:lang w:eastAsia="zh-TW"/>
        </w:rPr>
        <w:t>復就上開</w:t>
      </w:r>
      <w:r w:rsidR="00256B1E">
        <w:rPr>
          <w:rFonts w:hint="eastAsia"/>
          <w:lang w:eastAsia="zh-TW"/>
        </w:rPr>
        <w:t>期間</w:t>
      </w:r>
      <w:r w:rsidR="0006703C">
        <w:rPr>
          <w:rFonts w:hint="eastAsia"/>
          <w:lang w:eastAsia="zh-TW"/>
        </w:rPr>
        <w:t>放款之資產品質以觀，</w:t>
      </w:r>
      <w:r w:rsidR="00C450A9">
        <w:rPr>
          <w:rFonts w:hint="eastAsia"/>
          <w:lang w:eastAsia="zh-TW"/>
        </w:rPr>
        <w:t>臺灣銀行之逾放比率皆維持在0.09%且低於同業平均水準，</w:t>
      </w:r>
      <w:r w:rsidR="00681287">
        <w:rPr>
          <w:rFonts w:hint="eastAsia"/>
          <w:lang w:eastAsia="zh-TW"/>
        </w:rPr>
        <w:t>而</w:t>
      </w:r>
      <w:r w:rsidR="00A45110">
        <w:rPr>
          <w:rFonts w:hint="eastAsia"/>
          <w:lang w:eastAsia="zh-TW"/>
        </w:rPr>
        <w:t>合作金庫商業銀行、第一商業銀行、</w:t>
      </w:r>
      <w:r w:rsidR="00C450A9">
        <w:rPr>
          <w:rFonts w:hint="eastAsia"/>
          <w:lang w:eastAsia="zh-TW"/>
        </w:rPr>
        <w:t>彰化</w:t>
      </w:r>
      <w:r w:rsidR="00556D14">
        <w:rPr>
          <w:rFonts w:hint="eastAsia"/>
          <w:lang w:eastAsia="zh-TW"/>
        </w:rPr>
        <w:t>商業</w:t>
      </w:r>
      <w:r w:rsidR="00C450A9">
        <w:rPr>
          <w:rFonts w:hint="eastAsia"/>
          <w:lang w:eastAsia="zh-TW"/>
        </w:rPr>
        <w:t>銀行及臺灣中小企業銀行之逾放比率</w:t>
      </w:r>
      <w:r w:rsidR="00B1659C">
        <w:rPr>
          <w:rFonts w:hint="eastAsia"/>
          <w:lang w:eastAsia="zh-TW"/>
        </w:rPr>
        <w:t>概呈</w:t>
      </w:r>
      <w:r w:rsidR="00C450A9">
        <w:rPr>
          <w:rFonts w:hint="eastAsia"/>
          <w:lang w:eastAsia="zh-TW"/>
        </w:rPr>
        <w:t>下降</w:t>
      </w:r>
      <w:r w:rsidR="00A45110">
        <w:rPr>
          <w:rFonts w:hint="eastAsia"/>
          <w:lang w:eastAsia="zh-TW"/>
        </w:rPr>
        <w:t>趨勢</w:t>
      </w:r>
      <w:r w:rsidR="00B1659C">
        <w:rPr>
          <w:rFonts w:hint="eastAsia"/>
          <w:lang w:eastAsia="zh-TW"/>
        </w:rPr>
        <w:t>，</w:t>
      </w:r>
      <w:r w:rsidR="00681287">
        <w:rPr>
          <w:rFonts w:hint="eastAsia"/>
          <w:lang w:eastAsia="zh-TW"/>
        </w:rPr>
        <w:t>至</w:t>
      </w:r>
      <w:r w:rsidR="00C450A9">
        <w:rPr>
          <w:rFonts w:hint="eastAsia"/>
          <w:lang w:eastAsia="zh-TW"/>
        </w:rPr>
        <w:t>臺灣土地銀行</w:t>
      </w:r>
      <w:r w:rsidR="005C4BA6">
        <w:rPr>
          <w:rFonts w:hint="eastAsia"/>
          <w:lang w:eastAsia="zh-TW"/>
        </w:rPr>
        <w:t>及</w:t>
      </w:r>
      <w:r w:rsidR="00A45110">
        <w:rPr>
          <w:rFonts w:hint="eastAsia"/>
          <w:lang w:eastAsia="zh-TW"/>
        </w:rPr>
        <w:t>華南商業銀行於</w:t>
      </w:r>
      <w:r w:rsidR="00681287">
        <w:rPr>
          <w:rFonts w:hint="eastAsia"/>
          <w:lang w:eastAsia="zh-TW"/>
        </w:rPr>
        <w:t>該</w:t>
      </w:r>
      <w:r w:rsidR="00A45110">
        <w:rPr>
          <w:rFonts w:hint="eastAsia"/>
          <w:lang w:eastAsia="zh-TW"/>
        </w:rPr>
        <w:t>期間逾放比率</w:t>
      </w:r>
      <w:r w:rsidR="00681287">
        <w:rPr>
          <w:rFonts w:hint="eastAsia"/>
          <w:lang w:eastAsia="zh-TW"/>
        </w:rPr>
        <w:t>雖</w:t>
      </w:r>
      <w:r w:rsidR="00171459">
        <w:rPr>
          <w:rFonts w:hint="eastAsia"/>
          <w:lang w:eastAsia="zh-TW"/>
        </w:rPr>
        <w:t>略</w:t>
      </w:r>
      <w:r w:rsidR="00A45110">
        <w:rPr>
          <w:rFonts w:hint="eastAsia"/>
          <w:lang w:eastAsia="zh-TW"/>
        </w:rPr>
        <w:t>呈</w:t>
      </w:r>
      <w:r w:rsidR="00171459">
        <w:rPr>
          <w:rFonts w:hint="eastAsia"/>
          <w:lang w:eastAsia="zh-TW"/>
        </w:rPr>
        <w:t>概</w:t>
      </w:r>
      <w:r w:rsidR="00A45110">
        <w:rPr>
          <w:rFonts w:hint="eastAsia"/>
          <w:lang w:eastAsia="zh-TW"/>
        </w:rPr>
        <w:t>升，</w:t>
      </w:r>
      <w:r w:rsidR="00681287">
        <w:rPr>
          <w:rFonts w:hint="eastAsia"/>
          <w:lang w:eastAsia="zh-TW"/>
        </w:rPr>
        <w:t>尚較</w:t>
      </w:r>
      <w:r w:rsidR="00E346E2">
        <w:rPr>
          <w:rFonts w:hint="eastAsia"/>
          <w:lang w:eastAsia="zh-TW"/>
        </w:rPr>
        <w:t>同業平均水準</w:t>
      </w:r>
      <w:r w:rsidR="00681287">
        <w:rPr>
          <w:rFonts w:hint="eastAsia"/>
          <w:lang w:eastAsia="zh-TW"/>
        </w:rPr>
        <w:t>低或略高；惟</w:t>
      </w:r>
      <w:r w:rsidR="005C4BA6">
        <w:rPr>
          <w:rFonts w:hint="eastAsia"/>
          <w:lang w:eastAsia="zh-TW"/>
        </w:rPr>
        <w:t>兆豐國際商業銀行逾放比率</w:t>
      </w:r>
      <w:r w:rsidR="00681287">
        <w:rPr>
          <w:rFonts w:hint="eastAsia"/>
          <w:lang w:eastAsia="zh-TW"/>
        </w:rPr>
        <w:t>不僅</w:t>
      </w:r>
      <w:r w:rsidR="005C4BA6">
        <w:rPr>
          <w:rFonts w:hint="eastAsia"/>
          <w:lang w:eastAsia="zh-TW"/>
        </w:rPr>
        <w:t>逐年增加</w:t>
      </w:r>
      <w:r w:rsidR="00681287">
        <w:rPr>
          <w:rFonts w:hint="eastAsia"/>
          <w:lang w:eastAsia="zh-TW"/>
        </w:rPr>
        <w:t>且明顯高於其他公股銀行</w:t>
      </w:r>
      <w:r w:rsidR="005C4BA6">
        <w:rPr>
          <w:rFonts w:hint="eastAsia"/>
          <w:lang w:eastAsia="zh-TW"/>
        </w:rPr>
        <w:t>，</w:t>
      </w:r>
      <w:r w:rsidR="00681287">
        <w:rPr>
          <w:rFonts w:hint="eastAsia"/>
          <w:lang w:eastAsia="zh-TW"/>
        </w:rPr>
        <w:t>並</w:t>
      </w:r>
      <w:r w:rsidR="005C4BA6">
        <w:rPr>
          <w:rFonts w:hint="eastAsia"/>
          <w:lang w:eastAsia="zh-TW"/>
        </w:rPr>
        <w:t>自113年底</w:t>
      </w:r>
      <w:r w:rsidR="00E346E2">
        <w:rPr>
          <w:rFonts w:hint="eastAsia"/>
          <w:lang w:eastAsia="zh-TW"/>
        </w:rPr>
        <w:t>起</w:t>
      </w:r>
      <w:r w:rsidR="00681287">
        <w:rPr>
          <w:rFonts w:hint="eastAsia"/>
          <w:lang w:eastAsia="zh-TW"/>
        </w:rPr>
        <w:t>與</w:t>
      </w:r>
      <w:r w:rsidR="00E346E2">
        <w:rPr>
          <w:rFonts w:hint="eastAsia"/>
          <w:lang w:eastAsia="zh-TW"/>
        </w:rPr>
        <w:t>本國銀行平均</w:t>
      </w:r>
      <w:r w:rsidR="00681287">
        <w:rPr>
          <w:rFonts w:hint="eastAsia"/>
          <w:lang w:eastAsia="zh-TW"/>
        </w:rPr>
        <w:t>逾放比率之落差增加</w:t>
      </w:r>
      <w:r w:rsidR="00813AB0">
        <w:rPr>
          <w:rFonts w:hint="eastAsia"/>
          <w:lang w:eastAsia="zh-TW"/>
        </w:rPr>
        <w:t>(詳表5)。</w:t>
      </w:r>
    </w:p>
    <w:p w:rsidR="00FC268C" w:rsidRPr="00E04F94" w:rsidRDefault="00FC268C" w:rsidP="00051675">
      <w:pPr>
        <w:pStyle w:val="21"/>
        <w:ind w:leftChars="-150" w:left="851" w:rightChars="-200" w:right="-566" w:hangingChars="450" w:hanging="1276"/>
        <w:rPr>
          <w:rFonts w:hint="eastAsia"/>
          <w:lang w:eastAsia="zh-TW"/>
        </w:rPr>
      </w:pPr>
      <w:r w:rsidRPr="00E04F94">
        <w:rPr>
          <w:rFonts w:hint="eastAsia"/>
          <w:b/>
        </w:rPr>
        <w:t>表</w:t>
      </w:r>
      <w:r w:rsidR="00DF6DEE">
        <w:rPr>
          <w:rFonts w:hint="eastAsia"/>
          <w:b/>
          <w:lang w:eastAsia="zh-TW"/>
        </w:rPr>
        <w:t>3</w:t>
      </w:r>
      <w:r w:rsidRPr="00E04F94">
        <w:rPr>
          <w:rFonts w:hint="eastAsia"/>
          <w:b/>
        </w:rPr>
        <w:t xml:space="preserve">  </w:t>
      </w:r>
      <w:r>
        <w:rPr>
          <w:rFonts w:hint="eastAsia"/>
          <w:b/>
          <w:lang w:eastAsia="zh-TW"/>
        </w:rPr>
        <w:t>公股銀行</w:t>
      </w:r>
      <w:r w:rsidR="00594104">
        <w:rPr>
          <w:b/>
        </w:rPr>
        <w:t>11</w:t>
      </w:r>
      <w:r w:rsidR="00594104">
        <w:rPr>
          <w:rFonts w:hint="eastAsia"/>
          <w:b/>
          <w:lang w:eastAsia="zh-TW"/>
        </w:rPr>
        <w:t>1</w:t>
      </w:r>
      <w:r w:rsidR="00105320">
        <w:rPr>
          <w:rFonts w:hint="eastAsia"/>
          <w:b/>
          <w:lang w:eastAsia="zh-TW"/>
        </w:rPr>
        <w:t>年底</w:t>
      </w:r>
      <w:r w:rsidR="00594104">
        <w:rPr>
          <w:rFonts w:hint="eastAsia"/>
          <w:b/>
          <w:lang w:eastAsia="zh-TW"/>
        </w:rPr>
        <w:t>至114年3月底</w:t>
      </w:r>
      <w:r>
        <w:rPr>
          <w:rFonts w:hint="eastAsia"/>
          <w:b/>
          <w:lang w:eastAsia="zh-TW"/>
        </w:rPr>
        <w:t>存款餘額一覽表</w:t>
      </w:r>
      <w:r w:rsidR="00051675">
        <w:rPr>
          <w:rFonts w:hint="eastAsia"/>
          <w:b/>
          <w:lang w:eastAsia="zh-TW"/>
        </w:rPr>
        <w:t xml:space="preserve"> </w:t>
      </w:r>
      <w:r>
        <w:rPr>
          <w:rFonts w:hint="eastAsia"/>
          <w:sz w:val="24"/>
          <w:szCs w:val="24"/>
          <w:lang w:eastAsia="zh-TW"/>
        </w:rPr>
        <w:t>單位：新臺幣億元;</w:t>
      </w:r>
      <w:r>
        <w:rPr>
          <w:sz w:val="24"/>
          <w:szCs w:val="24"/>
          <w:lang w:eastAsia="zh-TW"/>
        </w:rPr>
        <w:t>%</w:t>
      </w:r>
    </w:p>
    <w:tbl>
      <w:tblPr>
        <w:tblW w:w="9205"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370"/>
        <w:gridCol w:w="1370"/>
        <w:gridCol w:w="1370"/>
        <w:gridCol w:w="1370"/>
        <w:gridCol w:w="1371"/>
      </w:tblGrid>
      <w:tr w:rsidR="00FC268C" w:rsidRPr="006475C0" w:rsidTr="00E565F3">
        <w:trPr>
          <w:trHeight w:val="517"/>
          <w:tblHeader/>
        </w:trPr>
        <w:tc>
          <w:tcPr>
            <w:tcW w:w="2354" w:type="dxa"/>
            <w:tcBorders>
              <w:top w:val="single" w:sz="12" w:space="0" w:color="auto"/>
              <w:bottom w:val="single" w:sz="6" w:space="0" w:color="auto"/>
              <w:tl2br w:val="single" w:sz="6" w:space="0" w:color="auto"/>
            </w:tcBorders>
            <w:shd w:val="clear" w:color="auto" w:fill="auto"/>
            <w:vAlign w:val="center"/>
          </w:tcPr>
          <w:p w:rsidR="00FC268C" w:rsidRPr="006475C0" w:rsidRDefault="00FC268C" w:rsidP="00FC268C">
            <w:pPr>
              <w:pStyle w:val="142"/>
              <w:ind w:left="646" w:hanging="646"/>
              <w:jc w:val="both"/>
              <w:rPr>
                <w:b/>
                <w:szCs w:val="24"/>
                <w:lang w:eastAsia="zh-TW"/>
              </w:rPr>
            </w:pPr>
            <w:r>
              <w:rPr>
                <w:rFonts w:hint="eastAsia"/>
                <w:b/>
                <w:szCs w:val="24"/>
                <w:lang w:eastAsia="zh-TW"/>
              </w:rPr>
              <w:t xml:space="preserve">           年底</w:t>
            </w:r>
          </w:p>
          <w:p w:rsidR="00FC268C" w:rsidRPr="006475C0" w:rsidRDefault="00FC268C" w:rsidP="00FC268C">
            <w:pPr>
              <w:pStyle w:val="142"/>
              <w:ind w:left="647" w:hanging="647"/>
              <w:rPr>
                <w:rFonts w:hint="eastAsia"/>
                <w:szCs w:val="24"/>
              </w:rPr>
            </w:pPr>
            <w:r w:rsidRPr="006475C0">
              <w:rPr>
                <w:rFonts w:hint="eastAsia"/>
                <w:b/>
                <w:szCs w:val="24"/>
              </w:rPr>
              <w:t>銀行別</w:t>
            </w:r>
          </w:p>
        </w:tc>
        <w:tc>
          <w:tcPr>
            <w:tcW w:w="1370" w:type="dxa"/>
            <w:tcBorders>
              <w:top w:val="single" w:sz="12" w:space="0" w:color="auto"/>
              <w:bottom w:val="single" w:sz="6" w:space="0" w:color="auto"/>
            </w:tcBorders>
            <w:vAlign w:val="center"/>
          </w:tcPr>
          <w:p w:rsidR="00FC268C" w:rsidRPr="006475C0" w:rsidRDefault="00FC268C" w:rsidP="005054D6">
            <w:pPr>
              <w:pStyle w:val="142"/>
              <w:ind w:left="646" w:hanging="646"/>
              <w:jc w:val="center"/>
              <w:rPr>
                <w:rFonts w:hint="eastAsia"/>
                <w:b/>
                <w:szCs w:val="24"/>
                <w:lang w:eastAsia="zh-TW"/>
              </w:rPr>
            </w:pPr>
            <w:r w:rsidRPr="006475C0">
              <w:rPr>
                <w:rFonts w:hint="eastAsia"/>
                <w:b/>
                <w:szCs w:val="24"/>
                <w:lang w:eastAsia="zh-TW"/>
              </w:rPr>
              <w:t>111</w:t>
            </w:r>
            <w:r>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FC268C" w:rsidRPr="006475C0" w:rsidRDefault="00FC268C"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FC268C" w:rsidRPr="006475C0" w:rsidRDefault="00FC268C" w:rsidP="00FC268C">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FC268C" w:rsidRPr="006475C0" w:rsidRDefault="00FC268C" w:rsidP="00FC268C">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4年3月底</w:t>
            </w:r>
          </w:p>
        </w:tc>
        <w:tc>
          <w:tcPr>
            <w:tcW w:w="1371" w:type="dxa"/>
            <w:tcBorders>
              <w:top w:val="single" w:sz="12" w:space="0" w:color="auto"/>
              <w:bottom w:val="single" w:sz="6" w:space="0" w:color="auto"/>
            </w:tcBorders>
            <w:vAlign w:val="center"/>
          </w:tcPr>
          <w:p w:rsidR="00FC268C" w:rsidRPr="006475C0" w:rsidRDefault="00FC268C" w:rsidP="00FC268C">
            <w:pPr>
              <w:pStyle w:val="142"/>
              <w:ind w:left="646" w:hanging="646"/>
              <w:jc w:val="center"/>
              <w:rPr>
                <w:rFonts w:hint="eastAsia"/>
                <w:b/>
                <w:szCs w:val="24"/>
                <w:lang w:eastAsia="zh-TW"/>
              </w:rPr>
            </w:pPr>
            <w:r>
              <w:rPr>
                <w:rFonts w:hint="eastAsia"/>
                <w:b/>
                <w:szCs w:val="24"/>
                <w:lang w:eastAsia="zh-TW"/>
              </w:rPr>
              <w:t>存款成長率</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rPr>
                <w:rFonts w:hint="eastAsia"/>
              </w:rPr>
            </w:pPr>
            <w:r w:rsidRPr="006475C0">
              <w:rPr>
                <w:rFonts w:hint="eastAsia"/>
              </w:rPr>
              <w:t>臺灣銀行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47,707</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48,491</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51,154</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53,090</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rsidRPr="008A1C58">
              <w:t>11.28</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臺灣土地銀行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29,725</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29,136</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30,879</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30,772</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3.52</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合作金庫商業銀行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36,546</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39,004</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42,428</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42,067</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15.11</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第一商業銀行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32,899</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34,996</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37,226</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37,861</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15.08</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華南商業銀行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30,271</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30,666</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34,510</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32,884</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8.63</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彰化商業銀行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23,355</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24,575</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27,260</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26,937</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15.34</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兆豐國際商業銀行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28,241</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29,302</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31,633</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30,815</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9.11</w:t>
            </w:r>
          </w:p>
        </w:tc>
      </w:tr>
      <w:tr w:rsidR="00E565F3" w:rsidRPr="006475C0" w:rsidTr="001D6F25">
        <w:trPr>
          <w:trHeight w:val="340"/>
        </w:trPr>
        <w:tc>
          <w:tcPr>
            <w:tcW w:w="2354" w:type="dxa"/>
            <w:tcBorders>
              <w:top w:val="single" w:sz="6" w:space="0" w:color="auto"/>
              <w:bottom w:val="double" w:sz="6" w:space="0" w:color="auto"/>
            </w:tcBorders>
            <w:shd w:val="clear" w:color="auto" w:fill="auto"/>
            <w:vAlign w:val="center"/>
          </w:tcPr>
          <w:p w:rsidR="00E565F3" w:rsidRPr="006475C0" w:rsidRDefault="00E565F3" w:rsidP="00E565F3">
            <w:pPr>
              <w:pStyle w:val="142"/>
              <w:ind w:left="647" w:hanging="647"/>
              <w:jc w:val="both"/>
              <w:rPr>
                <w:szCs w:val="24"/>
              </w:rPr>
            </w:pPr>
            <w:r w:rsidRPr="006475C0">
              <w:rPr>
                <w:rFonts w:hint="eastAsia"/>
                <w:szCs w:val="24"/>
              </w:rPr>
              <w:lastRenderedPageBreak/>
              <w:t>臺灣中小企業銀行</w:t>
            </w:r>
          </w:p>
        </w:tc>
        <w:tc>
          <w:tcPr>
            <w:tcW w:w="1370" w:type="dxa"/>
            <w:tcBorders>
              <w:top w:val="single" w:sz="6" w:space="0" w:color="auto"/>
              <w:bottom w:val="double" w:sz="6" w:space="0" w:color="auto"/>
            </w:tcBorders>
            <w:vAlign w:val="center"/>
          </w:tcPr>
          <w:p w:rsidR="00E565F3" w:rsidRPr="006F223C" w:rsidRDefault="00E565F3" w:rsidP="00E565F3">
            <w:pPr>
              <w:pStyle w:val="142"/>
              <w:jc w:val="right"/>
            </w:pPr>
            <w:r w:rsidRPr="006F223C">
              <w:t>18,208</w:t>
            </w:r>
          </w:p>
        </w:tc>
        <w:tc>
          <w:tcPr>
            <w:tcW w:w="1370" w:type="dxa"/>
            <w:tcBorders>
              <w:top w:val="single" w:sz="6" w:space="0" w:color="auto"/>
              <w:bottom w:val="double" w:sz="6" w:space="0" w:color="auto"/>
            </w:tcBorders>
            <w:vAlign w:val="center"/>
          </w:tcPr>
          <w:p w:rsidR="00E565F3" w:rsidRDefault="00E565F3" w:rsidP="00E565F3">
            <w:pPr>
              <w:pStyle w:val="142"/>
              <w:jc w:val="right"/>
            </w:pPr>
            <w:r w:rsidRPr="006F223C">
              <w:t>19,442</w:t>
            </w:r>
          </w:p>
        </w:tc>
        <w:tc>
          <w:tcPr>
            <w:tcW w:w="1370" w:type="dxa"/>
            <w:tcBorders>
              <w:top w:val="single" w:sz="6" w:space="0" w:color="auto"/>
              <w:bottom w:val="double" w:sz="6" w:space="0" w:color="auto"/>
            </w:tcBorders>
            <w:vAlign w:val="center"/>
          </w:tcPr>
          <w:p w:rsidR="00E565F3" w:rsidRDefault="00E565F3" w:rsidP="00E565F3">
            <w:pPr>
              <w:pStyle w:val="142"/>
              <w:jc w:val="right"/>
            </w:pPr>
            <w:r w:rsidRPr="002A0480">
              <w:t>20,904</w:t>
            </w:r>
          </w:p>
        </w:tc>
        <w:tc>
          <w:tcPr>
            <w:tcW w:w="1370" w:type="dxa"/>
            <w:tcBorders>
              <w:top w:val="single" w:sz="6" w:space="0" w:color="auto"/>
              <w:bottom w:val="double" w:sz="6" w:space="0" w:color="auto"/>
            </w:tcBorders>
            <w:vAlign w:val="center"/>
          </w:tcPr>
          <w:p w:rsidR="00E565F3" w:rsidRDefault="00E565F3" w:rsidP="00E565F3">
            <w:pPr>
              <w:pStyle w:val="142"/>
              <w:jc w:val="right"/>
            </w:pPr>
            <w:r w:rsidRPr="002E7B82">
              <w:t>20,618</w:t>
            </w:r>
          </w:p>
        </w:tc>
        <w:tc>
          <w:tcPr>
            <w:tcW w:w="1371" w:type="dxa"/>
            <w:tcBorders>
              <w:top w:val="single" w:sz="6" w:space="0" w:color="auto"/>
              <w:bottom w:val="double" w:sz="6" w:space="0" w:color="auto"/>
            </w:tcBorders>
            <w:vAlign w:val="center"/>
          </w:tcPr>
          <w:p w:rsidR="00E565F3" w:rsidRDefault="00E565F3" w:rsidP="00E565F3">
            <w:pPr>
              <w:pStyle w:val="142"/>
              <w:jc w:val="right"/>
            </w:pPr>
            <w:r>
              <w:t>13.24</w:t>
            </w:r>
          </w:p>
        </w:tc>
      </w:tr>
      <w:tr w:rsidR="00E565F3" w:rsidRPr="006475C0" w:rsidTr="001D6F25">
        <w:trPr>
          <w:trHeight w:val="340"/>
        </w:trPr>
        <w:tc>
          <w:tcPr>
            <w:tcW w:w="2354" w:type="dxa"/>
            <w:tcBorders>
              <w:top w:val="double" w:sz="6" w:space="0" w:color="auto"/>
              <w:bottom w:val="single" w:sz="12" w:space="0" w:color="auto"/>
            </w:tcBorders>
            <w:shd w:val="clear" w:color="auto" w:fill="auto"/>
            <w:vAlign w:val="center"/>
          </w:tcPr>
          <w:p w:rsidR="00E565F3" w:rsidRPr="006475C0" w:rsidRDefault="00E565F3" w:rsidP="00E565F3">
            <w:pPr>
              <w:pStyle w:val="142"/>
              <w:ind w:left="647" w:hanging="647"/>
              <w:jc w:val="both"/>
              <w:rPr>
                <w:rFonts w:hint="eastAsia"/>
                <w:szCs w:val="24"/>
              </w:rPr>
            </w:pPr>
            <w:r>
              <w:rPr>
                <w:rFonts w:hint="eastAsia"/>
                <w:szCs w:val="24"/>
                <w:lang w:eastAsia="zh-TW"/>
              </w:rPr>
              <w:t>本國銀行總計</w:t>
            </w:r>
          </w:p>
        </w:tc>
        <w:tc>
          <w:tcPr>
            <w:tcW w:w="1370" w:type="dxa"/>
            <w:tcBorders>
              <w:top w:val="double" w:sz="6" w:space="0" w:color="auto"/>
              <w:bottom w:val="single" w:sz="12" w:space="0" w:color="auto"/>
            </w:tcBorders>
            <w:vAlign w:val="center"/>
          </w:tcPr>
          <w:p w:rsidR="00E565F3" w:rsidRPr="0033455F" w:rsidRDefault="00E565F3" w:rsidP="00E565F3">
            <w:pPr>
              <w:pStyle w:val="142"/>
              <w:jc w:val="right"/>
            </w:pPr>
            <w:r w:rsidRPr="0033455F">
              <w:t>523,457</w:t>
            </w:r>
          </w:p>
        </w:tc>
        <w:tc>
          <w:tcPr>
            <w:tcW w:w="1370" w:type="dxa"/>
            <w:tcBorders>
              <w:top w:val="double" w:sz="6" w:space="0" w:color="auto"/>
              <w:bottom w:val="single" w:sz="12" w:space="0" w:color="auto"/>
            </w:tcBorders>
            <w:vAlign w:val="center"/>
          </w:tcPr>
          <w:p w:rsidR="00E565F3" w:rsidRDefault="00E565F3" w:rsidP="00E565F3">
            <w:pPr>
              <w:pStyle w:val="142"/>
              <w:jc w:val="right"/>
            </w:pPr>
            <w:r w:rsidRPr="0033455F">
              <w:t>549,240</w:t>
            </w:r>
          </w:p>
        </w:tc>
        <w:tc>
          <w:tcPr>
            <w:tcW w:w="1370" w:type="dxa"/>
            <w:tcBorders>
              <w:top w:val="double" w:sz="6" w:space="0" w:color="auto"/>
              <w:bottom w:val="single" w:sz="12" w:space="0" w:color="auto"/>
            </w:tcBorders>
            <w:vAlign w:val="center"/>
          </w:tcPr>
          <w:p w:rsidR="00E565F3" w:rsidRDefault="00E565F3" w:rsidP="00E565F3">
            <w:pPr>
              <w:pStyle w:val="142"/>
              <w:jc w:val="right"/>
            </w:pPr>
            <w:r w:rsidRPr="00E565F3">
              <w:t>594,346</w:t>
            </w:r>
          </w:p>
        </w:tc>
        <w:tc>
          <w:tcPr>
            <w:tcW w:w="1370" w:type="dxa"/>
            <w:tcBorders>
              <w:top w:val="double" w:sz="6" w:space="0" w:color="auto"/>
              <w:bottom w:val="single" w:sz="12" w:space="0" w:color="auto"/>
            </w:tcBorders>
            <w:vAlign w:val="center"/>
          </w:tcPr>
          <w:p w:rsidR="00E565F3" w:rsidRPr="00220D73" w:rsidRDefault="00E565F3" w:rsidP="00E565F3">
            <w:pPr>
              <w:pStyle w:val="142"/>
              <w:jc w:val="right"/>
            </w:pPr>
            <w:r w:rsidRPr="00E565F3">
              <w:t>599,457</w:t>
            </w:r>
          </w:p>
        </w:tc>
        <w:tc>
          <w:tcPr>
            <w:tcW w:w="1371" w:type="dxa"/>
            <w:tcBorders>
              <w:top w:val="double" w:sz="6" w:space="0" w:color="auto"/>
              <w:bottom w:val="single" w:sz="12" w:space="0" w:color="auto"/>
            </w:tcBorders>
            <w:vAlign w:val="center"/>
          </w:tcPr>
          <w:p w:rsidR="00E565F3" w:rsidRPr="00220D73" w:rsidRDefault="00E565F3" w:rsidP="00E565F3">
            <w:pPr>
              <w:pStyle w:val="142"/>
              <w:jc w:val="right"/>
            </w:pPr>
            <w:r>
              <w:t>14.52</w:t>
            </w:r>
          </w:p>
        </w:tc>
      </w:tr>
    </w:tbl>
    <w:p w:rsidR="00FC268C" w:rsidRDefault="00FC268C" w:rsidP="00FC268C">
      <w:pPr>
        <w:pStyle w:val="142"/>
        <w:ind w:leftChars="-150" w:left="791" w:rightChars="-150" w:right="-425" w:hangingChars="500" w:hanging="1216"/>
        <w:rPr>
          <w:rFonts w:hint="eastAsia"/>
          <w:lang w:eastAsia="zh-TW"/>
        </w:rPr>
      </w:pPr>
      <w:r>
        <w:rPr>
          <w:rFonts w:hint="eastAsia"/>
          <w:lang w:eastAsia="zh-TW"/>
        </w:rPr>
        <w:t>說    明：</w:t>
      </w:r>
      <w:r w:rsidR="005D3DAB">
        <w:rPr>
          <w:rFonts w:hint="eastAsia"/>
          <w:lang w:eastAsia="zh-TW"/>
        </w:rPr>
        <w:t>表內存款</w:t>
      </w:r>
      <w:r w:rsidR="005D3DAB" w:rsidRPr="005D3DAB">
        <w:rPr>
          <w:rFonts w:hint="eastAsia"/>
          <w:lang w:eastAsia="zh-TW"/>
        </w:rPr>
        <w:t>餘額包含郵匯轉存款</w:t>
      </w:r>
      <w:r w:rsidR="00A21BF2">
        <w:rPr>
          <w:rFonts w:hint="eastAsia"/>
          <w:lang w:eastAsia="zh-TW"/>
        </w:rPr>
        <w:t>；</w:t>
      </w:r>
      <w:r w:rsidR="005D3DAB" w:rsidRPr="00681450">
        <w:rPr>
          <w:rFonts w:hint="eastAsia"/>
          <w:lang w:eastAsia="zh-TW"/>
        </w:rPr>
        <w:t>「</w:t>
      </w:r>
      <w:r w:rsidR="00E565F3">
        <w:rPr>
          <w:rFonts w:hint="eastAsia"/>
          <w:lang w:eastAsia="zh-TW"/>
        </w:rPr>
        <w:t>存款成長率」</w:t>
      </w:r>
      <w:r w:rsidR="005D3DAB">
        <w:rPr>
          <w:rFonts w:hint="eastAsia"/>
          <w:lang w:eastAsia="zh-TW"/>
        </w:rPr>
        <w:t>係指</w:t>
      </w:r>
      <w:r w:rsidR="00E565F3">
        <w:rPr>
          <w:rFonts w:hint="eastAsia"/>
          <w:lang w:eastAsia="zh-TW"/>
        </w:rPr>
        <w:t>114</w:t>
      </w:r>
      <w:r w:rsidR="00E565F3" w:rsidRPr="00E565F3">
        <w:rPr>
          <w:rFonts w:hint="eastAsia"/>
          <w:lang w:eastAsia="zh-TW"/>
        </w:rPr>
        <w:t>年</w:t>
      </w:r>
      <w:r w:rsidR="00E565F3">
        <w:rPr>
          <w:rFonts w:hint="eastAsia"/>
          <w:lang w:eastAsia="zh-TW"/>
        </w:rPr>
        <w:t>3月</w:t>
      </w:r>
      <w:r w:rsidR="00E565F3" w:rsidRPr="00E565F3">
        <w:rPr>
          <w:rFonts w:hint="eastAsia"/>
          <w:lang w:eastAsia="zh-TW"/>
        </w:rPr>
        <w:t>底較</w:t>
      </w:r>
      <w:r w:rsidR="00E565F3">
        <w:rPr>
          <w:rFonts w:hint="eastAsia"/>
          <w:lang w:eastAsia="zh-TW"/>
        </w:rPr>
        <w:t>111</w:t>
      </w:r>
      <w:r w:rsidR="00E565F3" w:rsidRPr="00E565F3">
        <w:rPr>
          <w:rFonts w:hint="eastAsia"/>
          <w:lang w:eastAsia="zh-TW"/>
        </w:rPr>
        <w:t>年底之成長</w:t>
      </w:r>
      <w:r w:rsidR="00A21BF2">
        <w:rPr>
          <w:rFonts w:hint="eastAsia"/>
          <w:lang w:eastAsia="zh-TW"/>
        </w:rPr>
        <w:t>率</w:t>
      </w:r>
      <w:r w:rsidR="00E565F3" w:rsidRPr="00E565F3">
        <w:rPr>
          <w:rFonts w:hint="eastAsia"/>
          <w:lang w:eastAsia="zh-TW"/>
        </w:rPr>
        <w:t>。</w:t>
      </w:r>
      <w:r w:rsidR="00E565F3">
        <w:rPr>
          <w:rFonts w:hint="eastAsia"/>
          <w:lang w:eastAsia="zh-TW"/>
        </w:rPr>
        <w:t xml:space="preserve"> </w:t>
      </w:r>
    </w:p>
    <w:p w:rsidR="009111F4" w:rsidRPr="00E04F94" w:rsidRDefault="00FC268C" w:rsidP="00AC409D">
      <w:pPr>
        <w:pStyle w:val="142"/>
        <w:ind w:leftChars="-150" w:left="791" w:rightChars="-150" w:right="-425" w:hangingChars="500" w:hanging="1216"/>
        <w:rPr>
          <w:rFonts w:hint="eastAsia"/>
        </w:rPr>
      </w:pPr>
      <w:r w:rsidRPr="00E04F94">
        <w:rPr>
          <w:rFonts w:hint="eastAsia"/>
        </w:rPr>
        <w:t>資料來源：</w:t>
      </w:r>
      <w:r w:rsidR="00AC409D">
        <w:rPr>
          <w:rFonts w:hint="eastAsia"/>
        </w:rPr>
        <w:t>金管會銀行局</w:t>
      </w:r>
      <w:r w:rsidR="00AC409D">
        <w:rPr>
          <w:rFonts w:hint="eastAsia"/>
          <w:lang w:eastAsia="zh-TW"/>
        </w:rPr>
        <w:t>統計資料庫動態查訊系統</w:t>
      </w:r>
      <w:r w:rsidR="00AC409D">
        <w:rPr>
          <w:rFonts w:hint="eastAsia"/>
        </w:rPr>
        <w:t>，</w:t>
      </w:r>
      <w:r w:rsidR="00AC409D" w:rsidRPr="00851875">
        <w:t>https://survey.banking.gov.tw/statis/webMain.aspx?k=defjsp</w:t>
      </w:r>
      <w:r w:rsidR="00AC409D" w:rsidRPr="001C65A2">
        <w:rPr>
          <w:rFonts w:hint="eastAsia"/>
        </w:rPr>
        <w:t xml:space="preserve"> </w:t>
      </w:r>
      <w:r w:rsidR="00AC409D">
        <w:rPr>
          <w:rFonts w:hint="eastAsia"/>
        </w:rPr>
        <w:t>(最後瀏覽日：114年7月7日)</w:t>
      </w:r>
      <w:r w:rsidR="00621BBC">
        <w:rPr>
          <w:rFonts w:hint="eastAsia"/>
          <w:lang w:eastAsia="zh-TW"/>
        </w:rPr>
        <w:t>；</w:t>
      </w:r>
      <w:r w:rsidRPr="00E04F94">
        <w:rPr>
          <w:rFonts w:hint="eastAsia"/>
          <w:lang w:eastAsia="zh-TW"/>
        </w:rPr>
        <w:t>本中心彙製</w:t>
      </w:r>
      <w:r w:rsidRPr="00E04F94">
        <w:rPr>
          <w:rFonts w:hint="eastAsia"/>
        </w:rPr>
        <w:t>。</w:t>
      </w:r>
    </w:p>
    <w:p w:rsidR="00337C80" w:rsidRPr="00E04F94" w:rsidRDefault="00337C80" w:rsidP="00051675">
      <w:pPr>
        <w:pStyle w:val="21"/>
        <w:ind w:leftChars="-150" w:left="851" w:rightChars="-200" w:right="-566" w:hangingChars="450" w:hanging="1276"/>
        <w:rPr>
          <w:rFonts w:hint="eastAsia"/>
          <w:lang w:eastAsia="zh-TW"/>
        </w:rPr>
      </w:pPr>
      <w:r w:rsidRPr="00E04F94">
        <w:rPr>
          <w:rFonts w:hint="eastAsia"/>
          <w:b/>
        </w:rPr>
        <w:t>表</w:t>
      </w:r>
      <w:r>
        <w:rPr>
          <w:b/>
          <w:lang w:eastAsia="zh-TW"/>
        </w:rPr>
        <w:t>4</w:t>
      </w:r>
      <w:r w:rsidRPr="00E04F94">
        <w:rPr>
          <w:rFonts w:hint="eastAsia"/>
          <w:b/>
        </w:rPr>
        <w:t xml:space="preserve">  </w:t>
      </w:r>
      <w:r>
        <w:rPr>
          <w:rFonts w:hint="eastAsia"/>
          <w:b/>
          <w:lang w:eastAsia="zh-TW"/>
        </w:rPr>
        <w:t>公股銀行</w:t>
      </w:r>
      <w:r w:rsidR="00594104">
        <w:rPr>
          <w:b/>
        </w:rPr>
        <w:t>11</w:t>
      </w:r>
      <w:r w:rsidR="00594104">
        <w:rPr>
          <w:rFonts w:hint="eastAsia"/>
          <w:b/>
          <w:lang w:eastAsia="zh-TW"/>
        </w:rPr>
        <w:t>1</w:t>
      </w:r>
      <w:r w:rsidR="00105320">
        <w:rPr>
          <w:rFonts w:hint="eastAsia"/>
          <w:b/>
          <w:lang w:eastAsia="zh-TW"/>
        </w:rPr>
        <w:t>年底</w:t>
      </w:r>
      <w:r w:rsidR="00594104">
        <w:rPr>
          <w:rFonts w:hint="eastAsia"/>
          <w:b/>
          <w:lang w:eastAsia="zh-TW"/>
        </w:rPr>
        <w:t>至114年3月底</w:t>
      </w:r>
      <w:r>
        <w:rPr>
          <w:rFonts w:hint="eastAsia"/>
          <w:b/>
          <w:lang w:eastAsia="zh-TW"/>
        </w:rPr>
        <w:t>放款餘額一覽表</w:t>
      </w:r>
      <w:r w:rsidR="00051675">
        <w:rPr>
          <w:rFonts w:hint="eastAsia"/>
          <w:b/>
          <w:lang w:eastAsia="zh-TW"/>
        </w:rPr>
        <w:t xml:space="preserve"> </w:t>
      </w:r>
      <w:r>
        <w:rPr>
          <w:rFonts w:hint="eastAsia"/>
          <w:sz w:val="24"/>
          <w:szCs w:val="24"/>
          <w:lang w:eastAsia="zh-TW"/>
        </w:rPr>
        <w:t>單位：新臺幣億元;</w:t>
      </w:r>
      <w:r>
        <w:rPr>
          <w:sz w:val="24"/>
          <w:szCs w:val="24"/>
          <w:lang w:eastAsia="zh-TW"/>
        </w:rPr>
        <w:t>%</w:t>
      </w:r>
    </w:p>
    <w:tbl>
      <w:tblPr>
        <w:tblW w:w="9205"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370"/>
        <w:gridCol w:w="1370"/>
        <w:gridCol w:w="1370"/>
        <w:gridCol w:w="1370"/>
        <w:gridCol w:w="1371"/>
      </w:tblGrid>
      <w:tr w:rsidR="00337C80" w:rsidRPr="006475C0" w:rsidTr="00751652">
        <w:trPr>
          <w:trHeight w:val="397"/>
          <w:tblHeader/>
        </w:trPr>
        <w:tc>
          <w:tcPr>
            <w:tcW w:w="2354" w:type="dxa"/>
            <w:tcBorders>
              <w:top w:val="single" w:sz="12" w:space="0" w:color="auto"/>
              <w:bottom w:val="single" w:sz="6" w:space="0" w:color="auto"/>
              <w:tl2br w:val="single" w:sz="6" w:space="0" w:color="auto"/>
            </w:tcBorders>
            <w:shd w:val="clear" w:color="auto" w:fill="auto"/>
            <w:vAlign w:val="center"/>
          </w:tcPr>
          <w:p w:rsidR="00337C80" w:rsidRPr="006475C0" w:rsidRDefault="00337C80" w:rsidP="005054D6">
            <w:pPr>
              <w:pStyle w:val="142"/>
              <w:ind w:left="646" w:hanging="646"/>
              <w:jc w:val="both"/>
              <w:rPr>
                <w:b/>
                <w:szCs w:val="24"/>
                <w:lang w:eastAsia="zh-TW"/>
              </w:rPr>
            </w:pPr>
            <w:r>
              <w:rPr>
                <w:rFonts w:hint="eastAsia"/>
                <w:b/>
                <w:szCs w:val="24"/>
                <w:lang w:eastAsia="zh-TW"/>
              </w:rPr>
              <w:t xml:space="preserve">           年底</w:t>
            </w:r>
          </w:p>
          <w:p w:rsidR="00337C80" w:rsidRPr="006475C0" w:rsidRDefault="00337C80" w:rsidP="005054D6">
            <w:pPr>
              <w:pStyle w:val="142"/>
              <w:ind w:left="646" w:hanging="646"/>
              <w:rPr>
                <w:rFonts w:hint="eastAsia"/>
                <w:szCs w:val="24"/>
              </w:rPr>
            </w:pPr>
            <w:r w:rsidRPr="006475C0">
              <w:rPr>
                <w:rFonts w:hint="eastAsia"/>
                <w:b/>
                <w:szCs w:val="24"/>
              </w:rPr>
              <w:t>銀行別</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111</w:t>
            </w:r>
            <w:r>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4年3月底</w:t>
            </w:r>
          </w:p>
        </w:tc>
        <w:tc>
          <w:tcPr>
            <w:tcW w:w="1371"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Pr>
                <w:rFonts w:hint="eastAsia"/>
                <w:b/>
                <w:szCs w:val="24"/>
                <w:lang w:eastAsia="zh-TW"/>
              </w:rPr>
              <w:t>放款成長率</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rPr>
                <w:rFonts w:hint="eastAsia"/>
              </w:rPr>
            </w:pPr>
            <w:r w:rsidRPr="006475C0">
              <w:rPr>
                <w:rFonts w:hint="eastAsia"/>
              </w:rPr>
              <w:lastRenderedPageBreak/>
              <w:t>臺灣銀行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34,643</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31,791</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34,196</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36,607</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rsidRPr="007208FC">
              <w:t>5.67</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臺灣土地銀行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23,103</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22,948</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24,432</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24,648</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6.69</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合作金庫商業銀行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26,131</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28,236</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30,864</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30,850</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18.06</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第一商業銀行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23,226</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24,175</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26,472</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26,760</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15.22</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華南商業銀行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20,648</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22,723</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24,224</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23,968</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16.08</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彰化商業銀行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16,876</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18,092</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19,746</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19,873</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17.76</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兆豐國際商業銀行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20,864</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21,466</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23,103</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23,448</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12.38</w:t>
            </w:r>
          </w:p>
        </w:tc>
      </w:tr>
      <w:tr w:rsidR="002218DB" w:rsidRPr="006475C0" w:rsidTr="001D6F25">
        <w:trPr>
          <w:trHeight w:val="340"/>
        </w:trPr>
        <w:tc>
          <w:tcPr>
            <w:tcW w:w="2354" w:type="dxa"/>
            <w:tcBorders>
              <w:top w:val="single" w:sz="6" w:space="0" w:color="auto"/>
              <w:bottom w:val="double" w:sz="6" w:space="0" w:color="auto"/>
            </w:tcBorders>
            <w:shd w:val="clear" w:color="auto" w:fill="auto"/>
            <w:vAlign w:val="center"/>
          </w:tcPr>
          <w:p w:rsidR="002218DB" w:rsidRPr="006475C0" w:rsidRDefault="002218DB" w:rsidP="002218DB">
            <w:pPr>
              <w:pStyle w:val="142"/>
              <w:ind w:left="647" w:hanging="647"/>
              <w:jc w:val="both"/>
              <w:rPr>
                <w:szCs w:val="24"/>
              </w:rPr>
            </w:pPr>
            <w:r w:rsidRPr="006475C0">
              <w:rPr>
                <w:rFonts w:hint="eastAsia"/>
                <w:szCs w:val="24"/>
              </w:rPr>
              <w:t>臺灣中小企業銀行</w:t>
            </w:r>
          </w:p>
        </w:tc>
        <w:tc>
          <w:tcPr>
            <w:tcW w:w="1370" w:type="dxa"/>
            <w:tcBorders>
              <w:top w:val="single" w:sz="6" w:space="0" w:color="auto"/>
              <w:bottom w:val="double" w:sz="6" w:space="0" w:color="auto"/>
            </w:tcBorders>
            <w:vAlign w:val="center"/>
          </w:tcPr>
          <w:p w:rsidR="002218DB" w:rsidRPr="00395FBA" w:rsidRDefault="002218DB" w:rsidP="002218DB">
            <w:pPr>
              <w:pStyle w:val="142"/>
              <w:jc w:val="right"/>
            </w:pPr>
            <w:r w:rsidRPr="00395FBA">
              <w:t>14,185</w:t>
            </w:r>
          </w:p>
        </w:tc>
        <w:tc>
          <w:tcPr>
            <w:tcW w:w="1370" w:type="dxa"/>
            <w:tcBorders>
              <w:top w:val="single" w:sz="6" w:space="0" w:color="auto"/>
              <w:bottom w:val="double" w:sz="6" w:space="0" w:color="auto"/>
            </w:tcBorders>
            <w:vAlign w:val="center"/>
          </w:tcPr>
          <w:p w:rsidR="002218DB" w:rsidRDefault="002218DB" w:rsidP="002218DB">
            <w:pPr>
              <w:pStyle w:val="142"/>
              <w:jc w:val="right"/>
            </w:pPr>
            <w:r w:rsidRPr="00395FBA">
              <w:t>15,112</w:t>
            </w:r>
          </w:p>
        </w:tc>
        <w:tc>
          <w:tcPr>
            <w:tcW w:w="1370" w:type="dxa"/>
            <w:tcBorders>
              <w:top w:val="single" w:sz="6" w:space="0" w:color="auto"/>
              <w:bottom w:val="double" w:sz="6" w:space="0" w:color="auto"/>
            </w:tcBorders>
            <w:vAlign w:val="center"/>
          </w:tcPr>
          <w:p w:rsidR="002218DB" w:rsidRDefault="002218DB" w:rsidP="002218DB">
            <w:pPr>
              <w:pStyle w:val="142"/>
              <w:jc w:val="right"/>
            </w:pPr>
            <w:r w:rsidRPr="000944FB">
              <w:t>16,412</w:t>
            </w:r>
          </w:p>
        </w:tc>
        <w:tc>
          <w:tcPr>
            <w:tcW w:w="1370" w:type="dxa"/>
            <w:tcBorders>
              <w:top w:val="single" w:sz="6" w:space="0" w:color="auto"/>
              <w:bottom w:val="double" w:sz="6" w:space="0" w:color="auto"/>
            </w:tcBorders>
            <w:vAlign w:val="center"/>
          </w:tcPr>
          <w:p w:rsidR="002218DB" w:rsidRDefault="002218DB" w:rsidP="002218DB">
            <w:pPr>
              <w:pStyle w:val="142"/>
              <w:jc w:val="right"/>
            </w:pPr>
            <w:r w:rsidRPr="007E0D34">
              <w:t>16,675</w:t>
            </w:r>
          </w:p>
        </w:tc>
        <w:tc>
          <w:tcPr>
            <w:tcW w:w="1371" w:type="dxa"/>
            <w:tcBorders>
              <w:top w:val="single" w:sz="6" w:space="0" w:color="auto"/>
              <w:bottom w:val="double" w:sz="6" w:space="0" w:color="auto"/>
            </w:tcBorders>
            <w:vAlign w:val="center"/>
          </w:tcPr>
          <w:p w:rsidR="002218DB" w:rsidRDefault="002218DB" w:rsidP="002218DB">
            <w:pPr>
              <w:pStyle w:val="142"/>
              <w:jc w:val="right"/>
            </w:pPr>
            <w:r>
              <w:t>17.55</w:t>
            </w:r>
          </w:p>
        </w:tc>
      </w:tr>
      <w:tr w:rsidR="002218DB" w:rsidRPr="006475C0" w:rsidTr="001D6F25">
        <w:trPr>
          <w:trHeight w:val="340"/>
        </w:trPr>
        <w:tc>
          <w:tcPr>
            <w:tcW w:w="2354" w:type="dxa"/>
            <w:tcBorders>
              <w:top w:val="double" w:sz="6" w:space="0" w:color="auto"/>
              <w:bottom w:val="single" w:sz="12" w:space="0" w:color="auto"/>
            </w:tcBorders>
            <w:shd w:val="clear" w:color="auto" w:fill="auto"/>
            <w:vAlign w:val="center"/>
          </w:tcPr>
          <w:p w:rsidR="002218DB" w:rsidRPr="006475C0" w:rsidRDefault="002218DB" w:rsidP="002218DB">
            <w:pPr>
              <w:pStyle w:val="142"/>
              <w:ind w:left="647" w:hanging="647"/>
              <w:jc w:val="both"/>
              <w:rPr>
                <w:rFonts w:hint="eastAsia"/>
                <w:szCs w:val="24"/>
              </w:rPr>
            </w:pPr>
            <w:r>
              <w:rPr>
                <w:rFonts w:hint="eastAsia"/>
                <w:szCs w:val="24"/>
                <w:lang w:eastAsia="zh-TW"/>
              </w:rPr>
              <w:t>本國銀行總計</w:t>
            </w:r>
          </w:p>
        </w:tc>
        <w:tc>
          <w:tcPr>
            <w:tcW w:w="1370" w:type="dxa"/>
            <w:tcBorders>
              <w:top w:val="double" w:sz="6" w:space="0" w:color="auto"/>
              <w:bottom w:val="single" w:sz="12" w:space="0" w:color="auto"/>
            </w:tcBorders>
            <w:vAlign w:val="center"/>
          </w:tcPr>
          <w:p w:rsidR="002218DB" w:rsidRPr="00F43105" w:rsidRDefault="002218DB" w:rsidP="002218DB">
            <w:pPr>
              <w:pStyle w:val="142"/>
              <w:jc w:val="right"/>
            </w:pPr>
            <w:r w:rsidRPr="00F43105">
              <w:t>366,546</w:t>
            </w:r>
          </w:p>
        </w:tc>
        <w:tc>
          <w:tcPr>
            <w:tcW w:w="1370" w:type="dxa"/>
            <w:tcBorders>
              <w:top w:val="double" w:sz="6" w:space="0" w:color="auto"/>
              <w:bottom w:val="single" w:sz="12" w:space="0" w:color="auto"/>
            </w:tcBorders>
            <w:vAlign w:val="center"/>
          </w:tcPr>
          <w:p w:rsidR="002218DB" w:rsidRDefault="002218DB" w:rsidP="002218DB">
            <w:pPr>
              <w:pStyle w:val="142"/>
              <w:jc w:val="right"/>
            </w:pPr>
            <w:r w:rsidRPr="00F43105">
              <w:t>384,667</w:t>
            </w:r>
          </w:p>
        </w:tc>
        <w:tc>
          <w:tcPr>
            <w:tcW w:w="1370" w:type="dxa"/>
            <w:tcBorders>
              <w:top w:val="double" w:sz="6" w:space="0" w:color="auto"/>
              <w:bottom w:val="single" w:sz="12" w:space="0" w:color="auto"/>
            </w:tcBorders>
            <w:vAlign w:val="center"/>
          </w:tcPr>
          <w:p w:rsidR="002218DB" w:rsidRDefault="002218DB" w:rsidP="002218DB">
            <w:pPr>
              <w:pStyle w:val="142"/>
              <w:jc w:val="right"/>
            </w:pPr>
            <w:r w:rsidRPr="002218DB">
              <w:t>422,076</w:t>
            </w:r>
          </w:p>
        </w:tc>
        <w:tc>
          <w:tcPr>
            <w:tcW w:w="1370" w:type="dxa"/>
            <w:tcBorders>
              <w:top w:val="double" w:sz="6" w:space="0" w:color="auto"/>
              <w:bottom w:val="single" w:sz="12" w:space="0" w:color="auto"/>
            </w:tcBorders>
            <w:vAlign w:val="center"/>
          </w:tcPr>
          <w:p w:rsidR="002218DB" w:rsidRPr="00220D73" w:rsidRDefault="002218DB" w:rsidP="002218DB">
            <w:pPr>
              <w:pStyle w:val="142"/>
              <w:jc w:val="right"/>
            </w:pPr>
            <w:r w:rsidRPr="002218DB">
              <w:t>432,322</w:t>
            </w:r>
          </w:p>
        </w:tc>
        <w:tc>
          <w:tcPr>
            <w:tcW w:w="1371" w:type="dxa"/>
            <w:tcBorders>
              <w:top w:val="double" w:sz="6" w:space="0" w:color="auto"/>
              <w:bottom w:val="single" w:sz="12" w:space="0" w:color="auto"/>
            </w:tcBorders>
            <w:vAlign w:val="center"/>
          </w:tcPr>
          <w:p w:rsidR="002218DB" w:rsidRPr="00220D73" w:rsidRDefault="002218DB" w:rsidP="002218DB">
            <w:pPr>
              <w:pStyle w:val="142"/>
              <w:jc w:val="right"/>
            </w:pPr>
            <w:r>
              <w:t>17.94</w:t>
            </w:r>
          </w:p>
        </w:tc>
      </w:tr>
    </w:tbl>
    <w:p w:rsidR="00337C80" w:rsidRDefault="00337C80" w:rsidP="00337C80">
      <w:pPr>
        <w:pStyle w:val="142"/>
        <w:ind w:leftChars="-150" w:left="791" w:rightChars="-150" w:right="-425" w:hangingChars="500" w:hanging="1216"/>
        <w:rPr>
          <w:rFonts w:hint="eastAsia"/>
          <w:lang w:eastAsia="zh-TW"/>
        </w:rPr>
      </w:pPr>
      <w:r>
        <w:rPr>
          <w:rFonts w:hint="eastAsia"/>
          <w:lang w:eastAsia="zh-TW"/>
        </w:rPr>
        <w:t>說    明：表內</w:t>
      </w:r>
      <w:r w:rsidR="005D3DAB">
        <w:rPr>
          <w:rFonts w:hint="eastAsia"/>
          <w:lang w:eastAsia="zh-TW"/>
        </w:rPr>
        <w:t>放款餘額包含催收款</w:t>
      </w:r>
      <w:r w:rsidR="00A21BF2">
        <w:rPr>
          <w:rFonts w:hint="eastAsia"/>
          <w:lang w:eastAsia="zh-TW"/>
        </w:rPr>
        <w:t>；</w:t>
      </w:r>
      <w:r>
        <w:rPr>
          <w:rFonts w:hint="eastAsia"/>
          <w:lang w:eastAsia="zh-TW"/>
        </w:rPr>
        <w:t>「放款成長率」</w:t>
      </w:r>
      <w:r w:rsidR="005D3DAB">
        <w:rPr>
          <w:rFonts w:hint="eastAsia"/>
          <w:lang w:eastAsia="zh-TW"/>
        </w:rPr>
        <w:t>係指</w:t>
      </w:r>
      <w:r>
        <w:rPr>
          <w:rFonts w:hint="eastAsia"/>
          <w:lang w:eastAsia="zh-TW"/>
        </w:rPr>
        <w:t>114</w:t>
      </w:r>
      <w:r w:rsidRPr="00E565F3">
        <w:rPr>
          <w:rFonts w:hint="eastAsia"/>
          <w:lang w:eastAsia="zh-TW"/>
        </w:rPr>
        <w:t>年</w:t>
      </w:r>
      <w:r>
        <w:rPr>
          <w:rFonts w:hint="eastAsia"/>
          <w:lang w:eastAsia="zh-TW"/>
        </w:rPr>
        <w:t>3月</w:t>
      </w:r>
      <w:r w:rsidRPr="00E565F3">
        <w:rPr>
          <w:rFonts w:hint="eastAsia"/>
          <w:lang w:eastAsia="zh-TW"/>
        </w:rPr>
        <w:t>底較</w:t>
      </w:r>
      <w:r>
        <w:rPr>
          <w:rFonts w:hint="eastAsia"/>
          <w:lang w:eastAsia="zh-TW"/>
        </w:rPr>
        <w:t>111</w:t>
      </w:r>
      <w:r w:rsidRPr="00E565F3">
        <w:rPr>
          <w:rFonts w:hint="eastAsia"/>
          <w:lang w:eastAsia="zh-TW"/>
        </w:rPr>
        <w:t>年底之成長</w:t>
      </w:r>
      <w:r w:rsidR="00A21BF2">
        <w:rPr>
          <w:rFonts w:hint="eastAsia"/>
          <w:lang w:eastAsia="zh-TW"/>
        </w:rPr>
        <w:t>率</w:t>
      </w:r>
      <w:r w:rsidR="00A21BF2" w:rsidRPr="00E565F3">
        <w:rPr>
          <w:rFonts w:hint="eastAsia"/>
          <w:lang w:eastAsia="zh-TW"/>
        </w:rPr>
        <w:t>。</w:t>
      </w:r>
      <w:r>
        <w:rPr>
          <w:rFonts w:hint="eastAsia"/>
          <w:lang w:eastAsia="zh-TW"/>
        </w:rPr>
        <w:t xml:space="preserve"> </w:t>
      </w:r>
    </w:p>
    <w:p w:rsidR="00337C80" w:rsidRDefault="00337C80" w:rsidP="00441B2F">
      <w:pPr>
        <w:pStyle w:val="142"/>
        <w:ind w:leftChars="-150" w:left="791" w:rightChars="-100" w:right="-283" w:hangingChars="500" w:hanging="1216"/>
      </w:pPr>
      <w:r w:rsidRPr="00E04F94">
        <w:rPr>
          <w:rFonts w:hint="eastAsia"/>
        </w:rPr>
        <w:t>資料來源：</w:t>
      </w:r>
      <w:r w:rsidR="00790B47">
        <w:rPr>
          <w:rFonts w:hint="eastAsia"/>
        </w:rPr>
        <w:t>金管會銀行局</w:t>
      </w:r>
      <w:r w:rsidR="00790B47">
        <w:rPr>
          <w:rFonts w:hint="eastAsia"/>
          <w:lang w:eastAsia="zh-TW"/>
        </w:rPr>
        <w:t>統計資料庫動態查訊系統</w:t>
      </w:r>
      <w:r w:rsidR="00790B47">
        <w:rPr>
          <w:rFonts w:hint="eastAsia"/>
        </w:rPr>
        <w:t>，</w:t>
      </w:r>
      <w:r w:rsidR="00790B47" w:rsidRPr="00851875">
        <w:t>https://survey.banking.gov.tw/statis/webMain.aspx?k=defjsp</w:t>
      </w:r>
      <w:r w:rsidR="00790B47" w:rsidRPr="001C65A2">
        <w:rPr>
          <w:rFonts w:hint="eastAsia"/>
        </w:rPr>
        <w:t xml:space="preserve"> </w:t>
      </w:r>
      <w:r w:rsidR="00790B47">
        <w:rPr>
          <w:rFonts w:hint="eastAsia"/>
        </w:rPr>
        <w:t>(最後瀏覽日：114年7月7日)</w:t>
      </w:r>
      <w:r w:rsidR="00790B47">
        <w:rPr>
          <w:rFonts w:hint="eastAsia"/>
          <w:lang w:eastAsia="zh-TW"/>
        </w:rPr>
        <w:t>；</w:t>
      </w:r>
      <w:r>
        <w:rPr>
          <w:rFonts w:hint="eastAsia"/>
          <w:lang w:eastAsia="zh-TW"/>
        </w:rPr>
        <w:t>本中心彙製</w:t>
      </w:r>
      <w:r>
        <w:rPr>
          <w:rFonts w:hint="eastAsia"/>
        </w:rPr>
        <w:t>。</w:t>
      </w:r>
    </w:p>
    <w:p w:rsidR="00B1679D" w:rsidRPr="00E04F94" w:rsidRDefault="00B1679D" w:rsidP="00B642EE">
      <w:pPr>
        <w:pStyle w:val="21"/>
        <w:ind w:leftChars="-150" w:left="851" w:rightChars="-200" w:right="-566" w:hangingChars="450" w:hanging="1276"/>
        <w:rPr>
          <w:rFonts w:hint="eastAsia"/>
          <w:lang w:eastAsia="zh-TW"/>
        </w:rPr>
      </w:pPr>
      <w:r w:rsidRPr="00E04F94">
        <w:rPr>
          <w:rFonts w:hint="eastAsia"/>
          <w:b/>
        </w:rPr>
        <w:t>表</w:t>
      </w:r>
      <w:r w:rsidR="00502501">
        <w:rPr>
          <w:rFonts w:hint="eastAsia"/>
          <w:b/>
          <w:lang w:eastAsia="zh-TW"/>
        </w:rPr>
        <w:t>5</w:t>
      </w:r>
      <w:r w:rsidRPr="00E04F94">
        <w:rPr>
          <w:rFonts w:hint="eastAsia"/>
          <w:b/>
        </w:rPr>
        <w:t xml:space="preserve">  </w:t>
      </w:r>
      <w:r>
        <w:rPr>
          <w:rFonts w:hint="eastAsia"/>
          <w:b/>
          <w:lang w:eastAsia="zh-TW"/>
        </w:rPr>
        <w:t>公股銀行</w:t>
      </w:r>
      <w:r>
        <w:rPr>
          <w:b/>
        </w:rPr>
        <w:t>11</w:t>
      </w:r>
      <w:r>
        <w:rPr>
          <w:rFonts w:hint="eastAsia"/>
          <w:b/>
          <w:lang w:eastAsia="zh-TW"/>
        </w:rPr>
        <w:t>1</w:t>
      </w:r>
      <w:r w:rsidR="00657DB1">
        <w:rPr>
          <w:rFonts w:hint="eastAsia"/>
          <w:b/>
          <w:lang w:eastAsia="zh-TW"/>
        </w:rPr>
        <w:t>年底</w:t>
      </w:r>
      <w:r>
        <w:rPr>
          <w:rFonts w:hint="eastAsia"/>
          <w:b/>
          <w:lang w:eastAsia="zh-TW"/>
        </w:rPr>
        <w:t>至114年3月底</w:t>
      </w:r>
      <w:r w:rsidR="00C2427C" w:rsidRPr="00C2427C">
        <w:rPr>
          <w:rFonts w:hint="eastAsia"/>
          <w:b/>
          <w:lang w:eastAsia="zh-TW"/>
        </w:rPr>
        <w:t>逾</w:t>
      </w:r>
      <w:r w:rsidR="00440306">
        <w:rPr>
          <w:rFonts w:hint="eastAsia"/>
          <w:b/>
          <w:lang w:eastAsia="zh-TW"/>
        </w:rPr>
        <w:t>放</w:t>
      </w:r>
      <w:r w:rsidR="00C2427C" w:rsidRPr="00C2427C">
        <w:rPr>
          <w:rFonts w:hint="eastAsia"/>
          <w:b/>
          <w:lang w:eastAsia="zh-TW"/>
        </w:rPr>
        <w:t>比率</w:t>
      </w:r>
      <w:r>
        <w:rPr>
          <w:rFonts w:hint="eastAsia"/>
          <w:b/>
          <w:lang w:eastAsia="zh-TW"/>
        </w:rPr>
        <w:t>一覽表</w:t>
      </w:r>
      <w:r w:rsidR="00B642EE">
        <w:rPr>
          <w:rFonts w:hint="eastAsia"/>
          <w:b/>
          <w:lang w:eastAsia="zh-TW"/>
        </w:rPr>
        <w:t xml:space="preserve">     </w:t>
      </w:r>
      <w:r w:rsidR="00440306">
        <w:rPr>
          <w:b/>
          <w:lang w:eastAsia="zh-TW"/>
        </w:rPr>
        <w:t xml:space="preserve">  </w:t>
      </w:r>
      <w:r w:rsidR="00B642EE">
        <w:rPr>
          <w:rFonts w:hint="eastAsia"/>
          <w:b/>
          <w:lang w:eastAsia="zh-TW"/>
        </w:rPr>
        <w:t xml:space="preserve">   </w:t>
      </w:r>
      <w:r>
        <w:rPr>
          <w:rFonts w:hint="eastAsia"/>
          <w:sz w:val="24"/>
          <w:szCs w:val="24"/>
          <w:lang w:eastAsia="zh-TW"/>
        </w:rPr>
        <w:t>單位：</w:t>
      </w:r>
      <w:r>
        <w:rPr>
          <w:sz w:val="24"/>
          <w:szCs w:val="24"/>
          <w:lang w:eastAsia="zh-TW"/>
        </w:rPr>
        <w:t>%</w:t>
      </w:r>
    </w:p>
    <w:tbl>
      <w:tblPr>
        <w:tblW w:w="9158"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701"/>
        <w:gridCol w:w="1701"/>
        <w:gridCol w:w="1701"/>
        <w:gridCol w:w="1701"/>
      </w:tblGrid>
      <w:tr w:rsidR="000C3F67" w:rsidRPr="006475C0" w:rsidTr="007E468A">
        <w:trPr>
          <w:trHeight w:val="517"/>
          <w:tblHeader/>
        </w:trPr>
        <w:tc>
          <w:tcPr>
            <w:tcW w:w="2354" w:type="dxa"/>
            <w:tcBorders>
              <w:top w:val="single" w:sz="12" w:space="0" w:color="auto"/>
              <w:bottom w:val="single" w:sz="6" w:space="0" w:color="auto"/>
              <w:tl2br w:val="single" w:sz="6" w:space="0" w:color="auto"/>
            </w:tcBorders>
            <w:shd w:val="clear" w:color="auto" w:fill="auto"/>
            <w:vAlign w:val="center"/>
          </w:tcPr>
          <w:p w:rsidR="000C3F67" w:rsidRPr="006475C0" w:rsidRDefault="000C3F67" w:rsidP="005054D6">
            <w:pPr>
              <w:pStyle w:val="142"/>
              <w:ind w:left="646" w:hanging="646"/>
              <w:jc w:val="both"/>
              <w:rPr>
                <w:b/>
                <w:szCs w:val="24"/>
                <w:lang w:eastAsia="zh-TW"/>
              </w:rPr>
            </w:pPr>
            <w:r>
              <w:rPr>
                <w:rFonts w:hint="eastAsia"/>
                <w:b/>
                <w:szCs w:val="24"/>
                <w:lang w:eastAsia="zh-TW"/>
              </w:rPr>
              <w:t xml:space="preserve">           年底</w:t>
            </w:r>
          </w:p>
          <w:p w:rsidR="000C3F67" w:rsidRPr="006475C0" w:rsidRDefault="000C3F67" w:rsidP="005054D6">
            <w:pPr>
              <w:pStyle w:val="142"/>
              <w:ind w:left="646" w:hanging="646"/>
              <w:rPr>
                <w:rFonts w:hint="eastAsia"/>
                <w:szCs w:val="24"/>
              </w:rPr>
            </w:pPr>
            <w:r w:rsidRPr="006475C0">
              <w:rPr>
                <w:rFonts w:hint="eastAsia"/>
                <w:b/>
                <w:szCs w:val="24"/>
              </w:rPr>
              <w:t>銀行別</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111</w:t>
            </w:r>
            <w:r>
              <w:rPr>
                <w:rFonts w:hint="eastAsia"/>
                <w:b/>
                <w:szCs w:val="24"/>
                <w:lang w:eastAsia="zh-TW"/>
              </w:rPr>
              <w:t>年</w:t>
            </w:r>
            <w:r w:rsidR="00E346E2">
              <w:rPr>
                <w:rFonts w:hint="eastAsia"/>
                <w:b/>
                <w:szCs w:val="24"/>
                <w:lang w:eastAsia="zh-TW"/>
              </w:rPr>
              <w:t>底</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2年</w:t>
            </w:r>
            <w:r w:rsidR="00E346E2">
              <w:rPr>
                <w:rFonts w:hint="eastAsia"/>
                <w:b/>
                <w:szCs w:val="24"/>
                <w:lang w:eastAsia="zh-TW"/>
              </w:rPr>
              <w:t>底</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w:t>
            </w:r>
            <w:r w:rsidR="00E346E2">
              <w:rPr>
                <w:rFonts w:hint="eastAsia"/>
                <w:b/>
                <w:szCs w:val="24"/>
                <w:lang w:eastAsia="zh-TW"/>
              </w:rPr>
              <w:t>底</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4年3月底</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rPr>
                <w:rFonts w:hint="eastAsia"/>
              </w:rPr>
            </w:pPr>
            <w:r w:rsidRPr="006475C0">
              <w:rPr>
                <w:rFonts w:hint="eastAsia"/>
              </w:rPr>
              <w:t>臺灣銀行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0.09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0.09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0.09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0.09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臺灣土地銀行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0.10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0.11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0.09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0.11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合作金庫商業銀行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0.18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0.18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0.16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0.17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第一商業銀行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0.18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0.17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0.17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0.17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華南商業銀行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0.13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0.15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0.16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0.16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彰化商業銀行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0.20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0.18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0.16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0.16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兆豐國際商業銀行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0.16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0.17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0.24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0.27 </w:t>
            </w:r>
          </w:p>
        </w:tc>
      </w:tr>
      <w:tr w:rsidR="00323E8B" w:rsidRPr="006475C0" w:rsidTr="007E468A">
        <w:trPr>
          <w:trHeight w:val="340"/>
        </w:trPr>
        <w:tc>
          <w:tcPr>
            <w:tcW w:w="2354" w:type="dxa"/>
            <w:tcBorders>
              <w:top w:val="single" w:sz="6" w:space="0" w:color="auto"/>
              <w:bottom w:val="double" w:sz="6" w:space="0" w:color="auto"/>
            </w:tcBorders>
            <w:shd w:val="clear" w:color="auto" w:fill="auto"/>
            <w:vAlign w:val="center"/>
          </w:tcPr>
          <w:p w:rsidR="00323E8B" w:rsidRPr="006475C0" w:rsidRDefault="00323E8B" w:rsidP="00323E8B">
            <w:pPr>
              <w:pStyle w:val="142"/>
              <w:ind w:left="647" w:hanging="647"/>
              <w:jc w:val="both"/>
              <w:rPr>
                <w:szCs w:val="24"/>
              </w:rPr>
            </w:pPr>
            <w:r w:rsidRPr="006475C0">
              <w:rPr>
                <w:rFonts w:hint="eastAsia"/>
                <w:szCs w:val="24"/>
              </w:rPr>
              <w:t>臺灣中小企業銀行</w:t>
            </w:r>
          </w:p>
        </w:tc>
        <w:tc>
          <w:tcPr>
            <w:tcW w:w="1701" w:type="dxa"/>
            <w:tcBorders>
              <w:top w:val="single" w:sz="6" w:space="0" w:color="auto"/>
              <w:bottom w:val="double" w:sz="6" w:space="0" w:color="auto"/>
            </w:tcBorders>
            <w:vAlign w:val="center"/>
          </w:tcPr>
          <w:p w:rsidR="00323E8B" w:rsidRPr="00E50CC1" w:rsidRDefault="00323E8B" w:rsidP="00323E8B">
            <w:pPr>
              <w:pStyle w:val="142"/>
              <w:jc w:val="right"/>
            </w:pPr>
            <w:r w:rsidRPr="00E50CC1">
              <w:t xml:space="preserve">0.20 </w:t>
            </w:r>
          </w:p>
        </w:tc>
        <w:tc>
          <w:tcPr>
            <w:tcW w:w="1701" w:type="dxa"/>
            <w:tcBorders>
              <w:top w:val="single" w:sz="6" w:space="0" w:color="auto"/>
              <w:bottom w:val="double" w:sz="6" w:space="0" w:color="auto"/>
            </w:tcBorders>
            <w:vAlign w:val="center"/>
          </w:tcPr>
          <w:p w:rsidR="00323E8B" w:rsidRPr="00233AAC" w:rsidRDefault="00323E8B" w:rsidP="00323E8B">
            <w:pPr>
              <w:pStyle w:val="142"/>
              <w:jc w:val="right"/>
            </w:pPr>
            <w:r w:rsidRPr="00233AAC">
              <w:t xml:space="preserve">0.18 </w:t>
            </w:r>
          </w:p>
        </w:tc>
        <w:tc>
          <w:tcPr>
            <w:tcW w:w="1701" w:type="dxa"/>
            <w:tcBorders>
              <w:top w:val="single" w:sz="6" w:space="0" w:color="auto"/>
              <w:bottom w:val="double" w:sz="6" w:space="0" w:color="auto"/>
            </w:tcBorders>
            <w:vAlign w:val="center"/>
          </w:tcPr>
          <w:p w:rsidR="00323E8B" w:rsidRPr="00A21690" w:rsidRDefault="00323E8B" w:rsidP="00323E8B">
            <w:pPr>
              <w:pStyle w:val="142"/>
              <w:jc w:val="right"/>
            </w:pPr>
            <w:r w:rsidRPr="00A21690">
              <w:t xml:space="preserve">0.17 </w:t>
            </w:r>
          </w:p>
        </w:tc>
        <w:tc>
          <w:tcPr>
            <w:tcW w:w="1701" w:type="dxa"/>
            <w:tcBorders>
              <w:top w:val="single" w:sz="6" w:space="0" w:color="auto"/>
              <w:bottom w:val="double" w:sz="6" w:space="0" w:color="auto"/>
            </w:tcBorders>
            <w:vAlign w:val="center"/>
          </w:tcPr>
          <w:p w:rsidR="00323E8B" w:rsidRPr="0016662A" w:rsidRDefault="00323E8B" w:rsidP="00323E8B">
            <w:pPr>
              <w:pStyle w:val="142"/>
              <w:jc w:val="right"/>
            </w:pPr>
            <w:r w:rsidRPr="0016662A">
              <w:t xml:space="preserve">0.14 </w:t>
            </w:r>
          </w:p>
        </w:tc>
      </w:tr>
      <w:tr w:rsidR="00323E8B" w:rsidRPr="006475C0" w:rsidTr="007E468A">
        <w:trPr>
          <w:trHeight w:val="340"/>
        </w:trPr>
        <w:tc>
          <w:tcPr>
            <w:tcW w:w="2354" w:type="dxa"/>
            <w:tcBorders>
              <w:top w:val="double" w:sz="6" w:space="0" w:color="auto"/>
              <w:bottom w:val="single" w:sz="12" w:space="0" w:color="auto"/>
            </w:tcBorders>
            <w:shd w:val="clear" w:color="auto" w:fill="auto"/>
            <w:vAlign w:val="center"/>
          </w:tcPr>
          <w:p w:rsidR="00323E8B" w:rsidRPr="006475C0" w:rsidRDefault="00323E8B" w:rsidP="00323E8B">
            <w:pPr>
              <w:pStyle w:val="142"/>
              <w:ind w:left="647" w:hanging="647"/>
              <w:jc w:val="both"/>
              <w:rPr>
                <w:rFonts w:hint="eastAsia"/>
                <w:szCs w:val="24"/>
              </w:rPr>
            </w:pPr>
            <w:r>
              <w:rPr>
                <w:rFonts w:hint="eastAsia"/>
                <w:szCs w:val="24"/>
                <w:lang w:eastAsia="zh-TW"/>
              </w:rPr>
              <w:t>本國銀行總計</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E50CC1">
              <w:t xml:space="preserve">0.15 </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233AAC">
              <w:t xml:space="preserve">0.14 </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A21690">
              <w:t xml:space="preserve">0.15 </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16662A">
              <w:t xml:space="preserve">0.16 </w:t>
            </w:r>
          </w:p>
        </w:tc>
      </w:tr>
    </w:tbl>
    <w:p w:rsidR="00B1679D" w:rsidRDefault="00B1679D" w:rsidP="00441B2F">
      <w:pPr>
        <w:pStyle w:val="142"/>
        <w:ind w:leftChars="-150" w:left="791" w:rightChars="-100" w:right="-283" w:hangingChars="500" w:hanging="1216"/>
      </w:pPr>
      <w:r w:rsidRPr="00E04F94">
        <w:rPr>
          <w:rFonts w:hint="eastAsia"/>
        </w:rPr>
        <w:t>資料來源：</w:t>
      </w:r>
      <w:r w:rsidR="00790B47">
        <w:rPr>
          <w:rFonts w:hint="eastAsia"/>
        </w:rPr>
        <w:t>金管會銀行局網站</w:t>
      </w:r>
      <w:r w:rsidR="00790B47">
        <w:rPr>
          <w:rFonts w:hint="eastAsia"/>
          <w:lang w:eastAsia="zh-TW"/>
        </w:rPr>
        <w:t>，</w:t>
      </w:r>
      <w:r w:rsidR="00790B47" w:rsidRPr="001C65A2">
        <w:rPr>
          <w:lang w:eastAsia="zh-TW"/>
        </w:rPr>
        <w:t>https://www.banking.gov.tw</w:t>
      </w:r>
      <w:r w:rsidR="00790B47" w:rsidRPr="001C65A2">
        <w:rPr>
          <w:rFonts w:hint="eastAsia"/>
          <w:lang w:eastAsia="zh-TW"/>
        </w:rPr>
        <w:t xml:space="preserve"> </w:t>
      </w:r>
      <w:r w:rsidR="00790B47">
        <w:rPr>
          <w:rFonts w:hint="eastAsia"/>
        </w:rPr>
        <w:t>(</w:t>
      </w:r>
      <w:r w:rsidR="00790B47">
        <w:rPr>
          <w:rFonts w:hint="eastAsia"/>
          <w:lang w:eastAsia="zh-TW"/>
        </w:rPr>
        <w:t>最後瀏覽日：</w:t>
      </w:r>
      <w:r w:rsidR="00790B47">
        <w:rPr>
          <w:rFonts w:hint="eastAsia"/>
        </w:rPr>
        <w:t>11</w:t>
      </w:r>
      <w:r w:rsidR="00790B47">
        <w:rPr>
          <w:rFonts w:hint="eastAsia"/>
          <w:lang w:eastAsia="zh-TW"/>
        </w:rPr>
        <w:t>4</w:t>
      </w:r>
      <w:r w:rsidR="00790B47">
        <w:rPr>
          <w:rFonts w:hint="eastAsia"/>
        </w:rPr>
        <w:t>年</w:t>
      </w:r>
      <w:r w:rsidR="00790B47">
        <w:rPr>
          <w:rFonts w:hint="eastAsia"/>
          <w:lang w:eastAsia="zh-TW"/>
        </w:rPr>
        <w:t>7</w:t>
      </w:r>
      <w:r w:rsidR="00790B47">
        <w:rPr>
          <w:rFonts w:hint="eastAsia"/>
        </w:rPr>
        <w:t>月</w:t>
      </w:r>
      <w:r w:rsidR="00790B47">
        <w:rPr>
          <w:rFonts w:hint="eastAsia"/>
          <w:lang w:eastAsia="zh-TW"/>
        </w:rPr>
        <w:t>7</w:t>
      </w:r>
      <w:r w:rsidR="00790B47">
        <w:rPr>
          <w:rFonts w:hint="eastAsia"/>
        </w:rPr>
        <w:t>日)</w:t>
      </w:r>
      <w:r w:rsidR="00790B47">
        <w:rPr>
          <w:rFonts w:hint="eastAsia"/>
          <w:lang w:eastAsia="zh-TW"/>
        </w:rPr>
        <w:t>；</w:t>
      </w:r>
      <w:r w:rsidR="000C3F67">
        <w:rPr>
          <w:rFonts w:hint="eastAsia"/>
          <w:lang w:eastAsia="zh-TW"/>
        </w:rPr>
        <w:t>本中心彙製</w:t>
      </w:r>
      <w:r w:rsidR="000C3F67">
        <w:rPr>
          <w:rFonts w:hint="eastAsia"/>
        </w:rPr>
        <w:t>。</w:t>
      </w:r>
    </w:p>
    <w:p w:rsidR="00DF6DEE" w:rsidRDefault="00DF6DEE" w:rsidP="00A72241">
      <w:pPr>
        <w:pStyle w:val="a4"/>
        <w:ind w:left="849" w:hanging="283"/>
        <w:rPr>
          <w:b/>
        </w:rPr>
      </w:pPr>
      <w:r w:rsidRPr="00A72241">
        <w:rPr>
          <w:rFonts w:hint="eastAsia"/>
          <w:b/>
        </w:rPr>
        <w:lastRenderedPageBreak/>
        <w:t>(二</w:t>
      </w:r>
      <w:r w:rsidR="00033261">
        <w:rPr>
          <w:rFonts w:hint="eastAsia"/>
          <w:b/>
        </w:rPr>
        <w:t>)</w:t>
      </w:r>
      <w:r w:rsidR="00D123DC">
        <w:rPr>
          <w:rFonts w:hint="eastAsia"/>
          <w:b/>
          <w:lang w:eastAsia="zh-TW"/>
        </w:rPr>
        <w:t>公股銀行</w:t>
      </w:r>
      <w:r w:rsidR="005C4A8F">
        <w:rPr>
          <w:rFonts w:hint="eastAsia"/>
          <w:b/>
          <w:lang w:eastAsia="zh-TW"/>
        </w:rPr>
        <w:t>111</w:t>
      </w:r>
      <w:r w:rsidR="00D123DC">
        <w:rPr>
          <w:rFonts w:hint="eastAsia"/>
          <w:b/>
          <w:lang w:eastAsia="zh-TW"/>
        </w:rPr>
        <w:t>至113年度稅前盈餘概呈上升，稅後淨利</w:t>
      </w:r>
      <w:r w:rsidR="00E346E2">
        <w:rPr>
          <w:rFonts w:hint="eastAsia"/>
          <w:b/>
          <w:lang w:eastAsia="zh-TW"/>
        </w:rPr>
        <w:t>大多均達</w:t>
      </w:r>
      <w:r w:rsidR="00681287">
        <w:rPr>
          <w:rFonts w:hint="eastAsia"/>
          <w:b/>
          <w:lang w:eastAsia="zh-TW"/>
        </w:rPr>
        <w:t>成</w:t>
      </w:r>
      <w:r w:rsidR="00D123DC">
        <w:rPr>
          <w:rFonts w:hint="eastAsia"/>
          <w:b/>
          <w:lang w:eastAsia="zh-TW"/>
        </w:rPr>
        <w:t>預算</w:t>
      </w:r>
      <w:r w:rsidR="00E346E2">
        <w:rPr>
          <w:rFonts w:hint="eastAsia"/>
          <w:b/>
          <w:lang w:eastAsia="zh-TW"/>
        </w:rPr>
        <w:t>目標</w:t>
      </w:r>
      <w:r w:rsidR="00D123DC">
        <w:rPr>
          <w:rFonts w:hint="eastAsia"/>
          <w:b/>
          <w:lang w:eastAsia="zh-TW"/>
        </w:rPr>
        <w:t>，</w:t>
      </w:r>
      <w:r w:rsidR="00681287">
        <w:rPr>
          <w:rFonts w:hint="eastAsia"/>
          <w:b/>
          <w:lang w:eastAsia="zh-TW"/>
        </w:rPr>
        <w:t>且</w:t>
      </w:r>
      <w:r w:rsidR="00D123DC">
        <w:rPr>
          <w:rFonts w:hint="eastAsia"/>
          <w:b/>
          <w:lang w:eastAsia="zh-TW"/>
        </w:rPr>
        <w:t>利息</w:t>
      </w:r>
      <w:r w:rsidR="009F0F7F">
        <w:rPr>
          <w:rFonts w:hint="eastAsia"/>
          <w:b/>
          <w:lang w:eastAsia="zh-TW"/>
        </w:rPr>
        <w:t>以外</w:t>
      </w:r>
      <w:r w:rsidR="00D123DC">
        <w:rPr>
          <w:rFonts w:hint="eastAsia"/>
          <w:b/>
          <w:lang w:eastAsia="zh-TW"/>
        </w:rPr>
        <w:t>淨收益</w:t>
      </w:r>
      <w:r w:rsidR="006E5BE1">
        <w:rPr>
          <w:rFonts w:hint="eastAsia"/>
          <w:b/>
          <w:lang w:eastAsia="zh-TW"/>
        </w:rPr>
        <w:t>之</w:t>
      </w:r>
      <w:r w:rsidR="0017062A">
        <w:rPr>
          <w:rFonts w:hint="eastAsia"/>
          <w:b/>
          <w:lang w:eastAsia="zh-TW"/>
        </w:rPr>
        <w:t>占比</w:t>
      </w:r>
      <w:r w:rsidR="00496765">
        <w:rPr>
          <w:rFonts w:hint="eastAsia"/>
          <w:b/>
          <w:lang w:eastAsia="zh-TW"/>
        </w:rPr>
        <w:t>亦</w:t>
      </w:r>
      <w:r w:rsidR="006E5BE1">
        <w:rPr>
          <w:rFonts w:hint="eastAsia"/>
          <w:b/>
          <w:lang w:eastAsia="zh-TW"/>
        </w:rPr>
        <w:t>有提升</w:t>
      </w:r>
    </w:p>
    <w:p w:rsidR="00813AB0" w:rsidRPr="00813AB0" w:rsidRDefault="00187A5B" w:rsidP="007D0F09">
      <w:pPr>
        <w:pStyle w:val="21"/>
        <w:ind w:left="850" w:firstLine="566"/>
        <w:rPr>
          <w:lang w:val="en-US"/>
        </w:rPr>
      </w:pPr>
      <w:r>
        <w:rPr>
          <w:rFonts w:hint="eastAsia"/>
        </w:rPr>
        <w:t>檢視</w:t>
      </w:r>
      <w:r w:rsidR="000B5AFA">
        <w:rPr>
          <w:rFonts w:hint="eastAsia"/>
          <w:lang w:eastAsia="zh-TW"/>
        </w:rPr>
        <w:t>公股銀行</w:t>
      </w:r>
      <w:r w:rsidR="003E695B">
        <w:rPr>
          <w:rFonts w:hint="eastAsia"/>
          <w:lang w:eastAsia="zh-TW"/>
        </w:rPr>
        <w:t>111至113年</w:t>
      </w:r>
      <w:r w:rsidR="005D1862">
        <w:rPr>
          <w:rFonts w:hint="eastAsia"/>
          <w:lang w:eastAsia="zh-TW"/>
        </w:rPr>
        <w:t>度</w:t>
      </w:r>
      <w:r w:rsidR="003E695B">
        <w:rPr>
          <w:rFonts w:hint="eastAsia"/>
          <w:lang w:eastAsia="zh-TW"/>
        </w:rPr>
        <w:t>獲利概況，多數銀行之稅前盈餘皆逐年成長，</w:t>
      </w:r>
      <w:r w:rsidR="00E346E2">
        <w:rPr>
          <w:rFonts w:hint="eastAsia"/>
          <w:lang w:eastAsia="zh-TW"/>
        </w:rPr>
        <w:t>其中</w:t>
      </w:r>
      <w:r w:rsidR="003E695B">
        <w:rPr>
          <w:rFonts w:hint="eastAsia"/>
          <w:lang w:eastAsia="zh-TW"/>
        </w:rPr>
        <w:t>合作金庫商業銀行112年度稅前盈餘</w:t>
      </w:r>
      <w:r w:rsidR="00481DE8">
        <w:rPr>
          <w:rFonts w:hint="eastAsia"/>
          <w:lang w:eastAsia="zh-TW"/>
        </w:rPr>
        <w:t>雖</w:t>
      </w:r>
      <w:r w:rsidR="003E695B">
        <w:rPr>
          <w:rFonts w:hint="eastAsia"/>
          <w:lang w:eastAsia="zh-TW"/>
        </w:rPr>
        <w:t>較111年度減少19.5億元(減幅8.82%)，然113年度已回升</w:t>
      </w:r>
      <w:r w:rsidR="00E346E2">
        <w:rPr>
          <w:rFonts w:hint="eastAsia"/>
          <w:lang w:eastAsia="zh-TW"/>
        </w:rPr>
        <w:t>為</w:t>
      </w:r>
      <w:r w:rsidR="003E695B">
        <w:rPr>
          <w:rFonts w:hint="eastAsia"/>
          <w:lang w:eastAsia="zh-TW"/>
        </w:rPr>
        <w:t>231.5億元，且較111年度增加10.4億元(增幅4.7%)</w:t>
      </w:r>
      <w:r w:rsidR="00E346E2">
        <w:rPr>
          <w:rFonts w:hint="eastAsia"/>
          <w:lang w:eastAsia="zh-TW"/>
        </w:rPr>
        <w:t>；</w:t>
      </w:r>
      <w:r w:rsidR="00481DE8">
        <w:rPr>
          <w:rFonts w:hint="eastAsia"/>
          <w:lang w:eastAsia="zh-TW"/>
        </w:rPr>
        <w:t>另兆豐</w:t>
      </w:r>
      <w:r w:rsidR="008455CE">
        <w:rPr>
          <w:rFonts w:hint="eastAsia"/>
          <w:lang w:eastAsia="zh-TW"/>
        </w:rPr>
        <w:lastRenderedPageBreak/>
        <w:t>國際</w:t>
      </w:r>
      <w:r w:rsidR="00481DE8">
        <w:rPr>
          <w:rFonts w:hint="eastAsia"/>
          <w:lang w:eastAsia="zh-TW"/>
        </w:rPr>
        <w:t>商業銀行113年度稅前盈餘雖較112年度減少</w:t>
      </w:r>
      <w:r w:rsidR="005B1222">
        <w:rPr>
          <w:rFonts w:hint="eastAsia"/>
          <w:lang w:eastAsia="zh-TW"/>
        </w:rPr>
        <w:t>，</w:t>
      </w:r>
      <w:r w:rsidR="00E346E2">
        <w:rPr>
          <w:rFonts w:hint="eastAsia"/>
          <w:lang w:eastAsia="zh-TW"/>
        </w:rPr>
        <w:t>惟</w:t>
      </w:r>
      <w:r w:rsidR="00481DE8">
        <w:rPr>
          <w:rFonts w:hint="eastAsia"/>
          <w:lang w:eastAsia="zh-TW"/>
        </w:rPr>
        <w:t>仍高於111年度</w:t>
      </w:r>
      <w:r w:rsidR="00D16D54">
        <w:rPr>
          <w:rFonts w:hint="eastAsia"/>
          <w:lang w:eastAsia="zh-TW"/>
        </w:rPr>
        <w:t>，</w:t>
      </w:r>
      <w:r w:rsidR="003E695B">
        <w:rPr>
          <w:rFonts w:hint="eastAsia"/>
          <w:lang w:eastAsia="zh-TW"/>
        </w:rPr>
        <w:t>爰各公股銀行於上開期間之獲利皆概呈上升</w:t>
      </w:r>
      <w:r w:rsidR="00D16D54">
        <w:rPr>
          <w:rFonts w:hint="eastAsia"/>
          <w:lang w:eastAsia="zh-TW"/>
        </w:rPr>
        <w:t>；復</w:t>
      </w:r>
      <w:r w:rsidR="003E695B">
        <w:rPr>
          <w:rFonts w:hint="eastAsia"/>
          <w:lang w:eastAsia="zh-TW"/>
        </w:rPr>
        <w:t>據財政部國庫署提供資料，</w:t>
      </w:r>
      <w:r w:rsidR="00774010">
        <w:rPr>
          <w:rFonts w:hint="eastAsia"/>
          <w:lang w:eastAsia="zh-TW"/>
        </w:rPr>
        <w:t>除合作金庫商業銀行112年</w:t>
      </w:r>
      <w:r w:rsidR="00F5154D">
        <w:rPr>
          <w:rFonts w:hint="eastAsia"/>
          <w:lang w:eastAsia="zh-TW"/>
        </w:rPr>
        <w:t>度</w:t>
      </w:r>
      <w:r w:rsidR="00774010">
        <w:rPr>
          <w:rFonts w:hint="eastAsia"/>
          <w:lang w:eastAsia="zh-TW"/>
        </w:rPr>
        <w:t>未達預算目標外，其餘各年度各公股銀行預算達成率均達100%以上</w:t>
      </w:r>
      <w:r w:rsidR="003E695B">
        <w:rPr>
          <w:rFonts w:hint="eastAsia"/>
          <w:lang w:eastAsia="zh-TW"/>
        </w:rPr>
        <w:t>(詳表6)</w:t>
      </w:r>
      <w:r w:rsidR="00481DE8">
        <w:rPr>
          <w:rFonts w:hint="eastAsia"/>
          <w:lang w:eastAsia="zh-TW"/>
        </w:rPr>
        <w:t>。</w:t>
      </w:r>
      <w:r w:rsidR="003E695B">
        <w:rPr>
          <w:rFonts w:hint="eastAsia"/>
          <w:lang w:eastAsia="zh-TW"/>
        </w:rPr>
        <w:t>復</w:t>
      </w:r>
      <w:r w:rsidR="000C01F3">
        <w:rPr>
          <w:rFonts w:hint="eastAsia"/>
          <w:lang w:eastAsia="zh-TW"/>
        </w:rPr>
        <w:t>就公股銀行</w:t>
      </w:r>
      <w:r w:rsidR="000E2FE3">
        <w:rPr>
          <w:rFonts w:hint="eastAsia"/>
          <w:lang w:eastAsia="zh-TW"/>
        </w:rPr>
        <w:t>於上開期間</w:t>
      </w:r>
      <w:r w:rsidR="000C01F3">
        <w:rPr>
          <w:rFonts w:hint="eastAsia"/>
          <w:lang w:eastAsia="zh-TW"/>
        </w:rPr>
        <w:t>之</w:t>
      </w:r>
      <w:r w:rsidR="003E695B">
        <w:rPr>
          <w:rFonts w:hint="eastAsia"/>
          <w:lang w:eastAsia="zh-TW"/>
        </w:rPr>
        <w:t>獲利來源</w:t>
      </w:r>
      <w:r w:rsidR="000C01F3">
        <w:rPr>
          <w:rFonts w:hint="eastAsia"/>
          <w:lang w:eastAsia="zh-TW"/>
        </w:rPr>
        <w:t>分析</w:t>
      </w:r>
      <w:r w:rsidR="003E695B">
        <w:rPr>
          <w:rFonts w:hint="eastAsia"/>
          <w:lang w:eastAsia="zh-TW"/>
        </w:rPr>
        <w:t>，皆</w:t>
      </w:r>
      <w:r w:rsidR="00470D52">
        <w:rPr>
          <w:rFonts w:hint="eastAsia"/>
          <w:lang w:eastAsia="zh-TW"/>
        </w:rPr>
        <w:t>係</w:t>
      </w:r>
      <w:r w:rsidR="003E695B">
        <w:rPr>
          <w:rFonts w:hint="eastAsia"/>
          <w:lang w:eastAsia="zh-TW"/>
        </w:rPr>
        <w:t>以利息淨收益為主，占比介於</w:t>
      </w:r>
      <w:r w:rsidR="000C01F3">
        <w:rPr>
          <w:rFonts w:hint="eastAsia"/>
          <w:lang w:eastAsia="zh-TW"/>
        </w:rPr>
        <w:t>44.33%至99.08%間，</w:t>
      </w:r>
      <w:r w:rsidR="00774010">
        <w:rPr>
          <w:rFonts w:hint="eastAsia"/>
          <w:lang w:eastAsia="zh-TW"/>
        </w:rPr>
        <w:t>其中各年度皆以臺灣銀行及臺灣土地銀行之比率相對較高，</w:t>
      </w:r>
      <w:r w:rsidR="000C01F3">
        <w:rPr>
          <w:rFonts w:hint="eastAsia"/>
          <w:lang w:eastAsia="zh-TW"/>
        </w:rPr>
        <w:t>然是項收益</w:t>
      </w:r>
      <w:r w:rsidR="005F2AD2">
        <w:rPr>
          <w:rFonts w:hint="eastAsia"/>
          <w:lang w:eastAsia="zh-TW"/>
        </w:rPr>
        <w:t>占淨收益之比率</w:t>
      </w:r>
      <w:r w:rsidR="000C01F3">
        <w:rPr>
          <w:rFonts w:hint="eastAsia"/>
          <w:lang w:eastAsia="zh-TW"/>
        </w:rPr>
        <w:t>已概呈</w:t>
      </w:r>
      <w:r w:rsidR="006E5BE1">
        <w:rPr>
          <w:rFonts w:hint="eastAsia"/>
          <w:lang w:eastAsia="zh-TW"/>
        </w:rPr>
        <w:t>下降</w:t>
      </w:r>
      <w:r w:rsidR="00D16D54">
        <w:rPr>
          <w:rFonts w:hint="eastAsia"/>
          <w:lang w:eastAsia="zh-TW"/>
        </w:rPr>
        <w:t>；</w:t>
      </w:r>
      <w:r w:rsidR="006E5BE1">
        <w:rPr>
          <w:rFonts w:hint="eastAsia"/>
          <w:lang w:eastAsia="zh-TW"/>
        </w:rPr>
        <w:t>而</w:t>
      </w:r>
      <w:r w:rsidR="006E5BE1" w:rsidRPr="00EC3B43">
        <w:rPr>
          <w:rFonts w:hint="eastAsia"/>
          <w:lang w:eastAsia="zh-TW"/>
        </w:rPr>
        <w:t>利息以外之淨收益中，又以投資及其他</w:t>
      </w:r>
      <w:r w:rsidR="006E5BE1">
        <w:rPr>
          <w:rFonts w:hint="eastAsia"/>
          <w:lang w:eastAsia="zh-TW"/>
        </w:rPr>
        <w:t>淨收益占比</w:t>
      </w:r>
      <w:r w:rsidR="000E2FE3">
        <w:rPr>
          <w:rFonts w:hint="eastAsia"/>
          <w:lang w:eastAsia="zh-TW"/>
        </w:rPr>
        <w:t>之</w:t>
      </w:r>
      <w:r w:rsidR="006E5BE1">
        <w:rPr>
          <w:rFonts w:hint="eastAsia"/>
          <w:lang w:eastAsia="zh-TW"/>
        </w:rPr>
        <w:t>成長幅度</w:t>
      </w:r>
      <w:r w:rsidR="005D1862">
        <w:rPr>
          <w:rFonts w:hint="eastAsia"/>
          <w:lang w:eastAsia="zh-TW"/>
        </w:rPr>
        <w:t>相對</w:t>
      </w:r>
      <w:r w:rsidR="006E5BE1">
        <w:rPr>
          <w:rFonts w:hint="eastAsia"/>
          <w:lang w:eastAsia="zh-TW"/>
        </w:rPr>
        <w:t>較大，</w:t>
      </w:r>
      <w:r w:rsidR="005D1862">
        <w:rPr>
          <w:rFonts w:hint="eastAsia"/>
          <w:lang w:eastAsia="zh-TW"/>
        </w:rPr>
        <w:t>其</w:t>
      </w:r>
      <w:r w:rsidR="006E5BE1">
        <w:rPr>
          <w:rFonts w:hint="eastAsia"/>
          <w:lang w:eastAsia="zh-TW"/>
        </w:rPr>
        <w:t>自111年</w:t>
      </w:r>
      <w:r w:rsidR="001032BD">
        <w:rPr>
          <w:rFonts w:hint="eastAsia"/>
          <w:lang w:eastAsia="zh-TW"/>
        </w:rPr>
        <w:t>度</w:t>
      </w:r>
      <w:r w:rsidR="006E5BE1">
        <w:rPr>
          <w:rFonts w:hint="eastAsia"/>
          <w:lang w:eastAsia="zh-TW"/>
        </w:rPr>
        <w:t>介於-6.88%至20.85%</w:t>
      </w:r>
      <w:r w:rsidR="005F2AD2">
        <w:rPr>
          <w:rFonts w:hint="eastAsia"/>
          <w:lang w:eastAsia="zh-TW"/>
        </w:rPr>
        <w:t>間，逐年概增，迄</w:t>
      </w:r>
      <w:r w:rsidR="006E5BE1">
        <w:rPr>
          <w:rFonts w:hint="eastAsia"/>
          <w:lang w:eastAsia="zh-TW"/>
        </w:rPr>
        <w:t>113年</w:t>
      </w:r>
      <w:r w:rsidR="001032BD">
        <w:rPr>
          <w:rFonts w:hint="eastAsia"/>
          <w:lang w:eastAsia="zh-TW"/>
        </w:rPr>
        <w:t>度</w:t>
      </w:r>
      <w:r w:rsidR="005F2AD2">
        <w:rPr>
          <w:rFonts w:hint="eastAsia"/>
          <w:lang w:eastAsia="zh-TW"/>
        </w:rPr>
        <w:t>，</w:t>
      </w:r>
      <w:r w:rsidR="006E5BE1">
        <w:rPr>
          <w:rFonts w:hint="eastAsia"/>
          <w:lang w:eastAsia="zh-TW"/>
        </w:rPr>
        <w:t>已</w:t>
      </w:r>
      <w:r w:rsidR="005F2AD2">
        <w:rPr>
          <w:rFonts w:hint="eastAsia"/>
          <w:lang w:eastAsia="zh-TW"/>
        </w:rPr>
        <w:t>提高</w:t>
      </w:r>
      <w:r w:rsidR="006E5BE1">
        <w:rPr>
          <w:rFonts w:hint="eastAsia"/>
          <w:lang w:eastAsia="zh-TW"/>
        </w:rPr>
        <w:t>至6.74%至36.65</w:t>
      </w:r>
      <w:r w:rsidR="00D96727">
        <w:rPr>
          <w:rFonts w:hint="eastAsia"/>
          <w:lang w:eastAsia="zh-TW"/>
        </w:rPr>
        <w:t>%</w:t>
      </w:r>
      <w:r w:rsidR="005F2AD2">
        <w:rPr>
          <w:rFonts w:hint="eastAsia"/>
          <w:lang w:eastAsia="zh-TW"/>
        </w:rPr>
        <w:t>間，</w:t>
      </w:r>
      <w:r w:rsidR="00902863">
        <w:rPr>
          <w:rFonts w:hint="eastAsia"/>
          <w:lang w:eastAsia="zh-TW"/>
        </w:rPr>
        <w:t>其中臺灣銀行、第一商業銀行、華南商業銀行及兆豐國際商業銀行113年</w:t>
      </w:r>
      <w:r w:rsidR="003B5B3E">
        <w:rPr>
          <w:rFonts w:hint="eastAsia"/>
          <w:lang w:eastAsia="zh-TW"/>
        </w:rPr>
        <w:t>度</w:t>
      </w:r>
      <w:r w:rsidR="00902863">
        <w:rPr>
          <w:rFonts w:hint="eastAsia"/>
          <w:lang w:eastAsia="zh-TW"/>
        </w:rPr>
        <w:t>占比</w:t>
      </w:r>
      <w:r w:rsidR="00F5154D">
        <w:rPr>
          <w:rFonts w:hint="eastAsia"/>
          <w:lang w:eastAsia="zh-TW"/>
        </w:rPr>
        <w:t>已</w:t>
      </w:r>
      <w:r w:rsidR="00902863">
        <w:rPr>
          <w:rFonts w:hint="eastAsia"/>
          <w:lang w:eastAsia="zh-TW"/>
        </w:rPr>
        <w:t>逾30%；</w:t>
      </w:r>
      <w:r w:rsidR="005F2AD2">
        <w:rPr>
          <w:rFonts w:hint="eastAsia"/>
          <w:lang w:eastAsia="zh-TW"/>
        </w:rPr>
        <w:t>至有</w:t>
      </w:r>
      <w:r w:rsidR="006E5BE1">
        <w:rPr>
          <w:rFonts w:hint="eastAsia"/>
          <w:lang w:eastAsia="zh-TW"/>
        </w:rPr>
        <w:t>關</w:t>
      </w:r>
      <w:r w:rsidR="000C01F3">
        <w:rPr>
          <w:rFonts w:hint="eastAsia"/>
          <w:lang w:eastAsia="zh-TW"/>
        </w:rPr>
        <w:t>手續費淨收益部分，除</w:t>
      </w:r>
      <w:r w:rsidR="00EC3B43">
        <w:rPr>
          <w:rFonts w:hint="eastAsia"/>
          <w:lang w:eastAsia="zh-TW"/>
        </w:rPr>
        <w:t>臺</w:t>
      </w:r>
      <w:r w:rsidR="000C01F3">
        <w:rPr>
          <w:rFonts w:hint="eastAsia"/>
          <w:lang w:eastAsia="zh-TW"/>
        </w:rPr>
        <w:t>灣銀行之占比略呈下降外，</w:t>
      </w:r>
      <w:r w:rsidR="00EC3B43">
        <w:rPr>
          <w:rFonts w:hint="eastAsia"/>
          <w:lang w:eastAsia="zh-TW"/>
        </w:rPr>
        <w:t>餘</w:t>
      </w:r>
      <w:r w:rsidR="000C01F3">
        <w:rPr>
          <w:rFonts w:hint="eastAsia"/>
          <w:lang w:eastAsia="zh-TW"/>
        </w:rPr>
        <w:t>各家公股銀行皆有成長，</w:t>
      </w:r>
      <w:r w:rsidR="001032BD">
        <w:rPr>
          <w:rFonts w:hint="eastAsia"/>
          <w:lang w:eastAsia="zh-TW"/>
        </w:rPr>
        <w:t>於</w:t>
      </w:r>
      <w:r w:rsidR="008271D1">
        <w:rPr>
          <w:rFonts w:hint="eastAsia"/>
          <w:lang w:eastAsia="zh-TW"/>
        </w:rPr>
        <w:t>113</w:t>
      </w:r>
      <w:r w:rsidR="001032BD">
        <w:rPr>
          <w:rFonts w:hint="eastAsia"/>
          <w:lang w:eastAsia="zh-TW"/>
        </w:rPr>
        <w:t>年度占比</w:t>
      </w:r>
      <w:r w:rsidR="001C3200">
        <w:rPr>
          <w:rFonts w:hint="eastAsia"/>
          <w:lang w:eastAsia="zh-TW"/>
        </w:rPr>
        <w:t>較111年度</w:t>
      </w:r>
      <w:r w:rsidR="001032BD">
        <w:rPr>
          <w:rFonts w:hint="eastAsia"/>
          <w:lang w:eastAsia="zh-TW"/>
        </w:rPr>
        <w:t>增加</w:t>
      </w:r>
      <w:r w:rsidR="001C3200">
        <w:rPr>
          <w:rFonts w:hint="eastAsia"/>
          <w:lang w:eastAsia="zh-TW"/>
        </w:rPr>
        <w:t>之</w:t>
      </w:r>
      <w:r w:rsidR="000C01F3">
        <w:rPr>
          <w:rFonts w:hint="eastAsia"/>
          <w:lang w:eastAsia="zh-TW"/>
        </w:rPr>
        <w:t>百分點約介於0.87至5.4間</w:t>
      </w:r>
      <w:r w:rsidR="009905E9">
        <w:rPr>
          <w:rFonts w:hint="eastAsia"/>
          <w:lang w:eastAsia="zh-TW"/>
        </w:rPr>
        <w:t>，</w:t>
      </w:r>
      <w:r w:rsidR="008271D1">
        <w:rPr>
          <w:rFonts w:hint="eastAsia"/>
          <w:lang w:eastAsia="zh-TW"/>
        </w:rPr>
        <w:t>惟</w:t>
      </w:r>
      <w:r w:rsidR="001C3200">
        <w:rPr>
          <w:rFonts w:hint="eastAsia"/>
          <w:lang w:eastAsia="zh-TW"/>
        </w:rPr>
        <w:t>仍皆低</w:t>
      </w:r>
      <w:r w:rsidR="009905E9">
        <w:rPr>
          <w:rFonts w:hint="eastAsia"/>
          <w:lang w:eastAsia="zh-TW"/>
        </w:rPr>
        <w:t>於同業平均數額</w:t>
      </w:r>
      <w:r w:rsidR="006F53F7">
        <w:rPr>
          <w:rFonts w:hint="eastAsia"/>
          <w:lang w:eastAsia="zh-TW"/>
        </w:rPr>
        <w:t>(詳表7)</w:t>
      </w:r>
      <w:r w:rsidR="007D0F09" w:rsidRPr="007D0F09">
        <w:rPr>
          <w:rFonts w:hint="eastAsia"/>
        </w:rPr>
        <w:t>。</w:t>
      </w:r>
    </w:p>
    <w:p w:rsidR="00DF6DEE" w:rsidRPr="00E04F94" w:rsidRDefault="00DF6DEE" w:rsidP="00DF6DEE">
      <w:pPr>
        <w:pStyle w:val="21"/>
        <w:ind w:leftChars="-150" w:left="851" w:rightChars="-200" w:right="-566" w:hangingChars="450" w:hanging="1276"/>
        <w:rPr>
          <w:rFonts w:hint="eastAsia"/>
          <w:lang w:eastAsia="zh-TW"/>
        </w:rPr>
      </w:pPr>
      <w:r w:rsidRPr="00E04F94">
        <w:rPr>
          <w:rFonts w:hint="eastAsia"/>
          <w:b/>
        </w:rPr>
        <w:t>表</w:t>
      </w:r>
      <w:r w:rsidR="00337C80">
        <w:rPr>
          <w:rFonts w:hint="eastAsia"/>
          <w:b/>
          <w:lang w:eastAsia="zh-TW"/>
        </w:rPr>
        <w:t>6</w:t>
      </w:r>
      <w:r w:rsidRPr="00E04F94">
        <w:rPr>
          <w:rFonts w:hint="eastAsia"/>
          <w:b/>
        </w:rPr>
        <w:t xml:space="preserve">  </w:t>
      </w:r>
      <w:r>
        <w:rPr>
          <w:rFonts w:hint="eastAsia"/>
          <w:b/>
          <w:lang w:eastAsia="zh-TW"/>
        </w:rPr>
        <w:t>公股銀行</w:t>
      </w:r>
      <w:r w:rsidR="00040191">
        <w:rPr>
          <w:b/>
        </w:rPr>
        <w:t>11</w:t>
      </w:r>
      <w:r w:rsidR="00040191">
        <w:rPr>
          <w:rFonts w:hint="eastAsia"/>
          <w:b/>
          <w:lang w:eastAsia="zh-TW"/>
        </w:rPr>
        <w:t>1至113年</w:t>
      </w:r>
      <w:r w:rsidR="00C86234">
        <w:rPr>
          <w:rFonts w:hint="eastAsia"/>
          <w:b/>
          <w:lang w:eastAsia="zh-TW"/>
        </w:rPr>
        <w:t>度</w:t>
      </w:r>
      <w:r w:rsidR="00980C2C">
        <w:rPr>
          <w:rFonts w:hint="eastAsia"/>
          <w:b/>
          <w:lang w:eastAsia="zh-TW"/>
        </w:rPr>
        <w:t>盈餘</w:t>
      </w:r>
      <w:r w:rsidR="00337C80">
        <w:rPr>
          <w:rFonts w:hint="eastAsia"/>
          <w:b/>
          <w:lang w:eastAsia="zh-TW"/>
        </w:rPr>
        <w:t>概況</w:t>
      </w:r>
      <w:r>
        <w:rPr>
          <w:rFonts w:hint="eastAsia"/>
          <w:b/>
          <w:lang w:eastAsia="zh-TW"/>
        </w:rPr>
        <w:t xml:space="preserve">一覽表     </w:t>
      </w:r>
      <w:r w:rsidR="008B256A">
        <w:rPr>
          <w:rFonts w:hint="eastAsia"/>
          <w:b/>
          <w:lang w:eastAsia="zh-TW"/>
        </w:rPr>
        <w:t xml:space="preserve">     </w:t>
      </w:r>
      <w:r>
        <w:rPr>
          <w:rFonts w:hint="eastAsia"/>
          <w:sz w:val="24"/>
          <w:szCs w:val="24"/>
          <w:lang w:eastAsia="zh-TW"/>
        </w:rPr>
        <w:t>單位：新臺幣億元;</w:t>
      </w:r>
      <w:r>
        <w:rPr>
          <w:sz w:val="24"/>
          <w:szCs w:val="24"/>
          <w:lang w:eastAsia="zh-TW"/>
        </w:rPr>
        <w:t>%</w:t>
      </w:r>
    </w:p>
    <w:tbl>
      <w:tblPr>
        <w:tblW w:w="9300"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157"/>
        <w:gridCol w:w="1158"/>
        <w:gridCol w:w="1158"/>
        <w:gridCol w:w="1157"/>
        <w:gridCol w:w="1158"/>
        <w:gridCol w:w="1158"/>
      </w:tblGrid>
      <w:tr w:rsidR="00DF6DEE" w:rsidRPr="006475C0" w:rsidTr="005054D6">
        <w:trPr>
          <w:trHeight w:val="340"/>
          <w:tblHeader/>
        </w:trPr>
        <w:tc>
          <w:tcPr>
            <w:tcW w:w="2354" w:type="dxa"/>
            <w:vMerge w:val="restart"/>
            <w:tcBorders>
              <w:top w:val="single" w:sz="12" w:space="0" w:color="auto"/>
              <w:bottom w:val="single" w:sz="6" w:space="0" w:color="auto"/>
              <w:tl2br w:val="single" w:sz="6" w:space="0" w:color="auto"/>
            </w:tcBorders>
            <w:shd w:val="clear" w:color="auto" w:fill="auto"/>
            <w:vAlign w:val="center"/>
          </w:tcPr>
          <w:p w:rsidR="00DF6DEE" w:rsidRPr="006475C0" w:rsidRDefault="00DF6DEE" w:rsidP="005054D6">
            <w:pPr>
              <w:pStyle w:val="142"/>
              <w:ind w:left="646" w:hanging="646"/>
              <w:jc w:val="both"/>
              <w:rPr>
                <w:b/>
                <w:szCs w:val="24"/>
                <w:lang w:eastAsia="zh-TW"/>
              </w:rPr>
            </w:pPr>
            <w:r>
              <w:rPr>
                <w:rFonts w:hint="eastAsia"/>
                <w:b/>
                <w:szCs w:val="24"/>
                <w:lang w:eastAsia="zh-TW"/>
              </w:rPr>
              <w:t xml:space="preserve">         年度及項目</w:t>
            </w:r>
          </w:p>
          <w:p w:rsidR="00DF6DEE" w:rsidRPr="006475C0" w:rsidRDefault="00DF6DEE" w:rsidP="005054D6">
            <w:pPr>
              <w:pStyle w:val="142"/>
              <w:ind w:left="646" w:hanging="646"/>
              <w:jc w:val="both"/>
              <w:rPr>
                <w:rFonts w:hint="eastAsia"/>
                <w:szCs w:val="24"/>
                <w:lang w:eastAsia="zh-TW"/>
              </w:rPr>
            </w:pPr>
            <w:r w:rsidRPr="006475C0">
              <w:rPr>
                <w:rFonts w:hint="eastAsia"/>
                <w:b/>
                <w:szCs w:val="24"/>
              </w:rPr>
              <w:t>銀行別</w:t>
            </w:r>
          </w:p>
        </w:tc>
        <w:tc>
          <w:tcPr>
            <w:tcW w:w="3473" w:type="dxa"/>
            <w:gridSpan w:val="3"/>
            <w:shd w:val="clear" w:color="auto" w:fill="auto"/>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稅前</w:t>
            </w:r>
            <w:r>
              <w:rPr>
                <w:rFonts w:hint="eastAsia"/>
                <w:b/>
                <w:szCs w:val="24"/>
                <w:lang w:eastAsia="zh-TW"/>
              </w:rPr>
              <w:t>盈餘</w:t>
            </w:r>
          </w:p>
        </w:tc>
        <w:tc>
          <w:tcPr>
            <w:tcW w:w="3473" w:type="dxa"/>
            <w:gridSpan w:val="3"/>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預算達成率(</w:t>
            </w:r>
            <w:r w:rsidR="00F9148D">
              <w:rPr>
                <w:rFonts w:hint="eastAsia"/>
                <w:b/>
                <w:szCs w:val="24"/>
                <w:lang w:eastAsia="zh-TW"/>
              </w:rPr>
              <w:t>詳</w:t>
            </w:r>
            <w:r w:rsidRPr="006475C0">
              <w:rPr>
                <w:rFonts w:hint="eastAsia"/>
                <w:b/>
                <w:szCs w:val="24"/>
                <w:lang w:eastAsia="zh-TW"/>
              </w:rPr>
              <w:t>說明)</w:t>
            </w:r>
          </w:p>
        </w:tc>
      </w:tr>
      <w:tr w:rsidR="00DF6DEE" w:rsidRPr="006475C0" w:rsidTr="005054D6">
        <w:trPr>
          <w:trHeight w:val="340"/>
          <w:tblHeader/>
        </w:trPr>
        <w:tc>
          <w:tcPr>
            <w:tcW w:w="2354" w:type="dxa"/>
            <w:vMerge/>
            <w:tcBorders>
              <w:top w:val="single" w:sz="6" w:space="0" w:color="auto"/>
              <w:bottom w:val="single" w:sz="6" w:space="0" w:color="auto"/>
              <w:tl2br w:val="single" w:sz="6" w:space="0" w:color="auto"/>
            </w:tcBorders>
            <w:shd w:val="clear" w:color="auto" w:fill="auto"/>
            <w:vAlign w:val="center"/>
          </w:tcPr>
          <w:p w:rsidR="00DF6DEE" w:rsidRPr="006475C0" w:rsidRDefault="00DF6DEE" w:rsidP="005054D6">
            <w:pPr>
              <w:pStyle w:val="142"/>
              <w:ind w:left="647" w:hanging="647"/>
              <w:jc w:val="center"/>
              <w:rPr>
                <w:rFonts w:hint="eastAsia"/>
                <w:szCs w:val="24"/>
              </w:rPr>
            </w:pPr>
          </w:p>
        </w:tc>
        <w:tc>
          <w:tcPr>
            <w:tcW w:w="1157" w:type="dxa"/>
            <w:shd w:val="clear" w:color="auto" w:fill="auto"/>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111年度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w:t>
            </w:r>
            <w:r w:rsidRPr="006475C0">
              <w:rPr>
                <w:rFonts w:hint="eastAsia"/>
                <w:b/>
                <w:szCs w:val="24"/>
                <w:lang w:eastAsia="zh-TW"/>
              </w:rPr>
              <w:t>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年度</w:t>
            </w:r>
          </w:p>
        </w:tc>
        <w:tc>
          <w:tcPr>
            <w:tcW w:w="1157"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111年度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w:t>
            </w:r>
            <w:r w:rsidRPr="006475C0">
              <w:rPr>
                <w:rFonts w:hint="eastAsia"/>
                <w:b/>
                <w:szCs w:val="24"/>
                <w:lang w:eastAsia="zh-TW"/>
              </w:rPr>
              <w:t>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年度</w:t>
            </w:r>
          </w:p>
        </w:tc>
      </w:tr>
      <w:tr w:rsidR="003A7740" w:rsidRPr="006475C0" w:rsidTr="003A7740">
        <w:trPr>
          <w:trHeight w:val="397"/>
        </w:trPr>
        <w:tc>
          <w:tcPr>
            <w:tcW w:w="2354" w:type="dxa"/>
            <w:tcBorders>
              <w:top w:val="single" w:sz="6" w:space="0" w:color="auto"/>
            </w:tcBorders>
            <w:shd w:val="clear" w:color="auto" w:fill="auto"/>
            <w:vAlign w:val="center"/>
          </w:tcPr>
          <w:p w:rsidR="003A7740" w:rsidRPr="006475C0" w:rsidRDefault="003A7740" w:rsidP="003A7740">
            <w:pPr>
              <w:pStyle w:val="142"/>
              <w:ind w:left="647" w:hanging="647"/>
              <w:rPr>
                <w:rFonts w:hint="eastAsia"/>
              </w:rPr>
            </w:pPr>
            <w:r w:rsidRPr="006475C0">
              <w:rPr>
                <w:rFonts w:hint="eastAsia"/>
              </w:rPr>
              <w:t>臺灣銀行</w:t>
            </w:r>
          </w:p>
        </w:tc>
        <w:tc>
          <w:tcPr>
            <w:tcW w:w="1157" w:type="dxa"/>
            <w:shd w:val="clear" w:color="auto" w:fill="auto"/>
            <w:vAlign w:val="center"/>
          </w:tcPr>
          <w:p w:rsidR="003A7740" w:rsidRPr="003A7740" w:rsidRDefault="003A7740" w:rsidP="003A7740">
            <w:pPr>
              <w:pStyle w:val="142"/>
              <w:jc w:val="right"/>
            </w:pPr>
            <w:r w:rsidRPr="003A7740">
              <w:t>191.65</w:t>
            </w:r>
          </w:p>
        </w:tc>
        <w:tc>
          <w:tcPr>
            <w:tcW w:w="1158" w:type="dxa"/>
            <w:vAlign w:val="center"/>
          </w:tcPr>
          <w:p w:rsidR="003A7740" w:rsidRPr="003A7740" w:rsidRDefault="003A7740" w:rsidP="003A7740">
            <w:pPr>
              <w:pStyle w:val="142"/>
              <w:jc w:val="right"/>
            </w:pPr>
            <w:r w:rsidRPr="003A7740">
              <w:t>284.53</w:t>
            </w:r>
          </w:p>
        </w:tc>
        <w:tc>
          <w:tcPr>
            <w:tcW w:w="1158" w:type="dxa"/>
            <w:vAlign w:val="center"/>
          </w:tcPr>
          <w:p w:rsidR="003A7740" w:rsidRPr="003A7740" w:rsidRDefault="003A7740" w:rsidP="003A7740">
            <w:pPr>
              <w:pStyle w:val="142"/>
              <w:jc w:val="right"/>
            </w:pPr>
            <w:r w:rsidRPr="003A7740">
              <w:t>321.87</w:t>
            </w:r>
          </w:p>
        </w:tc>
        <w:tc>
          <w:tcPr>
            <w:tcW w:w="1157" w:type="dxa"/>
            <w:vAlign w:val="center"/>
          </w:tcPr>
          <w:p w:rsidR="003A7740" w:rsidRPr="000B0A6C" w:rsidRDefault="003A7740" w:rsidP="003A7740">
            <w:pPr>
              <w:pStyle w:val="142"/>
              <w:ind w:left="647" w:hanging="647"/>
              <w:jc w:val="right"/>
            </w:pPr>
            <w:r w:rsidRPr="000B0A6C">
              <w:t>193.92</w:t>
            </w:r>
          </w:p>
        </w:tc>
        <w:tc>
          <w:tcPr>
            <w:tcW w:w="1158" w:type="dxa"/>
            <w:vAlign w:val="center"/>
          </w:tcPr>
          <w:p w:rsidR="003A7740" w:rsidRPr="00FD13B8" w:rsidRDefault="003A7740" w:rsidP="003A7740">
            <w:pPr>
              <w:pStyle w:val="142"/>
              <w:ind w:left="647" w:hanging="647"/>
              <w:jc w:val="right"/>
            </w:pPr>
            <w:r w:rsidRPr="00FD13B8">
              <w:t>239.65</w:t>
            </w:r>
          </w:p>
        </w:tc>
        <w:tc>
          <w:tcPr>
            <w:tcW w:w="1158" w:type="dxa"/>
            <w:vAlign w:val="center"/>
          </w:tcPr>
          <w:p w:rsidR="003A7740" w:rsidRPr="009D0D2B" w:rsidRDefault="003A7740" w:rsidP="003A7740">
            <w:pPr>
              <w:pStyle w:val="142"/>
              <w:ind w:left="647" w:hanging="647"/>
              <w:jc w:val="right"/>
            </w:pPr>
            <w:r w:rsidRPr="009D0D2B">
              <w:t>256.25</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臺灣土地銀行</w:t>
            </w:r>
          </w:p>
        </w:tc>
        <w:tc>
          <w:tcPr>
            <w:tcW w:w="1157" w:type="dxa"/>
            <w:shd w:val="clear" w:color="auto" w:fill="auto"/>
            <w:vAlign w:val="center"/>
          </w:tcPr>
          <w:p w:rsidR="003A7740" w:rsidRPr="003A7740" w:rsidRDefault="003A7740" w:rsidP="003A7740">
            <w:pPr>
              <w:pStyle w:val="142"/>
              <w:jc w:val="right"/>
            </w:pPr>
            <w:r w:rsidRPr="003A7740">
              <w:t>148.45</w:t>
            </w:r>
          </w:p>
        </w:tc>
        <w:tc>
          <w:tcPr>
            <w:tcW w:w="1158" w:type="dxa"/>
            <w:vAlign w:val="center"/>
          </w:tcPr>
          <w:p w:rsidR="003A7740" w:rsidRPr="003A7740" w:rsidRDefault="003A7740" w:rsidP="003A7740">
            <w:pPr>
              <w:pStyle w:val="142"/>
              <w:jc w:val="right"/>
            </w:pPr>
            <w:r w:rsidRPr="003A7740">
              <w:t>170.43</w:t>
            </w:r>
          </w:p>
        </w:tc>
        <w:tc>
          <w:tcPr>
            <w:tcW w:w="1158" w:type="dxa"/>
            <w:vAlign w:val="center"/>
          </w:tcPr>
          <w:p w:rsidR="003A7740" w:rsidRPr="003A7740" w:rsidRDefault="003A7740" w:rsidP="003A7740">
            <w:pPr>
              <w:pStyle w:val="142"/>
              <w:jc w:val="right"/>
            </w:pPr>
            <w:r w:rsidRPr="003A7740">
              <w:t>187.29</w:t>
            </w:r>
          </w:p>
        </w:tc>
        <w:tc>
          <w:tcPr>
            <w:tcW w:w="1157" w:type="dxa"/>
            <w:vAlign w:val="center"/>
          </w:tcPr>
          <w:p w:rsidR="003A7740" w:rsidRPr="000B0A6C" w:rsidRDefault="003A7740" w:rsidP="003A7740">
            <w:pPr>
              <w:pStyle w:val="142"/>
              <w:ind w:left="647" w:hanging="647"/>
              <w:jc w:val="right"/>
            </w:pPr>
            <w:r w:rsidRPr="000B0A6C">
              <w:t>140.93</w:t>
            </w:r>
          </w:p>
        </w:tc>
        <w:tc>
          <w:tcPr>
            <w:tcW w:w="1158" w:type="dxa"/>
            <w:vAlign w:val="center"/>
          </w:tcPr>
          <w:p w:rsidR="003A7740" w:rsidRPr="00FD13B8" w:rsidRDefault="003A7740" w:rsidP="003A7740">
            <w:pPr>
              <w:pStyle w:val="142"/>
              <w:ind w:left="647" w:hanging="647"/>
              <w:jc w:val="right"/>
            </w:pPr>
            <w:r w:rsidRPr="00FD13B8">
              <w:t>147.31</w:t>
            </w:r>
          </w:p>
        </w:tc>
        <w:tc>
          <w:tcPr>
            <w:tcW w:w="1158" w:type="dxa"/>
            <w:vAlign w:val="center"/>
          </w:tcPr>
          <w:p w:rsidR="003A7740" w:rsidRPr="009D0D2B" w:rsidRDefault="003A7740" w:rsidP="003A7740">
            <w:pPr>
              <w:pStyle w:val="142"/>
              <w:ind w:left="647" w:hanging="647"/>
              <w:jc w:val="right"/>
            </w:pPr>
            <w:r w:rsidRPr="009D0D2B">
              <w:t>150.47</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合作金庫商業銀行</w:t>
            </w:r>
          </w:p>
        </w:tc>
        <w:tc>
          <w:tcPr>
            <w:tcW w:w="1157" w:type="dxa"/>
            <w:shd w:val="clear" w:color="auto" w:fill="auto"/>
            <w:vAlign w:val="center"/>
          </w:tcPr>
          <w:p w:rsidR="003A7740" w:rsidRPr="003A7740" w:rsidRDefault="003A7740" w:rsidP="003A7740">
            <w:pPr>
              <w:pStyle w:val="142"/>
              <w:jc w:val="right"/>
            </w:pPr>
            <w:r w:rsidRPr="003A7740">
              <w:t>221.13</w:t>
            </w:r>
          </w:p>
        </w:tc>
        <w:tc>
          <w:tcPr>
            <w:tcW w:w="1158" w:type="dxa"/>
            <w:vAlign w:val="center"/>
          </w:tcPr>
          <w:p w:rsidR="003A7740" w:rsidRPr="003A7740" w:rsidRDefault="003A7740" w:rsidP="003A7740">
            <w:pPr>
              <w:pStyle w:val="142"/>
              <w:jc w:val="right"/>
            </w:pPr>
            <w:r w:rsidRPr="003A7740">
              <w:t>201.57</w:t>
            </w:r>
          </w:p>
        </w:tc>
        <w:tc>
          <w:tcPr>
            <w:tcW w:w="1158" w:type="dxa"/>
            <w:vAlign w:val="center"/>
          </w:tcPr>
          <w:p w:rsidR="003A7740" w:rsidRPr="003A7740" w:rsidRDefault="003A7740" w:rsidP="003A7740">
            <w:pPr>
              <w:pStyle w:val="142"/>
              <w:jc w:val="right"/>
            </w:pPr>
            <w:r w:rsidRPr="003A7740">
              <w:t>231.48</w:t>
            </w:r>
          </w:p>
        </w:tc>
        <w:tc>
          <w:tcPr>
            <w:tcW w:w="1157" w:type="dxa"/>
            <w:vAlign w:val="center"/>
          </w:tcPr>
          <w:p w:rsidR="003A7740" w:rsidRPr="000B0A6C" w:rsidRDefault="003A7740" w:rsidP="003A7740">
            <w:pPr>
              <w:pStyle w:val="142"/>
              <w:ind w:left="647" w:hanging="647"/>
              <w:jc w:val="right"/>
            </w:pPr>
            <w:r w:rsidRPr="000B0A6C">
              <w:t>105.24</w:t>
            </w:r>
          </w:p>
        </w:tc>
        <w:tc>
          <w:tcPr>
            <w:tcW w:w="1158" w:type="dxa"/>
            <w:vAlign w:val="center"/>
          </w:tcPr>
          <w:p w:rsidR="003A7740" w:rsidRPr="00FD13B8" w:rsidRDefault="003A7740" w:rsidP="003A7740">
            <w:pPr>
              <w:pStyle w:val="142"/>
              <w:ind w:left="647" w:hanging="647"/>
              <w:jc w:val="right"/>
            </w:pPr>
            <w:r w:rsidRPr="00FD13B8">
              <w:t>86.57</w:t>
            </w:r>
          </w:p>
        </w:tc>
        <w:tc>
          <w:tcPr>
            <w:tcW w:w="1158" w:type="dxa"/>
            <w:vAlign w:val="center"/>
          </w:tcPr>
          <w:p w:rsidR="003A7740" w:rsidRPr="009D0D2B" w:rsidRDefault="003A7740" w:rsidP="003A7740">
            <w:pPr>
              <w:pStyle w:val="142"/>
              <w:ind w:left="647" w:hanging="647"/>
              <w:jc w:val="right"/>
            </w:pPr>
            <w:r w:rsidRPr="009D0D2B">
              <w:t>100.54</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第一商業銀行</w:t>
            </w:r>
          </w:p>
        </w:tc>
        <w:tc>
          <w:tcPr>
            <w:tcW w:w="1157" w:type="dxa"/>
            <w:shd w:val="clear" w:color="auto" w:fill="auto"/>
            <w:vAlign w:val="center"/>
          </w:tcPr>
          <w:p w:rsidR="003A7740" w:rsidRPr="003A7740" w:rsidRDefault="003A7740" w:rsidP="003A7740">
            <w:pPr>
              <w:pStyle w:val="142"/>
              <w:jc w:val="right"/>
            </w:pPr>
            <w:r w:rsidRPr="003A7740">
              <w:t>237.88</w:t>
            </w:r>
          </w:p>
        </w:tc>
        <w:tc>
          <w:tcPr>
            <w:tcW w:w="1158" w:type="dxa"/>
            <w:vAlign w:val="center"/>
          </w:tcPr>
          <w:p w:rsidR="003A7740" w:rsidRPr="003A7740" w:rsidRDefault="003A7740" w:rsidP="003A7740">
            <w:pPr>
              <w:pStyle w:val="142"/>
              <w:jc w:val="right"/>
            </w:pPr>
            <w:r w:rsidRPr="003A7740">
              <w:t>266.28</w:t>
            </w:r>
          </w:p>
        </w:tc>
        <w:tc>
          <w:tcPr>
            <w:tcW w:w="1158" w:type="dxa"/>
            <w:vAlign w:val="center"/>
          </w:tcPr>
          <w:p w:rsidR="003A7740" w:rsidRPr="003A7740" w:rsidRDefault="003A7740" w:rsidP="003A7740">
            <w:pPr>
              <w:pStyle w:val="142"/>
              <w:jc w:val="right"/>
            </w:pPr>
            <w:r w:rsidRPr="003A7740">
              <w:t>292.43</w:t>
            </w:r>
          </w:p>
        </w:tc>
        <w:tc>
          <w:tcPr>
            <w:tcW w:w="1157" w:type="dxa"/>
            <w:vAlign w:val="center"/>
          </w:tcPr>
          <w:p w:rsidR="003A7740" w:rsidRPr="000B0A6C" w:rsidRDefault="003A7740" w:rsidP="003A7740">
            <w:pPr>
              <w:pStyle w:val="142"/>
              <w:ind w:left="647" w:hanging="647"/>
              <w:jc w:val="right"/>
            </w:pPr>
            <w:r w:rsidRPr="000B0A6C">
              <w:t>106.1</w:t>
            </w:r>
            <w:r w:rsidR="006C424F">
              <w:rPr>
                <w:rFonts w:hint="eastAsia"/>
                <w:lang w:eastAsia="zh-TW"/>
              </w:rPr>
              <w:t>2</w:t>
            </w:r>
          </w:p>
        </w:tc>
        <w:tc>
          <w:tcPr>
            <w:tcW w:w="1158" w:type="dxa"/>
            <w:vAlign w:val="center"/>
          </w:tcPr>
          <w:p w:rsidR="003A7740" w:rsidRPr="00FD13B8" w:rsidRDefault="003A7740" w:rsidP="003A7740">
            <w:pPr>
              <w:pStyle w:val="142"/>
              <w:ind w:left="647" w:hanging="647"/>
              <w:jc w:val="right"/>
            </w:pPr>
            <w:r w:rsidRPr="00FD13B8">
              <w:t>101.7</w:t>
            </w:r>
            <w:r w:rsidR="006C424F">
              <w:rPr>
                <w:rFonts w:hint="eastAsia"/>
                <w:lang w:eastAsia="zh-TW"/>
              </w:rPr>
              <w:t>2</w:t>
            </w:r>
          </w:p>
        </w:tc>
        <w:tc>
          <w:tcPr>
            <w:tcW w:w="1158" w:type="dxa"/>
            <w:vAlign w:val="center"/>
          </w:tcPr>
          <w:p w:rsidR="003A7740" w:rsidRPr="009D0D2B" w:rsidRDefault="003A7740" w:rsidP="003A7740">
            <w:pPr>
              <w:pStyle w:val="142"/>
              <w:ind w:left="647" w:hanging="647"/>
              <w:jc w:val="right"/>
            </w:pPr>
            <w:r w:rsidRPr="009D0D2B">
              <w:t>103.6</w:t>
            </w:r>
            <w:r w:rsidR="006C424F">
              <w:rPr>
                <w:rFonts w:hint="eastAsia"/>
                <w:lang w:eastAsia="zh-TW"/>
              </w:rPr>
              <w:t>1</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lastRenderedPageBreak/>
              <w:t>華南商業銀行</w:t>
            </w:r>
          </w:p>
        </w:tc>
        <w:tc>
          <w:tcPr>
            <w:tcW w:w="1157" w:type="dxa"/>
            <w:shd w:val="clear" w:color="auto" w:fill="auto"/>
            <w:vAlign w:val="center"/>
          </w:tcPr>
          <w:p w:rsidR="003A7740" w:rsidRPr="003A7740" w:rsidRDefault="003A7740" w:rsidP="003A7740">
            <w:pPr>
              <w:pStyle w:val="142"/>
              <w:jc w:val="right"/>
            </w:pPr>
            <w:r w:rsidRPr="003A7740">
              <w:t>200.38</w:t>
            </w:r>
          </w:p>
        </w:tc>
        <w:tc>
          <w:tcPr>
            <w:tcW w:w="1158" w:type="dxa"/>
            <w:vAlign w:val="center"/>
          </w:tcPr>
          <w:p w:rsidR="003A7740" w:rsidRPr="003A7740" w:rsidRDefault="003A7740" w:rsidP="003A7740">
            <w:pPr>
              <w:pStyle w:val="142"/>
              <w:jc w:val="right"/>
            </w:pPr>
            <w:r w:rsidRPr="003A7740">
              <w:t>244.73</w:t>
            </w:r>
          </w:p>
        </w:tc>
        <w:tc>
          <w:tcPr>
            <w:tcW w:w="1158" w:type="dxa"/>
            <w:vAlign w:val="center"/>
          </w:tcPr>
          <w:p w:rsidR="003A7740" w:rsidRPr="003A7740" w:rsidRDefault="003A7740" w:rsidP="003A7740">
            <w:pPr>
              <w:pStyle w:val="142"/>
              <w:jc w:val="right"/>
            </w:pPr>
            <w:r w:rsidRPr="003A7740">
              <w:t>265.61</w:t>
            </w:r>
          </w:p>
        </w:tc>
        <w:tc>
          <w:tcPr>
            <w:tcW w:w="1157" w:type="dxa"/>
            <w:vAlign w:val="center"/>
          </w:tcPr>
          <w:p w:rsidR="003A7740" w:rsidRPr="000B0A6C" w:rsidRDefault="003A7740" w:rsidP="003A7740">
            <w:pPr>
              <w:pStyle w:val="142"/>
              <w:ind w:left="647" w:hanging="647"/>
              <w:jc w:val="right"/>
            </w:pPr>
            <w:r w:rsidRPr="000B0A6C">
              <w:t>108.03</w:t>
            </w:r>
          </w:p>
        </w:tc>
        <w:tc>
          <w:tcPr>
            <w:tcW w:w="1158" w:type="dxa"/>
            <w:vAlign w:val="center"/>
          </w:tcPr>
          <w:p w:rsidR="003A7740" w:rsidRPr="00FD13B8" w:rsidRDefault="003A7740" w:rsidP="003A7740">
            <w:pPr>
              <w:pStyle w:val="142"/>
              <w:ind w:left="647" w:hanging="647"/>
              <w:jc w:val="right"/>
            </w:pPr>
            <w:r w:rsidRPr="00FD13B8">
              <w:t>118.02</w:t>
            </w:r>
          </w:p>
        </w:tc>
        <w:tc>
          <w:tcPr>
            <w:tcW w:w="1158" w:type="dxa"/>
            <w:vAlign w:val="center"/>
          </w:tcPr>
          <w:p w:rsidR="003A7740" w:rsidRPr="009D0D2B" w:rsidRDefault="003A7740" w:rsidP="003A7740">
            <w:pPr>
              <w:pStyle w:val="142"/>
              <w:ind w:left="647" w:hanging="647"/>
              <w:jc w:val="right"/>
            </w:pPr>
            <w:r w:rsidRPr="009D0D2B">
              <w:t>100.77</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彰化商業銀行</w:t>
            </w:r>
          </w:p>
        </w:tc>
        <w:tc>
          <w:tcPr>
            <w:tcW w:w="1157" w:type="dxa"/>
            <w:shd w:val="clear" w:color="auto" w:fill="auto"/>
            <w:vAlign w:val="center"/>
          </w:tcPr>
          <w:p w:rsidR="003A7740" w:rsidRPr="003A7740" w:rsidRDefault="003A7740" w:rsidP="003A7740">
            <w:pPr>
              <w:pStyle w:val="142"/>
              <w:jc w:val="right"/>
            </w:pPr>
            <w:r w:rsidRPr="003A7740">
              <w:t>129.85</w:t>
            </w:r>
          </w:p>
        </w:tc>
        <w:tc>
          <w:tcPr>
            <w:tcW w:w="1158" w:type="dxa"/>
            <w:vAlign w:val="center"/>
          </w:tcPr>
          <w:p w:rsidR="003A7740" w:rsidRPr="003A7740" w:rsidRDefault="003A7740" w:rsidP="003A7740">
            <w:pPr>
              <w:pStyle w:val="142"/>
              <w:jc w:val="right"/>
            </w:pPr>
            <w:r w:rsidRPr="003A7740">
              <w:t>161.17</w:t>
            </w:r>
          </w:p>
        </w:tc>
        <w:tc>
          <w:tcPr>
            <w:tcW w:w="1158" w:type="dxa"/>
            <w:vAlign w:val="center"/>
          </w:tcPr>
          <w:p w:rsidR="003A7740" w:rsidRPr="003A7740" w:rsidRDefault="003A7740" w:rsidP="003A7740">
            <w:pPr>
              <w:pStyle w:val="142"/>
              <w:jc w:val="right"/>
            </w:pPr>
            <w:r w:rsidRPr="003A7740">
              <w:t>183.47</w:t>
            </w:r>
          </w:p>
        </w:tc>
        <w:tc>
          <w:tcPr>
            <w:tcW w:w="1157" w:type="dxa"/>
            <w:vAlign w:val="center"/>
          </w:tcPr>
          <w:p w:rsidR="003A7740" w:rsidRDefault="003A7740" w:rsidP="003A7740">
            <w:pPr>
              <w:pStyle w:val="142"/>
              <w:ind w:left="647" w:hanging="647"/>
              <w:jc w:val="right"/>
            </w:pPr>
            <w:r w:rsidRPr="000B0A6C">
              <w:t>116.43</w:t>
            </w:r>
          </w:p>
        </w:tc>
        <w:tc>
          <w:tcPr>
            <w:tcW w:w="1158" w:type="dxa"/>
            <w:vAlign w:val="center"/>
          </w:tcPr>
          <w:p w:rsidR="003A7740" w:rsidRDefault="003A7740" w:rsidP="003A7740">
            <w:pPr>
              <w:pStyle w:val="142"/>
              <w:ind w:left="647" w:hanging="647"/>
              <w:jc w:val="right"/>
            </w:pPr>
            <w:r w:rsidRPr="00FD13B8">
              <w:t>110.93</w:t>
            </w:r>
          </w:p>
        </w:tc>
        <w:tc>
          <w:tcPr>
            <w:tcW w:w="1158" w:type="dxa"/>
            <w:vAlign w:val="center"/>
          </w:tcPr>
          <w:p w:rsidR="003A7740" w:rsidRDefault="003A7740" w:rsidP="003A7740">
            <w:pPr>
              <w:pStyle w:val="142"/>
              <w:ind w:left="647" w:hanging="647"/>
              <w:jc w:val="right"/>
            </w:pPr>
            <w:r w:rsidRPr="009D0D2B">
              <w:t>109.64</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兆豐國際商業銀行</w:t>
            </w:r>
          </w:p>
        </w:tc>
        <w:tc>
          <w:tcPr>
            <w:tcW w:w="1157" w:type="dxa"/>
            <w:shd w:val="clear" w:color="auto" w:fill="auto"/>
            <w:vAlign w:val="center"/>
          </w:tcPr>
          <w:p w:rsidR="003A7740" w:rsidRPr="003A7740" w:rsidRDefault="003A7740" w:rsidP="003A7740">
            <w:pPr>
              <w:pStyle w:val="142"/>
              <w:jc w:val="right"/>
            </w:pPr>
            <w:r w:rsidRPr="003A7740">
              <w:t>267.45</w:t>
            </w:r>
          </w:p>
        </w:tc>
        <w:tc>
          <w:tcPr>
            <w:tcW w:w="1158" w:type="dxa"/>
            <w:vAlign w:val="center"/>
          </w:tcPr>
          <w:p w:rsidR="003A7740" w:rsidRPr="003A7740" w:rsidRDefault="003A7740" w:rsidP="003A7740">
            <w:pPr>
              <w:pStyle w:val="142"/>
              <w:jc w:val="right"/>
            </w:pPr>
            <w:r w:rsidRPr="003A7740">
              <w:t>352.82</w:t>
            </w:r>
          </w:p>
        </w:tc>
        <w:tc>
          <w:tcPr>
            <w:tcW w:w="1158" w:type="dxa"/>
            <w:vAlign w:val="center"/>
          </w:tcPr>
          <w:p w:rsidR="003A7740" w:rsidRPr="003A7740" w:rsidRDefault="003A7740" w:rsidP="003A7740">
            <w:pPr>
              <w:pStyle w:val="142"/>
              <w:jc w:val="right"/>
            </w:pPr>
            <w:r w:rsidRPr="003A7740">
              <w:t>330.63</w:t>
            </w:r>
          </w:p>
        </w:tc>
        <w:tc>
          <w:tcPr>
            <w:tcW w:w="1157" w:type="dxa"/>
            <w:vAlign w:val="center"/>
          </w:tcPr>
          <w:p w:rsidR="003A7740" w:rsidRPr="007634C1" w:rsidRDefault="003A7740" w:rsidP="003A7740">
            <w:pPr>
              <w:pStyle w:val="142"/>
              <w:ind w:left="647" w:hanging="647"/>
              <w:jc w:val="right"/>
            </w:pPr>
            <w:r>
              <w:rPr>
                <w:rFonts w:hint="eastAsia"/>
                <w:lang w:eastAsia="zh-TW"/>
              </w:rPr>
              <w:t>109.89</w:t>
            </w:r>
          </w:p>
        </w:tc>
        <w:tc>
          <w:tcPr>
            <w:tcW w:w="1158" w:type="dxa"/>
            <w:vAlign w:val="center"/>
          </w:tcPr>
          <w:p w:rsidR="003A7740" w:rsidRPr="00AF1882" w:rsidRDefault="003A7740" w:rsidP="003A7740">
            <w:pPr>
              <w:pStyle w:val="142"/>
              <w:ind w:left="647" w:hanging="647"/>
              <w:jc w:val="right"/>
            </w:pPr>
            <w:r w:rsidRPr="00AF1882">
              <w:t>132.69</w:t>
            </w:r>
          </w:p>
        </w:tc>
        <w:tc>
          <w:tcPr>
            <w:tcW w:w="1158" w:type="dxa"/>
            <w:vAlign w:val="center"/>
          </w:tcPr>
          <w:p w:rsidR="003A7740" w:rsidRPr="00220D73" w:rsidRDefault="003A7740" w:rsidP="003A7740">
            <w:pPr>
              <w:pStyle w:val="142"/>
              <w:ind w:left="647" w:hanging="647"/>
              <w:jc w:val="right"/>
            </w:pPr>
            <w:r w:rsidRPr="00220D73">
              <w:t>104.59</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szCs w:val="24"/>
              </w:rPr>
            </w:pPr>
            <w:r w:rsidRPr="006475C0">
              <w:rPr>
                <w:rFonts w:hint="eastAsia"/>
                <w:szCs w:val="24"/>
              </w:rPr>
              <w:t>臺灣中小企業銀行</w:t>
            </w:r>
          </w:p>
        </w:tc>
        <w:tc>
          <w:tcPr>
            <w:tcW w:w="1157" w:type="dxa"/>
            <w:shd w:val="clear" w:color="auto" w:fill="auto"/>
            <w:vAlign w:val="center"/>
          </w:tcPr>
          <w:p w:rsidR="003A7740" w:rsidRPr="003A7740" w:rsidRDefault="003A7740" w:rsidP="003A7740">
            <w:pPr>
              <w:pStyle w:val="142"/>
              <w:jc w:val="right"/>
            </w:pPr>
            <w:r w:rsidRPr="003A7740">
              <w:t>119.91</w:t>
            </w:r>
          </w:p>
        </w:tc>
        <w:tc>
          <w:tcPr>
            <w:tcW w:w="1158" w:type="dxa"/>
            <w:vAlign w:val="center"/>
          </w:tcPr>
          <w:p w:rsidR="003A7740" w:rsidRPr="003A7740" w:rsidRDefault="003A7740" w:rsidP="003A7740">
            <w:pPr>
              <w:pStyle w:val="142"/>
              <w:jc w:val="right"/>
            </w:pPr>
            <w:r w:rsidRPr="003A7740">
              <w:t>123.56</w:t>
            </w:r>
          </w:p>
        </w:tc>
        <w:tc>
          <w:tcPr>
            <w:tcW w:w="1158" w:type="dxa"/>
            <w:vAlign w:val="center"/>
          </w:tcPr>
          <w:p w:rsidR="003A7740" w:rsidRPr="003A7740" w:rsidRDefault="003A7740" w:rsidP="003A7740">
            <w:pPr>
              <w:pStyle w:val="142"/>
              <w:jc w:val="right"/>
            </w:pPr>
            <w:r w:rsidRPr="003A7740">
              <w:t>140.32</w:t>
            </w:r>
          </w:p>
        </w:tc>
        <w:tc>
          <w:tcPr>
            <w:tcW w:w="1157" w:type="dxa"/>
            <w:vAlign w:val="center"/>
          </w:tcPr>
          <w:p w:rsidR="003A7740" w:rsidRDefault="003A7740" w:rsidP="003A7740">
            <w:pPr>
              <w:pStyle w:val="142"/>
              <w:ind w:left="647" w:hanging="647"/>
              <w:jc w:val="right"/>
            </w:pPr>
            <w:r>
              <w:rPr>
                <w:rFonts w:hint="eastAsia"/>
                <w:lang w:eastAsia="zh-TW"/>
              </w:rPr>
              <w:t>154.63</w:t>
            </w:r>
          </w:p>
        </w:tc>
        <w:tc>
          <w:tcPr>
            <w:tcW w:w="1158" w:type="dxa"/>
            <w:vAlign w:val="center"/>
          </w:tcPr>
          <w:p w:rsidR="003A7740" w:rsidRDefault="003A7740" w:rsidP="003A7740">
            <w:pPr>
              <w:pStyle w:val="142"/>
              <w:ind w:left="647" w:hanging="647"/>
              <w:jc w:val="right"/>
            </w:pPr>
            <w:r w:rsidRPr="00AF1882">
              <w:t>105.64</w:t>
            </w:r>
          </w:p>
        </w:tc>
        <w:tc>
          <w:tcPr>
            <w:tcW w:w="1158" w:type="dxa"/>
            <w:vAlign w:val="center"/>
          </w:tcPr>
          <w:p w:rsidR="003A7740" w:rsidRDefault="003A7740" w:rsidP="003A7740">
            <w:pPr>
              <w:pStyle w:val="142"/>
              <w:ind w:left="647" w:hanging="647"/>
              <w:jc w:val="right"/>
            </w:pPr>
            <w:r w:rsidRPr="00220D73">
              <w:t>106.48</w:t>
            </w:r>
          </w:p>
        </w:tc>
      </w:tr>
    </w:tbl>
    <w:p w:rsidR="00DF6DEE" w:rsidRDefault="00DF6DEE" w:rsidP="00DF6DEE">
      <w:pPr>
        <w:pStyle w:val="142"/>
        <w:ind w:leftChars="-150" w:left="791" w:rightChars="-150" w:right="-425" w:hangingChars="500" w:hanging="1216"/>
        <w:rPr>
          <w:rFonts w:hint="eastAsia"/>
          <w:lang w:eastAsia="zh-TW"/>
        </w:rPr>
      </w:pPr>
      <w:r>
        <w:rPr>
          <w:rFonts w:hint="eastAsia"/>
          <w:lang w:eastAsia="zh-TW"/>
        </w:rPr>
        <w:t>說    明：有關各銀行之「預算達成率」係以</w:t>
      </w:r>
      <w:r w:rsidRPr="00AD07F2">
        <w:rPr>
          <w:rFonts w:hint="eastAsia"/>
          <w:b/>
          <w:u w:val="single"/>
          <w:lang w:eastAsia="zh-TW"/>
        </w:rPr>
        <w:t>稅後淨利</w:t>
      </w:r>
      <w:r>
        <w:rPr>
          <w:rFonts w:hint="eastAsia"/>
          <w:lang w:eastAsia="zh-TW"/>
        </w:rPr>
        <w:t>計算，據財政部國庫署所提供有關是項比率之計算基礎，其中預算數部分，</w:t>
      </w:r>
      <w:r w:rsidRPr="00D02548">
        <w:rPr>
          <w:rFonts w:hint="eastAsia"/>
          <w:lang w:eastAsia="zh-TW"/>
        </w:rPr>
        <w:t>臺灣銀行及臺灣土地銀行</w:t>
      </w:r>
      <w:r>
        <w:rPr>
          <w:rFonts w:hint="eastAsia"/>
          <w:lang w:eastAsia="zh-TW"/>
        </w:rPr>
        <w:t>係法定預算數，餘其他銀行</w:t>
      </w:r>
      <w:r w:rsidRPr="00D02548">
        <w:rPr>
          <w:rFonts w:hint="eastAsia"/>
          <w:lang w:eastAsia="zh-TW"/>
        </w:rPr>
        <w:t>為公司內部預算數</w:t>
      </w:r>
      <w:r>
        <w:rPr>
          <w:rFonts w:hint="eastAsia"/>
          <w:lang w:eastAsia="zh-TW"/>
        </w:rPr>
        <w:t>，至決算數部分，</w:t>
      </w:r>
      <w:r w:rsidRPr="00D02548">
        <w:rPr>
          <w:rFonts w:hint="eastAsia"/>
          <w:lang w:eastAsia="zh-TW"/>
        </w:rPr>
        <w:t>臺灣銀行及臺灣土地銀行111及112年度</w:t>
      </w:r>
      <w:r>
        <w:rPr>
          <w:rFonts w:hint="eastAsia"/>
          <w:lang w:eastAsia="zh-TW"/>
        </w:rPr>
        <w:t>為審定</w:t>
      </w:r>
      <w:r w:rsidRPr="00D02548">
        <w:rPr>
          <w:rFonts w:hint="eastAsia"/>
          <w:lang w:eastAsia="zh-TW"/>
        </w:rPr>
        <w:t>數，113年度為院編數</w:t>
      </w:r>
      <w:r>
        <w:rPr>
          <w:rFonts w:hint="eastAsia"/>
          <w:lang w:eastAsia="zh-TW"/>
        </w:rPr>
        <w:t>，餘其他銀行</w:t>
      </w:r>
      <w:r w:rsidRPr="00D02548">
        <w:rPr>
          <w:rFonts w:hint="eastAsia"/>
          <w:lang w:eastAsia="zh-TW"/>
        </w:rPr>
        <w:t>為會計師查核數。</w:t>
      </w:r>
    </w:p>
    <w:p w:rsidR="00DA4146" w:rsidRDefault="00DF6DEE" w:rsidP="00B92E79">
      <w:pPr>
        <w:pStyle w:val="142"/>
        <w:ind w:leftChars="-150" w:left="791" w:rightChars="-150" w:right="-425" w:hangingChars="500" w:hanging="1216"/>
      </w:pPr>
      <w:r w:rsidRPr="00E04F94">
        <w:rPr>
          <w:rFonts w:hint="eastAsia"/>
        </w:rPr>
        <w:t>資料來源：</w:t>
      </w:r>
      <w:r w:rsidR="0006202E">
        <w:rPr>
          <w:rFonts w:hint="eastAsia"/>
          <w:lang w:eastAsia="zh-TW"/>
        </w:rPr>
        <w:t>稅前盈餘係查詢</w:t>
      </w:r>
      <w:r w:rsidR="00851875">
        <w:rPr>
          <w:rFonts w:hint="eastAsia"/>
        </w:rPr>
        <w:t>金管會銀行局</w:t>
      </w:r>
      <w:r w:rsidR="00851875">
        <w:rPr>
          <w:rFonts w:hint="eastAsia"/>
          <w:lang w:eastAsia="zh-TW"/>
        </w:rPr>
        <w:t>統計資料庫動態查訊系統</w:t>
      </w:r>
      <w:r>
        <w:rPr>
          <w:rFonts w:hint="eastAsia"/>
        </w:rPr>
        <w:t>，</w:t>
      </w:r>
      <w:r w:rsidR="00851875" w:rsidRPr="00851875">
        <w:t>https://survey.banking.gov.tw/statis/webMain.aspx?k=defjsp</w:t>
      </w:r>
      <w:r w:rsidRPr="001C65A2">
        <w:rPr>
          <w:rFonts w:hint="eastAsia"/>
        </w:rPr>
        <w:t xml:space="preserve"> </w:t>
      </w:r>
      <w:r>
        <w:rPr>
          <w:rFonts w:hint="eastAsia"/>
        </w:rPr>
        <w:t>(最後瀏覽日：114年7月7日)</w:t>
      </w:r>
      <w:r w:rsidR="00851875">
        <w:rPr>
          <w:rFonts w:hint="eastAsia"/>
          <w:lang w:eastAsia="zh-TW"/>
        </w:rPr>
        <w:t>，預算達成率則係由財政部國庫署所提供；</w:t>
      </w:r>
      <w:r>
        <w:rPr>
          <w:rFonts w:hint="eastAsia"/>
        </w:rPr>
        <w:t>本中心彙製。</w:t>
      </w:r>
    </w:p>
    <w:p w:rsidR="00980C2C" w:rsidRPr="00A46A86" w:rsidRDefault="00980C2C" w:rsidP="00785E9C">
      <w:pPr>
        <w:pStyle w:val="123"/>
        <w:ind w:leftChars="-100" w:left="-141" w:rightChars="-300" w:right="-850" w:hangingChars="50" w:hanging="142"/>
        <w:rPr>
          <w:sz w:val="24"/>
          <w:szCs w:val="24"/>
        </w:rPr>
      </w:pPr>
      <w:r w:rsidRPr="00E04F94">
        <w:rPr>
          <w:rFonts w:hint="eastAsia"/>
          <w:b/>
        </w:rPr>
        <w:t>表</w:t>
      </w:r>
      <w:r w:rsidR="00785E9C">
        <w:rPr>
          <w:rFonts w:hint="eastAsia"/>
          <w:b/>
          <w:lang w:eastAsia="zh-TW"/>
        </w:rPr>
        <w:t>7</w:t>
      </w:r>
      <w:r>
        <w:rPr>
          <w:rFonts w:hint="eastAsia"/>
          <w:b/>
        </w:rPr>
        <w:t xml:space="preserve"> </w:t>
      </w:r>
      <w:r>
        <w:rPr>
          <w:rFonts w:hint="eastAsia"/>
          <w:b/>
          <w:lang w:eastAsia="zh-TW"/>
        </w:rPr>
        <w:t xml:space="preserve"> 公股銀行</w:t>
      </w:r>
      <w:r w:rsidR="005D35E2">
        <w:rPr>
          <w:b/>
        </w:rPr>
        <w:t>11</w:t>
      </w:r>
      <w:r w:rsidR="005D35E2">
        <w:rPr>
          <w:rFonts w:hint="eastAsia"/>
          <w:b/>
          <w:lang w:eastAsia="zh-TW"/>
        </w:rPr>
        <w:t>1至113年</w:t>
      </w:r>
      <w:r w:rsidR="00C86234">
        <w:rPr>
          <w:rFonts w:hint="eastAsia"/>
          <w:b/>
          <w:lang w:eastAsia="zh-TW"/>
        </w:rPr>
        <w:t>度</w:t>
      </w:r>
      <w:r>
        <w:rPr>
          <w:rFonts w:hint="eastAsia"/>
          <w:b/>
          <w:lang w:eastAsia="zh-TW"/>
        </w:rPr>
        <w:t>獲利來源</w:t>
      </w:r>
      <w:r w:rsidR="004C01A7">
        <w:rPr>
          <w:rFonts w:hint="eastAsia"/>
          <w:b/>
          <w:lang w:eastAsia="zh-TW"/>
        </w:rPr>
        <w:t>占比分析</w:t>
      </w:r>
      <w:r>
        <w:rPr>
          <w:rFonts w:hint="eastAsia"/>
          <w:b/>
          <w:lang w:eastAsia="zh-TW"/>
        </w:rPr>
        <w:t>表</w:t>
      </w:r>
      <w:r w:rsidR="00785E9C">
        <w:rPr>
          <w:rFonts w:hint="eastAsia"/>
          <w:b/>
          <w:lang w:eastAsia="zh-TW"/>
        </w:rPr>
        <w:t xml:space="preserve">    </w:t>
      </w:r>
      <w:r w:rsidR="00FB1747">
        <w:rPr>
          <w:b/>
          <w:lang w:eastAsia="zh-TW"/>
        </w:rPr>
        <w:t xml:space="preserve"> </w:t>
      </w:r>
      <w:r w:rsidR="00785E9C">
        <w:rPr>
          <w:rFonts w:hint="eastAsia"/>
          <w:b/>
          <w:lang w:eastAsia="zh-TW"/>
        </w:rPr>
        <w:t xml:space="preserve"> </w:t>
      </w:r>
      <w:r w:rsidR="00397F35">
        <w:rPr>
          <w:b/>
          <w:lang w:eastAsia="zh-TW"/>
        </w:rPr>
        <w:t xml:space="preserve"> </w:t>
      </w:r>
      <w:r w:rsidR="005D35E2">
        <w:rPr>
          <w:b/>
          <w:lang w:eastAsia="zh-TW"/>
        </w:rPr>
        <w:t xml:space="preserve">      </w:t>
      </w:r>
      <w:r w:rsidR="00785E9C">
        <w:rPr>
          <w:rFonts w:hint="eastAsia"/>
          <w:b/>
          <w:lang w:eastAsia="zh-TW"/>
        </w:rPr>
        <w:t xml:space="preserve"> </w:t>
      </w:r>
      <w:r w:rsidRPr="00A46A86">
        <w:rPr>
          <w:rFonts w:hint="eastAsia"/>
          <w:sz w:val="24"/>
          <w:szCs w:val="24"/>
        </w:rPr>
        <w:t>單位：</w:t>
      </w:r>
      <w:r w:rsidR="00785E9C" w:rsidRPr="00A46A86">
        <w:rPr>
          <w:rFonts w:hint="eastAsia"/>
          <w:sz w:val="24"/>
          <w:szCs w:val="24"/>
        </w:rPr>
        <w:t xml:space="preserve"> </w:t>
      </w:r>
      <w:r w:rsidRPr="00A46A86">
        <w:rPr>
          <w:rFonts w:hint="eastAsia"/>
          <w:sz w:val="24"/>
          <w:szCs w:val="24"/>
        </w:rPr>
        <w:t>%</w:t>
      </w:r>
    </w:p>
    <w:tbl>
      <w:tblPr>
        <w:tblW w:w="9327"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2098"/>
        <w:gridCol w:w="1985"/>
        <w:gridCol w:w="1748"/>
        <w:gridCol w:w="1748"/>
        <w:gridCol w:w="1748"/>
      </w:tblGrid>
      <w:tr w:rsidR="005D35E2" w:rsidRPr="00980C2C" w:rsidTr="005D35E2">
        <w:trPr>
          <w:trHeight w:val="283"/>
          <w:tblHeader/>
        </w:trPr>
        <w:tc>
          <w:tcPr>
            <w:tcW w:w="4083" w:type="dxa"/>
            <w:gridSpan w:val="2"/>
            <w:tcBorders>
              <w:top w:val="single" w:sz="12" w:space="0" w:color="auto"/>
              <w:bottom w:val="single" w:sz="6" w:space="0" w:color="auto"/>
              <w:tl2br w:val="single" w:sz="6" w:space="0" w:color="auto"/>
            </w:tcBorders>
            <w:shd w:val="clear" w:color="auto" w:fill="FFFFFF"/>
            <w:vAlign w:val="center"/>
          </w:tcPr>
          <w:p w:rsidR="005D35E2" w:rsidRPr="00785E9C" w:rsidRDefault="005D35E2" w:rsidP="00980C2C">
            <w:pPr>
              <w:pStyle w:val="142"/>
              <w:rPr>
                <w:b/>
              </w:rPr>
            </w:pPr>
            <w:r w:rsidRPr="00785E9C">
              <w:rPr>
                <w:rFonts w:hint="eastAsia"/>
                <w:b/>
              </w:rPr>
              <w:t xml:space="preserve">                  </w:t>
            </w:r>
            <w:r w:rsidRPr="00785E9C">
              <w:rPr>
                <w:rFonts w:hint="eastAsia"/>
                <w:b/>
                <w:lang w:eastAsia="zh-TW"/>
              </w:rPr>
              <w:t xml:space="preserve">    </w:t>
            </w:r>
            <w:r w:rsidRPr="00785E9C">
              <w:rPr>
                <w:rFonts w:hint="eastAsia"/>
                <w:b/>
              </w:rPr>
              <w:t xml:space="preserve"> 年度</w:t>
            </w:r>
          </w:p>
          <w:p w:rsidR="005D35E2" w:rsidRPr="00785E9C" w:rsidRDefault="005D35E2" w:rsidP="004C01A7">
            <w:pPr>
              <w:pStyle w:val="142"/>
              <w:rPr>
                <w:b/>
                <w:lang w:eastAsia="zh-TW"/>
              </w:rPr>
            </w:pPr>
            <w:r w:rsidRPr="00785E9C">
              <w:rPr>
                <w:rFonts w:hint="eastAsia"/>
                <w:b/>
              </w:rPr>
              <w:t>銀行別及</w:t>
            </w:r>
            <w:r>
              <w:rPr>
                <w:rFonts w:hint="eastAsia"/>
                <w:b/>
                <w:lang w:eastAsia="zh-TW"/>
              </w:rPr>
              <w:t>占比</w:t>
            </w:r>
          </w:p>
        </w:tc>
        <w:tc>
          <w:tcPr>
            <w:tcW w:w="1748" w:type="dxa"/>
            <w:tcBorders>
              <w:top w:val="single" w:sz="12" w:space="0" w:color="auto"/>
              <w:bottom w:val="single" w:sz="6" w:space="0" w:color="auto"/>
            </w:tcBorders>
            <w:shd w:val="clear" w:color="auto" w:fill="FFFFFF"/>
            <w:vAlign w:val="center"/>
          </w:tcPr>
          <w:p w:rsidR="005D35E2" w:rsidRPr="00785E9C" w:rsidRDefault="005D35E2" w:rsidP="00785E9C">
            <w:pPr>
              <w:pStyle w:val="142"/>
              <w:jc w:val="center"/>
              <w:rPr>
                <w:rFonts w:hint="eastAsia"/>
                <w:b/>
              </w:rPr>
            </w:pPr>
            <w:r w:rsidRPr="00785E9C">
              <w:rPr>
                <w:rFonts w:hint="eastAsia"/>
                <w:b/>
              </w:rPr>
              <w:t>1</w:t>
            </w:r>
            <w:r w:rsidRPr="00785E9C">
              <w:rPr>
                <w:b/>
              </w:rPr>
              <w:t>1</w:t>
            </w:r>
            <w:r w:rsidRPr="00785E9C">
              <w:rPr>
                <w:rFonts w:hint="eastAsia"/>
                <w:b/>
              </w:rPr>
              <w:t>1年度</w:t>
            </w:r>
          </w:p>
        </w:tc>
        <w:tc>
          <w:tcPr>
            <w:tcW w:w="1748" w:type="dxa"/>
            <w:tcBorders>
              <w:top w:val="single" w:sz="12" w:space="0" w:color="auto"/>
              <w:bottom w:val="single" w:sz="6" w:space="0" w:color="auto"/>
            </w:tcBorders>
            <w:shd w:val="clear" w:color="auto" w:fill="FFFFFF"/>
            <w:vAlign w:val="center"/>
          </w:tcPr>
          <w:p w:rsidR="005D35E2" w:rsidRPr="00785E9C" w:rsidRDefault="005D35E2" w:rsidP="00785E9C">
            <w:pPr>
              <w:pStyle w:val="142"/>
              <w:jc w:val="center"/>
              <w:rPr>
                <w:rFonts w:hint="eastAsia"/>
                <w:b/>
              </w:rPr>
            </w:pPr>
            <w:r w:rsidRPr="00785E9C">
              <w:rPr>
                <w:rFonts w:hint="eastAsia"/>
                <w:b/>
              </w:rPr>
              <w:t>1</w:t>
            </w:r>
            <w:r w:rsidRPr="00785E9C">
              <w:rPr>
                <w:b/>
              </w:rPr>
              <w:t>1</w:t>
            </w:r>
            <w:r w:rsidRPr="00785E9C">
              <w:rPr>
                <w:rFonts w:hint="eastAsia"/>
                <w:b/>
              </w:rPr>
              <w:t>2年度</w:t>
            </w:r>
          </w:p>
        </w:tc>
        <w:tc>
          <w:tcPr>
            <w:tcW w:w="1748" w:type="dxa"/>
            <w:tcBorders>
              <w:top w:val="single" w:sz="12" w:space="0" w:color="auto"/>
              <w:bottom w:val="single" w:sz="6" w:space="0" w:color="auto"/>
            </w:tcBorders>
            <w:shd w:val="clear" w:color="auto" w:fill="FFFFFF"/>
            <w:vAlign w:val="center"/>
          </w:tcPr>
          <w:p w:rsidR="005D35E2" w:rsidRPr="00785E9C" w:rsidRDefault="005D35E2" w:rsidP="00785E9C">
            <w:pPr>
              <w:pStyle w:val="142"/>
              <w:jc w:val="center"/>
              <w:rPr>
                <w:rFonts w:hint="eastAsia"/>
                <w:b/>
              </w:rPr>
            </w:pPr>
            <w:r w:rsidRPr="00785E9C">
              <w:rPr>
                <w:rFonts w:hint="eastAsia"/>
                <w:b/>
              </w:rPr>
              <w:t>1</w:t>
            </w:r>
            <w:r w:rsidRPr="00785E9C">
              <w:rPr>
                <w:b/>
              </w:rPr>
              <w:t>1</w:t>
            </w:r>
            <w:r w:rsidRPr="00785E9C">
              <w:rPr>
                <w:rFonts w:hint="eastAsia"/>
                <w:b/>
              </w:rPr>
              <w:t>3年度</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臺灣銀行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82.55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68.46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60.29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9.30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6.50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6.47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8.16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25.05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33.24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臺灣土地銀行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99.08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88.55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83.80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7.80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6.72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9.46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t>-</w:t>
            </w:r>
            <w:r w:rsidRPr="00FD7206">
              <w:t>6.88</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4.73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6.74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FB1747">
            <w:pPr>
              <w:pStyle w:val="142"/>
              <w:rPr>
                <w:rFonts w:hint="eastAsia"/>
              </w:rPr>
            </w:pPr>
            <w:r w:rsidRPr="00980C2C">
              <w:rPr>
                <w:rFonts w:hint="eastAsia"/>
              </w:rPr>
              <w:t>合作金庫商業銀行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75.84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58.55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52.36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13.26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14.04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17.84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10.90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27.41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29.79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第一商業銀行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64.27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49.82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44.33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14.88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15.19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19.02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20.85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34.98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36.65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華南商業銀行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70.00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53.40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46.28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16.72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17.41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20.84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13.27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29.19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32.89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彰化商業銀行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71.47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56.91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54.41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12.66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13.53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16.61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15.87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29.56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28.98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FB1747">
            <w:pPr>
              <w:pStyle w:val="142"/>
              <w:rPr>
                <w:rFonts w:hint="eastAsia"/>
              </w:rPr>
            </w:pPr>
            <w:r w:rsidRPr="00980C2C">
              <w:rPr>
                <w:rFonts w:hint="eastAsia"/>
              </w:rPr>
              <w:t>兆豐國際商業銀行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67.81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53.20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54.29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12.68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10.82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13.55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19.51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35.98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32.16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pPr>
            <w:r w:rsidRPr="00980C2C">
              <w:rPr>
                <w:rFonts w:hint="eastAsia"/>
              </w:rPr>
              <w:t>臺灣中小企業銀行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70.82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58.54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55.85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13.86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14.43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19.26 </w:t>
            </w:r>
          </w:p>
        </w:tc>
      </w:tr>
      <w:tr w:rsidR="005D35E2" w:rsidRPr="00980C2C" w:rsidTr="009F75F9">
        <w:trPr>
          <w:trHeight w:val="340"/>
        </w:trPr>
        <w:tc>
          <w:tcPr>
            <w:tcW w:w="2098" w:type="dxa"/>
            <w:vMerge/>
            <w:tcBorders>
              <w:top w:val="single" w:sz="6" w:space="0" w:color="auto"/>
              <w:bottom w:val="doub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doub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double" w:sz="6" w:space="0" w:color="auto"/>
            </w:tcBorders>
            <w:shd w:val="clear" w:color="auto" w:fill="FFFFFF"/>
            <w:vAlign w:val="center"/>
          </w:tcPr>
          <w:p w:rsidR="005D35E2" w:rsidRPr="00FD7206" w:rsidRDefault="005D35E2" w:rsidP="00054968">
            <w:pPr>
              <w:pStyle w:val="142"/>
              <w:jc w:val="right"/>
            </w:pPr>
            <w:r w:rsidRPr="00FD7206">
              <w:t xml:space="preserve">15.32 </w:t>
            </w:r>
          </w:p>
        </w:tc>
        <w:tc>
          <w:tcPr>
            <w:tcW w:w="1748" w:type="dxa"/>
            <w:tcBorders>
              <w:top w:val="single" w:sz="6" w:space="0" w:color="auto"/>
              <w:bottom w:val="double" w:sz="6" w:space="0" w:color="auto"/>
            </w:tcBorders>
            <w:shd w:val="clear" w:color="auto" w:fill="FFFFFF"/>
            <w:vAlign w:val="center"/>
          </w:tcPr>
          <w:p w:rsidR="005D35E2" w:rsidRPr="00FD7206" w:rsidRDefault="005D35E2" w:rsidP="00054968">
            <w:pPr>
              <w:pStyle w:val="142"/>
              <w:jc w:val="right"/>
            </w:pPr>
            <w:r w:rsidRPr="00FD7206">
              <w:t xml:space="preserve">27.03 </w:t>
            </w:r>
          </w:p>
        </w:tc>
        <w:tc>
          <w:tcPr>
            <w:tcW w:w="1748" w:type="dxa"/>
            <w:tcBorders>
              <w:top w:val="single" w:sz="6" w:space="0" w:color="auto"/>
              <w:bottom w:val="double" w:sz="6" w:space="0" w:color="auto"/>
            </w:tcBorders>
            <w:shd w:val="clear" w:color="auto" w:fill="FFFFFF"/>
            <w:vAlign w:val="center"/>
          </w:tcPr>
          <w:p w:rsidR="005D35E2" w:rsidRPr="00FD7206" w:rsidRDefault="005D35E2" w:rsidP="00054968">
            <w:pPr>
              <w:pStyle w:val="142"/>
              <w:jc w:val="right"/>
            </w:pPr>
            <w:r w:rsidRPr="00FD7206">
              <w:t xml:space="preserve">24.89 </w:t>
            </w:r>
          </w:p>
        </w:tc>
      </w:tr>
      <w:tr w:rsidR="005D35E2" w:rsidRPr="00980C2C" w:rsidTr="009F75F9">
        <w:trPr>
          <w:trHeight w:val="340"/>
        </w:trPr>
        <w:tc>
          <w:tcPr>
            <w:tcW w:w="2098" w:type="dxa"/>
            <w:vMerge w:val="restart"/>
            <w:tcBorders>
              <w:top w:val="double" w:sz="6" w:space="0" w:color="auto"/>
              <w:bottom w:val="single" w:sz="6" w:space="0" w:color="auto"/>
            </w:tcBorders>
            <w:shd w:val="clear" w:color="auto" w:fill="FFFFFF"/>
            <w:vAlign w:val="center"/>
          </w:tcPr>
          <w:p w:rsidR="005D35E2" w:rsidRPr="00980C2C" w:rsidRDefault="005D35E2" w:rsidP="00054968">
            <w:pPr>
              <w:pStyle w:val="142"/>
              <w:rPr>
                <w:rFonts w:hint="eastAsia"/>
              </w:rPr>
            </w:pPr>
            <w:r>
              <w:rPr>
                <w:rFonts w:hint="eastAsia"/>
                <w:lang w:eastAsia="zh-TW"/>
              </w:rPr>
              <w:t>本國銀行平均</w:t>
            </w:r>
          </w:p>
        </w:tc>
        <w:tc>
          <w:tcPr>
            <w:tcW w:w="1985" w:type="dxa"/>
            <w:tcBorders>
              <w:top w:val="double" w:sz="6" w:space="0" w:color="auto"/>
              <w:bottom w:val="single" w:sz="6" w:space="0" w:color="auto"/>
            </w:tcBorders>
            <w:shd w:val="clear" w:color="auto" w:fill="FFFFFF"/>
            <w:vAlign w:val="center"/>
          </w:tcPr>
          <w:p w:rsidR="005D35E2" w:rsidRDefault="005D35E2" w:rsidP="00054968">
            <w:pPr>
              <w:pStyle w:val="142"/>
              <w:ind w:left="647" w:hanging="647"/>
              <w:rPr>
                <w:snapToGrid/>
                <w:kern w:val="0"/>
              </w:rPr>
            </w:pPr>
            <w:r>
              <w:rPr>
                <w:rFonts w:hint="eastAsia"/>
              </w:rPr>
              <w:t>利息淨收益</w:t>
            </w:r>
          </w:p>
        </w:tc>
        <w:tc>
          <w:tcPr>
            <w:tcW w:w="1748" w:type="dxa"/>
            <w:tcBorders>
              <w:top w:val="doub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66.08 </w:t>
            </w:r>
          </w:p>
        </w:tc>
        <w:tc>
          <w:tcPr>
            <w:tcW w:w="1748" w:type="dxa"/>
            <w:tcBorders>
              <w:top w:val="doub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56.24 </w:t>
            </w:r>
          </w:p>
        </w:tc>
        <w:tc>
          <w:tcPr>
            <w:tcW w:w="1748" w:type="dxa"/>
            <w:tcBorders>
              <w:top w:val="doub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52.77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ind w:left="647" w:hanging="647"/>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20.29 </w:t>
            </w:r>
          </w:p>
        </w:tc>
        <w:tc>
          <w:tcPr>
            <w:tcW w:w="1748" w:type="dxa"/>
            <w:tcBorders>
              <w:top w:val="sing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19.46 </w:t>
            </w:r>
          </w:p>
        </w:tc>
        <w:tc>
          <w:tcPr>
            <w:tcW w:w="1748" w:type="dxa"/>
            <w:tcBorders>
              <w:top w:val="sing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23.09 </w:t>
            </w:r>
          </w:p>
        </w:tc>
      </w:tr>
      <w:tr w:rsidR="005D35E2" w:rsidRPr="00980C2C" w:rsidTr="009F75F9">
        <w:trPr>
          <w:trHeight w:val="340"/>
        </w:trPr>
        <w:tc>
          <w:tcPr>
            <w:tcW w:w="2098" w:type="dxa"/>
            <w:vMerge/>
            <w:tcBorders>
              <w:top w:val="single" w:sz="6" w:space="0" w:color="auto"/>
              <w:bottom w:val="single" w:sz="12"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12" w:space="0" w:color="auto"/>
            </w:tcBorders>
            <w:shd w:val="clear" w:color="auto" w:fill="FFFFFF"/>
            <w:vAlign w:val="center"/>
          </w:tcPr>
          <w:p w:rsidR="005D35E2" w:rsidRDefault="005D35E2" w:rsidP="00054968">
            <w:pPr>
              <w:pStyle w:val="142"/>
              <w:ind w:left="647" w:hanging="647"/>
              <w:rPr>
                <w:rFonts w:hint="eastAsia"/>
              </w:rPr>
            </w:pPr>
            <w:r>
              <w:rPr>
                <w:rFonts w:hint="eastAsia"/>
              </w:rPr>
              <w:t>投資及其他淨收益</w:t>
            </w:r>
          </w:p>
        </w:tc>
        <w:tc>
          <w:tcPr>
            <w:tcW w:w="1748" w:type="dxa"/>
            <w:tcBorders>
              <w:top w:val="single" w:sz="6" w:space="0" w:color="auto"/>
              <w:bottom w:val="single" w:sz="12" w:space="0" w:color="auto"/>
            </w:tcBorders>
            <w:shd w:val="clear" w:color="auto" w:fill="FFFFFF"/>
            <w:vAlign w:val="center"/>
          </w:tcPr>
          <w:p w:rsidR="005D35E2" w:rsidRPr="004F05F2" w:rsidRDefault="005D35E2" w:rsidP="00054968">
            <w:pPr>
              <w:pStyle w:val="142"/>
              <w:jc w:val="right"/>
            </w:pPr>
            <w:r w:rsidRPr="004F05F2">
              <w:t xml:space="preserve">13.64 </w:t>
            </w:r>
          </w:p>
        </w:tc>
        <w:tc>
          <w:tcPr>
            <w:tcW w:w="1748" w:type="dxa"/>
            <w:tcBorders>
              <w:top w:val="single" w:sz="6" w:space="0" w:color="auto"/>
              <w:bottom w:val="single" w:sz="12" w:space="0" w:color="auto"/>
            </w:tcBorders>
            <w:shd w:val="clear" w:color="auto" w:fill="FFFFFF"/>
            <w:vAlign w:val="center"/>
          </w:tcPr>
          <w:p w:rsidR="005D35E2" w:rsidRPr="004F05F2" w:rsidRDefault="005D35E2" w:rsidP="00054968">
            <w:pPr>
              <w:pStyle w:val="142"/>
              <w:jc w:val="right"/>
            </w:pPr>
            <w:r w:rsidRPr="004F05F2">
              <w:t xml:space="preserve">24.30 </w:t>
            </w:r>
          </w:p>
        </w:tc>
        <w:tc>
          <w:tcPr>
            <w:tcW w:w="1748" w:type="dxa"/>
            <w:tcBorders>
              <w:top w:val="single" w:sz="6" w:space="0" w:color="auto"/>
              <w:bottom w:val="single" w:sz="12" w:space="0" w:color="auto"/>
            </w:tcBorders>
            <w:shd w:val="clear" w:color="auto" w:fill="FFFFFF"/>
            <w:vAlign w:val="center"/>
          </w:tcPr>
          <w:p w:rsidR="005D35E2" w:rsidRPr="004F05F2" w:rsidRDefault="005D35E2" w:rsidP="00054968">
            <w:pPr>
              <w:pStyle w:val="142"/>
              <w:jc w:val="right"/>
            </w:pPr>
            <w:r w:rsidRPr="004F05F2">
              <w:t xml:space="preserve">24.14 </w:t>
            </w:r>
          </w:p>
        </w:tc>
      </w:tr>
    </w:tbl>
    <w:p w:rsidR="000F2578" w:rsidRDefault="00980C2C" w:rsidP="000F2578">
      <w:pPr>
        <w:pStyle w:val="142"/>
        <w:ind w:leftChars="-101" w:left="881" w:rightChars="-100" w:right="-283" w:hangingChars="480" w:hanging="1167"/>
        <w:rPr>
          <w:lang w:eastAsia="zh-TW"/>
        </w:rPr>
      </w:pPr>
      <w:r>
        <w:rPr>
          <w:rFonts w:hint="eastAsia"/>
          <w:lang w:eastAsia="zh-TW"/>
        </w:rPr>
        <w:t>說    明：</w:t>
      </w:r>
      <w:r w:rsidR="00851A03">
        <w:rPr>
          <w:rFonts w:hint="eastAsia"/>
          <w:lang w:eastAsia="zh-TW"/>
        </w:rPr>
        <w:t>1.</w:t>
      </w:r>
      <w:r w:rsidR="009350D6">
        <w:rPr>
          <w:rFonts w:hint="eastAsia"/>
          <w:lang w:eastAsia="zh-TW"/>
        </w:rPr>
        <w:t>本表占比係指各項收益占淨收益之比率。</w:t>
      </w:r>
    </w:p>
    <w:p w:rsidR="00851A03" w:rsidRDefault="00851A03" w:rsidP="00851A03">
      <w:pPr>
        <w:pStyle w:val="142"/>
        <w:ind w:leftChars="-101" w:left="1173" w:rightChars="-150" w:right="-425" w:hangingChars="600" w:hanging="1459"/>
        <w:rPr>
          <w:rFonts w:hint="eastAsia"/>
          <w:lang w:eastAsia="zh-TW"/>
        </w:rPr>
      </w:pPr>
      <w:r>
        <w:rPr>
          <w:rFonts w:hint="eastAsia"/>
          <w:lang w:eastAsia="zh-TW"/>
        </w:rPr>
        <w:t xml:space="preserve">          2.「</w:t>
      </w:r>
      <w:r w:rsidRPr="00EA3783">
        <w:rPr>
          <w:rFonts w:hint="eastAsia"/>
        </w:rPr>
        <w:t>本國銀行營運績效季報</w:t>
      </w:r>
      <w:r>
        <w:rPr>
          <w:rFonts w:hint="eastAsia"/>
          <w:lang w:eastAsia="zh-TW"/>
        </w:rPr>
        <w:t>」中有關本國銀行合計數係包含農業金庫之數值，因本報告所列其他</w:t>
      </w:r>
      <w:r w:rsidR="00CF5E33">
        <w:rPr>
          <w:rFonts w:hint="eastAsia"/>
          <w:lang w:eastAsia="zh-TW"/>
        </w:rPr>
        <w:t>有關本國銀行之</w:t>
      </w:r>
      <w:r>
        <w:rPr>
          <w:rFonts w:hint="eastAsia"/>
          <w:lang w:eastAsia="zh-TW"/>
        </w:rPr>
        <w:t>資料皆未包含農業金庫部分，爰本表所列</w:t>
      </w:r>
      <w:r w:rsidR="00CF5E33">
        <w:rPr>
          <w:rFonts w:hint="eastAsia"/>
          <w:lang w:eastAsia="zh-TW"/>
        </w:rPr>
        <w:t>「</w:t>
      </w:r>
      <w:r>
        <w:rPr>
          <w:rFonts w:hint="eastAsia"/>
          <w:lang w:eastAsia="zh-TW"/>
        </w:rPr>
        <w:t>本國銀行平均</w:t>
      </w:r>
      <w:r w:rsidR="00CF5E33">
        <w:rPr>
          <w:rFonts w:hint="eastAsia"/>
          <w:lang w:eastAsia="zh-TW"/>
        </w:rPr>
        <w:t>」之占比</w:t>
      </w:r>
      <w:r>
        <w:rPr>
          <w:rFonts w:hint="eastAsia"/>
          <w:lang w:eastAsia="zh-TW"/>
        </w:rPr>
        <w:t>皆係以扣除農業金庫資料後計算而得。</w:t>
      </w:r>
    </w:p>
    <w:p w:rsidR="00B92E79" w:rsidRDefault="00980C2C" w:rsidP="00785E9C">
      <w:pPr>
        <w:pStyle w:val="142"/>
        <w:ind w:leftChars="-101" w:left="881" w:rightChars="-100" w:right="-283" w:hangingChars="480" w:hanging="1167"/>
        <w:rPr>
          <w:lang w:eastAsia="zh-TW"/>
        </w:rPr>
      </w:pPr>
      <w:r w:rsidRPr="00E04F94">
        <w:rPr>
          <w:rFonts w:hint="eastAsia"/>
        </w:rPr>
        <w:t>資料來源：</w:t>
      </w:r>
      <w:r w:rsidR="00094AEE">
        <w:rPr>
          <w:rFonts w:hint="eastAsia"/>
          <w:lang w:eastAsia="zh-TW"/>
        </w:rPr>
        <w:t>以中央銀行</w:t>
      </w:r>
      <w:r w:rsidR="002E3BCC">
        <w:rPr>
          <w:rFonts w:hint="eastAsia"/>
          <w:lang w:eastAsia="zh-TW"/>
        </w:rPr>
        <w:t>公告之</w:t>
      </w:r>
      <w:r w:rsidR="00033261">
        <w:rPr>
          <w:rFonts w:hint="eastAsia"/>
          <w:lang w:eastAsia="zh-TW"/>
        </w:rPr>
        <w:t>「</w:t>
      </w:r>
      <w:r w:rsidR="00EA3783" w:rsidRPr="00EA3783">
        <w:rPr>
          <w:rFonts w:hint="eastAsia"/>
        </w:rPr>
        <w:t>本國銀行營運績效季報</w:t>
      </w:r>
      <w:r w:rsidR="00033261">
        <w:rPr>
          <w:rFonts w:hint="eastAsia"/>
          <w:lang w:eastAsia="zh-TW"/>
        </w:rPr>
        <w:t>」</w:t>
      </w:r>
      <w:r w:rsidR="00094AEE">
        <w:rPr>
          <w:rFonts w:hint="eastAsia"/>
          <w:lang w:eastAsia="zh-TW"/>
        </w:rPr>
        <w:t>相關數據計算而得</w:t>
      </w:r>
      <w:r w:rsidR="00EA3783">
        <w:rPr>
          <w:rFonts w:hint="eastAsia"/>
          <w:lang w:eastAsia="zh-TW"/>
        </w:rPr>
        <w:t>，</w:t>
      </w:r>
      <w:r w:rsidR="002E3BCC" w:rsidRPr="002E3BCC">
        <w:rPr>
          <w:lang w:eastAsia="zh-TW"/>
        </w:rPr>
        <w:t>https://www.cbc.gov.tw/tw/lp-725-1.html</w:t>
      </w:r>
      <w:r w:rsidR="002E3BCC">
        <w:rPr>
          <w:lang w:eastAsia="zh-TW"/>
        </w:rPr>
        <w:t xml:space="preserve"> (</w:t>
      </w:r>
      <w:r w:rsidR="002E3BCC">
        <w:rPr>
          <w:rFonts w:hint="eastAsia"/>
          <w:lang w:eastAsia="zh-TW"/>
        </w:rPr>
        <w:t>最後瀏覽日：114年7月7日)；</w:t>
      </w:r>
      <w:r>
        <w:rPr>
          <w:rFonts w:hint="eastAsia"/>
          <w:lang w:eastAsia="zh-TW"/>
        </w:rPr>
        <w:t>本中心彙製。</w:t>
      </w:r>
    </w:p>
    <w:bookmarkEnd w:id="10"/>
    <w:bookmarkEnd w:id="11"/>
    <w:bookmarkEnd w:id="12"/>
    <w:bookmarkEnd w:id="13"/>
    <w:bookmarkEnd w:id="14"/>
    <w:bookmarkEnd w:id="15"/>
    <w:bookmarkEnd w:id="0"/>
    <w:bookmarkEnd w:id="1"/>
    <w:bookmarkEnd w:id="2"/>
    <w:bookmarkEnd w:id="8"/>
    <w:bookmarkEnd w:id="9"/>
    <w:sectPr w:rsidR="00B92E79"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EF5BF1" w:rsidRPr="00EF5BF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B1659C" w:rsidRPr="00542B24" w:rsidRDefault="00B1659C" w:rsidP="0010001E">
      <w:pPr>
        <w:pStyle w:val="142"/>
        <w:ind w:left="1338" w:hangingChars="550" w:hanging="1338"/>
        <w:rPr>
          <w:rFonts w:hint="eastAsia"/>
          <w:lang w:eastAsia="zh-TW"/>
        </w:rPr>
      </w:pPr>
      <w:r>
        <w:rPr>
          <w:rStyle w:val="ae"/>
        </w:rPr>
        <w:footnoteRef/>
      </w:r>
      <w:r>
        <w:t xml:space="preserve"> </w:t>
      </w:r>
      <w:r>
        <w:rPr>
          <w:rFonts w:hint="eastAsia"/>
          <w:lang w:eastAsia="zh-TW"/>
        </w:rPr>
        <w:t>資料來源：吳蕙宇，「銀行業基本資料」，</w:t>
      </w:r>
      <w:r>
        <w:rPr>
          <w:rFonts w:hint="eastAsia"/>
        </w:rPr>
        <w:t>台灣經濟研究院產經資料庫</w:t>
      </w:r>
      <w:r>
        <w:rPr>
          <w:rFonts w:hint="eastAsia"/>
          <w:lang w:eastAsia="zh-TW"/>
        </w:rPr>
        <w:t>，113年11月12日。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BF1"/>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71786AAF-E0BA-4F3A-B9DA-DF747BC45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A793C-59AB-4B2D-9C55-03FC75DCB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9</Pages>
  <Words>792</Words>
  <Characters>4521</Characters>
  <Application>Microsoft Office Word</Application>
  <DocSecurity>0</DocSecurity>
  <Lines>37</Lines>
  <Paragraphs>10</Paragraphs>
  <ScaleCrop>false</ScaleCrop>
  <Company/>
  <LinksUpToDate>false</LinksUpToDate>
  <CharactersWithSpaces>5303</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2025-07-30T07:23:00Z</dcterms:created>
  <dcterms:modified xsi:type="dcterms:W3CDTF">2025-07-30T07:23:00Z</dcterms:modified>
</cp:coreProperties>
</file>