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A53057" w:rsidRPr="007C7DE3" w:rsidRDefault="008E32B6" w:rsidP="005E217F">
      <w:pPr>
        <w:pStyle w:val="14"/>
        <w:ind w:left="567" w:hanging="567"/>
      </w:pPr>
      <w:bookmarkStart w:id="8" w:name="_Toc464543013"/>
      <w:bookmarkStart w:id="9" w:name="_Toc53477387"/>
      <w:bookmarkStart w:id="10" w:name="_Toc204592449"/>
      <w:bookmarkEnd w:id="3"/>
      <w:bookmarkEnd w:id="4"/>
      <w:bookmarkEnd w:id="5"/>
      <w:bookmarkEnd w:id="6"/>
      <w:r w:rsidRPr="007C7DE3">
        <w:rPr>
          <w:rFonts w:hint="eastAsia"/>
        </w:rPr>
        <w:t>二、</w:t>
      </w:r>
      <w:r w:rsidR="0077295C">
        <w:rPr>
          <w:rFonts w:hint="eastAsia"/>
        </w:rPr>
        <w:t>迄</w:t>
      </w:r>
      <w:r w:rsidR="0077295C" w:rsidRPr="007C7DE3">
        <w:rPr>
          <w:rFonts w:hint="eastAsia"/>
        </w:rPr>
        <w:t>114年3月底</w:t>
      </w:r>
      <w:r w:rsidR="0077295C">
        <w:rPr>
          <w:rFonts w:hint="eastAsia"/>
        </w:rPr>
        <w:t>，</w:t>
      </w:r>
      <w:r w:rsidR="00FF24A6" w:rsidRPr="007C7DE3">
        <w:rPr>
          <w:rFonts w:hint="eastAsia"/>
        </w:rPr>
        <w:t>公股銀行之資本適足率皆達法定標準，</w:t>
      </w:r>
      <w:r w:rsidR="0077295C">
        <w:rPr>
          <w:rFonts w:hint="eastAsia"/>
        </w:rPr>
        <w:t>近年</w:t>
      </w:r>
      <w:r w:rsidR="00E71F7C">
        <w:rPr>
          <w:rFonts w:hint="eastAsia"/>
        </w:rPr>
        <w:t>半數以上</w:t>
      </w:r>
      <w:r w:rsidR="00E71F7C" w:rsidRPr="00E71F7C">
        <w:rPr>
          <w:rFonts w:hint="eastAsia"/>
        </w:rPr>
        <w:t>銀行</w:t>
      </w:r>
      <w:r w:rsidR="0077295C">
        <w:rPr>
          <w:rFonts w:hint="eastAsia"/>
        </w:rPr>
        <w:t>該比率</w:t>
      </w:r>
      <w:r w:rsidR="00FF24A6" w:rsidRPr="007C7DE3">
        <w:rPr>
          <w:rFonts w:hint="eastAsia"/>
        </w:rPr>
        <w:t>概呈上升趨勢，惟</w:t>
      </w:r>
      <w:r w:rsidR="00E71F7C">
        <w:rPr>
          <w:rFonts w:hint="eastAsia"/>
        </w:rPr>
        <w:t>多</w:t>
      </w:r>
      <w:r w:rsidR="00F65B97">
        <w:rPr>
          <w:rFonts w:hint="eastAsia"/>
        </w:rPr>
        <w:t>存有</w:t>
      </w:r>
      <w:r w:rsidR="00FF24A6" w:rsidRPr="007C7DE3">
        <w:rPr>
          <w:rFonts w:hint="eastAsia"/>
        </w:rPr>
        <w:t>低於</w:t>
      </w:r>
      <w:r w:rsidR="00F65B97">
        <w:rPr>
          <w:rFonts w:hint="eastAsia"/>
        </w:rPr>
        <w:t>同業平均水準之情形</w:t>
      </w:r>
      <w:r w:rsidR="00A53057" w:rsidRPr="007C7DE3">
        <w:rPr>
          <w:rFonts w:hint="eastAsia"/>
        </w:rPr>
        <w:t>，允宜</w:t>
      </w:r>
      <w:r w:rsidR="00FF24A6" w:rsidRPr="007C7DE3">
        <w:rPr>
          <w:rFonts w:hint="eastAsia"/>
        </w:rPr>
        <w:t>持續強化資本結構</w:t>
      </w:r>
      <w:r w:rsidR="00A53057" w:rsidRPr="007C7DE3">
        <w:rPr>
          <w:rFonts w:hint="eastAsia"/>
        </w:rPr>
        <w:t>，以</w:t>
      </w:r>
      <w:r w:rsidR="00827482" w:rsidRPr="007C7DE3">
        <w:rPr>
          <w:rFonts w:hint="eastAsia"/>
        </w:rPr>
        <w:t>提升風險承擔能力</w:t>
      </w:r>
      <w:bookmarkEnd w:id="10"/>
    </w:p>
    <w:p w:rsidR="00053415" w:rsidRDefault="00053415" w:rsidP="00435B5C">
      <w:pPr>
        <w:ind w:left="566" w:firstLine="566"/>
      </w:pPr>
      <w:r w:rsidRPr="00F15AE1">
        <w:rPr>
          <w:rFonts w:hint="eastAsia"/>
        </w:rPr>
        <w:t>為使銀行維持適足資本</w:t>
      </w:r>
      <w:r>
        <w:rPr>
          <w:rFonts w:hint="eastAsia"/>
        </w:rPr>
        <w:t>，金管會訂有</w:t>
      </w:r>
      <w:r w:rsidRPr="00F15AE1">
        <w:rPr>
          <w:rFonts w:hint="eastAsia"/>
        </w:rPr>
        <w:t>銀行資本適足性及資本等級管理辦法</w:t>
      </w:r>
      <w:r w:rsidR="00E343CD">
        <w:rPr>
          <w:rFonts w:hint="eastAsia"/>
        </w:rPr>
        <w:t>，要求</w:t>
      </w:r>
      <w:r w:rsidR="00695220">
        <w:rPr>
          <w:rFonts w:hint="eastAsia"/>
        </w:rPr>
        <w:t>銀行自</w:t>
      </w:r>
      <w:r w:rsidR="00973801" w:rsidRPr="00973801">
        <w:rPr>
          <w:rFonts w:hint="eastAsia"/>
        </w:rPr>
        <w:t>有資本與風險性資產之比率</w:t>
      </w:r>
      <w:r w:rsidR="00973801">
        <w:rPr>
          <w:rFonts w:hint="eastAsia"/>
        </w:rPr>
        <w:t>(以下簡稱資本適足比率)</w:t>
      </w:r>
      <w:r w:rsidR="00973801">
        <w:rPr>
          <w:rStyle w:val="ae"/>
        </w:rPr>
        <w:footnoteReference w:id="1"/>
      </w:r>
      <w:r w:rsidR="00A824BF">
        <w:rPr>
          <w:rFonts w:hint="eastAsia"/>
        </w:rPr>
        <w:t>應符合</w:t>
      </w:r>
      <w:r w:rsidR="00E343CD">
        <w:rPr>
          <w:rFonts w:hint="eastAsia"/>
        </w:rPr>
        <w:t>一定標準</w:t>
      </w:r>
      <w:r w:rsidR="0077295C">
        <w:rPr>
          <w:rFonts w:hint="eastAsia"/>
        </w:rPr>
        <w:t>；</w:t>
      </w:r>
      <w:r w:rsidR="00435B5C">
        <w:rPr>
          <w:rFonts w:hint="eastAsia"/>
        </w:rPr>
        <w:t>檢視各家公股銀行114年3月底之資本適足比率，皆</w:t>
      </w:r>
      <w:r w:rsidR="00FF24A6">
        <w:rPr>
          <w:rFonts w:hint="eastAsia"/>
        </w:rPr>
        <w:t>符</w:t>
      </w:r>
      <w:r w:rsidR="00435B5C">
        <w:rPr>
          <w:rFonts w:hint="eastAsia"/>
        </w:rPr>
        <w:t>法定標準，復就其中資本適足率之長期變化趨勢以觀，</w:t>
      </w:r>
      <w:r w:rsidR="00A428ED">
        <w:rPr>
          <w:rFonts w:hint="eastAsia"/>
        </w:rPr>
        <w:t>半數以上之公股銀行</w:t>
      </w:r>
      <w:r w:rsidR="008D699B">
        <w:rPr>
          <w:rFonts w:hint="eastAsia"/>
        </w:rPr>
        <w:t>亦</w:t>
      </w:r>
      <w:r w:rsidR="00435B5C">
        <w:rPr>
          <w:rFonts w:hint="eastAsia"/>
        </w:rPr>
        <w:t>概呈增加，惟</w:t>
      </w:r>
      <w:r w:rsidR="005565CC">
        <w:rPr>
          <w:rFonts w:hint="eastAsia"/>
        </w:rPr>
        <w:t>歷年</w:t>
      </w:r>
      <w:r w:rsidR="00A428ED">
        <w:rPr>
          <w:rFonts w:hint="eastAsia"/>
        </w:rPr>
        <w:t>多</w:t>
      </w:r>
      <w:r w:rsidR="00435B5C">
        <w:rPr>
          <w:rFonts w:hint="eastAsia"/>
        </w:rPr>
        <w:t>存</w:t>
      </w:r>
      <w:r w:rsidR="00A64913">
        <w:rPr>
          <w:rFonts w:hint="eastAsia"/>
        </w:rPr>
        <w:t>有低於同業平均水準之情形。茲說明如下：</w:t>
      </w:r>
    </w:p>
    <w:p w:rsidR="00A64913" w:rsidRPr="00A824BF" w:rsidRDefault="003014F2" w:rsidP="00A64913">
      <w:pPr>
        <w:pStyle w:val="a4"/>
        <w:ind w:left="849" w:hanging="283"/>
        <w:rPr>
          <w:b/>
        </w:rPr>
      </w:pPr>
      <w:r w:rsidRPr="00A64913">
        <w:rPr>
          <w:rFonts w:hint="eastAsia"/>
          <w:b/>
        </w:rPr>
        <w:t>(一</w:t>
      </w:r>
      <w:r w:rsidRPr="00A64913">
        <w:rPr>
          <w:rFonts w:hint="eastAsia"/>
          <w:b/>
          <w:lang w:eastAsia="zh-TW"/>
        </w:rPr>
        <w:t>)</w:t>
      </w:r>
      <w:r w:rsidR="005735AA" w:rsidRPr="005735AA">
        <w:rPr>
          <w:rFonts w:hint="eastAsia"/>
          <w:b/>
          <w:lang w:eastAsia="zh-TW"/>
        </w:rPr>
        <w:t>為使銀行</w:t>
      </w:r>
      <w:r w:rsidR="005735AA" w:rsidRPr="00A824BF">
        <w:rPr>
          <w:rFonts w:hint="eastAsia"/>
          <w:b/>
          <w:lang w:eastAsia="zh-TW"/>
        </w:rPr>
        <w:t>維持適足資本，</w:t>
      </w:r>
      <w:r w:rsidR="005735AA" w:rsidRPr="00A824BF">
        <w:rPr>
          <w:rFonts w:hint="eastAsia"/>
          <w:b/>
        </w:rPr>
        <w:t>金管會</w:t>
      </w:r>
      <w:r w:rsidR="00A824BF" w:rsidRPr="00A824BF">
        <w:rPr>
          <w:rFonts w:hint="eastAsia"/>
          <w:b/>
          <w:lang w:eastAsia="zh-TW"/>
        </w:rPr>
        <w:t>業已</w:t>
      </w:r>
      <w:r w:rsidR="005735AA" w:rsidRPr="00A824BF">
        <w:rPr>
          <w:rFonts w:hint="eastAsia"/>
          <w:b/>
          <w:lang w:eastAsia="zh-TW"/>
        </w:rPr>
        <w:t>參酌國際規範</w:t>
      </w:r>
      <w:r w:rsidR="00BE2A1B">
        <w:rPr>
          <w:rFonts w:hint="eastAsia"/>
          <w:b/>
        </w:rPr>
        <w:t>訂</w:t>
      </w:r>
      <w:r w:rsidR="00BE2A1B">
        <w:rPr>
          <w:rFonts w:hint="eastAsia"/>
          <w:b/>
          <w:lang w:eastAsia="zh-TW"/>
        </w:rPr>
        <w:t>定</w:t>
      </w:r>
      <w:r w:rsidR="00A824BF">
        <w:rPr>
          <w:rFonts w:hint="eastAsia"/>
          <w:b/>
          <w:lang w:eastAsia="zh-TW"/>
        </w:rPr>
        <w:t>辦法，規定銀行之</w:t>
      </w:r>
      <w:r w:rsidR="00185AB3">
        <w:rPr>
          <w:rFonts w:hint="eastAsia"/>
          <w:b/>
          <w:lang w:eastAsia="zh-TW"/>
        </w:rPr>
        <w:t>資本適足比率應達一定</w:t>
      </w:r>
      <w:r w:rsidR="00A824BF" w:rsidRPr="00A824BF">
        <w:rPr>
          <w:rFonts w:hint="eastAsia"/>
          <w:b/>
          <w:lang w:eastAsia="zh-TW"/>
        </w:rPr>
        <w:t>標準</w:t>
      </w:r>
    </w:p>
    <w:p w:rsidR="003014F2" w:rsidRPr="00AD799C" w:rsidRDefault="00053415" w:rsidP="00AD799C">
      <w:pPr>
        <w:pStyle w:val="21"/>
        <w:ind w:left="850" w:firstLine="566"/>
        <w:rPr>
          <w:lang w:eastAsia="zh-TW"/>
        </w:rPr>
      </w:pPr>
      <w:r w:rsidRPr="00F15AE1">
        <w:rPr>
          <w:rFonts w:hint="eastAsia"/>
        </w:rPr>
        <w:t>為使銀行維持適足資本，</w:t>
      </w:r>
      <w:r>
        <w:rPr>
          <w:rFonts w:hint="eastAsia"/>
        </w:rPr>
        <w:t>金管會</w:t>
      </w:r>
      <w:r w:rsidR="00CB0D45">
        <w:rPr>
          <w:rFonts w:hint="eastAsia"/>
          <w:lang w:eastAsia="zh-TW"/>
        </w:rPr>
        <w:t>參酌</w:t>
      </w:r>
      <w:r w:rsidR="006B0FBB">
        <w:rPr>
          <w:rFonts w:hint="eastAsia"/>
        </w:rPr>
        <w:t>巴塞爾銀行監理委員會(</w:t>
      </w:r>
      <w:r w:rsidR="006B0FBB" w:rsidRPr="00BC336E">
        <w:t>Basel C</w:t>
      </w:r>
      <w:r w:rsidR="006B0FBB">
        <w:t>ommittee on Banking Supervision，</w:t>
      </w:r>
      <w:r w:rsidR="006B0FBB">
        <w:rPr>
          <w:rFonts w:hint="eastAsia"/>
        </w:rPr>
        <w:t>BCBS)</w:t>
      </w:r>
      <w:r w:rsidR="006B0FBB">
        <w:rPr>
          <w:rFonts w:hint="eastAsia"/>
          <w:lang w:eastAsia="zh-TW"/>
        </w:rPr>
        <w:t>發布之</w:t>
      </w:r>
      <w:r w:rsidR="006B0FBB" w:rsidRPr="008A0934">
        <w:t>巴塞爾</w:t>
      </w:r>
      <w:r w:rsidR="006B0FBB" w:rsidRPr="008A0934">
        <w:rPr>
          <w:rFonts w:hint="eastAsia"/>
        </w:rPr>
        <w:t>資本</w:t>
      </w:r>
      <w:r w:rsidR="006B0FBB" w:rsidRPr="008A0934">
        <w:t>協定</w:t>
      </w:r>
      <w:r w:rsidR="006B0FBB">
        <w:rPr>
          <w:rFonts w:hint="eastAsia"/>
          <w:lang w:eastAsia="zh-TW"/>
        </w:rPr>
        <w:t>，訂定</w:t>
      </w:r>
      <w:r w:rsidR="006B0FBB" w:rsidRPr="008A0934">
        <w:t>銀行資本適足性及資本等級管理辦法</w:t>
      </w:r>
      <w:r>
        <w:rPr>
          <w:rFonts w:hint="eastAsia"/>
        </w:rPr>
        <w:t>，</w:t>
      </w:r>
      <w:r w:rsidR="006B0FBB">
        <w:rPr>
          <w:rFonts w:hint="eastAsia"/>
          <w:lang w:eastAsia="zh-TW"/>
        </w:rPr>
        <w:t>該辦法第5條規定</w:t>
      </w:r>
      <w:r w:rsidR="0077295C">
        <w:rPr>
          <w:rFonts w:hint="eastAsia"/>
          <w:lang w:eastAsia="zh-TW"/>
        </w:rPr>
        <w:t>略以</w:t>
      </w:r>
      <w:r w:rsidR="006B0FBB">
        <w:rPr>
          <w:rFonts w:hint="eastAsia"/>
          <w:lang w:eastAsia="zh-TW"/>
        </w:rPr>
        <w:t>，銀行</w:t>
      </w:r>
      <w:r w:rsidR="006B0FBB" w:rsidRPr="006B0FBB">
        <w:rPr>
          <w:rFonts w:hint="eastAsia"/>
          <w:lang w:eastAsia="zh-TW"/>
        </w:rPr>
        <w:t>之普通股權益比率、第一類資本比率與資本適足率應分別達到7%、8.5%及10.5%之標準</w:t>
      </w:r>
      <w:r w:rsidR="0077295C">
        <w:rPr>
          <w:rFonts w:hint="eastAsia"/>
          <w:lang w:eastAsia="zh-TW"/>
        </w:rPr>
        <w:t>；</w:t>
      </w:r>
      <w:r w:rsidR="007E138B">
        <w:rPr>
          <w:rFonts w:hint="eastAsia"/>
          <w:lang w:eastAsia="zh-TW"/>
        </w:rPr>
        <w:t>該會並</w:t>
      </w:r>
      <w:r w:rsidR="00ED5A82">
        <w:rPr>
          <w:rFonts w:hint="eastAsia"/>
          <w:lang w:eastAsia="zh-TW"/>
        </w:rPr>
        <w:t>自</w:t>
      </w:r>
      <w:r w:rsidR="006B0FBB">
        <w:rPr>
          <w:rFonts w:hint="eastAsia"/>
          <w:lang w:eastAsia="zh-TW"/>
        </w:rPr>
        <w:t>108年起，陸續指定</w:t>
      </w:r>
      <w:r w:rsidR="006B0FBB" w:rsidRPr="00D36318">
        <w:rPr>
          <w:rFonts w:hint="eastAsia"/>
        </w:rPr>
        <w:t>中國信託商業銀行、國泰世華商業銀行、台北富邦商業銀行、兆豐國際商業銀行、合作金庫商業銀行及第一商業銀行為我國</w:t>
      </w:r>
      <w:r w:rsidR="006B0FBB">
        <w:rPr>
          <w:rFonts w:hint="eastAsia"/>
          <w:snapToGrid/>
        </w:rPr>
        <w:t>系統性重要銀行</w:t>
      </w:r>
      <w:r w:rsidR="006B0FBB">
        <w:rPr>
          <w:rFonts w:hint="eastAsia"/>
        </w:rPr>
        <w:t>(Domestic</w:t>
      </w:r>
      <w:r w:rsidR="006B0FBB">
        <w:rPr>
          <w:rFonts w:hint="eastAsia"/>
          <w:lang w:eastAsia="zh-TW"/>
        </w:rPr>
        <w:t xml:space="preserve"> </w:t>
      </w:r>
      <w:r w:rsidR="006B0FBB">
        <w:rPr>
          <w:rFonts w:hint="eastAsia"/>
        </w:rPr>
        <w:t>Systemically Important Banks</w:t>
      </w:r>
      <w:r w:rsidR="006B0FBB">
        <w:t>，下稱</w:t>
      </w:r>
      <w:r w:rsidR="006B0FBB">
        <w:rPr>
          <w:rFonts w:hint="eastAsia"/>
        </w:rPr>
        <w:t>D-SIBs)</w:t>
      </w:r>
      <w:r w:rsidR="006B0FBB">
        <w:rPr>
          <w:rFonts w:hint="eastAsia"/>
          <w:lang w:eastAsia="zh-TW"/>
        </w:rPr>
        <w:t>，</w:t>
      </w:r>
      <w:r w:rsidR="009154C0">
        <w:rPr>
          <w:rFonts w:hint="eastAsia"/>
          <w:lang w:eastAsia="zh-TW"/>
        </w:rPr>
        <w:t>依「</w:t>
      </w:r>
      <w:r w:rsidR="009154C0" w:rsidRPr="009154C0">
        <w:rPr>
          <w:rFonts w:hint="eastAsia"/>
          <w:lang w:eastAsia="zh-TW"/>
        </w:rPr>
        <w:t>系統性重要銀行篩選標準及實施要求</w:t>
      </w:r>
      <w:r w:rsidR="009154C0">
        <w:rPr>
          <w:rFonts w:hint="eastAsia"/>
          <w:lang w:eastAsia="zh-TW"/>
        </w:rPr>
        <w:t>」規定，</w:t>
      </w:r>
      <w:r w:rsidR="009154C0">
        <w:rPr>
          <w:rFonts w:hint="eastAsia"/>
        </w:rPr>
        <w:t>D-SIBs</w:t>
      </w:r>
      <w:r w:rsidR="009154C0">
        <w:rPr>
          <w:rFonts w:hint="eastAsia"/>
          <w:snapToGrid/>
        </w:rPr>
        <w:t>應提列額外資本要</w:t>
      </w:r>
      <w:r w:rsidR="009154C0">
        <w:rPr>
          <w:rFonts w:hint="eastAsia"/>
          <w:snapToGrid/>
        </w:rPr>
        <w:lastRenderedPageBreak/>
        <w:t>求，包括法定資本2%及內部管理資本2%，並全數以普通股權益第一類資本支應</w:t>
      </w:r>
      <w:r w:rsidR="009154C0">
        <w:rPr>
          <w:rFonts w:hint="eastAsia"/>
          <w:snapToGrid/>
          <w:lang w:eastAsia="zh-TW"/>
        </w:rPr>
        <w:t>，爰</w:t>
      </w:r>
      <w:r w:rsidR="007E138B">
        <w:rPr>
          <w:rFonts w:hint="eastAsia"/>
        </w:rPr>
        <w:t>D-SIBs</w:t>
      </w:r>
      <w:r w:rsidR="007E138B">
        <w:rPr>
          <w:rFonts w:hint="eastAsia"/>
          <w:lang w:eastAsia="zh-TW"/>
        </w:rPr>
        <w:t>之</w:t>
      </w:r>
      <w:r w:rsidR="009154C0" w:rsidRPr="006B0FBB">
        <w:rPr>
          <w:rFonts w:hint="eastAsia"/>
          <w:lang w:eastAsia="zh-TW"/>
        </w:rPr>
        <w:t>普通股權益比率、第一類資本</w:t>
      </w:r>
      <w:r w:rsidR="009154C0" w:rsidRPr="006B0FBB">
        <w:rPr>
          <w:rFonts w:hint="eastAsia"/>
          <w:lang w:eastAsia="zh-TW"/>
        </w:rPr>
        <w:lastRenderedPageBreak/>
        <w:t>比率與資本適足率</w:t>
      </w:r>
      <w:r w:rsidR="009154C0">
        <w:rPr>
          <w:rFonts w:hint="eastAsia"/>
          <w:snapToGrid/>
        </w:rPr>
        <w:t>至遲</w:t>
      </w:r>
      <w:r w:rsidR="009154C0">
        <w:rPr>
          <w:rFonts w:hint="eastAsia"/>
          <w:snapToGrid/>
          <w:lang w:eastAsia="zh-TW"/>
        </w:rPr>
        <w:t>應</w:t>
      </w:r>
      <w:r w:rsidR="009154C0">
        <w:rPr>
          <w:rFonts w:hint="eastAsia"/>
          <w:snapToGrid/>
        </w:rPr>
        <w:t>於114年</w:t>
      </w:r>
      <w:r w:rsidR="00D520F8">
        <w:rPr>
          <w:rFonts w:hint="eastAsia"/>
          <w:snapToGrid/>
          <w:lang w:eastAsia="zh-TW"/>
        </w:rPr>
        <w:t>底</w:t>
      </w:r>
      <w:r w:rsidR="00B87F56">
        <w:rPr>
          <w:rFonts w:hint="eastAsia"/>
          <w:snapToGrid/>
          <w:lang w:eastAsia="zh-TW"/>
        </w:rPr>
        <w:t>前</w:t>
      </w:r>
      <w:r w:rsidR="009154C0">
        <w:rPr>
          <w:rFonts w:hint="eastAsia"/>
          <w:snapToGrid/>
        </w:rPr>
        <w:t>分別達到11%、12.5%及14.5%</w:t>
      </w:r>
      <w:r w:rsidR="009154C0">
        <w:rPr>
          <w:rFonts w:hint="eastAsia"/>
          <w:snapToGrid/>
          <w:lang w:eastAsia="zh-TW"/>
        </w:rPr>
        <w:t>。</w:t>
      </w:r>
    </w:p>
    <w:p w:rsidR="001C65A2" w:rsidRDefault="001C65A2" w:rsidP="001C65A2">
      <w:pPr>
        <w:pStyle w:val="a4"/>
        <w:ind w:left="849" w:hanging="283"/>
        <w:rPr>
          <w:b/>
          <w:snapToGrid/>
        </w:rPr>
      </w:pPr>
      <w:r w:rsidRPr="001C65A2">
        <w:rPr>
          <w:rFonts w:hint="eastAsia"/>
          <w:b/>
          <w:snapToGrid/>
        </w:rPr>
        <w:t>(二)</w:t>
      </w:r>
      <w:r w:rsidR="0077295C">
        <w:rPr>
          <w:rFonts w:hint="eastAsia"/>
          <w:b/>
          <w:snapToGrid/>
          <w:lang w:eastAsia="zh-TW"/>
        </w:rPr>
        <w:t>114年3月底</w:t>
      </w:r>
      <w:r w:rsidR="008877AE">
        <w:rPr>
          <w:rFonts w:hint="eastAsia"/>
          <w:b/>
          <w:snapToGrid/>
          <w:lang w:eastAsia="zh-TW"/>
        </w:rPr>
        <w:t>公股銀行</w:t>
      </w:r>
      <w:r w:rsidR="008D5201">
        <w:rPr>
          <w:rFonts w:hint="eastAsia"/>
          <w:b/>
          <w:snapToGrid/>
          <w:lang w:eastAsia="zh-TW"/>
        </w:rPr>
        <w:t>資本適足比率皆達</w:t>
      </w:r>
      <w:r w:rsidR="008877AE">
        <w:rPr>
          <w:rFonts w:hint="eastAsia"/>
          <w:b/>
          <w:snapToGrid/>
          <w:lang w:eastAsia="zh-TW"/>
        </w:rPr>
        <w:t>法定標準，惟逾半數以上銀行低於</w:t>
      </w:r>
      <w:r w:rsidR="00CB28E6">
        <w:rPr>
          <w:rFonts w:hint="eastAsia"/>
          <w:b/>
          <w:snapToGrid/>
          <w:lang w:eastAsia="zh-TW"/>
        </w:rPr>
        <w:t>本國銀行平均數</w:t>
      </w:r>
    </w:p>
    <w:p w:rsidR="009A1CFA" w:rsidRDefault="009A1CFA" w:rsidP="00C64D55">
      <w:pPr>
        <w:pStyle w:val="21"/>
        <w:ind w:left="850" w:firstLine="566"/>
        <w:rPr>
          <w:snapToGrid/>
          <w:lang w:eastAsia="zh-TW"/>
        </w:rPr>
      </w:pPr>
      <w:r>
        <w:rPr>
          <w:rFonts w:hint="eastAsia"/>
          <w:snapToGrid/>
          <w:lang w:eastAsia="zh-TW"/>
        </w:rPr>
        <w:t>檢視</w:t>
      </w:r>
      <w:r w:rsidR="008877AE">
        <w:rPr>
          <w:rFonts w:hint="eastAsia"/>
          <w:snapToGrid/>
          <w:lang w:eastAsia="zh-TW"/>
        </w:rPr>
        <w:t>各</w:t>
      </w:r>
      <w:r>
        <w:rPr>
          <w:rFonts w:hint="eastAsia"/>
          <w:snapToGrid/>
          <w:lang w:eastAsia="zh-TW"/>
        </w:rPr>
        <w:t>公股銀行於114年3月底之資本適足比率，皆逾法定最低標準，</w:t>
      </w:r>
      <w:r w:rsidR="00D520F8">
        <w:rPr>
          <w:rFonts w:hint="eastAsia"/>
          <w:snapToGrid/>
          <w:lang w:eastAsia="zh-TW"/>
        </w:rPr>
        <w:t>其中被指定為</w:t>
      </w:r>
      <w:r w:rsidR="00D520F8">
        <w:rPr>
          <w:rFonts w:hint="eastAsia"/>
        </w:rPr>
        <w:t>D-SIBs</w:t>
      </w:r>
      <w:r w:rsidR="00D520F8">
        <w:rPr>
          <w:rFonts w:hint="eastAsia"/>
          <w:lang w:eastAsia="zh-TW"/>
        </w:rPr>
        <w:t>之</w:t>
      </w:r>
      <w:r w:rsidR="00D520F8" w:rsidRPr="00D36318">
        <w:rPr>
          <w:rFonts w:hint="eastAsia"/>
        </w:rPr>
        <w:t>兆豐國際商業銀行、合作金庫商業銀行及第一商業銀行</w:t>
      </w:r>
      <w:r w:rsidR="00D520F8">
        <w:rPr>
          <w:rFonts w:hint="eastAsia"/>
          <w:lang w:eastAsia="zh-TW"/>
        </w:rPr>
        <w:t>亦皆符合應提列額外資本之要求</w:t>
      </w:r>
      <w:r w:rsidR="00DA3C80">
        <w:rPr>
          <w:rFonts w:hint="eastAsia"/>
          <w:lang w:eastAsia="zh-TW"/>
        </w:rPr>
        <w:t>；</w:t>
      </w:r>
      <w:r>
        <w:rPr>
          <w:rFonts w:hint="eastAsia"/>
          <w:snapToGrid/>
          <w:lang w:eastAsia="zh-TW"/>
        </w:rPr>
        <w:t>惟若就</w:t>
      </w:r>
      <w:r w:rsidR="00D520F8">
        <w:rPr>
          <w:rFonts w:hint="eastAsia"/>
          <w:snapToGrid/>
          <w:lang w:eastAsia="zh-TW"/>
        </w:rPr>
        <w:t>8家公股銀行</w:t>
      </w:r>
      <w:r>
        <w:rPr>
          <w:rFonts w:hint="eastAsia"/>
          <w:snapToGrid/>
          <w:lang w:eastAsia="zh-TW"/>
        </w:rPr>
        <w:t>與本國</w:t>
      </w:r>
      <w:r w:rsidR="00ED5A82">
        <w:rPr>
          <w:rFonts w:hint="eastAsia"/>
          <w:snapToGrid/>
          <w:lang w:eastAsia="zh-TW"/>
        </w:rPr>
        <w:t>銀行平均數</w:t>
      </w:r>
      <w:r>
        <w:rPr>
          <w:rFonts w:hint="eastAsia"/>
          <w:snapToGrid/>
          <w:lang w:eastAsia="zh-TW"/>
        </w:rPr>
        <w:t>相比，僅臺灣銀行及兆豐</w:t>
      </w:r>
      <w:r w:rsidR="00941D44" w:rsidRPr="00D36318">
        <w:rPr>
          <w:rFonts w:hint="eastAsia"/>
        </w:rPr>
        <w:t>國際</w:t>
      </w:r>
      <w:r>
        <w:rPr>
          <w:rFonts w:hint="eastAsia"/>
          <w:snapToGrid/>
          <w:lang w:eastAsia="zh-TW"/>
        </w:rPr>
        <w:t>商業銀行之資本適足比率高於同業平均</w:t>
      </w:r>
      <w:r w:rsidR="00ED5A82">
        <w:rPr>
          <w:rFonts w:hint="eastAsia"/>
          <w:snapToGrid/>
          <w:lang w:eastAsia="zh-TW"/>
        </w:rPr>
        <w:t>數</w:t>
      </w:r>
      <w:r>
        <w:rPr>
          <w:rFonts w:hint="eastAsia"/>
          <w:snapToGrid/>
          <w:lang w:eastAsia="zh-TW"/>
        </w:rPr>
        <w:t>，另華南商業銀行之第一類資本比率</w:t>
      </w:r>
      <w:r w:rsidR="00DA3C80">
        <w:rPr>
          <w:rFonts w:hint="eastAsia"/>
          <w:snapToGrid/>
          <w:lang w:eastAsia="zh-TW"/>
        </w:rPr>
        <w:t>尚</w:t>
      </w:r>
      <w:r>
        <w:rPr>
          <w:rFonts w:hint="eastAsia"/>
          <w:snapToGrid/>
          <w:lang w:eastAsia="zh-TW"/>
        </w:rPr>
        <w:t>高於本國銀行平均數0.11個百分點，餘5</w:t>
      </w:r>
      <w:r w:rsidR="00ED5A82">
        <w:rPr>
          <w:rFonts w:hint="eastAsia"/>
          <w:snapToGrid/>
          <w:lang w:eastAsia="zh-TW"/>
        </w:rPr>
        <w:t>家公股銀行之資本適足比率皆較同業平均水準為低</w:t>
      </w:r>
      <w:r w:rsidR="00DA3C80">
        <w:rPr>
          <w:rFonts w:hint="eastAsia"/>
          <w:snapToGrid/>
          <w:lang w:eastAsia="zh-TW"/>
        </w:rPr>
        <w:t>。復與</w:t>
      </w:r>
      <w:r w:rsidR="00D520F8">
        <w:rPr>
          <w:rFonts w:hint="eastAsia"/>
          <w:snapToGrid/>
          <w:lang w:eastAsia="zh-TW"/>
        </w:rPr>
        <w:t>權益、資產總額相當之</w:t>
      </w:r>
      <w:r w:rsidR="00ED5A82">
        <w:rPr>
          <w:rFonts w:hint="eastAsia"/>
          <w:snapToGrid/>
          <w:lang w:eastAsia="zh-TW"/>
        </w:rPr>
        <w:t>4家</w:t>
      </w:r>
      <w:r w:rsidR="00D520F8">
        <w:rPr>
          <w:rFonts w:hint="eastAsia"/>
          <w:snapToGrid/>
          <w:lang w:eastAsia="zh-TW"/>
        </w:rPr>
        <w:t>民營銀行</w:t>
      </w:r>
      <w:r w:rsidR="00DA3C80">
        <w:rPr>
          <w:rFonts w:hint="eastAsia"/>
          <w:snapToGrid/>
          <w:lang w:eastAsia="zh-TW"/>
        </w:rPr>
        <w:t>相較</w:t>
      </w:r>
      <w:r w:rsidR="00D520F8">
        <w:rPr>
          <w:rFonts w:hint="eastAsia"/>
          <w:snapToGrid/>
          <w:lang w:eastAsia="zh-TW"/>
        </w:rPr>
        <w:t>，</w:t>
      </w:r>
      <w:r w:rsidR="00DA3C80">
        <w:rPr>
          <w:rFonts w:hint="eastAsia"/>
          <w:snapToGrid/>
          <w:lang w:eastAsia="zh-TW"/>
        </w:rPr>
        <w:t>同期間</w:t>
      </w:r>
      <w:r w:rsidR="00ED5A82">
        <w:rPr>
          <w:rFonts w:hint="eastAsia"/>
          <w:snapToGrid/>
          <w:lang w:eastAsia="zh-TW"/>
        </w:rPr>
        <w:t>僅</w:t>
      </w:r>
      <w:r w:rsidR="00171E3E">
        <w:rPr>
          <w:rFonts w:hint="eastAsia"/>
          <w:snapToGrid/>
          <w:lang w:eastAsia="zh-TW"/>
        </w:rPr>
        <w:t>中國信託商業銀行之資本適足率低於本國銀行平均數0.37個百分點，然該行之</w:t>
      </w:r>
      <w:r w:rsidR="00171E3E" w:rsidRPr="006B0FBB">
        <w:rPr>
          <w:rFonts w:hint="eastAsia"/>
          <w:lang w:eastAsia="zh-TW"/>
        </w:rPr>
        <w:t>普通股權益比率</w:t>
      </w:r>
      <w:r w:rsidR="00171E3E">
        <w:rPr>
          <w:rFonts w:hint="eastAsia"/>
          <w:lang w:eastAsia="zh-TW"/>
        </w:rPr>
        <w:t>及</w:t>
      </w:r>
      <w:r w:rsidR="00171E3E" w:rsidRPr="006B0FBB">
        <w:rPr>
          <w:rFonts w:hint="eastAsia"/>
          <w:lang w:eastAsia="zh-TW"/>
        </w:rPr>
        <w:t>第一類資本比率</w:t>
      </w:r>
      <w:r w:rsidR="00E93CA1">
        <w:rPr>
          <w:rFonts w:hint="eastAsia"/>
          <w:lang w:eastAsia="zh-TW"/>
        </w:rPr>
        <w:t>較</w:t>
      </w:r>
      <w:r w:rsidR="00171E3E">
        <w:rPr>
          <w:rFonts w:hint="eastAsia"/>
          <w:snapToGrid/>
          <w:lang w:eastAsia="zh-TW"/>
        </w:rPr>
        <w:t>同業平均</w:t>
      </w:r>
      <w:r w:rsidR="00E93CA1">
        <w:rPr>
          <w:rFonts w:hint="eastAsia"/>
          <w:snapToGrid/>
          <w:lang w:eastAsia="zh-TW"/>
        </w:rPr>
        <w:t>水準為高</w:t>
      </w:r>
      <w:r w:rsidR="00171E3E">
        <w:rPr>
          <w:rFonts w:hint="eastAsia"/>
          <w:snapToGrid/>
          <w:lang w:eastAsia="zh-TW"/>
        </w:rPr>
        <w:t>(詳表</w:t>
      </w:r>
      <w:r w:rsidR="00EC7A33">
        <w:rPr>
          <w:rFonts w:hint="eastAsia"/>
          <w:snapToGrid/>
          <w:lang w:eastAsia="zh-TW"/>
        </w:rPr>
        <w:t>12</w:t>
      </w:r>
      <w:r w:rsidR="00171E3E">
        <w:rPr>
          <w:snapToGrid/>
          <w:lang w:eastAsia="zh-TW"/>
        </w:rPr>
        <w:t>)</w:t>
      </w:r>
      <w:r w:rsidR="00171E3E">
        <w:rPr>
          <w:rFonts w:hint="eastAsia"/>
          <w:snapToGrid/>
          <w:lang w:eastAsia="zh-TW"/>
        </w:rPr>
        <w:t>。</w:t>
      </w:r>
    </w:p>
    <w:p w:rsidR="001C65A2" w:rsidRPr="00DF349C" w:rsidRDefault="001C65A2" w:rsidP="00D3092F">
      <w:pPr>
        <w:pStyle w:val="142"/>
        <w:spacing w:before="240"/>
        <w:ind w:left="566" w:rightChars="-200" w:right="-566" w:hanging="566"/>
        <w:rPr>
          <w:b/>
          <w:bCs/>
          <w:sz w:val="28"/>
        </w:rPr>
      </w:pPr>
      <w:r w:rsidRPr="00315E10">
        <w:rPr>
          <w:rFonts w:hint="eastAsia"/>
          <w:b/>
          <w:bCs/>
          <w:sz w:val="28"/>
        </w:rPr>
        <w:t>表</w:t>
      </w:r>
      <w:r w:rsidR="00EC7A33">
        <w:rPr>
          <w:rFonts w:hint="eastAsia"/>
          <w:b/>
          <w:bCs/>
          <w:sz w:val="28"/>
          <w:lang w:eastAsia="zh-TW"/>
        </w:rPr>
        <w:t>12</w:t>
      </w:r>
      <w:r>
        <w:rPr>
          <w:rFonts w:hint="eastAsia"/>
          <w:b/>
          <w:bCs/>
          <w:sz w:val="28"/>
        </w:rPr>
        <w:t xml:space="preserve">  截至11</w:t>
      </w:r>
      <w:r>
        <w:rPr>
          <w:rFonts w:hint="eastAsia"/>
          <w:b/>
          <w:bCs/>
          <w:sz w:val="28"/>
          <w:lang w:eastAsia="zh-TW"/>
        </w:rPr>
        <w:t>4</w:t>
      </w:r>
      <w:r>
        <w:rPr>
          <w:rFonts w:hint="eastAsia"/>
          <w:b/>
          <w:bCs/>
          <w:sz w:val="28"/>
        </w:rPr>
        <w:t>年3</w:t>
      </w:r>
      <w:r w:rsidR="00A57654">
        <w:rPr>
          <w:rFonts w:hint="eastAsia"/>
          <w:b/>
          <w:bCs/>
          <w:sz w:val="28"/>
        </w:rPr>
        <w:t>月底</w:t>
      </w:r>
      <w:r w:rsidR="00A57654">
        <w:rPr>
          <w:rFonts w:hint="eastAsia"/>
          <w:b/>
          <w:bCs/>
          <w:sz w:val="28"/>
          <w:lang w:eastAsia="zh-TW"/>
        </w:rPr>
        <w:t>止部分本國銀行之</w:t>
      </w:r>
      <w:r>
        <w:rPr>
          <w:rFonts w:hint="eastAsia"/>
          <w:b/>
          <w:bCs/>
          <w:sz w:val="28"/>
        </w:rPr>
        <w:t>資本適足比率</w:t>
      </w:r>
      <w:r w:rsidR="00D3092F">
        <w:rPr>
          <w:rFonts w:hint="eastAsia"/>
          <w:b/>
          <w:bCs/>
          <w:sz w:val="28"/>
          <w:lang w:eastAsia="zh-TW"/>
        </w:rPr>
        <w:t>一覽</w:t>
      </w:r>
      <w:r>
        <w:rPr>
          <w:rFonts w:hint="eastAsia"/>
          <w:b/>
          <w:bCs/>
          <w:sz w:val="28"/>
        </w:rPr>
        <w:t xml:space="preserve">表 </w:t>
      </w:r>
      <w:r w:rsidRPr="00315E10">
        <w:rPr>
          <w:rFonts w:hint="eastAsia"/>
        </w:rPr>
        <w:t>單位：%</w:t>
      </w:r>
    </w:p>
    <w:tbl>
      <w:tblPr>
        <w:tblW w:w="8931" w:type="dxa"/>
        <w:tblInd w:w="28" w:type="dxa"/>
        <w:tblLayout w:type="fixed"/>
        <w:tblCellMar>
          <w:left w:w="28" w:type="dxa"/>
          <w:right w:w="28" w:type="dxa"/>
        </w:tblCellMar>
        <w:tblLook w:val="04A0" w:firstRow="1" w:lastRow="0" w:firstColumn="1" w:lastColumn="0" w:noHBand="0" w:noVBand="1"/>
      </w:tblPr>
      <w:tblGrid>
        <w:gridCol w:w="2835"/>
        <w:gridCol w:w="1559"/>
        <w:gridCol w:w="1559"/>
        <w:gridCol w:w="1560"/>
        <w:gridCol w:w="1418"/>
      </w:tblGrid>
      <w:tr w:rsidR="001C65A2" w:rsidRPr="00315E10" w:rsidTr="0099087F">
        <w:trPr>
          <w:trHeight w:val="552"/>
          <w:tblHeader/>
        </w:trPr>
        <w:tc>
          <w:tcPr>
            <w:tcW w:w="2835" w:type="dxa"/>
            <w:tcBorders>
              <w:top w:val="single" w:sz="12" w:space="0" w:color="auto"/>
              <w:left w:val="single" w:sz="12" w:space="0" w:color="auto"/>
              <w:bottom w:val="single" w:sz="6" w:space="0" w:color="auto"/>
              <w:right w:val="single" w:sz="6" w:space="0" w:color="auto"/>
              <w:tl2br w:val="single" w:sz="4" w:space="0" w:color="auto"/>
            </w:tcBorders>
            <w:shd w:val="clear" w:color="auto" w:fill="auto"/>
            <w:noWrap/>
            <w:hideMark/>
          </w:tcPr>
          <w:p w:rsidR="001C65A2" w:rsidRDefault="001C65A2" w:rsidP="007914A2">
            <w:pPr>
              <w:pStyle w:val="142"/>
              <w:ind w:leftChars="-38" w:left="538" w:hanging="646"/>
              <w:jc w:val="center"/>
              <w:rPr>
                <w:rFonts w:hAnsi="標楷體" w:cs="新細明體"/>
                <w:b/>
                <w:bCs/>
                <w:szCs w:val="24"/>
              </w:rPr>
            </w:pPr>
            <w:r w:rsidRPr="00E45A44">
              <w:rPr>
                <w:rFonts w:hAnsi="標楷體" w:cs="新細明體" w:hint="eastAsia"/>
                <w:b/>
                <w:bCs/>
                <w:szCs w:val="24"/>
              </w:rPr>
              <w:t xml:space="preserve">     </w:t>
            </w:r>
            <w:r>
              <w:rPr>
                <w:rFonts w:hAnsi="標楷體" w:cs="新細明體" w:hint="eastAsia"/>
                <w:b/>
                <w:bCs/>
                <w:szCs w:val="24"/>
              </w:rPr>
              <w:t xml:space="preserve"> </w:t>
            </w:r>
            <w:r w:rsidR="002C7843">
              <w:rPr>
                <w:rFonts w:hAnsi="標楷體" w:cs="新細明體"/>
                <w:b/>
                <w:bCs/>
                <w:szCs w:val="24"/>
              </w:rPr>
              <w:t xml:space="preserve">  </w:t>
            </w:r>
            <w:r w:rsidR="0099087F">
              <w:rPr>
                <w:rFonts w:hAnsi="標楷體" w:cs="新細明體" w:hint="eastAsia"/>
                <w:b/>
                <w:bCs/>
                <w:szCs w:val="24"/>
                <w:lang w:eastAsia="zh-TW"/>
              </w:rPr>
              <w:t xml:space="preserve">   </w:t>
            </w:r>
            <w:r w:rsidRPr="00E45A44">
              <w:rPr>
                <w:rFonts w:hAnsi="標楷體" w:cs="新細明體" w:hint="eastAsia"/>
                <w:b/>
                <w:bCs/>
                <w:szCs w:val="24"/>
              </w:rPr>
              <w:t>資本適足比率</w:t>
            </w:r>
          </w:p>
          <w:p w:rsidR="001C65A2" w:rsidRPr="00E45A44" w:rsidRDefault="001C65A2" w:rsidP="007914A2">
            <w:pPr>
              <w:pStyle w:val="142"/>
              <w:ind w:leftChars="-38" w:left="538" w:hanging="646"/>
              <w:rPr>
                <w:rFonts w:hAnsi="標楷體" w:cs="新細明體"/>
                <w:b/>
                <w:bCs/>
                <w:szCs w:val="24"/>
              </w:rPr>
            </w:pPr>
            <w:r>
              <w:rPr>
                <w:rFonts w:hAnsi="標楷體" w:cs="新細明體" w:hint="eastAsia"/>
                <w:b/>
                <w:bCs/>
                <w:szCs w:val="24"/>
              </w:rPr>
              <w:t xml:space="preserve"> </w:t>
            </w:r>
            <w:r w:rsidRPr="00DD252B">
              <w:rPr>
                <w:rFonts w:hAnsi="標楷體" w:cs="新細明體"/>
                <w:b/>
                <w:bCs/>
                <w:szCs w:val="24"/>
              </w:rPr>
              <w:t>D-SIBs</w:t>
            </w:r>
          </w:p>
        </w:tc>
        <w:tc>
          <w:tcPr>
            <w:tcW w:w="1559"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普通股</w:t>
            </w:r>
          </w:p>
          <w:p w:rsidR="001C65A2" w:rsidRPr="0099087F" w:rsidRDefault="001C65A2" w:rsidP="007914A2">
            <w:pPr>
              <w:pStyle w:val="142"/>
              <w:ind w:left="647" w:hanging="647"/>
              <w:jc w:val="center"/>
              <w:rPr>
                <w:b/>
              </w:rPr>
            </w:pPr>
            <w:r w:rsidRPr="0099087F">
              <w:rPr>
                <w:rFonts w:hint="eastAsia"/>
                <w:b/>
              </w:rPr>
              <w:t>權益比率</w:t>
            </w:r>
          </w:p>
        </w:tc>
        <w:tc>
          <w:tcPr>
            <w:tcW w:w="1559"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第一類</w:t>
            </w:r>
          </w:p>
          <w:p w:rsidR="001C65A2" w:rsidRPr="0099087F" w:rsidRDefault="001C65A2" w:rsidP="007914A2">
            <w:pPr>
              <w:pStyle w:val="142"/>
              <w:ind w:left="647" w:hanging="647"/>
              <w:jc w:val="center"/>
              <w:rPr>
                <w:b/>
              </w:rPr>
            </w:pPr>
            <w:r w:rsidRPr="0099087F">
              <w:rPr>
                <w:rFonts w:hint="eastAsia"/>
                <w:b/>
              </w:rPr>
              <w:t>資本比率</w:t>
            </w:r>
          </w:p>
        </w:tc>
        <w:tc>
          <w:tcPr>
            <w:tcW w:w="156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資本適足率</w:t>
            </w:r>
          </w:p>
        </w:tc>
        <w:tc>
          <w:tcPr>
            <w:tcW w:w="1418" w:type="dxa"/>
            <w:tcBorders>
              <w:top w:val="single" w:sz="12" w:space="0" w:color="auto"/>
              <w:left w:val="single" w:sz="6" w:space="0" w:color="auto"/>
              <w:bottom w:val="single" w:sz="6" w:space="0" w:color="auto"/>
              <w:right w:val="single" w:sz="12" w:space="0" w:color="auto"/>
            </w:tcBorders>
            <w:vAlign w:val="center"/>
          </w:tcPr>
          <w:p w:rsidR="0099087F" w:rsidRPr="0099087F" w:rsidRDefault="001C65A2" w:rsidP="0099087F">
            <w:pPr>
              <w:pStyle w:val="142"/>
              <w:jc w:val="center"/>
              <w:rPr>
                <w:b/>
                <w:lang w:eastAsia="zh-TW"/>
              </w:rPr>
            </w:pPr>
            <w:r w:rsidRPr="0099087F">
              <w:rPr>
                <w:rFonts w:hint="eastAsia"/>
                <w:b/>
                <w:lang w:eastAsia="zh-TW"/>
              </w:rPr>
              <w:t>系統性</w:t>
            </w:r>
          </w:p>
          <w:p w:rsidR="001C65A2" w:rsidRPr="0099087F" w:rsidRDefault="001C65A2" w:rsidP="0099087F">
            <w:pPr>
              <w:pStyle w:val="142"/>
              <w:jc w:val="center"/>
              <w:rPr>
                <w:rFonts w:hint="eastAsia"/>
                <w:b/>
              </w:rPr>
            </w:pPr>
            <w:r w:rsidRPr="0099087F">
              <w:rPr>
                <w:rFonts w:hint="eastAsia"/>
                <w:b/>
                <w:lang w:eastAsia="zh-TW"/>
              </w:rPr>
              <w:t>重要銀行</w:t>
            </w:r>
          </w:p>
        </w:tc>
      </w:tr>
      <w:tr w:rsidR="00050334" w:rsidRPr="00315E10" w:rsidTr="00F466A6">
        <w:trPr>
          <w:trHeight w:val="340"/>
        </w:trPr>
        <w:tc>
          <w:tcPr>
            <w:tcW w:w="8931" w:type="dxa"/>
            <w:gridSpan w:val="5"/>
            <w:tcBorders>
              <w:top w:val="single" w:sz="6" w:space="0" w:color="auto"/>
              <w:left w:val="single" w:sz="12" w:space="0" w:color="auto"/>
              <w:bottom w:val="single" w:sz="6" w:space="0" w:color="auto"/>
              <w:right w:val="single" w:sz="12" w:space="0" w:color="auto"/>
            </w:tcBorders>
            <w:shd w:val="clear" w:color="auto" w:fill="auto"/>
            <w:noWrap/>
            <w:vAlign w:val="center"/>
          </w:tcPr>
          <w:p w:rsidR="00050334" w:rsidRPr="00A25C4D" w:rsidRDefault="00050334" w:rsidP="00050334">
            <w:pPr>
              <w:pStyle w:val="142"/>
              <w:ind w:left="647" w:hanging="647"/>
              <w:jc w:val="both"/>
              <w:rPr>
                <w:b/>
              </w:rPr>
            </w:pPr>
            <w:r w:rsidRPr="00A25C4D">
              <w:rPr>
                <w:rFonts w:hint="eastAsia"/>
                <w:b/>
                <w:lang w:eastAsia="zh-TW"/>
              </w:rPr>
              <w:t>公股銀行</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臺灣銀行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14.70</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14.70</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16.94</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臺灣土地銀行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11.64</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12.79</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14.73</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合作金庫</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11.95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13.55</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15.62</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F466A6" w:rsidP="00F466A6">
            <w:pPr>
              <w:pStyle w:val="142"/>
              <w:ind w:left="647" w:hanging="647"/>
              <w:jc w:val="center"/>
            </w:pPr>
            <w:r>
              <w:rPr>
                <w:rFonts w:hint="eastAsia"/>
                <w:lang w:eastAsia="zh-TW"/>
              </w:rPr>
              <w:t>V</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第一</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11.51</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13.11</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15.31</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F466A6" w:rsidP="00F466A6">
            <w:pPr>
              <w:pStyle w:val="142"/>
              <w:ind w:left="647" w:hanging="647"/>
              <w:jc w:val="center"/>
            </w:pPr>
            <w:r>
              <w:rPr>
                <w:rFonts w:hint="eastAsia"/>
                <w:lang w:eastAsia="zh-TW"/>
              </w:rPr>
              <w:t>V</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華南</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11.63</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13.78</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15.62</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彰化</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10.75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12.31</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Default="001C65A2" w:rsidP="007914A2">
            <w:pPr>
              <w:pStyle w:val="142"/>
              <w:ind w:left="647" w:hanging="647"/>
              <w:jc w:val="center"/>
            </w:pPr>
            <w:r w:rsidRPr="00FF7CA6">
              <w:t>14.64</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99087F" w:rsidRDefault="001C65A2" w:rsidP="0099087F">
            <w:pPr>
              <w:pStyle w:val="142"/>
              <w:jc w:val="center"/>
            </w:pP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F466A6" w:rsidRPr="00A53057" w:rsidRDefault="00F466A6" w:rsidP="0080702D">
            <w:pPr>
              <w:pStyle w:val="142"/>
              <w:ind w:left="647" w:hanging="647"/>
              <w:jc w:val="both"/>
              <w:rPr>
                <w:snapToGrid/>
              </w:rPr>
            </w:pPr>
            <w:r w:rsidRPr="00A53057">
              <w:rPr>
                <w:rFonts w:hint="eastAsia"/>
                <w:snapToGrid/>
              </w:rPr>
              <w:t>兆豐國際商業銀行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14.16</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14.29</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16.54</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FF7CA6" w:rsidRDefault="00F466A6" w:rsidP="00F466A6">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F466A6" w:rsidRPr="00A53057" w:rsidRDefault="00F466A6" w:rsidP="0080702D">
            <w:pPr>
              <w:pStyle w:val="142"/>
              <w:ind w:left="647" w:hanging="647"/>
              <w:jc w:val="both"/>
              <w:rPr>
                <w:snapToGrid/>
              </w:rPr>
            </w:pPr>
            <w:r w:rsidRPr="00A53057">
              <w:rPr>
                <w:rFonts w:hint="eastAsia"/>
                <w:snapToGrid/>
              </w:rPr>
              <w:t>臺灣中小企業銀行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9.15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10.43</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rsidRPr="001D4DEB">
              <w:t>13.37</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FF7CA6" w:rsidRDefault="00F466A6" w:rsidP="00F466A6">
            <w:pPr>
              <w:pStyle w:val="142"/>
              <w:ind w:left="647" w:hanging="647"/>
              <w:jc w:val="center"/>
            </w:pPr>
          </w:p>
        </w:tc>
      </w:tr>
      <w:tr w:rsidR="000328E1" w:rsidRPr="00315E10" w:rsidTr="000328E1">
        <w:trPr>
          <w:trHeight w:val="340"/>
        </w:trPr>
        <w:tc>
          <w:tcPr>
            <w:tcW w:w="8931" w:type="dxa"/>
            <w:gridSpan w:val="5"/>
            <w:tcBorders>
              <w:top w:val="single" w:sz="6" w:space="0" w:color="auto"/>
              <w:left w:val="single" w:sz="12" w:space="0" w:color="auto"/>
              <w:bottom w:val="single" w:sz="6" w:space="0" w:color="auto"/>
              <w:right w:val="single" w:sz="12" w:space="0" w:color="auto"/>
            </w:tcBorders>
            <w:shd w:val="clear" w:color="auto" w:fill="auto"/>
            <w:noWrap/>
            <w:vAlign w:val="center"/>
          </w:tcPr>
          <w:p w:rsidR="000328E1" w:rsidRPr="00A25C4D" w:rsidRDefault="000328E1" w:rsidP="000328E1">
            <w:pPr>
              <w:pStyle w:val="142"/>
              <w:ind w:left="647" w:hanging="647"/>
              <w:jc w:val="both"/>
              <w:rPr>
                <w:b/>
              </w:rPr>
            </w:pPr>
            <w:r w:rsidRPr="00A25C4D">
              <w:rPr>
                <w:rFonts w:hint="eastAsia"/>
                <w:b/>
              </w:rPr>
              <w:t>截至114年3月底止，淨值及資產總額皆</w:t>
            </w:r>
            <w:r w:rsidRPr="00A25C4D">
              <w:rPr>
                <w:rFonts w:hint="eastAsia"/>
                <w:b/>
                <w:lang w:eastAsia="zh-TW"/>
              </w:rPr>
              <w:t>排名</w:t>
            </w:r>
            <w:r w:rsidRPr="00A25C4D">
              <w:rPr>
                <w:rFonts w:hint="eastAsia"/>
                <w:b/>
              </w:rPr>
              <w:t>前10名之民營銀行</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F466A6" w:rsidRPr="00ED72EF" w:rsidRDefault="00F466A6" w:rsidP="0080702D">
            <w:pPr>
              <w:pStyle w:val="142"/>
              <w:ind w:leftChars="1" w:left="650" w:rightChars="-38" w:right="-108" w:hanging="647"/>
              <w:jc w:val="both"/>
              <w:rPr>
                <w:rFonts w:hAnsi="標楷體" w:cs="新細明體"/>
                <w:szCs w:val="24"/>
              </w:rPr>
            </w:pPr>
            <w:r w:rsidRPr="00ED72EF">
              <w:rPr>
                <w:rFonts w:hAnsi="標楷體" w:cs="新細明體" w:hint="eastAsia"/>
                <w:szCs w:val="24"/>
              </w:rPr>
              <w:lastRenderedPageBreak/>
              <w:t>中國信託商業銀行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rPr>
                <w:rFonts w:eastAsia="新細明體"/>
                <w:snapToGrid/>
                <w:kern w:val="0"/>
              </w:rPr>
            </w:pPr>
            <w:r>
              <w:t>12.53</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t>13.72</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t>15.34</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52653E" w:rsidRDefault="00F466A6" w:rsidP="00F466A6">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F466A6" w:rsidRPr="00ED72EF" w:rsidRDefault="00F466A6" w:rsidP="0080702D">
            <w:pPr>
              <w:pStyle w:val="142"/>
              <w:ind w:leftChars="1" w:left="650" w:rightChars="-38" w:right="-108" w:hanging="647"/>
              <w:jc w:val="both"/>
              <w:rPr>
                <w:rFonts w:hAnsi="標楷體" w:cs="新細明體"/>
                <w:szCs w:val="24"/>
              </w:rPr>
            </w:pPr>
            <w:r w:rsidRPr="00ED72EF">
              <w:rPr>
                <w:rFonts w:hAnsi="標楷體" w:cs="新細明體" w:hint="eastAsia"/>
                <w:szCs w:val="24"/>
              </w:rPr>
              <w:t>國泰世華商業銀行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52653E" w:rsidRDefault="00F466A6" w:rsidP="00F466A6">
            <w:pPr>
              <w:pStyle w:val="142"/>
              <w:ind w:left="647" w:hanging="647"/>
              <w:jc w:val="center"/>
            </w:pPr>
            <w:r w:rsidRPr="0052653E">
              <w:t>1</w:t>
            </w:r>
            <w:r w:rsidR="009744B5">
              <w:rPr>
                <w:rFonts w:hint="eastAsia"/>
                <w:lang w:eastAsia="zh-TW"/>
              </w:rPr>
              <w:t>2.7</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52653E" w:rsidRDefault="009744B5" w:rsidP="00F466A6">
            <w:pPr>
              <w:pStyle w:val="142"/>
              <w:ind w:left="647" w:hanging="647"/>
              <w:jc w:val="center"/>
            </w:pPr>
            <w:r>
              <w:t>14.</w:t>
            </w:r>
            <w:r>
              <w:rPr>
                <w:rFonts w:hint="eastAsia"/>
                <w:lang w:eastAsia="zh-TW"/>
              </w:rPr>
              <w:t>36</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9744B5" w:rsidP="00F466A6">
            <w:pPr>
              <w:pStyle w:val="142"/>
              <w:ind w:left="647" w:hanging="647"/>
              <w:jc w:val="center"/>
            </w:pPr>
            <w:r>
              <w:t>16.</w:t>
            </w:r>
            <w:r>
              <w:rPr>
                <w:rFonts w:hint="eastAsia"/>
                <w:lang w:eastAsia="zh-TW"/>
              </w:rPr>
              <w:t>19</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52653E" w:rsidRDefault="00F466A6" w:rsidP="00F466A6">
            <w:pPr>
              <w:pStyle w:val="142"/>
              <w:ind w:left="647" w:hanging="647"/>
              <w:jc w:val="center"/>
            </w:pPr>
            <w:r>
              <w:rPr>
                <w:rFonts w:hint="eastAsia"/>
                <w:lang w:eastAsia="zh-TW"/>
              </w:rPr>
              <w:t>V</w:t>
            </w:r>
          </w:p>
        </w:tc>
      </w:tr>
      <w:tr w:rsidR="009744B5"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744B5" w:rsidRPr="00ED72EF" w:rsidRDefault="009744B5" w:rsidP="009744B5">
            <w:pPr>
              <w:pStyle w:val="142"/>
              <w:ind w:leftChars="1" w:left="650" w:rightChars="-38" w:right="-108" w:hanging="647"/>
              <w:jc w:val="both"/>
              <w:rPr>
                <w:rFonts w:hAnsi="標楷體" w:cs="新細明體"/>
                <w:szCs w:val="24"/>
              </w:rPr>
            </w:pPr>
            <w:r w:rsidRPr="00ED72EF">
              <w:rPr>
                <w:rFonts w:hAnsi="標楷體" w:cs="新細明體" w:hint="eastAsia"/>
                <w:szCs w:val="24"/>
              </w:rPr>
              <w:t>台北富邦</w:t>
            </w:r>
            <w:r>
              <w:rPr>
                <w:rFonts w:hAnsi="標楷體" w:cs="新細明體" w:hint="eastAsia"/>
                <w:szCs w:val="24"/>
              </w:rPr>
              <w:t>商業</w:t>
            </w:r>
            <w:r w:rsidRPr="00ED72EF">
              <w:rPr>
                <w:rFonts w:hAnsi="標楷體" w:cs="新細明體" w:hint="eastAsia"/>
                <w:szCs w:val="24"/>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Pr="0052653E" w:rsidRDefault="009744B5" w:rsidP="009744B5">
            <w:pPr>
              <w:pStyle w:val="142"/>
              <w:ind w:left="647" w:hanging="647"/>
              <w:jc w:val="center"/>
            </w:pPr>
            <w:r w:rsidRPr="0052653E">
              <w:t>13.12</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Pr="0052653E" w:rsidRDefault="009744B5" w:rsidP="009744B5">
            <w:pPr>
              <w:pStyle w:val="142"/>
              <w:ind w:left="647" w:hanging="647"/>
              <w:jc w:val="center"/>
            </w:pPr>
            <w:r w:rsidRPr="0052653E">
              <w:t>14.53</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Default="009744B5" w:rsidP="009744B5">
            <w:pPr>
              <w:pStyle w:val="142"/>
              <w:ind w:left="647" w:hanging="647"/>
              <w:jc w:val="center"/>
            </w:pPr>
            <w:r w:rsidRPr="0052653E">
              <w:t>16.62</w:t>
            </w:r>
          </w:p>
        </w:tc>
        <w:tc>
          <w:tcPr>
            <w:tcW w:w="1418" w:type="dxa"/>
            <w:tcBorders>
              <w:top w:val="single" w:sz="6" w:space="0" w:color="auto"/>
              <w:left w:val="single" w:sz="6" w:space="0" w:color="auto"/>
              <w:bottom w:val="single" w:sz="6" w:space="0" w:color="auto"/>
              <w:right w:val="single" w:sz="12" w:space="0" w:color="auto"/>
            </w:tcBorders>
            <w:vAlign w:val="center"/>
          </w:tcPr>
          <w:p w:rsidR="009744B5" w:rsidRPr="0052653E" w:rsidRDefault="009744B5" w:rsidP="009744B5">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double" w:sz="6" w:space="0" w:color="auto"/>
              <w:right w:val="single" w:sz="6" w:space="0" w:color="auto"/>
            </w:tcBorders>
            <w:shd w:val="clear" w:color="auto" w:fill="auto"/>
            <w:noWrap/>
            <w:vAlign w:val="center"/>
          </w:tcPr>
          <w:p w:rsidR="00F466A6" w:rsidRPr="00ED72EF" w:rsidRDefault="00F466A6" w:rsidP="0080702D">
            <w:pPr>
              <w:pStyle w:val="142"/>
              <w:ind w:leftChars="1" w:left="650" w:rightChars="-38" w:right="-108" w:hanging="647"/>
              <w:jc w:val="both"/>
              <w:rPr>
                <w:rFonts w:hAnsi="標楷體" w:cs="新細明體" w:hint="eastAsia"/>
                <w:szCs w:val="24"/>
              </w:rPr>
            </w:pPr>
            <w:r>
              <w:rPr>
                <w:rFonts w:hAnsi="標楷體" w:cs="新細明體" w:hint="eastAsia"/>
                <w:szCs w:val="24"/>
                <w:lang w:eastAsia="zh-TW"/>
              </w:rPr>
              <w:lastRenderedPageBreak/>
              <w:t>玉山商業銀行</w:t>
            </w:r>
          </w:p>
        </w:tc>
        <w:tc>
          <w:tcPr>
            <w:tcW w:w="1559"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rPr>
                <w:rFonts w:eastAsia="新細明體"/>
                <w:snapToGrid/>
                <w:kern w:val="0"/>
              </w:rPr>
            </w:pPr>
            <w:r>
              <w:t>12.59</w:t>
            </w:r>
          </w:p>
        </w:tc>
        <w:tc>
          <w:tcPr>
            <w:tcW w:w="1559"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pPr>
            <w:r>
              <w:t>13.99</w:t>
            </w:r>
          </w:p>
        </w:tc>
        <w:tc>
          <w:tcPr>
            <w:tcW w:w="1560"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pPr>
            <w:r>
              <w:t>16.35</w:t>
            </w:r>
          </w:p>
        </w:tc>
        <w:tc>
          <w:tcPr>
            <w:tcW w:w="1418" w:type="dxa"/>
            <w:tcBorders>
              <w:top w:val="single" w:sz="6" w:space="0" w:color="auto"/>
              <w:left w:val="single" w:sz="6" w:space="0" w:color="auto"/>
              <w:bottom w:val="double" w:sz="6" w:space="0" w:color="auto"/>
              <w:right w:val="single" w:sz="12" w:space="0" w:color="auto"/>
            </w:tcBorders>
            <w:vAlign w:val="center"/>
          </w:tcPr>
          <w:p w:rsidR="00F466A6" w:rsidRPr="0052653E" w:rsidRDefault="00F466A6" w:rsidP="00F466A6">
            <w:pPr>
              <w:pStyle w:val="142"/>
              <w:ind w:left="647" w:hanging="647"/>
              <w:jc w:val="center"/>
            </w:pPr>
          </w:p>
        </w:tc>
      </w:tr>
      <w:tr w:rsidR="00F466A6" w:rsidRPr="00315E10" w:rsidTr="0099087F">
        <w:trPr>
          <w:trHeight w:val="340"/>
        </w:trPr>
        <w:tc>
          <w:tcPr>
            <w:tcW w:w="2835" w:type="dxa"/>
            <w:tcBorders>
              <w:top w:val="double" w:sz="6" w:space="0" w:color="auto"/>
              <w:left w:val="single" w:sz="12" w:space="0" w:color="auto"/>
              <w:bottom w:val="single" w:sz="12" w:space="0" w:color="auto"/>
              <w:right w:val="single" w:sz="6" w:space="0" w:color="auto"/>
            </w:tcBorders>
            <w:shd w:val="clear" w:color="auto" w:fill="auto"/>
            <w:noWrap/>
            <w:vAlign w:val="center"/>
          </w:tcPr>
          <w:p w:rsidR="00F466A6" w:rsidRPr="00A25C4D" w:rsidRDefault="00F466A6" w:rsidP="0080702D">
            <w:pPr>
              <w:pStyle w:val="142"/>
              <w:ind w:leftChars="1" w:left="650" w:rightChars="-38" w:right="-108" w:hanging="647"/>
              <w:jc w:val="both"/>
              <w:rPr>
                <w:rFonts w:hAnsi="標楷體" w:cs="新細明體" w:hint="eastAsia"/>
                <w:b/>
                <w:szCs w:val="24"/>
                <w:lang w:eastAsia="zh-TW"/>
              </w:rPr>
            </w:pPr>
            <w:r w:rsidRPr="00A25C4D">
              <w:rPr>
                <w:rFonts w:hAnsi="標楷體" w:cs="新細明體" w:hint="eastAsia"/>
                <w:b/>
                <w:szCs w:val="24"/>
                <w:lang w:eastAsia="zh-TW"/>
              </w:rPr>
              <w:t>本國銀行平均</w:t>
            </w:r>
            <w:r w:rsidR="00A21883">
              <w:rPr>
                <w:rFonts w:hAnsi="標楷體" w:cs="新細明體" w:hint="eastAsia"/>
                <w:b/>
                <w:szCs w:val="24"/>
                <w:lang w:eastAsia="zh-TW"/>
              </w:rPr>
              <w:t>數</w:t>
            </w:r>
          </w:p>
        </w:tc>
        <w:tc>
          <w:tcPr>
            <w:tcW w:w="1559"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rFonts w:eastAsia="新細明體"/>
                <w:b/>
                <w:snapToGrid/>
                <w:kern w:val="0"/>
              </w:rPr>
            </w:pPr>
            <w:r w:rsidRPr="00A25C4D">
              <w:rPr>
                <w:b/>
              </w:rPr>
              <w:t>12.48</w:t>
            </w:r>
          </w:p>
        </w:tc>
        <w:tc>
          <w:tcPr>
            <w:tcW w:w="1559"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b/>
              </w:rPr>
            </w:pPr>
            <w:r w:rsidRPr="00A25C4D">
              <w:rPr>
                <w:b/>
              </w:rPr>
              <w:t>13.67</w:t>
            </w:r>
          </w:p>
        </w:tc>
        <w:tc>
          <w:tcPr>
            <w:tcW w:w="1560"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b/>
              </w:rPr>
            </w:pPr>
            <w:r w:rsidRPr="00A25C4D">
              <w:rPr>
                <w:b/>
              </w:rPr>
              <w:t>15.71</w:t>
            </w:r>
          </w:p>
        </w:tc>
        <w:tc>
          <w:tcPr>
            <w:tcW w:w="1418" w:type="dxa"/>
            <w:tcBorders>
              <w:top w:val="double" w:sz="6" w:space="0" w:color="auto"/>
              <w:left w:val="single" w:sz="6" w:space="0" w:color="auto"/>
              <w:bottom w:val="single" w:sz="12" w:space="0" w:color="auto"/>
              <w:right w:val="single" w:sz="12" w:space="0" w:color="auto"/>
            </w:tcBorders>
            <w:vAlign w:val="center"/>
          </w:tcPr>
          <w:p w:rsidR="00F466A6" w:rsidRPr="00A25C4D" w:rsidRDefault="00F466A6" w:rsidP="00F466A6">
            <w:pPr>
              <w:pStyle w:val="142"/>
              <w:ind w:left="647" w:hanging="647"/>
              <w:jc w:val="center"/>
              <w:rPr>
                <w:b/>
              </w:rPr>
            </w:pPr>
          </w:p>
        </w:tc>
      </w:tr>
    </w:tbl>
    <w:p w:rsidR="001C65A2" w:rsidRDefault="001C65A2" w:rsidP="00D82A87">
      <w:pPr>
        <w:pStyle w:val="142"/>
        <w:ind w:left="1216" w:hangingChars="500" w:hanging="1216"/>
      </w:pPr>
      <w:r w:rsidRPr="00DE1E39">
        <w:rPr>
          <w:rFonts w:hint="eastAsia"/>
        </w:rPr>
        <w:t>資料來源</w:t>
      </w:r>
      <w:r>
        <w:rPr>
          <w:rFonts w:hint="eastAsia"/>
        </w:rPr>
        <w:t>：金管會銀行局網站</w:t>
      </w:r>
      <w:r>
        <w:rPr>
          <w:rFonts w:hint="eastAsia"/>
          <w:lang w:eastAsia="zh-TW"/>
        </w:rPr>
        <w:t>，</w:t>
      </w:r>
      <w:r w:rsidRPr="001C65A2">
        <w:rPr>
          <w:lang w:eastAsia="zh-TW"/>
        </w:rPr>
        <w:t>https://www.banking.gov.tw/ch/index.jsp</w:t>
      </w:r>
      <w:r w:rsidRPr="001C65A2">
        <w:rPr>
          <w:rFonts w:hint="eastAsia"/>
          <w:lang w:eastAsia="zh-TW"/>
        </w:rPr>
        <w:t xml:space="preserve"> </w:t>
      </w:r>
      <w:r>
        <w:rPr>
          <w:rFonts w:hint="eastAsia"/>
        </w:rPr>
        <w:t>(</w:t>
      </w:r>
      <w:r>
        <w:rPr>
          <w:rFonts w:hint="eastAsia"/>
          <w:lang w:eastAsia="zh-TW"/>
        </w:rPr>
        <w:t>最後瀏覽日：</w:t>
      </w:r>
      <w:r>
        <w:rPr>
          <w:rFonts w:hint="eastAsia"/>
        </w:rPr>
        <w:t>11</w:t>
      </w:r>
      <w:r>
        <w:rPr>
          <w:rFonts w:hint="eastAsia"/>
          <w:lang w:eastAsia="zh-TW"/>
        </w:rPr>
        <w:t>4</w:t>
      </w:r>
      <w:r>
        <w:rPr>
          <w:rFonts w:hint="eastAsia"/>
        </w:rPr>
        <w:t>年</w:t>
      </w:r>
      <w:r>
        <w:rPr>
          <w:rFonts w:hint="eastAsia"/>
          <w:lang w:eastAsia="zh-TW"/>
        </w:rPr>
        <w:t>7</w:t>
      </w:r>
      <w:r>
        <w:rPr>
          <w:rFonts w:hint="eastAsia"/>
        </w:rPr>
        <w:t>月</w:t>
      </w:r>
      <w:r>
        <w:rPr>
          <w:rFonts w:hint="eastAsia"/>
          <w:lang w:eastAsia="zh-TW"/>
        </w:rPr>
        <w:t>7</w:t>
      </w:r>
      <w:r>
        <w:rPr>
          <w:rFonts w:hint="eastAsia"/>
        </w:rPr>
        <w:t>日)</w:t>
      </w:r>
      <w:r w:rsidR="00D82A87">
        <w:rPr>
          <w:rFonts w:hint="eastAsia"/>
          <w:lang w:eastAsia="zh-TW"/>
        </w:rPr>
        <w:t>；本中心彙製</w:t>
      </w:r>
      <w:r>
        <w:rPr>
          <w:rFonts w:hint="eastAsia"/>
        </w:rPr>
        <w:t>。</w:t>
      </w:r>
    </w:p>
    <w:p w:rsidR="00D72404" w:rsidRPr="00252DF1" w:rsidRDefault="00171E3E" w:rsidP="00D72404">
      <w:pPr>
        <w:pStyle w:val="a4"/>
        <w:ind w:left="849" w:hanging="283"/>
        <w:rPr>
          <w:rFonts w:hAnsi="標楷體"/>
          <w:b/>
          <w:bCs/>
          <w:snapToGrid/>
          <w:color w:val="FF0000"/>
        </w:rPr>
      </w:pPr>
      <w:r w:rsidRPr="00DD34C5">
        <w:rPr>
          <w:rFonts w:hint="eastAsia"/>
          <w:b/>
          <w:lang w:eastAsia="zh-TW"/>
        </w:rPr>
        <w:t>(三)</w:t>
      </w:r>
      <w:r w:rsidR="0077295C" w:rsidRPr="0077295C">
        <w:rPr>
          <w:rFonts w:hAnsi="標楷體" w:hint="eastAsia"/>
          <w:b/>
          <w:bCs/>
          <w:snapToGrid/>
          <w:lang w:eastAsia="zh-TW"/>
        </w:rPr>
        <w:t xml:space="preserve"> </w:t>
      </w:r>
      <w:r w:rsidR="0077295C">
        <w:rPr>
          <w:rFonts w:hAnsi="標楷體" w:hint="eastAsia"/>
          <w:b/>
          <w:bCs/>
          <w:snapToGrid/>
          <w:lang w:eastAsia="zh-TW"/>
        </w:rPr>
        <w:t>110年底至114年3月底雖有</w:t>
      </w:r>
      <w:r w:rsidR="001D3ACF" w:rsidRPr="00A53057">
        <w:rPr>
          <w:rFonts w:hAnsi="標楷體"/>
          <w:b/>
          <w:bCs/>
          <w:snapToGrid/>
        </w:rPr>
        <w:t>逾</w:t>
      </w:r>
      <w:r w:rsidR="001D3ACF" w:rsidRPr="00A53057">
        <w:rPr>
          <w:rFonts w:hAnsi="標楷體" w:hint="eastAsia"/>
          <w:b/>
          <w:bCs/>
          <w:snapToGrid/>
        </w:rPr>
        <w:t>半數以上</w:t>
      </w:r>
      <w:r w:rsidR="00D72404" w:rsidRPr="00DD34C5">
        <w:rPr>
          <w:rFonts w:hAnsi="標楷體" w:hint="eastAsia"/>
          <w:b/>
          <w:bCs/>
          <w:snapToGrid/>
        </w:rPr>
        <w:t>公</w:t>
      </w:r>
      <w:r w:rsidR="00D72404" w:rsidRPr="00A53057">
        <w:rPr>
          <w:rFonts w:hAnsi="標楷體" w:hint="eastAsia"/>
          <w:b/>
          <w:bCs/>
          <w:snapToGrid/>
        </w:rPr>
        <w:t>股銀行</w:t>
      </w:r>
      <w:r w:rsidR="00D72404" w:rsidRPr="00A53057">
        <w:rPr>
          <w:rFonts w:hAnsi="標楷體"/>
          <w:b/>
          <w:bCs/>
          <w:snapToGrid/>
        </w:rPr>
        <w:t>之資本適足率概呈上升趨勢，惟</w:t>
      </w:r>
      <w:r w:rsidR="00D1582C">
        <w:rPr>
          <w:rFonts w:hAnsi="標楷體" w:hint="eastAsia"/>
          <w:b/>
          <w:bCs/>
          <w:snapToGrid/>
          <w:lang w:eastAsia="zh-TW"/>
        </w:rPr>
        <w:t>多數</w:t>
      </w:r>
      <w:r w:rsidR="00D72404" w:rsidRPr="00A53057">
        <w:rPr>
          <w:rFonts w:hAnsi="標楷體"/>
          <w:b/>
          <w:bCs/>
          <w:snapToGrid/>
        </w:rPr>
        <w:t>仍</w:t>
      </w:r>
      <w:r w:rsidR="00D72404" w:rsidRPr="00A53057">
        <w:rPr>
          <w:rFonts w:hAnsi="標楷體" w:hint="eastAsia"/>
          <w:b/>
          <w:bCs/>
          <w:snapToGrid/>
        </w:rPr>
        <w:t>低於同業平均水準</w:t>
      </w:r>
      <w:r w:rsidR="008205D9" w:rsidRPr="00252DF1">
        <w:rPr>
          <w:rFonts w:hAnsi="標楷體"/>
          <w:b/>
          <w:bCs/>
          <w:snapToGrid/>
          <w:color w:val="FF0000"/>
        </w:rPr>
        <w:t xml:space="preserve"> </w:t>
      </w:r>
    </w:p>
    <w:p w:rsidR="00F3574E" w:rsidRDefault="005B6926" w:rsidP="00D72404">
      <w:pPr>
        <w:pStyle w:val="21"/>
        <w:ind w:left="850" w:firstLine="566"/>
        <w:rPr>
          <w:snapToGrid/>
          <w:lang w:eastAsia="zh-TW"/>
        </w:rPr>
      </w:pPr>
      <w:r>
        <w:rPr>
          <w:rFonts w:hint="eastAsia"/>
          <w:snapToGrid/>
          <w:lang w:eastAsia="zh-TW"/>
        </w:rPr>
        <w:t>以</w:t>
      </w:r>
      <w:r w:rsidR="00DD34C5">
        <w:rPr>
          <w:rFonts w:hint="eastAsia"/>
          <w:snapToGrid/>
          <w:lang w:eastAsia="zh-TW"/>
        </w:rPr>
        <w:t>110</w:t>
      </w:r>
      <w:r w:rsidR="0077295C">
        <w:rPr>
          <w:rFonts w:hint="eastAsia"/>
          <w:snapToGrid/>
          <w:lang w:eastAsia="zh-TW"/>
        </w:rPr>
        <w:t>年底</w:t>
      </w:r>
      <w:r w:rsidR="00DD34C5">
        <w:rPr>
          <w:rFonts w:hint="eastAsia"/>
          <w:snapToGrid/>
          <w:lang w:eastAsia="zh-TW"/>
        </w:rPr>
        <w:t>至114年3</w:t>
      </w:r>
      <w:r w:rsidR="00941D44">
        <w:rPr>
          <w:rFonts w:hint="eastAsia"/>
          <w:snapToGrid/>
          <w:lang w:eastAsia="zh-TW"/>
        </w:rPr>
        <w:t>月底</w:t>
      </w:r>
      <w:r w:rsidR="0077295C">
        <w:rPr>
          <w:rFonts w:hint="eastAsia"/>
          <w:snapToGrid/>
          <w:lang w:eastAsia="zh-TW"/>
        </w:rPr>
        <w:t>公股銀行</w:t>
      </w:r>
      <w:r w:rsidR="00E40A13">
        <w:rPr>
          <w:rFonts w:hint="eastAsia"/>
          <w:snapToGrid/>
          <w:lang w:eastAsia="zh-TW"/>
        </w:rPr>
        <w:t>之</w:t>
      </w:r>
      <w:r w:rsidR="00DD34C5">
        <w:rPr>
          <w:rFonts w:hint="eastAsia"/>
          <w:snapToGrid/>
          <w:lang w:eastAsia="zh-TW"/>
        </w:rPr>
        <w:t>資本適足率</w:t>
      </w:r>
      <w:r w:rsidR="00E40A13">
        <w:rPr>
          <w:rFonts w:hint="eastAsia"/>
          <w:snapToGrid/>
          <w:lang w:eastAsia="zh-TW"/>
        </w:rPr>
        <w:t>觀之</w:t>
      </w:r>
      <w:r w:rsidR="00DD34C5">
        <w:rPr>
          <w:rFonts w:hint="eastAsia"/>
          <w:snapToGrid/>
          <w:lang w:eastAsia="zh-TW"/>
        </w:rPr>
        <w:t>，</w:t>
      </w:r>
      <w:r w:rsidR="00215575">
        <w:rPr>
          <w:rFonts w:hint="eastAsia"/>
          <w:snapToGrid/>
          <w:lang w:eastAsia="zh-TW"/>
        </w:rPr>
        <w:t>其中臺灣銀行於111年</w:t>
      </w:r>
      <w:r w:rsidR="00941D44">
        <w:rPr>
          <w:rFonts w:hint="eastAsia"/>
          <w:snapToGrid/>
          <w:lang w:eastAsia="zh-TW"/>
        </w:rPr>
        <w:t>底</w:t>
      </w:r>
      <w:r w:rsidR="00215575">
        <w:rPr>
          <w:rFonts w:hint="eastAsia"/>
          <w:snapToGrid/>
          <w:lang w:eastAsia="zh-TW"/>
        </w:rPr>
        <w:t>雖較110年</w:t>
      </w:r>
      <w:r w:rsidR="00941D44">
        <w:rPr>
          <w:rFonts w:hint="eastAsia"/>
          <w:snapToGrid/>
          <w:lang w:eastAsia="zh-TW"/>
        </w:rPr>
        <w:t>底</w:t>
      </w:r>
      <w:r w:rsidR="00215575">
        <w:rPr>
          <w:rFonts w:hint="eastAsia"/>
          <w:snapToGrid/>
          <w:lang w:eastAsia="zh-TW"/>
        </w:rPr>
        <w:t>減少0.26個百分點，然該行自112</w:t>
      </w:r>
      <w:r w:rsidR="00941D44">
        <w:rPr>
          <w:rFonts w:hint="eastAsia"/>
          <w:snapToGrid/>
          <w:lang w:eastAsia="zh-TW"/>
        </w:rPr>
        <w:t>年底</w:t>
      </w:r>
      <w:r w:rsidR="00215575">
        <w:rPr>
          <w:rFonts w:hint="eastAsia"/>
          <w:snapToGrid/>
          <w:lang w:eastAsia="zh-TW"/>
        </w:rPr>
        <w:t>起逐年攀升，且於上開期間皆高於</w:t>
      </w:r>
      <w:r w:rsidR="00941D44">
        <w:rPr>
          <w:rFonts w:hint="eastAsia"/>
          <w:snapToGrid/>
          <w:lang w:eastAsia="zh-TW"/>
        </w:rPr>
        <w:t>本國銀行平均數額</w:t>
      </w:r>
      <w:r w:rsidR="00215575">
        <w:rPr>
          <w:rFonts w:hint="eastAsia"/>
          <w:snapToGrid/>
          <w:lang w:eastAsia="zh-TW"/>
        </w:rPr>
        <w:t>；</w:t>
      </w:r>
      <w:r w:rsidR="00407F34">
        <w:rPr>
          <w:rFonts w:hint="eastAsia"/>
          <w:snapToGrid/>
          <w:lang w:eastAsia="zh-TW"/>
        </w:rPr>
        <w:t>而兆豐</w:t>
      </w:r>
      <w:r w:rsidR="00941D44">
        <w:rPr>
          <w:rFonts w:hint="eastAsia"/>
          <w:snapToGrid/>
          <w:lang w:eastAsia="zh-TW"/>
        </w:rPr>
        <w:t>國際</w:t>
      </w:r>
      <w:r w:rsidR="00407F34">
        <w:rPr>
          <w:rFonts w:hint="eastAsia"/>
          <w:snapToGrid/>
          <w:lang w:eastAsia="zh-TW"/>
        </w:rPr>
        <w:t>商業銀行於110至113年底之資本適足率雖低於</w:t>
      </w:r>
      <w:r w:rsidR="00941D44">
        <w:rPr>
          <w:rFonts w:hint="eastAsia"/>
          <w:snapToGrid/>
        </w:rPr>
        <w:t>同業平均水準</w:t>
      </w:r>
      <w:r w:rsidR="00407F34">
        <w:rPr>
          <w:rFonts w:hint="eastAsia"/>
          <w:snapToGrid/>
          <w:lang w:eastAsia="zh-TW"/>
        </w:rPr>
        <w:t>，但概呈增加，</w:t>
      </w:r>
      <w:r w:rsidR="00646C2F">
        <w:rPr>
          <w:rFonts w:hint="eastAsia"/>
          <w:snapToGrid/>
          <w:lang w:eastAsia="zh-TW"/>
        </w:rPr>
        <w:t>至</w:t>
      </w:r>
      <w:r w:rsidR="00407F34">
        <w:rPr>
          <w:rFonts w:hint="eastAsia"/>
          <w:snapToGrid/>
          <w:lang w:eastAsia="zh-TW"/>
        </w:rPr>
        <w:t>114年3月底，已成長至16.54%</w:t>
      </w:r>
      <w:r w:rsidR="00941D44">
        <w:rPr>
          <w:rFonts w:hint="eastAsia"/>
          <w:snapToGrid/>
          <w:lang w:eastAsia="zh-TW"/>
        </w:rPr>
        <w:t>，</w:t>
      </w:r>
      <w:r w:rsidR="00407F34">
        <w:rPr>
          <w:rFonts w:hint="eastAsia"/>
          <w:snapToGrid/>
          <w:lang w:eastAsia="zh-TW"/>
        </w:rPr>
        <w:t>並</w:t>
      </w:r>
      <w:r w:rsidR="00941D44">
        <w:rPr>
          <w:rFonts w:hint="eastAsia"/>
          <w:snapToGrid/>
          <w:lang w:eastAsia="zh-TW"/>
        </w:rPr>
        <w:t>較本國銀行平均數高出</w:t>
      </w:r>
      <w:r w:rsidR="00646C2F">
        <w:rPr>
          <w:rFonts w:hint="eastAsia"/>
          <w:snapToGrid/>
          <w:lang w:eastAsia="zh-TW"/>
        </w:rPr>
        <w:t>0.83個百分點；另</w:t>
      </w:r>
      <w:r w:rsidR="00215575">
        <w:rPr>
          <w:rFonts w:hint="eastAsia"/>
          <w:snapToGrid/>
        </w:rPr>
        <w:t>合作金庫商業銀行</w:t>
      </w:r>
      <w:r w:rsidR="00215575">
        <w:rPr>
          <w:rFonts w:hint="eastAsia"/>
          <w:snapToGrid/>
          <w:lang w:eastAsia="zh-TW"/>
        </w:rPr>
        <w:t>及彰化商業銀行於110年</w:t>
      </w:r>
      <w:r w:rsidR="00941D44">
        <w:rPr>
          <w:rFonts w:hint="eastAsia"/>
          <w:snapToGrid/>
          <w:lang w:eastAsia="zh-TW"/>
        </w:rPr>
        <w:t>底</w:t>
      </w:r>
      <w:r w:rsidR="00215575">
        <w:rPr>
          <w:rFonts w:hint="eastAsia"/>
          <w:snapToGrid/>
          <w:lang w:eastAsia="zh-TW"/>
        </w:rPr>
        <w:t>原分別高於本國銀行平均數0.13及0.14個百分點，惟該2家銀行</w:t>
      </w:r>
      <w:r w:rsidR="00941D44">
        <w:rPr>
          <w:rFonts w:hint="eastAsia"/>
          <w:snapToGrid/>
          <w:lang w:eastAsia="zh-TW"/>
        </w:rPr>
        <w:t>之</w:t>
      </w:r>
      <w:r w:rsidR="00215575">
        <w:rPr>
          <w:rFonts w:hint="eastAsia"/>
          <w:snapToGrid/>
          <w:lang w:eastAsia="zh-TW"/>
        </w:rPr>
        <w:t>資本適足率</w:t>
      </w:r>
      <w:r w:rsidR="00941D44">
        <w:rPr>
          <w:rFonts w:hint="eastAsia"/>
          <w:snapToGrid/>
          <w:lang w:eastAsia="zh-TW"/>
        </w:rPr>
        <w:t>於111年底下降</w:t>
      </w:r>
      <w:r w:rsidR="001D3ACF">
        <w:rPr>
          <w:rFonts w:hint="eastAsia"/>
          <w:snapToGrid/>
          <w:lang w:eastAsia="zh-TW"/>
        </w:rPr>
        <w:t>，其中</w:t>
      </w:r>
      <w:r w:rsidR="001D3ACF">
        <w:rPr>
          <w:rFonts w:hint="eastAsia"/>
          <w:snapToGrid/>
        </w:rPr>
        <w:t>合作金庫商業銀行</w:t>
      </w:r>
      <w:r w:rsidR="001D3ACF">
        <w:rPr>
          <w:rFonts w:hint="eastAsia"/>
          <w:snapToGrid/>
          <w:lang w:eastAsia="zh-TW"/>
        </w:rPr>
        <w:t>雖於112年</w:t>
      </w:r>
      <w:r w:rsidR="00941D44">
        <w:rPr>
          <w:rFonts w:hint="eastAsia"/>
          <w:snapToGrid/>
          <w:lang w:eastAsia="zh-TW"/>
        </w:rPr>
        <w:t>底</w:t>
      </w:r>
      <w:r w:rsidR="001D3ACF">
        <w:rPr>
          <w:rFonts w:hint="eastAsia"/>
          <w:snapToGrid/>
          <w:lang w:eastAsia="zh-TW"/>
        </w:rPr>
        <w:t>反轉上升，</w:t>
      </w:r>
      <w:r w:rsidR="00337248">
        <w:rPr>
          <w:rFonts w:hint="eastAsia"/>
          <w:snapToGrid/>
          <w:lang w:eastAsia="zh-TW"/>
        </w:rPr>
        <w:t>然</w:t>
      </w:r>
      <w:r w:rsidR="001D3ACF">
        <w:rPr>
          <w:rFonts w:hint="eastAsia"/>
          <w:snapToGrid/>
          <w:lang w:eastAsia="zh-TW"/>
        </w:rPr>
        <w:t>迄114年3月底止，</w:t>
      </w:r>
      <w:r w:rsidR="00337248">
        <w:rPr>
          <w:rFonts w:hint="eastAsia"/>
          <w:snapToGrid/>
          <w:lang w:eastAsia="zh-TW"/>
        </w:rPr>
        <w:t>各年度</w:t>
      </w:r>
      <w:r w:rsidR="001D3ACF">
        <w:rPr>
          <w:rFonts w:hint="eastAsia"/>
          <w:snapToGrid/>
          <w:lang w:eastAsia="zh-TW"/>
        </w:rPr>
        <w:t>皆低於同業平均水準，而彰化銀行則係於111至113年</w:t>
      </w:r>
      <w:r w:rsidR="00941D44">
        <w:rPr>
          <w:rFonts w:hint="eastAsia"/>
          <w:snapToGrid/>
          <w:lang w:eastAsia="zh-TW"/>
        </w:rPr>
        <w:t>底</w:t>
      </w:r>
      <w:r w:rsidR="001D3ACF">
        <w:rPr>
          <w:rFonts w:hint="eastAsia"/>
          <w:snapToGrid/>
          <w:lang w:eastAsia="zh-TW"/>
        </w:rPr>
        <w:t>間持續下滑，114年3月底</w:t>
      </w:r>
      <w:r w:rsidR="00646C2F">
        <w:rPr>
          <w:rFonts w:hint="eastAsia"/>
          <w:snapToGrid/>
          <w:lang w:eastAsia="zh-TW"/>
        </w:rPr>
        <w:t>之</w:t>
      </w:r>
      <w:r w:rsidR="00407F34">
        <w:rPr>
          <w:rFonts w:hint="eastAsia"/>
          <w:snapToGrid/>
          <w:lang w:eastAsia="zh-TW"/>
        </w:rPr>
        <w:t>資本適足率雖已較113年底增加0.56個百分點，然尚低於110年</w:t>
      </w:r>
      <w:r w:rsidR="00941D44">
        <w:rPr>
          <w:rFonts w:hint="eastAsia"/>
          <w:snapToGrid/>
          <w:lang w:eastAsia="zh-TW"/>
        </w:rPr>
        <w:t>底</w:t>
      </w:r>
      <w:r w:rsidR="00407F34">
        <w:rPr>
          <w:rFonts w:hint="eastAsia"/>
          <w:snapToGrid/>
          <w:lang w:eastAsia="zh-TW"/>
        </w:rPr>
        <w:t>數額，且仍較同業平均水準為低；</w:t>
      </w:r>
      <w:r w:rsidR="00646C2F">
        <w:rPr>
          <w:rFonts w:hint="eastAsia"/>
          <w:snapToGrid/>
          <w:lang w:eastAsia="zh-TW"/>
        </w:rPr>
        <w:t>餘4家公股銀行於上開期間雖</w:t>
      </w:r>
      <w:r w:rsidR="00EF59C2">
        <w:rPr>
          <w:rFonts w:hint="eastAsia"/>
          <w:snapToGrid/>
          <w:lang w:eastAsia="zh-TW"/>
        </w:rPr>
        <w:t>多概呈上升趨勢</w:t>
      </w:r>
      <w:r w:rsidR="00646C2F">
        <w:rPr>
          <w:rFonts w:hint="eastAsia"/>
          <w:snapToGrid/>
          <w:lang w:eastAsia="zh-TW"/>
        </w:rPr>
        <w:t>，惟</w:t>
      </w:r>
      <w:r w:rsidR="00646C2F" w:rsidRPr="00A53057">
        <w:rPr>
          <w:rFonts w:hint="eastAsia"/>
          <w:snapToGrid/>
        </w:rPr>
        <w:t>歷年</w:t>
      </w:r>
      <w:r w:rsidR="00646C2F">
        <w:rPr>
          <w:rFonts w:hint="eastAsia"/>
          <w:snapToGrid/>
          <w:lang w:eastAsia="zh-TW"/>
        </w:rPr>
        <w:t>來之資本適足率皆</w:t>
      </w:r>
      <w:r w:rsidR="00A63854">
        <w:rPr>
          <w:rFonts w:hint="eastAsia"/>
          <w:snapToGrid/>
          <w:lang w:eastAsia="zh-TW"/>
        </w:rPr>
        <w:t>低於本國銀行平均數</w:t>
      </w:r>
      <w:r w:rsidR="00646C2F">
        <w:rPr>
          <w:rFonts w:hint="eastAsia"/>
          <w:snapToGrid/>
          <w:lang w:eastAsia="zh-TW"/>
        </w:rPr>
        <w:t>(詳表</w:t>
      </w:r>
      <w:r w:rsidR="00EC7A33">
        <w:rPr>
          <w:rFonts w:hint="eastAsia"/>
          <w:snapToGrid/>
          <w:lang w:eastAsia="zh-TW"/>
        </w:rPr>
        <w:t>13</w:t>
      </w:r>
      <w:r w:rsidR="00646C2F">
        <w:rPr>
          <w:snapToGrid/>
          <w:lang w:eastAsia="zh-TW"/>
        </w:rPr>
        <w:t>)</w:t>
      </w:r>
      <w:r w:rsidR="00646C2F">
        <w:rPr>
          <w:rFonts w:hint="eastAsia"/>
          <w:snapToGrid/>
          <w:lang w:eastAsia="zh-TW"/>
        </w:rPr>
        <w:t>。</w:t>
      </w:r>
    </w:p>
    <w:p w:rsidR="00DA3C80" w:rsidRDefault="00DA3C80" w:rsidP="00D72404">
      <w:pPr>
        <w:pStyle w:val="21"/>
        <w:ind w:left="850" w:firstLine="566"/>
        <w:rPr>
          <w:snapToGrid/>
          <w:lang w:eastAsia="zh-TW"/>
        </w:rPr>
      </w:pPr>
    </w:p>
    <w:p w:rsidR="00DA3C80" w:rsidRDefault="00DA3C80" w:rsidP="00D72404">
      <w:pPr>
        <w:pStyle w:val="21"/>
        <w:ind w:left="850" w:firstLine="566"/>
        <w:rPr>
          <w:snapToGrid/>
          <w:lang w:eastAsia="zh-TW"/>
        </w:rPr>
      </w:pPr>
    </w:p>
    <w:p w:rsidR="00DA3C80" w:rsidRPr="00215575" w:rsidRDefault="00DA3C80" w:rsidP="00D72404">
      <w:pPr>
        <w:pStyle w:val="21"/>
        <w:ind w:left="850" w:firstLine="566"/>
        <w:rPr>
          <w:rFonts w:hint="eastAsia"/>
          <w:snapToGrid/>
          <w:lang w:eastAsia="zh-TW"/>
        </w:rPr>
      </w:pPr>
    </w:p>
    <w:p w:rsidR="00D82A87" w:rsidRDefault="00A53057" w:rsidP="00D82A87">
      <w:pPr>
        <w:spacing w:before="240" w:line="280" w:lineRule="exact"/>
        <w:ind w:leftChars="0" w:left="993" w:rightChars="-100" w:right="-283" w:firstLineChars="0" w:hanging="708"/>
        <w:jc w:val="left"/>
        <w:rPr>
          <w:b/>
          <w:bCs/>
          <w:snapToGrid/>
          <w:lang w:val="x-none" w:eastAsia="x-none"/>
        </w:rPr>
      </w:pPr>
      <w:r w:rsidRPr="00A53057">
        <w:rPr>
          <w:rFonts w:hint="eastAsia"/>
          <w:b/>
          <w:bCs/>
          <w:snapToGrid/>
          <w:lang w:val="x-none" w:eastAsia="x-none"/>
        </w:rPr>
        <w:lastRenderedPageBreak/>
        <w:t>表</w:t>
      </w:r>
      <w:r w:rsidR="00EC7A33">
        <w:rPr>
          <w:rFonts w:hint="eastAsia"/>
          <w:b/>
          <w:bCs/>
          <w:snapToGrid/>
          <w:lang w:val="x-none"/>
        </w:rPr>
        <w:t xml:space="preserve">13 </w:t>
      </w:r>
      <w:r w:rsidRPr="00A53057">
        <w:rPr>
          <w:rFonts w:hint="eastAsia"/>
          <w:b/>
          <w:bCs/>
          <w:snapToGrid/>
          <w:lang w:val="x-none" w:eastAsia="x-none"/>
        </w:rPr>
        <w:t xml:space="preserve"> </w:t>
      </w:r>
      <w:r w:rsidR="00DA3C80" w:rsidRPr="00A53057">
        <w:rPr>
          <w:rFonts w:hint="eastAsia"/>
          <w:b/>
          <w:bCs/>
          <w:snapToGrid/>
          <w:lang w:val="x-none" w:eastAsia="x-none"/>
        </w:rPr>
        <w:t>1</w:t>
      </w:r>
      <w:r w:rsidR="00DA3C80">
        <w:rPr>
          <w:rFonts w:hint="eastAsia"/>
          <w:b/>
          <w:bCs/>
          <w:snapToGrid/>
          <w:lang w:val="x-none"/>
        </w:rPr>
        <w:t>10年底至114</w:t>
      </w:r>
      <w:r w:rsidR="00DA3C80" w:rsidRPr="00A53057">
        <w:rPr>
          <w:rFonts w:hint="eastAsia"/>
          <w:b/>
          <w:bCs/>
          <w:snapToGrid/>
          <w:lang w:val="x-none" w:eastAsia="x-none"/>
        </w:rPr>
        <w:t>年</w:t>
      </w:r>
      <w:r w:rsidR="00DA3C80">
        <w:rPr>
          <w:rFonts w:hint="eastAsia"/>
          <w:b/>
          <w:bCs/>
          <w:snapToGrid/>
          <w:lang w:val="x-none"/>
        </w:rPr>
        <w:t>3月底</w:t>
      </w:r>
      <w:r w:rsidR="00354B59">
        <w:rPr>
          <w:rFonts w:hint="eastAsia"/>
          <w:b/>
          <w:bCs/>
          <w:snapToGrid/>
          <w:lang w:val="x-none"/>
        </w:rPr>
        <w:t>公股銀</w:t>
      </w:r>
      <w:r w:rsidR="00D82A87">
        <w:rPr>
          <w:rFonts w:hint="eastAsia"/>
          <w:b/>
          <w:bCs/>
          <w:snapToGrid/>
          <w:lang w:val="x-none"/>
        </w:rPr>
        <w:t>行</w:t>
      </w:r>
      <w:r w:rsidR="00D82A87">
        <w:rPr>
          <w:rFonts w:hint="eastAsia"/>
          <w:b/>
          <w:bCs/>
          <w:snapToGrid/>
          <w:lang w:val="x-none" w:eastAsia="x-none"/>
        </w:rPr>
        <w:t>資本適足率</w:t>
      </w:r>
      <w:r w:rsidR="00D82A87">
        <w:rPr>
          <w:rFonts w:hint="eastAsia"/>
          <w:b/>
          <w:bCs/>
          <w:snapToGrid/>
          <w:lang w:val="x-none"/>
        </w:rPr>
        <w:t>一覽</w:t>
      </w:r>
      <w:r w:rsidRPr="00A53057">
        <w:rPr>
          <w:rFonts w:hint="eastAsia"/>
          <w:b/>
          <w:bCs/>
          <w:snapToGrid/>
          <w:lang w:val="x-none" w:eastAsia="x-none"/>
        </w:rPr>
        <w:t>表</w:t>
      </w:r>
    </w:p>
    <w:p w:rsidR="00A53057" w:rsidRPr="00A53057" w:rsidRDefault="00D82A87" w:rsidP="00D82A87">
      <w:pPr>
        <w:spacing w:before="240" w:line="280" w:lineRule="exact"/>
        <w:ind w:leftChars="0" w:left="993" w:right="-1" w:firstLineChars="0" w:hanging="708"/>
        <w:jc w:val="right"/>
        <w:rPr>
          <w:b/>
          <w:bCs/>
          <w:snapToGrid/>
          <w:sz w:val="24"/>
          <w:lang w:val="x-none" w:eastAsia="x-none"/>
        </w:rPr>
      </w:pPr>
      <w:r>
        <w:rPr>
          <w:rFonts w:hint="eastAsia"/>
          <w:snapToGrid/>
          <w:sz w:val="24"/>
          <w:lang w:val="x-none"/>
        </w:rPr>
        <w:t xml:space="preserve"> </w:t>
      </w:r>
      <w:r w:rsidR="00A53057" w:rsidRPr="00A53057">
        <w:rPr>
          <w:rFonts w:hint="eastAsia"/>
          <w:snapToGrid/>
          <w:sz w:val="24"/>
          <w:lang w:val="x-none" w:eastAsia="x-none"/>
        </w:rPr>
        <w:t>單位：%</w:t>
      </w:r>
    </w:p>
    <w:tbl>
      <w:tblPr>
        <w:tblW w:w="82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19"/>
        <w:gridCol w:w="1219"/>
        <w:gridCol w:w="1219"/>
        <w:gridCol w:w="1219"/>
        <w:gridCol w:w="1219"/>
      </w:tblGrid>
      <w:tr w:rsidR="00F76EEA" w:rsidRPr="00A53057" w:rsidTr="0099087F">
        <w:trPr>
          <w:trHeight w:val="471"/>
          <w:tblHeader/>
        </w:trPr>
        <w:tc>
          <w:tcPr>
            <w:tcW w:w="2126"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F76EEA" w:rsidRPr="00A53057" w:rsidRDefault="00F76EEA" w:rsidP="00A53057">
            <w:pPr>
              <w:spacing w:line="280" w:lineRule="exact"/>
              <w:ind w:leftChars="-38" w:left="538" w:firstLineChars="0" w:hanging="646"/>
              <w:jc w:val="left"/>
              <w:rPr>
                <w:rFonts w:hAnsi="標楷體" w:cs="新細明體"/>
                <w:b/>
                <w:bCs/>
                <w:snapToGrid/>
                <w:sz w:val="24"/>
                <w:szCs w:val="24"/>
              </w:rPr>
            </w:pPr>
            <w:r w:rsidRPr="00A53057">
              <w:rPr>
                <w:rFonts w:hAnsi="標楷體" w:cs="新細明體" w:hint="eastAsia"/>
                <w:b/>
                <w:bCs/>
                <w:snapToGrid/>
                <w:sz w:val="24"/>
                <w:szCs w:val="24"/>
              </w:rPr>
              <w:lastRenderedPageBreak/>
              <w:t xml:space="preserve">        </w:t>
            </w:r>
            <w:r>
              <w:rPr>
                <w:rFonts w:hAnsi="標楷體" w:cs="新細明體" w:hint="eastAsia"/>
                <w:b/>
                <w:bCs/>
                <w:snapToGrid/>
                <w:sz w:val="24"/>
                <w:szCs w:val="24"/>
              </w:rPr>
              <w:t xml:space="preserve">    </w:t>
            </w:r>
            <w:r w:rsidRPr="00A53057">
              <w:rPr>
                <w:rFonts w:hAnsi="標楷體" w:cs="新細明體" w:hint="eastAsia"/>
                <w:b/>
                <w:bCs/>
                <w:snapToGrid/>
                <w:sz w:val="24"/>
                <w:szCs w:val="24"/>
              </w:rPr>
              <w:t>年底</w:t>
            </w:r>
          </w:p>
          <w:p w:rsidR="00F76EEA" w:rsidRPr="00A53057" w:rsidRDefault="00F76EEA" w:rsidP="00A53057">
            <w:pPr>
              <w:spacing w:line="280" w:lineRule="exact"/>
              <w:ind w:leftChars="-38" w:left="538" w:firstLineChars="0" w:hanging="646"/>
              <w:jc w:val="left"/>
              <w:rPr>
                <w:rFonts w:hAnsi="標楷體" w:cs="新細明體"/>
                <w:b/>
                <w:bCs/>
                <w:snapToGrid/>
                <w:sz w:val="24"/>
                <w:szCs w:val="24"/>
              </w:rPr>
            </w:pPr>
            <w:r w:rsidRPr="00A53057">
              <w:rPr>
                <w:rFonts w:hAnsi="標楷體" w:cs="新細明體" w:hint="eastAsia"/>
                <w:b/>
                <w:bCs/>
                <w:snapToGrid/>
                <w:sz w:val="24"/>
                <w:szCs w:val="24"/>
              </w:rPr>
              <w:t>銀行別</w:t>
            </w:r>
          </w:p>
        </w:tc>
        <w:tc>
          <w:tcPr>
            <w:tcW w:w="1219" w:type="dxa"/>
            <w:tcBorders>
              <w:top w:val="single" w:sz="12"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110</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1</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2</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3</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12" w:space="0" w:color="auto"/>
            </w:tcBorders>
            <w:vAlign w:val="center"/>
          </w:tcPr>
          <w:p w:rsidR="00A25C4D" w:rsidRDefault="00F76EEA" w:rsidP="00946F03">
            <w:pPr>
              <w:spacing w:line="280" w:lineRule="exact"/>
              <w:ind w:leftChars="0" w:left="0" w:firstLineChars="0" w:firstLine="0"/>
              <w:jc w:val="center"/>
              <w:rPr>
                <w:rFonts w:hAnsi="標楷體" w:cs="新細明體"/>
                <w:b/>
                <w:bCs/>
                <w:snapToGrid/>
                <w:sz w:val="24"/>
                <w:szCs w:val="24"/>
              </w:rPr>
            </w:pPr>
            <w:r w:rsidRPr="00A53057">
              <w:rPr>
                <w:rFonts w:hAnsi="標楷體"/>
                <w:b/>
                <w:bCs/>
                <w:snapToGrid/>
                <w:sz w:val="24"/>
              </w:rPr>
              <w:t>11</w:t>
            </w:r>
            <w:r>
              <w:rPr>
                <w:rFonts w:hAnsi="標楷體" w:hint="eastAsia"/>
                <w:b/>
                <w:bCs/>
                <w:snapToGrid/>
                <w:sz w:val="24"/>
              </w:rPr>
              <w:t>4</w:t>
            </w:r>
            <w:r w:rsidRPr="00A53057">
              <w:rPr>
                <w:rFonts w:hAnsi="標楷體" w:cs="新細明體" w:hint="eastAsia"/>
                <w:b/>
                <w:bCs/>
                <w:snapToGrid/>
                <w:sz w:val="24"/>
                <w:szCs w:val="24"/>
              </w:rPr>
              <w:t>年</w:t>
            </w:r>
          </w:p>
          <w:p w:rsidR="00F76EEA" w:rsidRPr="00A53057" w:rsidRDefault="00F76EEA" w:rsidP="00946F03">
            <w:pPr>
              <w:spacing w:line="280" w:lineRule="exact"/>
              <w:ind w:leftChars="0" w:left="0" w:firstLineChars="0" w:firstLine="0"/>
              <w:jc w:val="center"/>
              <w:rPr>
                <w:rFonts w:hAnsi="標楷體"/>
                <w:b/>
                <w:bCs/>
                <w:snapToGrid/>
                <w:sz w:val="24"/>
              </w:rPr>
            </w:pPr>
            <w:r>
              <w:rPr>
                <w:rFonts w:hAnsi="標楷體" w:cs="新細明體" w:hint="eastAsia"/>
                <w:b/>
                <w:bCs/>
                <w:snapToGrid/>
                <w:sz w:val="24"/>
                <w:szCs w:val="24"/>
              </w:rPr>
              <w:t>3月底</w:t>
            </w:r>
          </w:p>
        </w:tc>
      </w:tr>
      <w:tr w:rsidR="00A25C4D" w:rsidRPr="00A53057" w:rsidTr="00ED683F">
        <w:trPr>
          <w:trHeight w:val="340"/>
        </w:trPr>
        <w:tc>
          <w:tcPr>
            <w:tcW w:w="8221" w:type="dxa"/>
            <w:gridSpan w:val="6"/>
            <w:tcBorders>
              <w:top w:val="single" w:sz="6" w:space="0" w:color="auto"/>
              <w:left w:val="single" w:sz="12" w:space="0" w:color="auto"/>
              <w:bottom w:val="single" w:sz="6" w:space="0" w:color="auto"/>
              <w:right w:val="single" w:sz="12" w:space="0" w:color="auto"/>
            </w:tcBorders>
            <w:shd w:val="clear" w:color="auto" w:fill="auto"/>
            <w:vAlign w:val="center"/>
          </w:tcPr>
          <w:p w:rsidR="00A25C4D" w:rsidRPr="00D67EB6" w:rsidRDefault="00A25C4D" w:rsidP="00D67EB6">
            <w:pPr>
              <w:pStyle w:val="142"/>
              <w:ind w:leftChars="1" w:left="650" w:rightChars="-38" w:right="-108" w:hanging="647"/>
              <w:jc w:val="both"/>
              <w:rPr>
                <w:rFonts w:hAnsi="標楷體" w:hint="eastAsia"/>
                <w:b/>
                <w:snapToGrid/>
                <w:szCs w:val="24"/>
              </w:rPr>
            </w:pPr>
            <w:r w:rsidRPr="00D67EB6">
              <w:rPr>
                <w:rFonts w:hAnsi="標楷體" w:cs="新細明體" w:hint="eastAsia"/>
                <w:b/>
                <w:szCs w:val="24"/>
              </w:rPr>
              <w:t>公股銀行</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15.25</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16.18</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16.23</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16.94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臺灣土地銀行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13.13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13.24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14.21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14.73</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合作金庫商業銀行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14.96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14.59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14.92</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14.94</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15.62</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第一商業銀行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14.21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13.76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14.56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14.45</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15.31</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華南商業銀行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14.16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14.64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14.47</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15.62</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彰化商業銀行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14.97</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14.21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14.08</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14.64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兆豐國際商業銀行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14.14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15.32</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14.81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16.54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臺灣中小企業銀行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13.39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12.45</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13.53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13.31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13.37</w:t>
            </w:r>
          </w:p>
        </w:tc>
      </w:tr>
      <w:tr w:rsidR="00A25C4D" w:rsidRPr="00A53057" w:rsidTr="00A25C4D">
        <w:trPr>
          <w:trHeight w:val="340"/>
        </w:trPr>
        <w:tc>
          <w:tcPr>
            <w:tcW w:w="2126" w:type="dxa"/>
            <w:tcBorders>
              <w:top w:val="double" w:sz="6" w:space="0" w:color="auto"/>
              <w:left w:val="single" w:sz="12" w:space="0" w:color="auto"/>
              <w:bottom w:val="single" w:sz="12" w:space="0" w:color="auto"/>
              <w:right w:val="single" w:sz="6" w:space="0" w:color="auto"/>
            </w:tcBorders>
            <w:shd w:val="clear" w:color="auto" w:fill="auto"/>
            <w:vAlign w:val="center"/>
          </w:tcPr>
          <w:p w:rsidR="00A25C4D" w:rsidRPr="00A25C4D" w:rsidRDefault="00A25C4D" w:rsidP="00D67EB6">
            <w:pPr>
              <w:pStyle w:val="142"/>
              <w:rPr>
                <w:rFonts w:hAnsi="標楷體"/>
                <w:b/>
                <w:snapToGrid/>
                <w:szCs w:val="24"/>
              </w:rPr>
            </w:pPr>
            <w:r w:rsidRPr="00D67EB6">
              <w:rPr>
                <w:rFonts w:hint="eastAsia"/>
                <w:b/>
                <w:snapToGrid/>
              </w:rPr>
              <w:t>全國銀行平均</w:t>
            </w:r>
          </w:p>
        </w:tc>
        <w:tc>
          <w:tcPr>
            <w:tcW w:w="1219" w:type="dxa"/>
            <w:tcBorders>
              <w:top w:val="double" w:sz="6" w:space="0" w:color="auto"/>
              <w:left w:val="single" w:sz="6" w:space="0" w:color="auto"/>
              <w:bottom w:val="single" w:sz="12" w:space="0" w:color="auto"/>
              <w:right w:val="single" w:sz="6" w:space="0" w:color="auto"/>
            </w:tcBorders>
            <w:shd w:val="clear" w:color="auto" w:fill="auto"/>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b/>
                <w:snapToGrid/>
                <w:sz w:val="24"/>
                <w:szCs w:val="24"/>
              </w:rPr>
              <w:t>14.83</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14.7</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15.37</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15.06</w:t>
            </w:r>
          </w:p>
        </w:tc>
        <w:tc>
          <w:tcPr>
            <w:tcW w:w="1219" w:type="dxa"/>
            <w:tcBorders>
              <w:top w:val="double" w:sz="6" w:space="0" w:color="auto"/>
              <w:left w:val="single" w:sz="6" w:space="0" w:color="auto"/>
              <w:bottom w:val="single" w:sz="12" w:space="0" w:color="auto"/>
              <w:right w:val="single" w:sz="12"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15.71</w:t>
            </w:r>
          </w:p>
        </w:tc>
      </w:tr>
    </w:tbl>
    <w:p w:rsidR="00D82A87" w:rsidRDefault="00D82A87" w:rsidP="00D82A87">
      <w:pPr>
        <w:pStyle w:val="142"/>
        <w:ind w:leftChars="100" w:left="1560" w:right="-1" w:hangingChars="525" w:hanging="1277"/>
      </w:pPr>
      <w:r w:rsidRPr="00DE1E39">
        <w:rPr>
          <w:rFonts w:hint="eastAsia"/>
        </w:rPr>
        <w:t>資料來源</w:t>
      </w:r>
      <w:r>
        <w:rPr>
          <w:rFonts w:hint="eastAsia"/>
        </w:rPr>
        <w:t>：金管會銀行局網站</w:t>
      </w:r>
      <w:r>
        <w:rPr>
          <w:rFonts w:hint="eastAsia"/>
          <w:lang w:eastAsia="zh-TW"/>
        </w:rPr>
        <w:t>，</w:t>
      </w:r>
      <w:r w:rsidRPr="001C65A2">
        <w:rPr>
          <w:lang w:eastAsia="zh-TW"/>
        </w:rPr>
        <w:t>https://www.banking.gov.tw/ch/index.jsp</w:t>
      </w:r>
      <w:r w:rsidRPr="001C65A2">
        <w:rPr>
          <w:rFonts w:hint="eastAsia"/>
          <w:lang w:eastAsia="zh-TW"/>
        </w:rPr>
        <w:t xml:space="preserve"> </w:t>
      </w:r>
      <w:r>
        <w:rPr>
          <w:rFonts w:hint="eastAsia"/>
        </w:rPr>
        <w:t>(</w:t>
      </w:r>
      <w:r>
        <w:rPr>
          <w:rFonts w:hint="eastAsia"/>
          <w:lang w:eastAsia="zh-TW"/>
        </w:rPr>
        <w:t>最後瀏覽日：</w:t>
      </w:r>
      <w:r>
        <w:rPr>
          <w:rFonts w:hint="eastAsia"/>
        </w:rPr>
        <w:t>11</w:t>
      </w:r>
      <w:r>
        <w:rPr>
          <w:rFonts w:hint="eastAsia"/>
          <w:lang w:eastAsia="zh-TW"/>
        </w:rPr>
        <w:t>4</w:t>
      </w:r>
      <w:r>
        <w:rPr>
          <w:rFonts w:hint="eastAsia"/>
        </w:rPr>
        <w:t>年</w:t>
      </w:r>
      <w:r>
        <w:rPr>
          <w:rFonts w:hint="eastAsia"/>
          <w:lang w:eastAsia="zh-TW"/>
        </w:rPr>
        <w:t>7</w:t>
      </w:r>
      <w:r>
        <w:rPr>
          <w:rFonts w:hint="eastAsia"/>
        </w:rPr>
        <w:t>月</w:t>
      </w:r>
      <w:r>
        <w:rPr>
          <w:rFonts w:hint="eastAsia"/>
          <w:lang w:eastAsia="zh-TW"/>
        </w:rPr>
        <w:t>7</w:t>
      </w:r>
      <w:r>
        <w:rPr>
          <w:rFonts w:hint="eastAsia"/>
        </w:rPr>
        <w:t>日)</w:t>
      </w:r>
      <w:r>
        <w:rPr>
          <w:rFonts w:hint="eastAsia"/>
          <w:lang w:eastAsia="zh-TW"/>
        </w:rPr>
        <w:t>；本中心彙製</w:t>
      </w:r>
      <w:r>
        <w:rPr>
          <w:rFonts w:hint="eastAsia"/>
        </w:rPr>
        <w:t>。</w:t>
      </w:r>
    </w:p>
    <w:p w:rsidR="00A7531E" w:rsidRPr="0016112F" w:rsidRDefault="00A7531E" w:rsidP="0016112F">
      <w:pPr>
        <w:pStyle w:val="a4"/>
        <w:ind w:left="849" w:hanging="283"/>
        <w:rPr>
          <w:b/>
          <w:snapToGrid/>
        </w:rPr>
      </w:pPr>
      <w:r w:rsidRPr="0016112F">
        <w:rPr>
          <w:rFonts w:hint="eastAsia"/>
          <w:b/>
          <w:snapToGrid/>
          <w:lang w:eastAsia="zh-TW"/>
        </w:rPr>
        <w:t>(</w:t>
      </w:r>
      <w:r w:rsidRPr="0016112F">
        <w:rPr>
          <w:rFonts w:hint="eastAsia"/>
          <w:b/>
          <w:snapToGrid/>
        </w:rPr>
        <w:t>四</w:t>
      </w:r>
      <w:r w:rsidRPr="0016112F">
        <w:rPr>
          <w:rFonts w:hint="eastAsia"/>
          <w:b/>
          <w:snapToGrid/>
          <w:lang w:eastAsia="zh-TW"/>
        </w:rPr>
        <w:t>)</w:t>
      </w:r>
      <w:r w:rsidR="008A6B43" w:rsidRPr="008A6B43">
        <w:rPr>
          <w:rFonts w:hint="eastAsia"/>
          <w:b/>
          <w:snapToGrid/>
        </w:rPr>
        <w:t>允宜</w:t>
      </w:r>
      <w:r w:rsidR="008A6B43">
        <w:rPr>
          <w:rFonts w:hint="eastAsia"/>
          <w:b/>
          <w:snapToGrid/>
          <w:lang w:eastAsia="zh-TW"/>
        </w:rPr>
        <w:t>持續</w:t>
      </w:r>
      <w:r w:rsidR="008A6B43" w:rsidRPr="008A6B43">
        <w:rPr>
          <w:rFonts w:hint="eastAsia"/>
          <w:b/>
          <w:snapToGrid/>
        </w:rPr>
        <w:t>密切關注資本適足情形</w:t>
      </w:r>
      <w:r w:rsidR="001A1589">
        <w:rPr>
          <w:rFonts w:hint="eastAsia"/>
          <w:b/>
          <w:snapToGrid/>
          <w:lang w:eastAsia="zh-TW"/>
        </w:rPr>
        <w:t>，</w:t>
      </w:r>
      <w:r w:rsidR="00C9670D">
        <w:rPr>
          <w:rFonts w:hint="eastAsia"/>
          <w:b/>
          <w:snapToGrid/>
          <w:lang w:eastAsia="zh-TW"/>
        </w:rPr>
        <w:t>並</w:t>
      </w:r>
      <w:r w:rsidR="00C9670D" w:rsidRPr="00C9670D">
        <w:rPr>
          <w:rFonts w:hint="eastAsia"/>
          <w:b/>
          <w:snapToGrid/>
          <w:lang w:eastAsia="zh-TW"/>
        </w:rPr>
        <w:t>積極發展多元業務，以兼顧業務發展與資本強化</w:t>
      </w:r>
    </w:p>
    <w:p w:rsidR="005B3E41" w:rsidRDefault="005B3E41" w:rsidP="00DD7440">
      <w:pPr>
        <w:pStyle w:val="21"/>
        <w:ind w:left="850" w:firstLine="566"/>
        <w:rPr>
          <w:rFonts w:hint="eastAsia"/>
          <w:snapToGrid/>
          <w:lang w:eastAsia="zh-TW"/>
        </w:rPr>
      </w:pPr>
      <w:r>
        <w:rPr>
          <w:rFonts w:hint="eastAsia"/>
          <w:snapToGrid/>
          <w:lang w:eastAsia="zh-TW"/>
        </w:rPr>
        <w:t>據</w:t>
      </w:r>
      <w:r w:rsidR="00A53057" w:rsidRPr="00A53057">
        <w:rPr>
          <w:snapToGrid/>
        </w:rPr>
        <w:t>財政部</w:t>
      </w:r>
      <w:r>
        <w:rPr>
          <w:rFonts w:hint="eastAsia"/>
          <w:snapToGrid/>
          <w:lang w:eastAsia="zh-TW"/>
        </w:rPr>
        <w:t>國庫署提供資料</w:t>
      </w:r>
      <w:r w:rsidR="00A53057" w:rsidRPr="00A53057">
        <w:rPr>
          <w:snapToGrid/>
        </w:rPr>
        <w:t>，公股</w:t>
      </w:r>
      <w:r w:rsidR="00A53057" w:rsidRPr="00A53057">
        <w:rPr>
          <w:rFonts w:hint="eastAsia"/>
          <w:snapToGrid/>
        </w:rPr>
        <w:t>銀行</w:t>
      </w:r>
      <w:r w:rsidR="00A53057" w:rsidRPr="00A53057">
        <w:rPr>
          <w:snapToGrid/>
        </w:rPr>
        <w:t>業務多以授信為主，風險性資產規模較大，且近年來</w:t>
      </w:r>
      <w:r w:rsidR="00A53057" w:rsidRPr="00A53057">
        <w:rPr>
          <w:rFonts w:hint="eastAsia"/>
          <w:snapToGrid/>
        </w:rPr>
        <w:t>民營銀行曾</w:t>
      </w:r>
      <w:r w:rsidR="00A53057" w:rsidRPr="00A53057">
        <w:rPr>
          <w:snapToGrid/>
        </w:rPr>
        <w:t>多次辦理現金增資以充實自有資本，</w:t>
      </w:r>
      <w:r w:rsidR="000F0709">
        <w:rPr>
          <w:rFonts w:hint="eastAsia"/>
          <w:snapToGrid/>
          <w:lang w:eastAsia="zh-TW"/>
        </w:rPr>
        <w:t>致多數公股銀行之</w:t>
      </w:r>
      <w:r w:rsidR="00A53057" w:rsidRPr="00A53057">
        <w:rPr>
          <w:snapToGrid/>
        </w:rPr>
        <w:t>資本適足</w:t>
      </w:r>
      <w:r w:rsidR="000F0709">
        <w:rPr>
          <w:rFonts w:hint="eastAsia"/>
          <w:snapToGrid/>
          <w:lang w:eastAsia="zh-TW"/>
        </w:rPr>
        <w:t>比</w:t>
      </w:r>
      <w:r w:rsidR="000F0709">
        <w:rPr>
          <w:snapToGrid/>
        </w:rPr>
        <w:t>率</w:t>
      </w:r>
      <w:r w:rsidR="00A53057" w:rsidRPr="00A53057">
        <w:rPr>
          <w:snapToGrid/>
        </w:rPr>
        <w:t>低於同業</w:t>
      </w:r>
      <w:r w:rsidR="00A53057" w:rsidRPr="00A53057">
        <w:rPr>
          <w:rFonts w:hint="eastAsia"/>
          <w:snapToGrid/>
        </w:rPr>
        <w:t>平均</w:t>
      </w:r>
      <w:r w:rsidR="00DD7440">
        <w:rPr>
          <w:snapToGrid/>
        </w:rPr>
        <w:t>水準</w:t>
      </w:r>
      <w:r w:rsidR="000F0709">
        <w:rPr>
          <w:rFonts w:hint="eastAsia"/>
          <w:snapToGrid/>
          <w:lang w:eastAsia="zh-TW"/>
        </w:rPr>
        <w:t>，</w:t>
      </w:r>
      <w:r w:rsidR="00DD7440">
        <w:rPr>
          <w:rFonts w:hint="eastAsia"/>
          <w:snapToGrid/>
          <w:lang w:eastAsia="zh-TW"/>
        </w:rPr>
        <w:t>財政部業</w:t>
      </w:r>
      <w:r w:rsidR="008A6B43" w:rsidRPr="008A6B43">
        <w:rPr>
          <w:rFonts w:hint="eastAsia"/>
          <w:snapToGrid/>
          <w:lang w:eastAsia="zh-TW"/>
        </w:rPr>
        <w:t>請公股銀行採行資本強化措施及妥擬內部資本管理目標，並持續加強風險性資產控管，俾提升風險承擔能力，兼顧業務穩健發展與經營績效</w:t>
      </w:r>
      <w:r w:rsidR="008A6B43">
        <w:rPr>
          <w:rFonts w:hint="eastAsia"/>
          <w:snapToGrid/>
          <w:lang w:eastAsia="zh-TW"/>
        </w:rPr>
        <w:t>。</w:t>
      </w:r>
    </w:p>
    <w:bookmarkEnd w:id="0"/>
    <w:bookmarkEnd w:id="1"/>
    <w:bookmarkEnd w:id="2"/>
    <w:bookmarkEnd w:id="8"/>
    <w:bookmarkEnd w:id="9"/>
    <w:sectPr w:rsidR="005B3E41"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87623C" w:rsidRPr="0087623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B1659C" w:rsidRPr="00973801" w:rsidRDefault="00B1659C" w:rsidP="00973801">
      <w:pPr>
        <w:pStyle w:val="142"/>
        <w:ind w:left="195" w:hangingChars="80" w:hanging="195"/>
        <w:rPr>
          <w:rFonts w:hint="eastAsia"/>
          <w:lang w:eastAsia="zh-TW"/>
        </w:rPr>
      </w:pPr>
      <w:r>
        <w:rPr>
          <w:rStyle w:val="ae"/>
        </w:rPr>
        <w:footnoteRef/>
      </w:r>
      <w:r>
        <w:t xml:space="preserve"> 依</w:t>
      </w:r>
      <w:r>
        <w:rPr>
          <w:rFonts w:hint="eastAsia"/>
        </w:rPr>
        <w:t>銀行資本適足性及資本等級管理</w:t>
      </w:r>
      <w:r w:rsidRPr="00D140CB">
        <w:rPr>
          <w:rFonts w:hint="eastAsia"/>
        </w:rPr>
        <w:t>辦法</w:t>
      </w:r>
      <w:r>
        <w:rPr>
          <w:rFonts w:hint="eastAsia"/>
        </w:rPr>
        <w:t>第2條第1項第1款規定</w:t>
      </w:r>
      <w:r w:rsidR="0077295C">
        <w:rPr>
          <w:rFonts w:hint="eastAsia"/>
          <w:lang w:eastAsia="zh-TW"/>
        </w:rPr>
        <w:t>略以</w:t>
      </w:r>
      <w:r>
        <w:rPr>
          <w:rFonts w:hint="eastAsia"/>
        </w:rPr>
        <w:t>，</w:t>
      </w:r>
      <w:r w:rsidRPr="001174EF">
        <w:rPr>
          <w:rFonts w:hint="eastAsia"/>
        </w:rPr>
        <w:t>自有資本與風險性資產之比率指普通股權益比率、第一類資本比率及資本適足率</w:t>
      </w:r>
      <w:r>
        <w:rPr>
          <w:rFonts w:hint="eastAsia"/>
        </w:rPr>
        <w:t>，簡稱</w:t>
      </w:r>
      <w:r w:rsidRPr="00BB0599">
        <w:rPr>
          <w:rFonts w:hint="eastAsia"/>
          <w:u w:val="single"/>
        </w:rPr>
        <w:t>資本適足比率</w:t>
      </w:r>
      <w:r>
        <w:rPr>
          <w:rFonts w:hint="eastAsia"/>
          <w:u w:val="single"/>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23C"/>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B1FAB62A-BE6B-4E2A-B992-A58A1A23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C9624-20FE-49B0-82C9-E12695ED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18</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