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08D" w:rsidRDefault="005930E2" w:rsidP="00A77FFC">
      <w:pPr>
        <w:pStyle w:val="aa"/>
        <w:ind w:rightChars="-46" w:right="-130"/>
        <w:jc w:val="left"/>
        <w:rPr>
          <w:rFonts w:hAnsi="標楷體"/>
        </w:rPr>
      </w:pPr>
      <w:bookmarkStart w:id="0" w:name="_Toc384304726"/>
      <w:bookmarkStart w:id="1" w:name="_GoBack"/>
      <w:bookmarkEnd w:id="1"/>
      <w:r w:rsidRPr="005930E2">
        <w:rPr>
          <w:rFonts w:hint="eastAsia"/>
        </w:rPr>
        <w:t>我國推動能源轉型及穩定供電相關計畫執行概況之探討</w:t>
      </w:r>
    </w:p>
    <w:p w:rsidR="00E51E35" w:rsidRDefault="0008703E" w:rsidP="00E51E35">
      <w:pPr>
        <w:pStyle w:val="14"/>
        <w:ind w:left="567" w:hanging="567"/>
      </w:pPr>
      <w:bookmarkStart w:id="2" w:name="_Toc204616111"/>
      <w:r w:rsidRPr="0008703E">
        <w:rPr>
          <w:rFonts w:hint="eastAsia"/>
        </w:rPr>
        <w:t>一、</w:t>
      </w:r>
      <w:r w:rsidR="000A1A90">
        <w:rPr>
          <w:rFonts w:hint="eastAsia"/>
        </w:rPr>
        <w:t>再生能源發展條例明定再生能源推動目標下限值年限114年度將屆期，</w:t>
      </w:r>
      <w:r w:rsidRPr="0008703E">
        <w:rPr>
          <w:rFonts w:hint="eastAsia"/>
        </w:rPr>
        <w:t>有待</w:t>
      </w:r>
      <w:r w:rsidR="000A1A90">
        <w:rPr>
          <w:rFonts w:hint="eastAsia"/>
        </w:rPr>
        <w:t>依本院附帶決議提出成效檢討及對策報告，並</w:t>
      </w:r>
      <w:r w:rsidRPr="0008703E">
        <w:rPr>
          <w:rFonts w:hint="eastAsia"/>
        </w:rPr>
        <w:t>審酌</w:t>
      </w:r>
      <w:r w:rsidR="000A1A90">
        <w:rPr>
          <w:rFonts w:hint="eastAsia"/>
        </w:rPr>
        <w:t>修法</w:t>
      </w:r>
      <w:r w:rsidRPr="0008703E">
        <w:rPr>
          <w:rFonts w:hint="eastAsia"/>
        </w:rPr>
        <w:t>調整</w:t>
      </w:r>
      <w:r w:rsidR="000A1A90">
        <w:rPr>
          <w:rFonts w:hint="eastAsia"/>
        </w:rPr>
        <w:t>目標</w:t>
      </w:r>
      <w:bookmarkEnd w:id="2"/>
    </w:p>
    <w:p w:rsidR="00491DE5" w:rsidRDefault="00491DE5" w:rsidP="00491DE5">
      <w:pPr>
        <w:ind w:left="566" w:firstLine="566"/>
        <w:rPr>
          <w:rFonts w:hint="eastAsia"/>
        </w:rPr>
      </w:pPr>
      <w:r>
        <w:rPr>
          <w:rFonts w:hint="eastAsia"/>
        </w:rPr>
        <w:t>再生能源發展條例第6條第1項、「</w:t>
      </w:r>
      <w:r w:rsidRPr="0074211F">
        <w:rPr>
          <w:rFonts w:hint="eastAsia"/>
        </w:rPr>
        <w:t>再生能源發展條例第六條第一項未來二年及中華民國一百十四年再生能源推廣目標各類別再生能源所占比率及其發展計畫與方案</w:t>
      </w:r>
      <w:r>
        <w:rPr>
          <w:rFonts w:hint="eastAsia"/>
        </w:rPr>
        <w:t>」及</w:t>
      </w:r>
      <w:r w:rsidR="009E635C">
        <w:rPr>
          <w:rFonts w:hint="eastAsia"/>
        </w:rPr>
        <w:t>「</w:t>
      </w:r>
      <w:r w:rsidRPr="006D6DB3">
        <w:rPr>
          <w:rFonts w:hint="eastAsia"/>
        </w:rPr>
        <w:t>臺灣2050淨零</w:t>
      </w:r>
      <w:r w:rsidR="00EE5B65">
        <w:rPr>
          <w:rFonts w:hint="eastAsia"/>
        </w:rPr>
        <w:t>轉型</w:t>
      </w:r>
      <w:r>
        <w:rPr>
          <w:rFonts w:hint="eastAsia"/>
        </w:rPr>
        <w:t>關鍵戰略行動計畫</w:t>
      </w:r>
      <w:r w:rsidR="009E635C">
        <w:rPr>
          <w:rFonts w:hint="eastAsia"/>
        </w:rPr>
        <w:t>」</w:t>
      </w:r>
      <w:r>
        <w:rPr>
          <w:rFonts w:hint="eastAsia"/>
        </w:rPr>
        <w:t>已訂有114年度再生能源目標值，能源轉型白皮書亦訂有114年度能源配比目標，惟截至114年4月底推動執行結果與目標仍有相當差距，前揭目標年限將屆期，</w:t>
      </w:r>
      <w:r w:rsidR="00EE5B65">
        <w:rPr>
          <w:rFonts w:hint="eastAsia"/>
        </w:rPr>
        <w:t>有待檢討成效及妥謀對策。謹說明如</w:t>
      </w:r>
      <w:r w:rsidR="00083967">
        <w:rPr>
          <w:rFonts w:hint="eastAsia"/>
        </w:rPr>
        <w:t>下</w:t>
      </w:r>
      <w:r w:rsidR="00EE5B65">
        <w:rPr>
          <w:rFonts w:hint="eastAsia"/>
        </w:rPr>
        <w:t>：</w:t>
      </w:r>
    </w:p>
    <w:p w:rsidR="008241CA" w:rsidRPr="00EE5B65" w:rsidRDefault="008241CA" w:rsidP="008241CA">
      <w:pPr>
        <w:pStyle w:val="a5"/>
        <w:ind w:left="849" w:hanging="283"/>
        <w:rPr>
          <w:b/>
        </w:rPr>
      </w:pPr>
      <w:r w:rsidRPr="00EE5B65">
        <w:rPr>
          <w:rFonts w:hint="eastAsia"/>
          <w:b/>
        </w:rPr>
        <w:t>(一)截至114年4月底，再生能源發電設備裝置容量</w:t>
      </w:r>
      <w:r w:rsidR="009E635C">
        <w:rPr>
          <w:rFonts w:hint="eastAsia"/>
          <w:b/>
        </w:rPr>
        <w:t>實際值遠不及</w:t>
      </w:r>
      <w:r w:rsidRPr="00EE5B65">
        <w:rPr>
          <w:rFonts w:hint="eastAsia"/>
          <w:b/>
        </w:rPr>
        <w:t>再生能源發展條例及</w:t>
      </w:r>
      <w:r w:rsidR="00EE5B65" w:rsidRPr="00EE5B65">
        <w:rPr>
          <w:rFonts w:hint="eastAsia"/>
          <w:b/>
        </w:rPr>
        <w:t>臺灣2050淨零轉型關鍵戰略行動計畫</w:t>
      </w:r>
      <w:r w:rsidR="009E635C">
        <w:rPr>
          <w:rFonts w:hint="eastAsia"/>
          <w:b/>
        </w:rPr>
        <w:t>所訂114年度</w:t>
      </w:r>
      <w:r w:rsidR="00EE5B65" w:rsidRPr="00EE5B65">
        <w:rPr>
          <w:rFonts w:hint="eastAsia"/>
          <w:b/>
        </w:rPr>
        <w:t>目標</w:t>
      </w:r>
    </w:p>
    <w:p w:rsidR="008241CA" w:rsidRDefault="0097638A" w:rsidP="008241CA">
      <w:pPr>
        <w:pStyle w:val="22"/>
        <w:ind w:left="850" w:firstLine="566"/>
      </w:pPr>
      <w:r>
        <w:rPr>
          <w:rFonts w:hint="eastAsia"/>
        </w:rPr>
        <w:t>我國整體再生能源裝置容量由109年度956.</w:t>
      </w:r>
      <w:r w:rsidR="00CD1580">
        <w:rPr>
          <w:rFonts w:hint="eastAsia"/>
        </w:rPr>
        <w:t>5</w:t>
      </w:r>
      <w:r>
        <w:rPr>
          <w:rFonts w:hint="eastAsia"/>
        </w:rPr>
        <w:t>萬</w:t>
      </w:r>
      <w:r w:rsidRPr="0074211F">
        <w:rPr>
          <w:rFonts w:hint="eastAsia"/>
        </w:rPr>
        <w:t>瓩</w:t>
      </w:r>
      <w:r w:rsidRPr="001F0C9C">
        <w:rPr>
          <w:rFonts w:hint="eastAsia"/>
        </w:rPr>
        <w:t>，</w:t>
      </w:r>
      <w:r>
        <w:rPr>
          <w:rFonts w:hint="eastAsia"/>
        </w:rPr>
        <w:t>逐年遞增至113年度2</w:t>
      </w:r>
      <w:r>
        <w:t>,106.</w:t>
      </w:r>
      <w:r w:rsidR="00CD1580">
        <w:rPr>
          <w:rFonts w:hint="eastAsia"/>
        </w:rPr>
        <w:t>6</w:t>
      </w:r>
      <w:r>
        <w:rPr>
          <w:rFonts w:hint="eastAsia"/>
        </w:rPr>
        <w:t>萬</w:t>
      </w:r>
      <w:r w:rsidRPr="0074211F">
        <w:rPr>
          <w:rFonts w:hint="eastAsia"/>
        </w:rPr>
        <w:t>瓩</w:t>
      </w:r>
      <w:r>
        <w:rPr>
          <w:rFonts w:hint="eastAsia"/>
        </w:rPr>
        <w:t>，平均每年增加</w:t>
      </w:r>
      <w:r w:rsidR="00EE5B65">
        <w:rPr>
          <w:rFonts w:hint="eastAsia"/>
        </w:rPr>
        <w:t>287.53</w:t>
      </w:r>
      <w:r>
        <w:rPr>
          <w:rFonts w:hint="eastAsia"/>
        </w:rPr>
        <w:t>萬</w:t>
      </w:r>
      <w:r w:rsidRPr="0074211F">
        <w:rPr>
          <w:rFonts w:hint="eastAsia"/>
        </w:rPr>
        <w:t>瓩</w:t>
      </w:r>
      <w:r>
        <w:rPr>
          <w:rFonts w:hint="eastAsia"/>
        </w:rPr>
        <w:t>。</w:t>
      </w:r>
      <w:r w:rsidR="008241CA">
        <w:rPr>
          <w:rFonts w:hint="eastAsia"/>
        </w:rPr>
        <w:t>按再生能源發展條例第6條第1項</w:t>
      </w:r>
      <w:r w:rsidR="008241CA">
        <w:rPr>
          <w:rStyle w:val="af7"/>
        </w:rPr>
        <w:footnoteReference w:id="1"/>
      </w:r>
      <w:r w:rsidR="008241CA">
        <w:rPr>
          <w:rFonts w:hint="eastAsia"/>
        </w:rPr>
        <w:t>後段規定略以，</w:t>
      </w:r>
      <w:r w:rsidR="008241CA" w:rsidRPr="0074211F">
        <w:rPr>
          <w:rFonts w:hint="eastAsia"/>
        </w:rPr>
        <w:t>規劃</w:t>
      </w:r>
      <w:r w:rsidR="008241CA">
        <w:rPr>
          <w:rFonts w:hint="eastAsia"/>
        </w:rPr>
        <w:t>114年</w:t>
      </w:r>
      <w:r w:rsidR="008241CA" w:rsidRPr="0074211F">
        <w:rPr>
          <w:rFonts w:hint="eastAsia"/>
        </w:rPr>
        <w:t>再生能源發電設備推廣目標總量</w:t>
      </w:r>
      <w:r w:rsidR="00BC5121">
        <w:rPr>
          <w:rFonts w:hint="eastAsia"/>
        </w:rPr>
        <w:t>下限值為</w:t>
      </w:r>
      <w:r w:rsidR="008241CA">
        <w:rPr>
          <w:rFonts w:hint="eastAsia"/>
        </w:rPr>
        <w:t>2</w:t>
      </w:r>
      <w:r w:rsidR="00EE5B65">
        <w:t>,70</w:t>
      </w:r>
      <w:r w:rsidR="00EE5B65">
        <w:rPr>
          <w:rFonts w:hint="eastAsia"/>
        </w:rPr>
        <w:t>0</w:t>
      </w:r>
      <w:r w:rsidR="008241CA">
        <w:rPr>
          <w:rFonts w:hint="eastAsia"/>
        </w:rPr>
        <w:t>萬</w:t>
      </w:r>
      <w:r w:rsidR="008241CA" w:rsidRPr="0074211F">
        <w:rPr>
          <w:rFonts w:hint="eastAsia"/>
        </w:rPr>
        <w:t>瓩</w:t>
      </w:r>
      <w:r w:rsidR="008241CA">
        <w:rPr>
          <w:rFonts w:hint="eastAsia"/>
        </w:rPr>
        <w:t>；另按經濟</w:t>
      </w:r>
      <w:r w:rsidR="008241CA">
        <w:rPr>
          <w:rFonts w:hint="eastAsia"/>
        </w:rPr>
        <w:lastRenderedPageBreak/>
        <w:t>部</w:t>
      </w:r>
      <w:r w:rsidR="008241CA" w:rsidRPr="001F0C9C">
        <w:rPr>
          <w:rFonts w:hint="eastAsia"/>
        </w:rPr>
        <w:t>108年9月公布</w:t>
      </w:r>
      <w:r w:rsidR="008241CA">
        <w:rPr>
          <w:rFonts w:hint="eastAsia"/>
        </w:rPr>
        <w:t>該條例之再生能源推廣目標</w:t>
      </w:r>
      <w:r w:rsidR="008241CA">
        <w:rPr>
          <w:rStyle w:val="af7"/>
        </w:rPr>
        <w:footnoteReference w:id="2"/>
      </w:r>
      <w:r w:rsidR="008241CA">
        <w:rPr>
          <w:rFonts w:hint="eastAsia"/>
        </w:rPr>
        <w:t>，</w:t>
      </w:r>
      <w:r w:rsidR="008241CA" w:rsidRPr="001F0C9C">
        <w:rPr>
          <w:rFonts w:hint="eastAsia"/>
        </w:rPr>
        <w:t>114年</w:t>
      </w:r>
      <w:r w:rsidR="00EC6949">
        <w:rPr>
          <w:rFonts w:hint="eastAsia"/>
        </w:rPr>
        <w:t>度</w:t>
      </w:r>
      <w:r w:rsidR="008241CA" w:rsidRPr="001F0C9C">
        <w:rPr>
          <w:rFonts w:hint="eastAsia"/>
        </w:rPr>
        <w:t>再生能源裝置容量目標累計3,016.1萬瓩</w:t>
      </w:r>
      <w:r w:rsidR="00EC6949">
        <w:rPr>
          <w:rFonts w:hint="eastAsia"/>
        </w:rPr>
        <w:t>。</w:t>
      </w:r>
      <w:r w:rsidR="00083967">
        <w:rPr>
          <w:rFonts w:hint="eastAsia"/>
        </w:rPr>
        <w:t>惟</w:t>
      </w:r>
      <w:r w:rsidR="008241CA">
        <w:rPr>
          <w:rFonts w:hint="eastAsia"/>
        </w:rPr>
        <w:t>截至114年4月底，</w:t>
      </w:r>
      <w:r>
        <w:rPr>
          <w:rFonts w:hint="eastAsia"/>
        </w:rPr>
        <w:t>整體</w:t>
      </w:r>
      <w:r w:rsidR="008241CA">
        <w:rPr>
          <w:rFonts w:hint="eastAsia"/>
        </w:rPr>
        <w:t>再生能源裝置容量</w:t>
      </w:r>
      <w:r>
        <w:rPr>
          <w:rFonts w:hint="eastAsia"/>
        </w:rPr>
        <w:t>為</w:t>
      </w:r>
      <w:r w:rsidR="008241CA">
        <w:rPr>
          <w:rFonts w:hint="eastAsia"/>
        </w:rPr>
        <w:t>2</w:t>
      </w:r>
      <w:r>
        <w:t>,148.3</w:t>
      </w:r>
      <w:r>
        <w:rPr>
          <w:rFonts w:hint="eastAsia"/>
        </w:rPr>
        <w:t>萬</w:t>
      </w:r>
      <w:r w:rsidR="008241CA" w:rsidRPr="0074211F">
        <w:rPr>
          <w:rFonts w:hint="eastAsia"/>
        </w:rPr>
        <w:t>瓩</w:t>
      </w:r>
      <w:r w:rsidR="008241CA">
        <w:rPr>
          <w:rFonts w:hint="eastAsia"/>
        </w:rPr>
        <w:t>(詳表3-1-1)，與前揭目</w:t>
      </w:r>
      <w:r w:rsidR="008241CA">
        <w:rPr>
          <w:rFonts w:hint="eastAsia"/>
        </w:rPr>
        <w:lastRenderedPageBreak/>
        <w:t>標</w:t>
      </w:r>
      <w:r w:rsidR="00F021FC">
        <w:rPr>
          <w:rFonts w:hint="eastAsia"/>
        </w:rPr>
        <w:t>各有551.7萬</w:t>
      </w:r>
      <w:r w:rsidR="00F021FC" w:rsidRPr="001F0C9C">
        <w:rPr>
          <w:rFonts w:hint="eastAsia"/>
        </w:rPr>
        <w:t>瓩</w:t>
      </w:r>
      <w:r w:rsidR="00F021FC">
        <w:rPr>
          <w:rFonts w:hint="eastAsia"/>
        </w:rPr>
        <w:t>及867.8萬</w:t>
      </w:r>
      <w:r w:rsidR="00F021FC" w:rsidRPr="001F0C9C">
        <w:rPr>
          <w:rFonts w:hint="eastAsia"/>
        </w:rPr>
        <w:t>瓩</w:t>
      </w:r>
      <w:r w:rsidR="00F021FC">
        <w:rPr>
          <w:rFonts w:hint="eastAsia"/>
        </w:rPr>
        <w:t>之</w:t>
      </w:r>
      <w:r w:rsidR="008241CA">
        <w:rPr>
          <w:rFonts w:hint="eastAsia"/>
        </w:rPr>
        <w:t>差距。</w:t>
      </w:r>
    </w:p>
    <w:p w:rsidR="00A5088B" w:rsidRDefault="00083967" w:rsidP="008241CA">
      <w:pPr>
        <w:pStyle w:val="22"/>
        <w:ind w:left="850" w:firstLine="566"/>
        <w:rPr>
          <w:rFonts w:hint="eastAsia"/>
          <w:color w:val="000000"/>
        </w:rPr>
      </w:pPr>
      <w:r>
        <w:rPr>
          <w:rFonts w:hint="eastAsia"/>
          <w:color w:val="000000"/>
        </w:rPr>
        <w:t>又</w:t>
      </w:r>
      <w:r w:rsidR="008241CA" w:rsidRPr="005E15F4">
        <w:rPr>
          <w:rFonts w:hint="eastAsia"/>
          <w:color w:val="000000"/>
        </w:rPr>
        <w:t>我國推動再生能源</w:t>
      </w:r>
      <w:r w:rsidR="00986A7A">
        <w:rPr>
          <w:rFonts w:hint="eastAsia"/>
          <w:color w:val="000000"/>
        </w:rPr>
        <w:t>以</w:t>
      </w:r>
      <w:r w:rsidR="008241CA" w:rsidRPr="005E15F4">
        <w:rPr>
          <w:rFonts w:hint="eastAsia"/>
          <w:color w:val="000000"/>
        </w:rPr>
        <w:t>太陽光電及風力發電</w:t>
      </w:r>
      <w:r w:rsidR="00986A7A">
        <w:rPr>
          <w:rFonts w:hint="eastAsia"/>
          <w:color w:val="000000"/>
        </w:rPr>
        <w:t>為主，依</w:t>
      </w:r>
      <w:r w:rsidR="00986A7A" w:rsidRPr="005E15F4">
        <w:rPr>
          <w:rFonts w:hint="eastAsia"/>
          <w:color w:val="000000"/>
        </w:rPr>
        <w:t>經濟部108年9月公布之再生能源推廣目標</w:t>
      </w:r>
      <w:r w:rsidR="00986A7A" w:rsidRPr="005E15F4">
        <w:rPr>
          <w:rStyle w:val="af7"/>
          <w:color w:val="000000"/>
        </w:rPr>
        <w:footnoteReference w:id="3"/>
      </w:r>
      <w:r w:rsidR="00986A7A" w:rsidRPr="005E15F4">
        <w:rPr>
          <w:rFonts w:hint="eastAsia"/>
          <w:color w:val="000000"/>
        </w:rPr>
        <w:t>及行政院112年4月核定之臺灣2050淨零轉型「風電/光電」關鍵戰略行動計畫</w:t>
      </w:r>
      <w:r w:rsidR="00986A7A">
        <w:rPr>
          <w:rFonts w:hint="eastAsia"/>
          <w:color w:val="000000"/>
        </w:rPr>
        <w:t>，</w:t>
      </w:r>
      <w:r w:rsidR="001D4878">
        <w:rPr>
          <w:rFonts w:hint="eastAsia"/>
          <w:color w:val="000000"/>
        </w:rPr>
        <w:t>114年度</w:t>
      </w:r>
      <w:r w:rsidR="00986A7A" w:rsidRPr="005E15F4">
        <w:rPr>
          <w:rFonts w:hint="eastAsia"/>
          <w:color w:val="000000"/>
        </w:rPr>
        <w:t>太陽光電及風力發電裝置容量目標值</w:t>
      </w:r>
      <w:r w:rsidR="00986A7A">
        <w:rPr>
          <w:rFonts w:hint="eastAsia"/>
          <w:color w:val="000000"/>
        </w:rPr>
        <w:t>各為</w:t>
      </w:r>
      <w:r w:rsidR="00BC5121">
        <w:rPr>
          <w:rFonts w:hint="eastAsia"/>
          <w:color w:val="000000"/>
        </w:rPr>
        <w:t>20</w:t>
      </w:r>
      <w:r w:rsidR="00BC5121">
        <w:rPr>
          <w:color w:val="000000"/>
        </w:rPr>
        <w:t>GW</w:t>
      </w:r>
      <w:r w:rsidR="00986A7A" w:rsidRPr="005E15F4">
        <w:rPr>
          <w:rFonts w:hint="eastAsia"/>
          <w:color w:val="000000"/>
        </w:rPr>
        <w:t>及6</w:t>
      </w:r>
      <w:r w:rsidR="00BC5121">
        <w:rPr>
          <w:color w:val="000000"/>
        </w:rPr>
        <w:t>.</w:t>
      </w:r>
      <w:r w:rsidR="00CA4D1B">
        <w:rPr>
          <w:rFonts w:hint="eastAsia"/>
          <w:color w:val="000000"/>
        </w:rPr>
        <w:t>8</w:t>
      </w:r>
      <w:r w:rsidR="00BC5121">
        <w:rPr>
          <w:color w:val="000000"/>
        </w:rPr>
        <w:t>GW</w:t>
      </w:r>
      <w:r w:rsidR="00986A7A" w:rsidRPr="005E15F4">
        <w:rPr>
          <w:rStyle w:val="af7"/>
          <w:color w:val="000000"/>
        </w:rPr>
        <w:footnoteReference w:id="4"/>
      </w:r>
      <w:r w:rsidR="00986A7A" w:rsidRPr="005E15F4">
        <w:rPr>
          <w:rFonts w:hint="eastAsia"/>
          <w:color w:val="000000"/>
        </w:rPr>
        <w:t>，</w:t>
      </w:r>
      <w:r w:rsidR="001D4878">
        <w:rPr>
          <w:rFonts w:hint="eastAsia"/>
          <w:color w:val="000000"/>
        </w:rPr>
        <w:t>惟</w:t>
      </w:r>
      <w:r w:rsidR="008241CA" w:rsidRPr="00C70E39">
        <w:rPr>
          <w:rFonts w:hint="eastAsia"/>
          <w:color w:val="000000"/>
        </w:rPr>
        <w:t>截至114年4月底實際值各為</w:t>
      </w:r>
      <w:r w:rsidR="00BC5121">
        <w:rPr>
          <w:rFonts w:hint="eastAsia"/>
          <w:color w:val="000000"/>
        </w:rPr>
        <w:t>1</w:t>
      </w:r>
      <w:r w:rsidR="00BC5121">
        <w:rPr>
          <w:color w:val="000000"/>
        </w:rPr>
        <w:t>4.62GW</w:t>
      </w:r>
      <w:r w:rsidR="008241CA" w:rsidRPr="00C70E39">
        <w:rPr>
          <w:rFonts w:hint="eastAsia"/>
          <w:color w:val="000000"/>
        </w:rPr>
        <w:t>及</w:t>
      </w:r>
      <w:r w:rsidR="00BC5121">
        <w:rPr>
          <w:rFonts w:hint="eastAsia"/>
          <w:color w:val="000000"/>
        </w:rPr>
        <w:t>3</w:t>
      </w:r>
      <w:r w:rsidR="00BC5121">
        <w:rPr>
          <w:color w:val="000000"/>
        </w:rPr>
        <w:t>.</w:t>
      </w:r>
      <w:r w:rsidR="00A07869">
        <w:rPr>
          <w:rFonts w:hint="eastAsia"/>
          <w:color w:val="000000"/>
        </w:rPr>
        <w:t>98</w:t>
      </w:r>
      <w:r w:rsidR="00BC5121">
        <w:rPr>
          <w:color w:val="000000"/>
        </w:rPr>
        <w:t>GW</w:t>
      </w:r>
      <w:r w:rsidR="008241CA" w:rsidRPr="00C70E39">
        <w:rPr>
          <w:rFonts w:hint="eastAsia"/>
          <w:color w:val="000000"/>
        </w:rPr>
        <w:t>(詳表3-1-</w:t>
      </w:r>
      <w:r w:rsidR="001D4878">
        <w:rPr>
          <w:rFonts w:hint="eastAsia"/>
          <w:color w:val="000000"/>
        </w:rPr>
        <w:t>1</w:t>
      </w:r>
      <w:r w:rsidR="008241CA" w:rsidRPr="00C70E39">
        <w:rPr>
          <w:rFonts w:hint="eastAsia"/>
          <w:color w:val="000000"/>
        </w:rPr>
        <w:t>)</w:t>
      </w:r>
      <w:r w:rsidR="008241CA">
        <w:rPr>
          <w:rFonts w:hint="eastAsia"/>
          <w:color w:val="000000"/>
        </w:rPr>
        <w:t>，</w:t>
      </w:r>
      <w:r w:rsidR="001D4878">
        <w:rPr>
          <w:rFonts w:hint="eastAsia"/>
          <w:color w:val="000000"/>
        </w:rPr>
        <w:t>亦</w:t>
      </w:r>
      <w:r w:rsidR="008241CA">
        <w:rPr>
          <w:rFonts w:hint="eastAsia"/>
          <w:color w:val="000000"/>
        </w:rPr>
        <w:t>遠低於</w:t>
      </w:r>
      <w:r w:rsidR="001D4878">
        <w:rPr>
          <w:rFonts w:hint="eastAsia"/>
          <w:color w:val="000000"/>
        </w:rPr>
        <w:t>前揭目標</w:t>
      </w:r>
      <w:r w:rsidR="008241CA" w:rsidRPr="005E15F4">
        <w:rPr>
          <w:rFonts w:hint="eastAsia"/>
          <w:color w:val="000000"/>
        </w:rPr>
        <w:t>。</w:t>
      </w:r>
    </w:p>
    <w:p w:rsidR="00C560EB" w:rsidRPr="005E15F4" w:rsidRDefault="00C560EB" w:rsidP="00C560EB">
      <w:pPr>
        <w:pStyle w:val="22"/>
        <w:ind w:leftChars="0" w:left="0" w:firstLineChars="0" w:firstLine="0"/>
        <w:rPr>
          <w:color w:val="000000"/>
        </w:rPr>
      </w:pPr>
      <w:r w:rsidRPr="00F3016E">
        <w:rPr>
          <w:rFonts w:hint="eastAsia"/>
          <w:b/>
        </w:rPr>
        <w:t>表3-1-1</w:t>
      </w:r>
      <w:r w:rsidRPr="00F3016E">
        <w:rPr>
          <w:b/>
        </w:rPr>
        <w:t xml:space="preserve">  </w:t>
      </w:r>
      <w:r w:rsidRPr="00F3016E">
        <w:rPr>
          <w:rFonts w:hint="eastAsia"/>
          <w:b/>
        </w:rPr>
        <w:t xml:space="preserve">109年度至114年4月底我國能源裝置容量概要表   </w:t>
      </w:r>
    </w:p>
    <w:p w:rsidR="00C560EB" w:rsidRPr="00F3016E" w:rsidRDefault="00C560EB" w:rsidP="00C560EB">
      <w:pPr>
        <w:spacing w:line="360" w:lineRule="exact"/>
        <w:ind w:left="566" w:firstLine="566"/>
        <w:rPr>
          <w:rFonts w:hint="eastAsia"/>
        </w:rPr>
      </w:pPr>
      <w:r w:rsidRPr="00F3016E">
        <w:rPr>
          <w:rFonts w:hint="eastAsia"/>
        </w:rPr>
        <w:t xml:space="preserve">                                        </w:t>
      </w:r>
      <w:r w:rsidRPr="00F3016E">
        <w:rPr>
          <w:rFonts w:hint="eastAsia"/>
          <w:sz w:val="24"/>
          <w:szCs w:val="24"/>
        </w:rPr>
        <w:t>單位：</w:t>
      </w:r>
      <w:r w:rsidRPr="00F3016E">
        <w:rPr>
          <w:rFonts w:hint="eastAsia"/>
          <w:snapToGrid/>
          <w:sz w:val="24"/>
          <w:szCs w:val="24"/>
        </w:rPr>
        <w:t>千瓩(</w:t>
      </w:r>
      <w:r w:rsidRPr="00F3016E">
        <w:rPr>
          <w:snapToGrid/>
          <w:sz w:val="24"/>
          <w:szCs w:val="24"/>
        </w:rPr>
        <w:t>MW)</w:t>
      </w:r>
    </w:p>
    <w:tbl>
      <w:tblPr>
        <w:tblW w:w="8525" w:type="dxa"/>
        <w:tblInd w:w="84" w:type="dxa"/>
        <w:tblLayout w:type="fixed"/>
        <w:tblCellMar>
          <w:left w:w="28" w:type="dxa"/>
          <w:right w:w="28" w:type="dxa"/>
        </w:tblCellMar>
        <w:tblLook w:val="04A0" w:firstRow="1" w:lastRow="0" w:firstColumn="1" w:lastColumn="0" w:noHBand="0" w:noVBand="1"/>
      </w:tblPr>
      <w:tblGrid>
        <w:gridCol w:w="434"/>
        <w:gridCol w:w="786"/>
        <w:gridCol w:w="754"/>
        <w:gridCol w:w="1091"/>
        <w:gridCol w:w="1092"/>
        <w:gridCol w:w="1092"/>
        <w:gridCol w:w="1092"/>
        <w:gridCol w:w="1092"/>
        <w:gridCol w:w="1092"/>
      </w:tblGrid>
      <w:tr w:rsidR="00A5088B" w:rsidRPr="00A5088B" w:rsidTr="00A5088B">
        <w:trPr>
          <w:trHeight w:val="570"/>
        </w:trPr>
        <w:tc>
          <w:tcPr>
            <w:tcW w:w="1974" w:type="dxa"/>
            <w:gridSpan w:val="3"/>
            <w:tcBorders>
              <w:top w:val="single" w:sz="12" w:space="0" w:color="auto"/>
              <w:left w:val="single" w:sz="12"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snapToGrid/>
                <w:spacing w:val="-20"/>
              </w:rPr>
            </w:pPr>
            <w:r w:rsidRPr="00A5088B">
              <w:rPr>
                <w:rFonts w:hint="eastAsia"/>
                <w:snapToGrid/>
                <w:spacing w:val="-20"/>
              </w:rPr>
              <w:t>類別</w:t>
            </w:r>
          </w:p>
        </w:tc>
        <w:tc>
          <w:tcPr>
            <w:tcW w:w="1091" w:type="dxa"/>
            <w:tcBorders>
              <w:top w:val="single" w:sz="12" w:space="0" w:color="auto"/>
              <w:left w:val="single" w:sz="4"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109年度</w:t>
            </w:r>
          </w:p>
        </w:tc>
        <w:tc>
          <w:tcPr>
            <w:tcW w:w="1092" w:type="dxa"/>
            <w:tcBorders>
              <w:top w:val="single" w:sz="12" w:space="0" w:color="auto"/>
              <w:left w:val="single" w:sz="4"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110年度</w:t>
            </w:r>
          </w:p>
        </w:tc>
        <w:tc>
          <w:tcPr>
            <w:tcW w:w="1092" w:type="dxa"/>
            <w:tcBorders>
              <w:top w:val="single" w:sz="12" w:space="0" w:color="auto"/>
              <w:left w:val="single" w:sz="4"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111年度</w:t>
            </w:r>
          </w:p>
        </w:tc>
        <w:tc>
          <w:tcPr>
            <w:tcW w:w="1092" w:type="dxa"/>
            <w:tcBorders>
              <w:top w:val="single" w:sz="12" w:space="0" w:color="auto"/>
              <w:left w:val="single" w:sz="4"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112年度</w:t>
            </w:r>
          </w:p>
        </w:tc>
        <w:tc>
          <w:tcPr>
            <w:tcW w:w="1092" w:type="dxa"/>
            <w:tcBorders>
              <w:top w:val="single" w:sz="12" w:space="0" w:color="auto"/>
              <w:left w:val="single" w:sz="4"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113年度</w:t>
            </w:r>
          </w:p>
        </w:tc>
        <w:tc>
          <w:tcPr>
            <w:tcW w:w="1092" w:type="dxa"/>
            <w:tcBorders>
              <w:top w:val="single" w:sz="12" w:space="0" w:color="auto"/>
              <w:left w:val="nil"/>
              <w:bottom w:val="single" w:sz="12" w:space="0" w:color="auto"/>
              <w:right w:val="single" w:sz="12" w:space="0" w:color="auto"/>
            </w:tcBorders>
            <w:shd w:val="clear" w:color="auto" w:fill="auto"/>
            <w:vAlign w:val="center"/>
            <w:hideMark/>
          </w:tcPr>
          <w:p w:rsidR="00A5088B" w:rsidRPr="00A5088B" w:rsidRDefault="00A5088B" w:rsidP="00A5088B">
            <w:pPr>
              <w:pStyle w:val="142"/>
              <w:jc w:val="center"/>
              <w:rPr>
                <w:snapToGrid/>
                <w:spacing w:val="-20"/>
              </w:rPr>
            </w:pPr>
            <w:r w:rsidRPr="00A5088B">
              <w:rPr>
                <w:rFonts w:hint="eastAsia"/>
                <w:snapToGrid/>
                <w:spacing w:val="-20"/>
              </w:rPr>
              <w:t>114年</w:t>
            </w:r>
          </w:p>
          <w:p w:rsidR="00A5088B" w:rsidRPr="00A5088B" w:rsidRDefault="00A5088B" w:rsidP="00A5088B">
            <w:pPr>
              <w:pStyle w:val="142"/>
              <w:jc w:val="center"/>
              <w:rPr>
                <w:rFonts w:hint="eastAsia"/>
                <w:snapToGrid/>
                <w:spacing w:val="-20"/>
              </w:rPr>
            </w:pPr>
            <w:r w:rsidRPr="00A5088B">
              <w:rPr>
                <w:rFonts w:hint="eastAsia"/>
                <w:snapToGrid/>
                <w:spacing w:val="-20"/>
              </w:rPr>
              <w:t>4月底</w:t>
            </w:r>
          </w:p>
        </w:tc>
      </w:tr>
      <w:tr w:rsidR="00A5088B" w:rsidRPr="00A5088B" w:rsidTr="00A5088B">
        <w:tc>
          <w:tcPr>
            <w:tcW w:w="1974" w:type="dxa"/>
            <w:gridSpan w:val="3"/>
            <w:tcBorders>
              <w:top w:val="single" w:sz="12" w:space="0" w:color="auto"/>
              <w:left w:val="single" w:sz="12"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b/>
                <w:snapToGrid/>
                <w:spacing w:val="-20"/>
              </w:rPr>
            </w:pPr>
            <w:r w:rsidRPr="00A5088B">
              <w:rPr>
                <w:rFonts w:hint="eastAsia"/>
                <w:b/>
                <w:snapToGrid/>
                <w:spacing w:val="-20"/>
              </w:rPr>
              <w:t>全國電源裝置容量</w:t>
            </w:r>
          </w:p>
        </w:tc>
        <w:tc>
          <w:tcPr>
            <w:tcW w:w="1091" w:type="dxa"/>
            <w:tcBorders>
              <w:top w:val="single" w:sz="12" w:space="0" w:color="auto"/>
              <w:left w:val="nil"/>
              <w:bottom w:val="single" w:sz="12" w:space="0" w:color="auto"/>
              <w:right w:val="single" w:sz="4" w:space="0" w:color="auto"/>
            </w:tcBorders>
            <w:shd w:val="clear" w:color="auto" w:fill="auto"/>
            <w:noWrap/>
            <w:vAlign w:val="center"/>
            <w:hideMark/>
          </w:tcPr>
          <w:p w:rsidR="00A5088B" w:rsidRPr="00487F01" w:rsidRDefault="00A5088B" w:rsidP="00A5088B">
            <w:pPr>
              <w:pStyle w:val="142"/>
              <w:jc w:val="right"/>
              <w:rPr>
                <w:rFonts w:hint="eastAsia"/>
                <w:b/>
                <w:snapToGrid/>
                <w:color w:val="000000"/>
                <w:spacing w:val="-20"/>
                <w:sz w:val="22"/>
                <w:szCs w:val="22"/>
              </w:rPr>
            </w:pPr>
            <w:r w:rsidRPr="00487F01">
              <w:rPr>
                <w:rFonts w:hint="eastAsia"/>
                <w:b/>
                <w:snapToGrid/>
                <w:color w:val="000000"/>
                <w:spacing w:val="-20"/>
                <w:sz w:val="22"/>
                <w:szCs w:val="22"/>
              </w:rPr>
              <w:t>57,821</w:t>
            </w:r>
          </w:p>
        </w:tc>
        <w:tc>
          <w:tcPr>
            <w:tcW w:w="1092" w:type="dxa"/>
            <w:tcBorders>
              <w:top w:val="single" w:sz="12" w:space="0" w:color="auto"/>
              <w:left w:val="nil"/>
              <w:bottom w:val="single" w:sz="12" w:space="0" w:color="auto"/>
              <w:right w:val="single" w:sz="4" w:space="0" w:color="auto"/>
            </w:tcBorders>
            <w:shd w:val="clear" w:color="auto" w:fill="auto"/>
            <w:noWrap/>
            <w:vAlign w:val="center"/>
            <w:hideMark/>
          </w:tcPr>
          <w:p w:rsidR="00A5088B" w:rsidRPr="00487F01" w:rsidRDefault="00A5088B" w:rsidP="00A5088B">
            <w:pPr>
              <w:pStyle w:val="142"/>
              <w:jc w:val="right"/>
              <w:rPr>
                <w:rFonts w:hint="eastAsia"/>
                <w:b/>
                <w:snapToGrid/>
                <w:color w:val="000000"/>
                <w:spacing w:val="-20"/>
                <w:sz w:val="22"/>
                <w:szCs w:val="22"/>
              </w:rPr>
            </w:pPr>
            <w:r w:rsidRPr="00487F01">
              <w:rPr>
                <w:rFonts w:hint="eastAsia"/>
                <w:b/>
                <w:snapToGrid/>
                <w:color w:val="000000"/>
                <w:spacing w:val="-20"/>
                <w:sz w:val="22"/>
                <w:szCs w:val="22"/>
              </w:rPr>
              <w:t>59,401</w:t>
            </w:r>
          </w:p>
        </w:tc>
        <w:tc>
          <w:tcPr>
            <w:tcW w:w="1092" w:type="dxa"/>
            <w:tcBorders>
              <w:top w:val="single" w:sz="12" w:space="0" w:color="auto"/>
              <w:left w:val="nil"/>
              <w:bottom w:val="single" w:sz="12" w:space="0" w:color="auto"/>
              <w:right w:val="single" w:sz="4" w:space="0" w:color="auto"/>
            </w:tcBorders>
            <w:shd w:val="clear" w:color="auto" w:fill="auto"/>
            <w:vAlign w:val="center"/>
            <w:hideMark/>
          </w:tcPr>
          <w:p w:rsidR="00A5088B" w:rsidRPr="00487F01" w:rsidRDefault="00A5088B" w:rsidP="00A5088B">
            <w:pPr>
              <w:pStyle w:val="142"/>
              <w:jc w:val="right"/>
              <w:rPr>
                <w:rFonts w:hint="eastAsia"/>
                <w:b/>
                <w:snapToGrid/>
                <w:color w:val="000000"/>
                <w:spacing w:val="-20"/>
                <w:sz w:val="22"/>
                <w:szCs w:val="22"/>
              </w:rPr>
            </w:pPr>
            <w:r w:rsidRPr="00487F01">
              <w:rPr>
                <w:rFonts w:hint="eastAsia"/>
                <w:b/>
                <w:snapToGrid/>
                <w:color w:val="000000"/>
                <w:spacing w:val="-20"/>
                <w:sz w:val="22"/>
                <w:szCs w:val="22"/>
              </w:rPr>
              <w:t>61,943</w:t>
            </w:r>
          </w:p>
        </w:tc>
        <w:tc>
          <w:tcPr>
            <w:tcW w:w="1092" w:type="dxa"/>
            <w:tcBorders>
              <w:top w:val="single" w:sz="12" w:space="0" w:color="auto"/>
              <w:left w:val="nil"/>
              <w:bottom w:val="single" w:sz="12"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b/>
                <w:snapToGrid/>
                <w:spacing w:val="-20"/>
                <w:sz w:val="22"/>
                <w:szCs w:val="22"/>
              </w:rPr>
            </w:pPr>
            <w:r w:rsidRPr="00A5088B">
              <w:rPr>
                <w:rFonts w:hint="eastAsia"/>
                <w:b/>
                <w:snapToGrid/>
                <w:spacing w:val="-20"/>
                <w:sz w:val="22"/>
                <w:szCs w:val="22"/>
              </w:rPr>
              <w:t>64,043</w:t>
            </w:r>
          </w:p>
        </w:tc>
        <w:tc>
          <w:tcPr>
            <w:tcW w:w="1092" w:type="dxa"/>
            <w:tcBorders>
              <w:top w:val="single" w:sz="12" w:space="0" w:color="auto"/>
              <w:left w:val="nil"/>
              <w:bottom w:val="single" w:sz="12"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b/>
                <w:snapToGrid/>
                <w:spacing w:val="-20"/>
                <w:sz w:val="22"/>
                <w:szCs w:val="22"/>
              </w:rPr>
            </w:pPr>
            <w:r w:rsidRPr="00A5088B">
              <w:rPr>
                <w:rFonts w:hint="eastAsia"/>
                <w:b/>
                <w:snapToGrid/>
                <w:spacing w:val="-20"/>
                <w:sz w:val="22"/>
                <w:szCs w:val="22"/>
              </w:rPr>
              <w:t>66,715</w:t>
            </w:r>
          </w:p>
        </w:tc>
        <w:tc>
          <w:tcPr>
            <w:tcW w:w="1092" w:type="dxa"/>
            <w:tcBorders>
              <w:top w:val="single" w:sz="12" w:space="0" w:color="auto"/>
              <w:left w:val="nil"/>
              <w:bottom w:val="single" w:sz="12"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b/>
                <w:snapToGrid/>
                <w:spacing w:val="-20"/>
                <w:sz w:val="22"/>
                <w:szCs w:val="22"/>
              </w:rPr>
            </w:pPr>
            <w:r w:rsidRPr="00A5088B">
              <w:rPr>
                <w:rFonts w:hint="eastAsia"/>
                <w:b/>
                <w:snapToGrid/>
                <w:spacing w:val="-20"/>
                <w:sz w:val="22"/>
                <w:szCs w:val="22"/>
              </w:rPr>
              <w:t>66,304</w:t>
            </w:r>
          </w:p>
        </w:tc>
      </w:tr>
      <w:tr w:rsidR="00A5088B" w:rsidRPr="00A5088B" w:rsidTr="00A5088B">
        <w:tc>
          <w:tcPr>
            <w:tcW w:w="434" w:type="dxa"/>
            <w:vMerge w:val="restart"/>
            <w:tcBorders>
              <w:top w:val="single" w:sz="12" w:space="0" w:color="auto"/>
              <w:left w:val="single" w:sz="12" w:space="0" w:color="auto"/>
              <w:right w:val="single" w:sz="4" w:space="0" w:color="auto"/>
            </w:tcBorders>
            <w:shd w:val="clear" w:color="auto" w:fill="auto"/>
            <w:vAlign w:val="center"/>
            <w:hideMark/>
          </w:tcPr>
          <w:p w:rsidR="00A5088B" w:rsidRPr="00A5088B" w:rsidRDefault="00A5088B" w:rsidP="00A5088B">
            <w:pPr>
              <w:pStyle w:val="142"/>
              <w:jc w:val="center"/>
              <w:rPr>
                <w:snapToGrid/>
                <w:spacing w:val="-20"/>
              </w:rPr>
            </w:pPr>
            <w:r w:rsidRPr="00A5088B">
              <w:rPr>
                <w:rFonts w:hint="eastAsia"/>
                <w:snapToGrid/>
                <w:spacing w:val="-20"/>
              </w:rPr>
              <w:t>再生</w:t>
            </w:r>
          </w:p>
          <w:p w:rsidR="00A5088B" w:rsidRPr="00A5088B" w:rsidRDefault="00A5088B" w:rsidP="00A5088B">
            <w:pPr>
              <w:pStyle w:val="142"/>
              <w:jc w:val="center"/>
              <w:rPr>
                <w:rFonts w:hint="eastAsia"/>
                <w:snapToGrid/>
                <w:spacing w:val="-20"/>
              </w:rPr>
            </w:pPr>
            <w:r w:rsidRPr="00A5088B">
              <w:rPr>
                <w:rFonts w:hint="eastAsia"/>
                <w:snapToGrid/>
                <w:spacing w:val="-20"/>
              </w:rPr>
              <w:t>能源</w:t>
            </w:r>
          </w:p>
        </w:tc>
        <w:tc>
          <w:tcPr>
            <w:tcW w:w="1540" w:type="dxa"/>
            <w:gridSpan w:val="2"/>
            <w:tcBorders>
              <w:top w:val="single" w:sz="12" w:space="0" w:color="auto"/>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center"/>
              <w:rPr>
                <w:rFonts w:hint="eastAsia"/>
                <w:b/>
                <w:bCs/>
                <w:snapToGrid/>
                <w:spacing w:val="-20"/>
              </w:rPr>
            </w:pPr>
            <w:r w:rsidRPr="00A5088B">
              <w:rPr>
                <w:rFonts w:hint="eastAsia"/>
                <w:b/>
                <w:bCs/>
                <w:snapToGrid/>
                <w:spacing w:val="-20"/>
              </w:rPr>
              <w:t>太陽光電</w:t>
            </w:r>
          </w:p>
        </w:tc>
        <w:tc>
          <w:tcPr>
            <w:tcW w:w="1091" w:type="dxa"/>
            <w:tcBorders>
              <w:top w:val="single" w:sz="12" w:space="0" w:color="auto"/>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5,817</w:t>
            </w:r>
          </w:p>
        </w:tc>
        <w:tc>
          <w:tcPr>
            <w:tcW w:w="1092" w:type="dxa"/>
            <w:tcBorders>
              <w:top w:val="single" w:sz="12" w:space="0" w:color="auto"/>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7,700</w:t>
            </w:r>
          </w:p>
        </w:tc>
        <w:tc>
          <w:tcPr>
            <w:tcW w:w="1092" w:type="dxa"/>
            <w:tcBorders>
              <w:top w:val="single" w:sz="12" w:space="0" w:color="auto"/>
              <w:left w:val="nil"/>
              <w:bottom w:val="single" w:sz="4" w:space="0" w:color="auto"/>
              <w:right w:val="single" w:sz="4" w:space="0" w:color="auto"/>
            </w:tcBorders>
            <w:shd w:val="clear" w:color="000000" w:fill="FFF2CC"/>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9,724</w:t>
            </w:r>
          </w:p>
        </w:tc>
        <w:tc>
          <w:tcPr>
            <w:tcW w:w="1092" w:type="dxa"/>
            <w:tcBorders>
              <w:top w:val="single" w:sz="12" w:space="0" w:color="auto"/>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12,418</w:t>
            </w:r>
          </w:p>
        </w:tc>
        <w:tc>
          <w:tcPr>
            <w:tcW w:w="1092" w:type="dxa"/>
            <w:tcBorders>
              <w:top w:val="single" w:sz="12" w:space="0" w:color="auto"/>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14,281</w:t>
            </w:r>
          </w:p>
        </w:tc>
        <w:tc>
          <w:tcPr>
            <w:tcW w:w="1092" w:type="dxa"/>
            <w:tcBorders>
              <w:top w:val="single" w:sz="12" w:space="0" w:color="auto"/>
              <w:left w:val="nil"/>
              <w:bottom w:val="single" w:sz="4" w:space="0" w:color="auto"/>
              <w:right w:val="single" w:sz="12" w:space="0" w:color="auto"/>
            </w:tcBorders>
            <w:shd w:val="clear" w:color="000000" w:fill="FFF2CC"/>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14,622</w:t>
            </w:r>
          </w:p>
        </w:tc>
      </w:tr>
      <w:tr w:rsidR="00A5088B" w:rsidRPr="00A5088B" w:rsidTr="00A5088B">
        <w:tc>
          <w:tcPr>
            <w:tcW w:w="434" w:type="dxa"/>
            <w:vMerge/>
            <w:tcBorders>
              <w:left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p>
        </w:tc>
        <w:tc>
          <w:tcPr>
            <w:tcW w:w="78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風力</w:t>
            </w:r>
          </w:p>
        </w:tc>
        <w:tc>
          <w:tcPr>
            <w:tcW w:w="754"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陸域</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809</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825</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836</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914</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918</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937</w:t>
            </w:r>
          </w:p>
        </w:tc>
      </w:tr>
      <w:tr w:rsidR="00A5088B" w:rsidRPr="00A5088B" w:rsidTr="00A5088B">
        <w:tc>
          <w:tcPr>
            <w:tcW w:w="434" w:type="dxa"/>
            <w:vMerge/>
            <w:tcBorders>
              <w:left w:val="single" w:sz="12" w:space="0" w:color="auto"/>
              <w:right w:val="single" w:sz="4" w:space="0" w:color="auto"/>
            </w:tcBorders>
            <w:shd w:val="clear" w:color="auto" w:fill="auto"/>
            <w:vAlign w:val="center"/>
            <w:hideMark/>
          </w:tcPr>
          <w:p w:rsidR="00A5088B" w:rsidRPr="00A5088B" w:rsidRDefault="00A5088B" w:rsidP="00A5088B">
            <w:pPr>
              <w:pStyle w:val="142"/>
              <w:rPr>
                <w:rFonts w:ascii="新細明體" w:eastAsia="新細明體" w:hAnsi="新細明體" w:hint="eastAsia"/>
                <w:snapToGrid/>
                <w:spacing w:val="-20"/>
              </w:rPr>
            </w:pPr>
          </w:p>
        </w:tc>
        <w:tc>
          <w:tcPr>
            <w:tcW w:w="786" w:type="dxa"/>
            <w:vMerge/>
            <w:tcBorders>
              <w:top w:val="nil"/>
              <w:left w:val="single" w:sz="4" w:space="0" w:color="auto"/>
              <w:bottom w:val="single" w:sz="4" w:space="0" w:color="auto"/>
              <w:right w:val="single" w:sz="4" w:space="0" w:color="auto"/>
            </w:tcBorders>
            <w:vAlign w:val="center"/>
            <w:hideMark/>
          </w:tcPr>
          <w:p w:rsidR="00A5088B" w:rsidRPr="00A5088B" w:rsidRDefault="00A5088B" w:rsidP="00A5088B">
            <w:pPr>
              <w:pStyle w:val="142"/>
              <w:rPr>
                <w:snapToGrid/>
                <w:spacing w:val="-20"/>
              </w:rPr>
            </w:pPr>
          </w:p>
        </w:tc>
        <w:tc>
          <w:tcPr>
            <w:tcW w:w="754"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離岸</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128</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269</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745</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1,763</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2,987</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3,043</w:t>
            </w:r>
          </w:p>
        </w:tc>
      </w:tr>
      <w:tr w:rsidR="00A5088B" w:rsidRPr="00487F01" w:rsidTr="00A5088B">
        <w:tc>
          <w:tcPr>
            <w:tcW w:w="434" w:type="dxa"/>
            <w:vMerge/>
            <w:tcBorders>
              <w:left w:val="single" w:sz="12" w:space="0" w:color="auto"/>
              <w:right w:val="single" w:sz="4" w:space="0" w:color="auto"/>
            </w:tcBorders>
            <w:shd w:val="clear" w:color="auto" w:fill="auto"/>
            <w:vAlign w:val="center"/>
            <w:hideMark/>
          </w:tcPr>
          <w:p w:rsidR="00A5088B" w:rsidRPr="00A5088B" w:rsidRDefault="00A5088B" w:rsidP="00A5088B">
            <w:pPr>
              <w:pStyle w:val="142"/>
              <w:rPr>
                <w:rFonts w:ascii="新細明體" w:eastAsia="新細明體" w:hAnsi="新細明體" w:hint="eastAsia"/>
                <w:snapToGrid/>
                <w:spacing w:val="-20"/>
              </w:rPr>
            </w:pPr>
          </w:p>
        </w:tc>
        <w:tc>
          <w:tcPr>
            <w:tcW w:w="786" w:type="dxa"/>
            <w:vMerge/>
            <w:tcBorders>
              <w:top w:val="nil"/>
              <w:left w:val="single" w:sz="4" w:space="0" w:color="auto"/>
              <w:bottom w:val="single" w:sz="4" w:space="0" w:color="auto"/>
              <w:right w:val="single" w:sz="4" w:space="0" w:color="auto"/>
            </w:tcBorders>
            <w:vAlign w:val="center"/>
            <w:hideMark/>
          </w:tcPr>
          <w:p w:rsidR="00A5088B" w:rsidRPr="00A5088B" w:rsidRDefault="00A5088B" w:rsidP="00A5088B">
            <w:pPr>
              <w:pStyle w:val="142"/>
              <w:rPr>
                <w:snapToGrid/>
                <w:spacing w:val="-20"/>
              </w:rPr>
            </w:pPr>
          </w:p>
        </w:tc>
        <w:tc>
          <w:tcPr>
            <w:tcW w:w="754" w:type="dxa"/>
            <w:tcBorders>
              <w:top w:val="nil"/>
              <w:left w:val="nil"/>
              <w:bottom w:val="single" w:sz="4" w:space="0" w:color="auto"/>
              <w:right w:val="single" w:sz="4" w:space="0" w:color="auto"/>
            </w:tcBorders>
            <w:shd w:val="clear" w:color="000000" w:fill="FFF2CC"/>
            <w:vAlign w:val="center"/>
            <w:hideMark/>
          </w:tcPr>
          <w:p w:rsidR="00A5088B" w:rsidRPr="00A5088B" w:rsidRDefault="00A5088B" w:rsidP="00A5088B">
            <w:pPr>
              <w:pStyle w:val="142"/>
              <w:jc w:val="center"/>
              <w:rPr>
                <w:rFonts w:hint="eastAsia"/>
                <w:b/>
                <w:bCs/>
                <w:snapToGrid/>
                <w:spacing w:val="-20"/>
              </w:rPr>
            </w:pPr>
            <w:r w:rsidRPr="00A5088B">
              <w:rPr>
                <w:rFonts w:hint="eastAsia"/>
                <w:b/>
                <w:bCs/>
                <w:snapToGrid/>
                <w:spacing w:val="-20"/>
              </w:rPr>
              <w:t>小計</w:t>
            </w:r>
          </w:p>
        </w:tc>
        <w:tc>
          <w:tcPr>
            <w:tcW w:w="1091" w:type="dxa"/>
            <w:tcBorders>
              <w:top w:val="nil"/>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937</w:t>
            </w:r>
          </w:p>
        </w:tc>
        <w:tc>
          <w:tcPr>
            <w:tcW w:w="1092" w:type="dxa"/>
            <w:tcBorders>
              <w:top w:val="nil"/>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1,094</w:t>
            </w:r>
          </w:p>
        </w:tc>
        <w:tc>
          <w:tcPr>
            <w:tcW w:w="1092" w:type="dxa"/>
            <w:tcBorders>
              <w:top w:val="nil"/>
              <w:left w:val="nil"/>
              <w:bottom w:val="single" w:sz="4" w:space="0" w:color="auto"/>
              <w:right w:val="single" w:sz="4" w:space="0" w:color="auto"/>
            </w:tcBorders>
            <w:shd w:val="clear" w:color="000000" w:fill="FFF2CC"/>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1,581</w:t>
            </w:r>
          </w:p>
        </w:tc>
        <w:tc>
          <w:tcPr>
            <w:tcW w:w="1092" w:type="dxa"/>
            <w:tcBorders>
              <w:top w:val="nil"/>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2,677</w:t>
            </w:r>
          </w:p>
        </w:tc>
        <w:tc>
          <w:tcPr>
            <w:tcW w:w="1092" w:type="dxa"/>
            <w:tcBorders>
              <w:top w:val="nil"/>
              <w:left w:val="nil"/>
              <w:bottom w:val="sing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3,905</w:t>
            </w:r>
          </w:p>
        </w:tc>
        <w:tc>
          <w:tcPr>
            <w:tcW w:w="1092" w:type="dxa"/>
            <w:tcBorders>
              <w:top w:val="nil"/>
              <w:left w:val="nil"/>
              <w:bottom w:val="single" w:sz="4" w:space="0" w:color="auto"/>
              <w:right w:val="single" w:sz="12" w:space="0" w:color="auto"/>
            </w:tcBorders>
            <w:shd w:val="clear" w:color="000000" w:fill="FFF2CC"/>
            <w:vAlign w:val="center"/>
            <w:hideMark/>
          </w:tcPr>
          <w:p w:rsidR="00A5088B" w:rsidRPr="00487F01" w:rsidRDefault="00A5088B" w:rsidP="00A5088B">
            <w:pPr>
              <w:pStyle w:val="142"/>
              <w:jc w:val="right"/>
              <w:rPr>
                <w:rFonts w:hint="eastAsia"/>
                <w:b/>
                <w:bCs/>
                <w:snapToGrid/>
                <w:color w:val="000000"/>
                <w:spacing w:val="-20"/>
                <w:sz w:val="22"/>
                <w:szCs w:val="22"/>
              </w:rPr>
            </w:pPr>
            <w:r w:rsidRPr="00487F01">
              <w:rPr>
                <w:rFonts w:hint="eastAsia"/>
                <w:b/>
                <w:bCs/>
                <w:snapToGrid/>
                <w:color w:val="000000"/>
                <w:spacing w:val="-20"/>
                <w:sz w:val="22"/>
                <w:szCs w:val="22"/>
              </w:rPr>
              <w:t>3,980</w:t>
            </w:r>
          </w:p>
        </w:tc>
      </w:tr>
      <w:tr w:rsidR="00A5088B" w:rsidRPr="00A5088B" w:rsidTr="00A5088B">
        <w:tc>
          <w:tcPr>
            <w:tcW w:w="434" w:type="dxa"/>
            <w:vMerge/>
            <w:tcBorders>
              <w:left w:val="single" w:sz="12" w:space="0" w:color="auto"/>
              <w:right w:val="single" w:sz="4" w:space="0" w:color="auto"/>
            </w:tcBorders>
            <w:shd w:val="clear" w:color="auto" w:fill="auto"/>
            <w:vAlign w:val="center"/>
            <w:hideMark/>
          </w:tcPr>
          <w:p w:rsidR="00A5088B" w:rsidRPr="00A5088B" w:rsidRDefault="00A5088B" w:rsidP="00A5088B">
            <w:pPr>
              <w:pStyle w:val="142"/>
              <w:rPr>
                <w:rFonts w:ascii="新細明體" w:eastAsia="新細明體" w:hAnsi="新細明體" w:hint="eastAsia"/>
                <w:snapToGrid/>
                <w:spacing w:val="-20"/>
              </w:rPr>
            </w:pPr>
          </w:p>
        </w:tc>
        <w:tc>
          <w:tcPr>
            <w:tcW w:w="1540" w:type="dxa"/>
            <w:gridSpan w:val="2"/>
            <w:tcBorders>
              <w:top w:val="sing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地熱能</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0.3</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5</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5</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w:t>
            </w:r>
          </w:p>
        </w:tc>
      </w:tr>
      <w:tr w:rsidR="00A5088B" w:rsidRPr="00A5088B" w:rsidTr="00A5088B">
        <w:tc>
          <w:tcPr>
            <w:tcW w:w="434" w:type="dxa"/>
            <w:vMerge/>
            <w:tcBorders>
              <w:left w:val="single" w:sz="12" w:space="0" w:color="auto"/>
              <w:right w:val="single" w:sz="4" w:space="0" w:color="auto"/>
            </w:tcBorders>
            <w:shd w:val="clear" w:color="auto" w:fill="auto"/>
            <w:vAlign w:val="center"/>
            <w:hideMark/>
          </w:tcPr>
          <w:p w:rsidR="00A5088B" w:rsidRPr="00A5088B" w:rsidRDefault="00A5088B" w:rsidP="00A5088B">
            <w:pPr>
              <w:pStyle w:val="142"/>
              <w:rPr>
                <w:rFonts w:ascii="新細明體" w:eastAsia="新細明體" w:hAnsi="新細明體" w:hint="eastAsia"/>
                <w:snapToGrid/>
                <w:spacing w:val="-20"/>
              </w:rPr>
            </w:pPr>
          </w:p>
        </w:tc>
        <w:tc>
          <w:tcPr>
            <w:tcW w:w="1540" w:type="dxa"/>
            <w:gridSpan w:val="2"/>
            <w:tcBorders>
              <w:top w:val="sing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生質能及廢棄物</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718</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717</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724</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749</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750</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750</w:t>
            </w:r>
          </w:p>
        </w:tc>
      </w:tr>
      <w:tr w:rsidR="00A5088B" w:rsidRPr="00A5088B" w:rsidTr="00A5088B">
        <w:tc>
          <w:tcPr>
            <w:tcW w:w="434" w:type="dxa"/>
            <w:vMerge/>
            <w:tcBorders>
              <w:left w:val="single" w:sz="12" w:space="0" w:color="auto"/>
              <w:right w:val="single" w:sz="4" w:space="0" w:color="auto"/>
            </w:tcBorders>
            <w:shd w:val="clear" w:color="auto" w:fill="auto"/>
            <w:vAlign w:val="center"/>
            <w:hideMark/>
          </w:tcPr>
          <w:p w:rsidR="00A5088B" w:rsidRPr="00A5088B" w:rsidRDefault="00A5088B" w:rsidP="00A5088B">
            <w:pPr>
              <w:pStyle w:val="142"/>
              <w:rPr>
                <w:rFonts w:ascii="新細明體" w:eastAsia="新細明體" w:hAnsi="新細明體" w:hint="eastAsia"/>
                <w:snapToGrid/>
                <w:spacing w:val="-20"/>
              </w:rPr>
            </w:pPr>
          </w:p>
        </w:tc>
        <w:tc>
          <w:tcPr>
            <w:tcW w:w="1540" w:type="dxa"/>
            <w:gridSpan w:val="2"/>
            <w:tcBorders>
              <w:top w:val="sing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水力</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2,093</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2,094</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2,098</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2,104</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2,123</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2,124</w:t>
            </w:r>
          </w:p>
        </w:tc>
      </w:tr>
      <w:tr w:rsidR="00A5088B" w:rsidRPr="00A5088B" w:rsidTr="00A5088B">
        <w:tc>
          <w:tcPr>
            <w:tcW w:w="434" w:type="dxa"/>
            <w:vMerge/>
            <w:tcBorders>
              <w:left w:val="single" w:sz="12" w:space="0" w:color="auto"/>
              <w:right w:val="single" w:sz="4" w:space="0" w:color="auto"/>
            </w:tcBorders>
            <w:shd w:val="clear" w:color="auto" w:fill="auto"/>
            <w:vAlign w:val="center"/>
            <w:hideMark/>
          </w:tcPr>
          <w:p w:rsidR="00A5088B" w:rsidRPr="00A5088B" w:rsidRDefault="00A5088B" w:rsidP="00A5088B">
            <w:pPr>
              <w:pStyle w:val="142"/>
              <w:rPr>
                <w:rFonts w:ascii="新細明體" w:eastAsia="新細明體" w:hAnsi="新細明體" w:hint="eastAsia"/>
                <w:snapToGrid/>
                <w:spacing w:val="-20"/>
              </w:rPr>
            </w:pPr>
          </w:p>
        </w:tc>
        <w:tc>
          <w:tcPr>
            <w:tcW w:w="1540" w:type="dxa"/>
            <w:gridSpan w:val="2"/>
            <w:tcBorders>
              <w:top w:val="sing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燃料電池</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w:t>
            </w:r>
          </w:p>
        </w:tc>
      </w:tr>
      <w:tr w:rsidR="00A5088B" w:rsidRPr="00A5088B" w:rsidTr="00A5088B">
        <w:tc>
          <w:tcPr>
            <w:tcW w:w="434" w:type="dxa"/>
            <w:vMerge/>
            <w:tcBorders>
              <w:left w:val="single" w:sz="12" w:space="0" w:color="auto"/>
              <w:bottom w:val="double" w:sz="4" w:space="0" w:color="auto"/>
              <w:right w:val="single" w:sz="4" w:space="0" w:color="auto"/>
            </w:tcBorders>
            <w:shd w:val="clear" w:color="auto" w:fill="auto"/>
            <w:vAlign w:val="center"/>
            <w:hideMark/>
          </w:tcPr>
          <w:p w:rsidR="00A5088B" w:rsidRPr="00A5088B" w:rsidRDefault="00A5088B" w:rsidP="00A5088B">
            <w:pPr>
              <w:pStyle w:val="142"/>
              <w:rPr>
                <w:rFonts w:ascii="新細明體" w:eastAsia="新細明體" w:hAnsi="新細明體" w:hint="eastAsia"/>
                <w:snapToGrid/>
                <w:spacing w:val="-20"/>
              </w:rPr>
            </w:pPr>
          </w:p>
        </w:tc>
        <w:tc>
          <w:tcPr>
            <w:tcW w:w="1540" w:type="dxa"/>
            <w:gridSpan w:val="2"/>
            <w:tcBorders>
              <w:top w:val="single" w:sz="4" w:space="0" w:color="auto"/>
              <w:left w:val="nil"/>
              <w:bottom w:val="double" w:sz="4" w:space="0" w:color="auto"/>
              <w:right w:val="single" w:sz="4" w:space="0" w:color="auto"/>
            </w:tcBorders>
            <w:shd w:val="clear" w:color="000000" w:fill="FFF2CC"/>
            <w:noWrap/>
            <w:vAlign w:val="center"/>
            <w:hideMark/>
          </w:tcPr>
          <w:p w:rsidR="00A5088B" w:rsidRPr="00A5088B" w:rsidRDefault="00A5088B" w:rsidP="00A5088B">
            <w:pPr>
              <w:pStyle w:val="142"/>
              <w:jc w:val="center"/>
              <w:rPr>
                <w:rFonts w:hint="eastAsia"/>
                <w:b/>
                <w:bCs/>
                <w:snapToGrid/>
                <w:spacing w:val="-20"/>
              </w:rPr>
            </w:pPr>
            <w:r w:rsidRPr="00A5088B">
              <w:rPr>
                <w:rFonts w:hint="eastAsia"/>
                <w:b/>
                <w:bCs/>
                <w:snapToGrid/>
                <w:spacing w:val="-20"/>
              </w:rPr>
              <w:t>再生能源小計</w:t>
            </w:r>
          </w:p>
        </w:tc>
        <w:tc>
          <w:tcPr>
            <w:tcW w:w="1091" w:type="dxa"/>
            <w:tcBorders>
              <w:top w:val="nil"/>
              <w:left w:val="nil"/>
              <w:bottom w:val="double" w:sz="4" w:space="0" w:color="auto"/>
              <w:right w:val="single" w:sz="4" w:space="0" w:color="auto"/>
            </w:tcBorders>
            <w:shd w:val="clear" w:color="000000" w:fill="FFF2CC"/>
            <w:noWrap/>
            <w:vAlign w:val="center"/>
            <w:hideMark/>
          </w:tcPr>
          <w:p w:rsidR="00A5088B" w:rsidRPr="00487F01" w:rsidRDefault="00A5088B" w:rsidP="00A5088B">
            <w:pPr>
              <w:pStyle w:val="142"/>
              <w:jc w:val="right"/>
              <w:rPr>
                <w:rFonts w:hint="eastAsia"/>
                <w:b/>
                <w:bCs/>
                <w:snapToGrid/>
                <w:color w:val="000000"/>
                <w:spacing w:val="-20"/>
                <w:sz w:val="22"/>
                <w:szCs w:val="22"/>
              </w:rPr>
            </w:pPr>
            <w:r w:rsidRPr="00487F01">
              <w:rPr>
                <w:rFonts w:hint="eastAsia"/>
                <w:b/>
                <w:bCs/>
                <w:snapToGrid/>
                <w:color w:val="000000"/>
                <w:spacing w:val="-20"/>
                <w:sz w:val="22"/>
                <w:szCs w:val="22"/>
              </w:rPr>
              <w:t>9,565</w:t>
            </w:r>
          </w:p>
        </w:tc>
        <w:tc>
          <w:tcPr>
            <w:tcW w:w="1092" w:type="dxa"/>
            <w:tcBorders>
              <w:top w:val="nil"/>
              <w:left w:val="nil"/>
              <w:bottom w:val="doub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11,610</w:t>
            </w:r>
          </w:p>
        </w:tc>
        <w:tc>
          <w:tcPr>
            <w:tcW w:w="1092" w:type="dxa"/>
            <w:tcBorders>
              <w:top w:val="nil"/>
              <w:left w:val="nil"/>
              <w:bottom w:val="double" w:sz="4" w:space="0" w:color="auto"/>
              <w:right w:val="single" w:sz="4" w:space="0" w:color="auto"/>
            </w:tcBorders>
            <w:shd w:val="clear" w:color="000000" w:fill="FFF2CC"/>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14,132</w:t>
            </w:r>
          </w:p>
        </w:tc>
        <w:tc>
          <w:tcPr>
            <w:tcW w:w="1092" w:type="dxa"/>
            <w:tcBorders>
              <w:top w:val="nil"/>
              <w:left w:val="nil"/>
              <w:bottom w:val="doub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17,955</w:t>
            </w:r>
          </w:p>
        </w:tc>
        <w:tc>
          <w:tcPr>
            <w:tcW w:w="1092" w:type="dxa"/>
            <w:tcBorders>
              <w:top w:val="nil"/>
              <w:left w:val="nil"/>
              <w:bottom w:val="double" w:sz="4" w:space="0" w:color="auto"/>
              <w:right w:val="single" w:sz="4" w:space="0" w:color="auto"/>
            </w:tcBorders>
            <w:shd w:val="clear" w:color="000000" w:fill="FFF2CC"/>
            <w:noWrap/>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21,066</w:t>
            </w:r>
          </w:p>
        </w:tc>
        <w:tc>
          <w:tcPr>
            <w:tcW w:w="1092" w:type="dxa"/>
            <w:tcBorders>
              <w:top w:val="nil"/>
              <w:left w:val="nil"/>
              <w:bottom w:val="double" w:sz="4" w:space="0" w:color="auto"/>
              <w:right w:val="single" w:sz="12" w:space="0" w:color="auto"/>
            </w:tcBorders>
            <w:shd w:val="clear" w:color="000000" w:fill="FFF2CC"/>
            <w:vAlign w:val="center"/>
            <w:hideMark/>
          </w:tcPr>
          <w:p w:rsidR="00A5088B" w:rsidRPr="00A5088B" w:rsidRDefault="00A5088B" w:rsidP="00A5088B">
            <w:pPr>
              <w:pStyle w:val="142"/>
              <w:jc w:val="right"/>
              <w:rPr>
                <w:rFonts w:hint="eastAsia"/>
                <w:b/>
                <w:bCs/>
                <w:snapToGrid/>
                <w:spacing w:val="-20"/>
                <w:sz w:val="22"/>
                <w:szCs w:val="22"/>
              </w:rPr>
            </w:pPr>
            <w:r w:rsidRPr="00A5088B">
              <w:rPr>
                <w:rFonts w:hint="eastAsia"/>
                <w:b/>
                <w:bCs/>
                <w:snapToGrid/>
                <w:spacing w:val="-20"/>
                <w:sz w:val="22"/>
                <w:szCs w:val="22"/>
              </w:rPr>
              <w:t>21,483</w:t>
            </w:r>
          </w:p>
        </w:tc>
      </w:tr>
      <w:tr w:rsidR="00A5088B" w:rsidRPr="00A5088B" w:rsidTr="00A5088B">
        <w:tc>
          <w:tcPr>
            <w:tcW w:w="1974" w:type="dxa"/>
            <w:gridSpan w:val="3"/>
            <w:tcBorders>
              <w:top w:val="double" w:sz="4" w:space="0" w:color="auto"/>
              <w:left w:val="single" w:sz="12" w:space="0" w:color="auto"/>
              <w:bottom w:val="single" w:sz="4"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燃氣</w:t>
            </w:r>
          </w:p>
        </w:tc>
        <w:tc>
          <w:tcPr>
            <w:tcW w:w="1091" w:type="dxa"/>
            <w:tcBorders>
              <w:top w:val="doub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18,679</w:t>
            </w:r>
          </w:p>
        </w:tc>
        <w:tc>
          <w:tcPr>
            <w:tcW w:w="1092" w:type="dxa"/>
            <w:tcBorders>
              <w:top w:val="doub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19,216</w:t>
            </w:r>
          </w:p>
        </w:tc>
        <w:tc>
          <w:tcPr>
            <w:tcW w:w="1092" w:type="dxa"/>
            <w:tcBorders>
              <w:top w:val="double" w:sz="4" w:space="0" w:color="auto"/>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19,222</w:t>
            </w:r>
          </w:p>
        </w:tc>
        <w:tc>
          <w:tcPr>
            <w:tcW w:w="1092" w:type="dxa"/>
            <w:tcBorders>
              <w:top w:val="doub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18,973</w:t>
            </w:r>
          </w:p>
        </w:tc>
        <w:tc>
          <w:tcPr>
            <w:tcW w:w="1092" w:type="dxa"/>
            <w:tcBorders>
              <w:top w:val="double" w:sz="4" w:space="0" w:color="auto"/>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20,096</w:t>
            </w:r>
          </w:p>
        </w:tc>
        <w:tc>
          <w:tcPr>
            <w:tcW w:w="1092" w:type="dxa"/>
            <w:tcBorders>
              <w:top w:val="double" w:sz="4" w:space="0" w:color="auto"/>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19,324</w:t>
            </w:r>
          </w:p>
        </w:tc>
      </w:tr>
      <w:tr w:rsidR="00A5088B" w:rsidRPr="00A5088B" w:rsidTr="00A5088B">
        <w:tc>
          <w:tcPr>
            <w:tcW w:w="1974" w:type="dxa"/>
            <w:gridSpan w:val="3"/>
            <w:tcBorders>
              <w:top w:val="single" w:sz="4" w:space="0" w:color="auto"/>
              <w:left w:val="single" w:sz="12" w:space="0" w:color="auto"/>
              <w:bottom w:val="single" w:sz="4"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燃油</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2,095</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2,092</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2,106</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2,107</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2,115</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2,112</w:t>
            </w:r>
          </w:p>
        </w:tc>
      </w:tr>
      <w:tr w:rsidR="00A5088B" w:rsidRPr="00A5088B" w:rsidTr="00A5088B">
        <w:tc>
          <w:tcPr>
            <w:tcW w:w="1974" w:type="dxa"/>
            <w:gridSpan w:val="3"/>
            <w:tcBorders>
              <w:top w:val="single" w:sz="4" w:space="0" w:color="auto"/>
              <w:left w:val="single" w:sz="12" w:space="0" w:color="auto"/>
              <w:bottom w:val="single" w:sz="4"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燃煤</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21,008</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20,994</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20,994</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20,504</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19,885</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19,832</w:t>
            </w:r>
          </w:p>
        </w:tc>
      </w:tr>
      <w:tr w:rsidR="00A5088B" w:rsidRPr="00A5088B" w:rsidTr="00A5088B">
        <w:tc>
          <w:tcPr>
            <w:tcW w:w="1974" w:type="dxa"/>
            <w:gridSpan w:val="3"/>
            <w:tcBorders>
              <w:top w:val="single" w:sz="4" w:space="0" w:color="auto"/>
              <w:left w:val="single" w:sz="12" w:space="0" w:color="auto"/>
              <w:bottom w:val="single" w:sz="4"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核能發電</w:t>
            </w:r>
          </w:p>
        </w:tc>
        <w:tc>
          <w:tcPr>
            <w:tcW w:w="1091"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3,872</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2,887</w:t>
            </w:r>
          </w:p>
        </w:tc>
        <w:tc>
          <w:tcPr>
            <w:tcW w:w="1092" w:type="dxa"/>
            <w:tcBorders>
              <w:top w:val="nil"/>
              <w:left w:val="nil"/>
              <w:bottom w:val="single" w:sz="4"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2,887</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1,902</w:t>
            </w:r>
          </w:p>
        </w:tc>
        <w:tc>
          <w:tcPr>
            <w:tcW w:w="1092" w:type="dxa"/>
            <w:tcBorders>
              <w:top w:val="nil"/>
              <w:left w:val="nil"/>
              <w:bottom w:val="single" w:sz="4"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951</w:t>
            </w:r>
          </w:p>
        </w:tc>
        <w:tc>
          <w:tcPr>
            <w:tcW w:w="1092" w:type="dxa"/>
            <w:tcBorders>
              <w:top w:val="nil"/>
              <w:left w:val="nil"/>
              <w:bottom w:val="single" w:sz="4"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sz w:val="22"/>
                <w:szCs w:val="22"/>
              </w:rPr>
            </w:pPr>
            <w:r w:rsidRPr="00A5088B">
              <w:rPr>
                <w:rFonts w:hint="eastAsia"/>
                <w:snapToGrid/>
                <w:spacing w:val="-20"/>
                <w:sz w:val="22"/>
                <w:szCs w:val="22"/>
              </w:rPr>
              <w:t>951</w:t>
            </w:r>
          </w:p>
        </w:tc>
      </w:tr>
      <w:tr w:rsidR="00A5088B" w:rsidRPr="00A5088B" w:rsidTr="00A5088B">
        <w:tc>
          <w:tcPr>
            <w:tcW w:w="1974" w:type="dxa"/>
            <w:gridSpan w:val="3"/>
            <w:tcBorders>
              <w:top w:val="single" w:sz="4" w:space="0" w:color="auto"/>
              <w:left w:val="single" w:sz="12" w:space="0" w:color="auto"/>
              <w:bottom w:val="single" w:sz="12" w:space="0" w:color="auto"/>
              <w:right w:val="single" w:sz="4" w:space="0" w:color="auto"/>
            </w:tcBorders>
            <w:shd w:val="clear" w:color="auto" w:fill="auto"/>
            <w:vAlign w:val="center"/>
            <w:hideMark/>
          </w:tcPr>
          <w:p w:rsidR="00A5088B" w:rsidRPr="00A5088B" w:rsidRDefault="00A5088B" w:rsidP="00A5088B">
            <w:pPr>
              <w:pStyle w:val="142"/>
              <w:jc w:val="center"/>
              <w:rPr>
                <w:rFonts w:hint="eastAsia"/>
                <w:snapToGrid/>
                <w:spacing w:val="-20"/>
              </w:rPr>
            </w:pPr>
            <w:r w:rsidRPr="00A5088B">
              <w:rPr>
                <w:rFonts w:hint="eastAsia"/>
                <w:snapToGrid/>
                <w:spacing w:val="-20"/>
              </w:rPr>
              <w:t>抽蓄水力</w:t>
            </w:r>
          </w:p>
        </w:tc>
        <w:tc>
          <w:tcPr>
            <w:tcW w:w="1091" w:type="dxa"/>
            <w:tcBorders>
              <w:top w:val="nil"/>
              <w:left w:val="nil"/>
              <w:bottom w:val="single" w:sz="12"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2,602</w:t>
            </w:r>
          </w:p>
        </w:tc>
        <w:tc>
          <w:tcPr>
            <w:tcW w:w="1092" w:type="dxa"/>
            <w:tcBorders>
              <w:top w:val="nil"/>
              <w:left w:val="nil"/>
              <w:bottom w:val="single" w:sz="12"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2,602</w:t>
            </w:r>
          </w:p>
        </w:tc>
        <w:tc>
          <w:tcPr>
            <w:tcW w:w="1092" w:type="dxa"/>
            <w:tcBorders>
              <w:top w:val="nil"/>
              <w:left w:val="nil"/>
              <w:bottom w:val="single" w:sz="12" w:space="0" w:color="auto"/>
              <w:right w:val="single" w:sz="4" w:space="0" w:color="auto"/>
            </w:tcBorders>
            <w:shd w:val="clear" w:color="auto" w:fill="auto"/>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2,602</w:t>
            </w:r>
          </w:p>
        </w:tc>
        <w:tc>
          <w:tcPr>
            <w:tcW w:w="1092" w:type="dxa"/>
            <w:tcBorders>
              <w:top w:val="nil"/>
              <w:left w:val="nil"/>
              <w:bottom w:val="single" w:sz="12"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2,602</w:t>
            </w:r>
          </w:p>
        </w:tc>
        <w:tc>
          <w:tcPr>
            <w:tcW w:w="1092" w:type="dxa"/>
            <w:tcBorders>
              <w:top w:val="nil"/>
              <w:left w:val="nil"/>
              <w:bottom w:val="single" w:sz="12" w:space="0" w:color="auto"/>
              <w:right w:val="single" w:sz="4" w:space="0" w:color="auto"/>
            </w:tcBorders>
            <w:shd w:val="clear" w:color="auto" w:fill="auto"/>
            <w:noWrap/>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2,602</w:t>
            </w:r>
          </w:p>
        </w:tc>
        <w:tc>
          <w:tcPr>
            <w:tcW w:w="1092" w:type="dxa"/>
            <w:tcBorders>
              <w:top w:val="nil"/>
              <w:left w:val="nil"/>
              <w:bottom w:val="single" w:sz="12" w:space="0" w:color="auto"/>
              <w:right w:val="single" w:sz="12" w:space="0" w:color="auto"/>
            </w:tcBorders>
            <w:shd w:val="clear" w:color="auto" w:fill="auto"/>
            <w:vAlign w:val="center"/>
            <w:hideMark/>
          </w:tcPr>
          <w:p w:rsidR="00A5088B" w:rsidRPr="00A5088B" w:rsidRDefault="00A5088B" w:rsidP="00A5088B">
            <w:pPr>
              <w:pStyle w:val="142"/>
              <w:jc w:val="right"/>
              <w:rPr>
                <w:rFonts w:hint="eastAsia"/>
                <w:snapToGrid/>
                <w:spacing w:val="-20"/>
              </w:rPr>
            </w:pPr>
            <w:r w:rsidRPr="00A5088B">
              <w:rPr>
                <w:rFonts w:hint="eastAsia"/>
                <w:snapToGrid/>
                <w:spacing w:val="-20"/>
              </w:rPr>
              <w:t>2,602</w:t>
            </w:r>
          </w:p>
        </w:tc>
      </w:tr>
    </w:tbl>
    <w:p w:rsidR="00C560EB" w:rsidRPr="00FA231A" w:rsidRDefault="00C560EB" w:rsidP="00520606">
      <w:pPr>
        <w:pStyle w:val="142"/>
        <w:rPr>
          <w:color w:val="000000"/>
        </w:rPr>
      </w:pPr>
      <w:r w:rsidRPr="00FA231A">
        <w:rPr>
          <w:rFonts w:hint="eastAsia"/>
          <w:color w:val="000000"/>
        </w:rPr>
        <w:lastRenderedPageBreak/>
        <w:t>說    明：1萬</w:t>
      </w:r>
      <w:r w:rsidRPr="00FA231A">
        <w:rPr>
          <w:rFonts w:hint="eastAsia"/>
          <w:snapToGrid/>
        </w:rPr>
        <w:t>瓩=</w:t>
      </w:r>
      <w:r w:rsidRPr="00FA231A">
        <w:rPr>
          <w:snapToGrid/>
        </w:rPr>
        <w:t>10</w:t>
      </w:r>
      <w:r>
        <w:rPr>
          <w:rFonts w:hint="eastAsia"/>
          <w:snapToGrid/>
        </w:rPr>
        <w:t>千</w:t>
      </w:r>
      <w:r w:rsidRPr="00FA231A">
        <w:rPr>
          <w:rFonts w:hint="eastAsia"/>
          <w:snapToGrid/>
        </w:rPr>
        <w:t>瓩</w:t>
      </w:r>
      <w:r>
        <w:rPr>
          <w:rFonts w:hint="eastAsia"/>
          <w:snapToGrid/>
        </w:rPr>
        <w:t>(</w:t>
      </w:r>
      <w:r w:rsidRPr="00FA231A">
        <w:rPr>
          <w:snapToGrid/>
        </w:rPr>
        <w:t>MW</w:t>
      </w:r>
      <w:r>
        <w:rPr>
          <w:snapToGrid/>
        </w:rPr>
        <w:t>)</w:t>
      </w:r>
      <w:r w:rsidRPr="00FA231A">
        <w:rPr>
          <w:rFonts w:hint="eastAsia"/>
          <w:snapToGrid/>
        </w:rPr>
        <w:t>；1</w:t>
      </w:r>
      <w:r w:rsidRPr="00FA231A">
        <w:rPr>
          <w:snapToGrid/>
        </w:rPr>
        <w:t>GW(</w:t>
      </w:r>
      <w:r w:rsidRPr="00FA231A">
        <w:rPr>
          <w:rFonts w:hint="eastAsia"/>
          <w:snapToGrid/>
        </w:rPr>
        <w:t>百萬瓩)=1</w:t>
      </w:r>
      <w:r w:rsidRPr="00FA231A">
        <w:rPr>
          <w:snapToGrid/>
        </w:rPr>
        <w:t>,000</w:t>
      </w:r>
      <w:r w:rsidRPr="00FA231A">
        <w:rPr>
          <w:rFonts w:hint="eastAsia"/>
          <w:snapToGrid/>
        </w:rPr>
        <w:t>MW。</w:t>
      </w:r>
    </w:p>
    <w:p w:rsidR="00C560EB" w:rsidRDefault="00C560EB" w:rsidP="00520606">
      <w:pPr>
        <w:pStyle w:val="142"/>
        <w:ind w:leftChars="-14" w:left="1" w:hangingChars="17" w:hanging="41"/>
        <w:rPr>
          <w:rFonts w:hint="eastAsia"/>
          <w:color w:val="000000"/>
        </w:rPr>
      </w:pPr>
      <w:r w:rsidRPr="00420BA3">
        <w:rPr>
          <w:rFonts w:hint="eastAsia"/>
          <w:color w:val="000000"/>
          <w:szCs w:val="24"/>
        </w:rPr>
        <w:t>資料來源：經濟部能源署能源統計月報。</w:t>
      </w:r>
    </w:p>
    <w:p w:rsidR="00986A7A" w:rsidRPr="00FF6515" w:rsidRDefault="00986A7A" w:rsidP="00986A7A">
      <w:pPr>
        <w:pStyle w:val="a5"/>
        <w:ind w:left="849" w:hanging="283"/>
        <w:rPr>
          <w:b/>
        </w:rPr>
      </w:pPr>
      <w:r w:rsidRPr="00FF6515">
        <w:rPr>
          <w:rFonts w:hint="eastAsia"/>
          <w:b/>
        </w:rPr>
        <w:t>(</w:t>
      </w:r>
      <w:r>
        <w:rPr>
          <w:rFonts w:hint="eastAsia"/>
          <w:b/>
        </w:rPr>
        <w:t>二</w:t>
      </w:r>
      <w:r w:rsidRPr="00FF6515">
        <w:rPr>
          <w:rFonts w:hint="eastAsia"/>
          <w:b/>
        </w:rPr>
        <w:t>)</w:t>
      </w:r>
      <w:r>
        <w:rPr>
          <w:rFonts w:hint="eastAsia"/>
          <w:b/>
        </w:rPr>
        <w:t>截至114年4月底，</w:t>
      </w:r>
      <w:r w:rsidR="00A64B98">
        <w:rPr>
          <w:rFonts w:hint="eastAsia"/>
          <w:b/>
        </w:rPr>
        <w:t>再生能源</w:t>
      </w:r>
      <w:r>
        <w:rPr>
          <w:rFonts w:hint="eastAsia"/>
          <w:b/>
        </w:rPr>
        <w:t>發電占比</w:t>
      </w:r>
      <w:r w:rsidR="00A64B98">
        <w:rPr>
          <w:rFonts w:hint="eastAsia"/>
          <w:b/>
        </w:rPr>
        <w:t>14%，仍遠低於能源轉型白皮書所訂114年度</w:t>
      </w:r>
      <w:r w:rsidR="00890B07">
        <w:rPr>
          <w:rFonts w:hint="eastAsia"/>
          <w:b/>
        </w:rPr>
        <w:t>配比</w:t>
      </w:r>
      <w:r w:rsidR="00A64B98">
        <w:rPr>
          <w:rFonts w:hint="eastAsia"/>
          <w:b/>
        </w:rPr>
        <w:t>20%之目標</w:t>
      </w:r>
      <w:r w:rsidRPr="00FF6515">
        <w:rPr>
          <w:b/>
        </w:rPr>
        <w:t xml:space="preserve"> </w:t>
      </w:r>
    </w:p>
    <w:p w:rsidR="008241CA" w:rsidRDefault="008241CA" w:rsidP="007365FC">
      <w:pPr>
        <w:pStyle w:val="22"/>
        <w:ind w:left="850" w:firstLine="566"/>
        <w:rPr>
          <w:color w:val="000000"/>
        </w:rPr>
      </w:pPr>
      <w:r w:rsidRPr="007365FC">
        <w:rPr>
          <w:rFonts w:hint="eastAsia"/>
          <w:color w:val="000000"/>
        </w:rPr>
        <w:t>我國推動淨零排放路徑以逐步增加再生能源與燃氣發電，</w:t>
      </w:r>
      <w:r w:rsidRPr="007365FC">
        <w:rPr>
          <w:rFonts w:hint="eastAsia"/>
          <w:color w:val="000000"/>
        </w:rPr>
        <w:lastRenderedPageBreak/>
        <w:t>降低燃煤比例為方向，</w:t>
      </w:r>
      <w:r w:rsidR="007365FC" w:rsidRPr="007365FC">
        <w:rPr>
          <w:rFonts w:hint="eastAsia"/>
          <w:color w:val="000000"/>
        </w:rPr>
        <w:t>按</w:t>
      </w:r>
      <w:r w:rsidRPr="007365FC">
        <w:rPr>
          <w:rFonts w:hint="eastAsia"/>
          <w:color w:val="000000"/>
        </w:rPr>
        <w:t>109年度能源轉型白皮書之規劃，114年發電結構配比目標為再生能源20%、燃氣50%及燃煤30%。</w:t>
      </w:r>
      <w:r w:rsidR="00890B07" w:rsidRPr="007365FC">
        <w:rPr>
          <w:rFonts w:hint="eastAsia"/>
          <w:color w:val="000000"/>
        </w:rPr>
        <w:t>觀</w:t>
      </w:r>
      <w:r w:rsidRPr="007365FC">
        <w:rPr>
          <w:rFonts w:hint="eastAsia"/>
          <w:color w:val="000000"/>
        </w:rPr>
        <w:t>109年度燃煤發電占比為45%，已逐年遞減至114年4月底為34.4%，尚未降至預計30%之目標</w:t>
      </w:r>
      <w:r w:rsidR="007365FC">
        <w:rPr>
          <w:rFonts w:hint="eastAsia"/>
          <w:color w:val="000000"/>
        </w:rPr>
        <w:t>；</w:t>
      </w:r>
      <w:r w:rsidRPr="007365FC">
        <w:rPr>
          <w:rFonts w:hint="eastAsia"/>
          <w:color w:val="000000"/>
        </w:rPr>
        <w:t>再生能源發電占比由109年度之5.4%，雖逐年遞增至114年4月底為14%(詳表3-1-2)，</w:t>
      </w:r>
      <w:r w:rsidR="00E51E35" w:rsidRPr="007365FC">
        <w:rPr>
          <w:rFonts w:hint="eastAsia"/>
          <w:color w:val="000000"/>
        </w:rPr>
        <w:t>惟仍遠低114年度</w:t>
      </w:r>
      <w:r w:rsidRPr="007365FC">
        <w:rPr>
          <w:rFonts w:hint="eastAsia"/>
          <w:color w:val="000000"/>
        </w:rPr>
        <w:t>預計20%之目標。</w:t>
      </w:r>
    </w:p>
    <w:p w:rsidR="00935D76" w:rsidRPr="00F3016E" w:rsidRDefault="00935D76" w:rsidP="00935D76">
      <w:pPr>
        <w:spacing w:beforeLines="30" w:before="150" w:line="360" w:lineRule="exact"/>
        <w:ind w:leftChars="0" w:left="0" w:firstLineChars="0" w:firstLine="0"/>
        <w:rPr>
          <w:b/>
        </w:rPr>
      </w:pPr>
      <w:r w:rsidRPr="00F3016E">
        <w:rPr>
          <w:rFonts w:hint="eastAsia"/>
          <w:b/>
        </w:rPr>
        <w:t>表3-1-2  109年度至114年4月底我國能源發電量及占比概要表</w:t>
      </w:r>
    </w:p>
    <w:p w:rsidR="00935D76" w:rsidRPr="00F3016E" w:rsidRDefault="00935D76" w:rsidP="00935D76">
      <w:pPr>
        <w:spacing w:line="360" w:lineRule="exact"/>
        <w:ind w:left="566" w:firstLine="566"/>
        <w:rPr>
          <w:snapToGrid/>
          <w:sz w:val="24"/>
          <w:szCs w:val="24"/>
        </w:rPr>
      </w:pPr>
      <w:r w:rsidRPr="00F3016E">
        <w:rPr>
          <w:rFonts w:hint="eastAsia"/>
        </w:rPr>
        <w:t xml:space="preserve">                                        </w:t>
      </w:r>
      <w:r w:rsidRPr="00F3016E">
        <w:rPr>
          <w:rFonts w:hint="eastAsia"/>
          <w:sz w:val="24"/>
          <w:szCs w:val="24"/>
        </w:rPr>
        <w:t>單位：百萬度；%</w:t>
      </w:r>
      <w:r w:rsidRPr="00F3016E">
        <w:rPr>
          <w:rFonts w:hint="eastAsia"/>
        </w:rPr>
        <w:t xml:space="preserve">                                                                   </w:t>
      </w:r>
    </w:p>
    <w:tbl>
      <w:tblPr>
        <w:tblW w:w="8553" w:type="dxa"/>
        <w:tblInd w:w="28" w:type="dxa"/>
        <w:tblCellMar>
          <w:left w:w="28" w:type="dxa"/>
          <w:right w:w="28" w:type="dxa"/>
        </w:tblCellMar>
        <w:tblLook w:val="04A0" w:firstRow="1" w:lastRow="0" w:firstColumn="1" w:lastColumn="0" w:noHBand="0" w:noVBand="1"/>
      </w:tblPr>
      <w:tblGrid>
        <w:gridCol w:w="292"/>
        <w:gridCol w:w="422"/>
        <w:gridCol w:w="586"/>
        <w:gridCol w:w="658"/>
        <w:gridCol w:w="518"/>
        <w:gridCol w:w="658"/>
        <w:gridCol w:w="490"/>
        <w:gridCol w:w="740"/>
        <w:gridCol w:w="474"/>
        <w:gridCol w:w="713"/>
        <w:gridCol w:w="517"/>
        <w:gridCol w:w="726"/>
        <w:gridCol w:w="476"/>
        <w:gridCol w:w="656"/>
        <w:gridCol w:w="627"/>
      </w:tblGrid>
      <w:tr w:rsidR="00C27DAE" w:rsidRPr="00C27DAE" w:rsidTr="00461CF1">
        <w:tc>
          <w:tcPr>
            <w:tcW w:w="1300" w:type="dxa"/>
            <w:gridSpan w:val="3"/>
            <w:vMerge w:val="restart"/>
            <w:tcBorders>
              <w:top w:val="single" w:sz="12" w:space="0" w:color="auto"/>
              <w:left w:val="single" w:sz="12" w:space="0" w:color="auto"/>
              <w:bottom w:val="single" w:sz="4" w:space="0" w:color="auto"/>
              <w:right w:val="double" w:sz="4" w:space="0" w:color="auto"/>
            </w:tcBorders>
            <w:shd w:val="clear" w:color="auto" w:fill="auto"/>
            <w:vAlign w:val="center"/>
            <w:hideMark/>
          </w:tcPr>
          <w:p w:rsidR="00C27DAE" w:rsidRPr="00C27DAE" w:rsidRDefault="00C27DAE" w:rsidP="005245B7">
            <w:pPr>
              <w:pStyle w:val="142"/>
              <w:jc w:val="center"/>
              <w:rPr>
                <w:snapToGrid/>
                <w:spacing w:val="-20"/>
                <w:w w:val="85"/>
              </w:rPr>
            </w:pPr>
            <w:r w:rsidRPr="00C27DAE">
              <w:rPr>
                <w:rFonts w:hint="eastAsia"/>
                <w:snapToGrid/>
                <w:spacing w:val="-20"/>
                <w:w w:val="85"/>
              </w:rPr>
              <w:t>類別</w:t>
            </w:r>
          </w:p>
        </w:tc>
        <w:tc>
          <w:tcPr>
            <w:tcW w:w="1176" w:type="dxa"/>
            <w:gridSpan w:val="2"/>
            <w:tcBorders>
              <w:top w:val="single" w:sz="12" w:space="0" w:color="auto"/>
              <w:left w:val="double" w:sz="4" w:space="0" w:color="auto"/>
              <w:bottom w:val="single" w:sz="4" w:space="0" w:color="auto"/>
              <w:right w:val="single" w:sz="4" w:space="0" w:color="auto"/>
            </w:tcBorders>
            <w:shd w:val="clear" w:color="auto" w:fill="auto"/>
            <w:noWrap/>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109年度</w:t>
            </w:r>
          </w:p>
        </w:tc>
        <w:tc>
          <w:tcPr>
            <w:tcW w:w="1148" w:type="dxa"/>
            <w:gridSpan w:val="2"/>
            <w:tcBorders>
              <w:top w:val="single" w:sz="12" w:space="0" w:color="auto"/>
              <w:left w:val="single" w:sz="4" w:space="0" w:color="auto"/>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110年度</w:t>
            </w:r>
          </w:p>
        </w:tc>
        <w:tc>
          <w:tcPr>
            <w:tcW w:w="1214" w:type="dxa"/>
            <w:gridSpan w:val="2"/>
            <w:tcBorders>
              <w:top w:val="single" w:sz="12" w:space="0" w:color="auto"/>
              <w:left w:val="nil"/>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111年度</w:t>
            </w:r>
          </w:p>
        </w:tc>
        <w:tc>
          <w:tcPr>
            <w:tcW w:w="1230" w:type="dxa"/>
            <w:gridSpan w:val="2"/>
            <w:tcBorders>
              <w:top w:val="single" w:sz="12" w:space="0" w:color="auto"/>
              <w:left w:val="nil"/>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112年度</w:t>
            </w:r>
          </w:p>
        </w:tc>
        <w:tc>
          <w:tcPr>
            <w:tcW w:w="1202" w:type="dxa"/>
            <w:gridSpan w:val="2"/>
            <w:tcBorders>
              <w:top w:val="single" w:sz="12" w:space="0" w:color="auto"/>
              <w:left w:val="nil"/>
              <w:bottom w:val="single" w:sz="4" w:space="0" w:color="auto"/>
              <w:right w:val="doub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113年度</w:t>
            </w:r>
          </w:p>
        </w:tc>
        <w:tc>
          <w:tcPr>
            <w:tcW w:w="1283" w:type="dxa"/>
            <w:gridSpan w:val="2"/>
            <w:tcBorders>
              <w:top w:val="single" w:sz="12" w:space="0" w:color="auto"/>
              <w:left w:val="double" w:sz="4" w:space="0" w:color="auto"/>
              <w:bottom w:val="single" w:sz="4" w:space="0" w:color="auto"/>
              <w:right w:val="single" w:sz="12"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114年(1-4月)</w:t>
            </w:r>
          </w:p>
        </w:tc>
      </w:tr>
      <w:tr w:rsidR="00C27DAE" w:rsidRPr="00C27DAE" w:rsidTr="00461CF1">
        <w:tc>
          <w:tcPr>
            <w:tcW w:w="1300" w:type="dxa"/>
            <w:gridSpan w:val="3"/>
            <w:vMerge/>
            <w:tcBorders>
              <w:top w:val="single" w:sz="4" w:space="0" w:color="auto"/>
              <w:left w:val="single" w:sz="12" w:space="0" w:color="auto"/>
              <w:bottom w:val="single" w:sz="4" w:space="0" w:color="auto"/>
              <w:right w:val="double" w:sz="4" w:space="0" w:color="auto"/>
            </w:tcBorders>
            <w:vAlign w:val="center"/>
            <w:hideMark/>
          </w:tcPr>
          <w:p w:rsidR="00C27DAE" w:rsidRPr="00C27DAE" w:rsidRDefault="00C27DAE" w:rsidP="00C27DAE">
            <w:pPr>
              <w:pStyle w:val="142"/>
              <w:rPr>
                <w:snapToGrid/>
                <w:spacing w:val="-20"/>
                <w:w w:val="85"/>
              </w:rPr>
            </w:pP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度數</w:t>
            </w:r>
          </w:p>
        </w:tc>
        <w:tc>
          <w:tcPr>
            <w:tcW w:w="518"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占比</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度數</w:t>
            </w:r>
          </w:p>
        </w:tc>
        <w:tc>
          <w:tcPr>
            <w:tcW w:w="490"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占比</w:t>
            </w:r>
          </w:p>
        </w:tc>
        <w:tc>
          <w:tcPr>
            <w:tcW w:w="740"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度數</w:t>
            </w:r>
          </w:p>
        </w:tc>
        <w:tc>
          <w:tcPr>
            <w:tcW w:w="474"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占比</w:t>
            </w:r>
          </w:p>
        </w:tc>
        <w:tc>
          <w:tcPr>
            <w:tcW w:w="713"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度數</w:t>
            </w:r>
          </w:p>
        </w:tc>
        <w:tc>
          <w:tcPr>
            <w:tcW w:w="517"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占比</w:t>
            </w:r>
          </w:p>
        </w:tc>
        <w:tc>
          <w:tcPr>
            <w:tcW w:w="726"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度數</w:t>
            </w:r>
          </w:p>
        </w:tc>
        <w:tc>
          <w:tcPr>
            <w:tcW w:w="476" w:type="dxa"/>
            <w:tcBorders>
              <w:top w:val="nil"/>
              <w:left w:val="nil"/>
              <w:bottom w:val="single" w:sz="4" w:space="0" w:color="auto"/>
              <w:right w:val="double" w:sz="4" w:space="0" w:color="auto"/>
            </w:tcBorders>
            <w:shd w:val="clear" w:color="auto" w:fill="auto"/>
            <w:noWrap/>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占比</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度數</w:t>
            </w:r>
          </w:p>
        </w:tc>
        <w:tc>
          <w:tcPr>
            <w:tcW w:w="627" w:type="dxa"/>
            <w:tcBorders>
              <w:top w:val="nil"/>
              <w:left w:val="nil"/>
              <w:bottom w:val="single" w:sz="4" w:space="0" w:color="auto"/>
              <w:right w:val="single" w:sz="12"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占比</w:t>
            </w:r>
          </w:p>
        </w:tc>
      </w:tr>
      <w:tr w:rsidR="00C27DAE" w:rsidRPr="00C27DAE" w:rsidTr="00461CF1">
        <w:tc>
          <w:tcPr>
            <w:tcW w:w="1300" w:type="dxa"/>
            <w:gridSpan w:val="3"/>
            <w:tcBorders>
              <w:top w:val="single" w:sz="4" w:space="0" w:color="auto"/>
              <w:left w:val="single" w:sz="12" w:space="0" w:color="auto"/>
              <w:bottom w:val="single" w:sz="4" w:space="0" w:color="auto"/>
              <w:right w:val="double" w:sz="4" w:space="0" w:color="auto"/>
            </w:tcBorders>
            <w:shd w:val="clear" w:color="auto" w:fill="auto"/>
            <w:vAlign w:val="center"/>
            <w:hideMark/>
          </w:tcPr>
          <w:p w:rsidR="00C27DAE" w:rsidRPr="00C27DAE" w:rsidRDefault="00C27DAE" w:rsidP="005245B7">
            <w:pPr>
              <w:pStyle w:val="142"/>
              <w:jc w:val="center"/>
              <w:rPr>
                <w:rFonts w:hint="eastAsia"/>
                <w:b/>
                <w:bCs/>
                <w:snapToGrid/>
                <w:spacing w:val="-20"/>
                <w:w w:val="85"/>
              </w:rPr>
            </w:pPr>
            <w:r w:rsidRPr="00C27DAE">
              <w:rPr>
                <w:rFonts w:hint="eastAsia"/>
                <w:b/>
                <w:bCs/>
                <w:snapToGrid/>
                <w:spacing w:val="-20"/>
                <w:w w:val="85"/>
              </w:rPr>
              <w:t>全國發電量</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279,999</w:t>
            </w:r>
          </w:p>
        </w:tc>
        <w:tc>
          <w:tcPr>
            <w:tcW w:w="518"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100.0</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291,032</w:t>
            </w:r>
          </w:p>
        </w:tc>
        <w:tc>
          <w:tcPr>
            <w:tcW w:w="490"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100.0</w:t>
            </w:r>
          </w:p>
        </w:tc>
        <w:tc>
          <w:tcPr>
            <w:tcW w:w="740"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288,186</w:t>
            </w:r>
          </w:p>
        </w:tc>
        <w:tc>
          <w:tcPr>
            <w:tcW w:w="474"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100.0</w:t>
            </w:r>
          </w:p>
        </w:tc>
        <w:tc>
          <w:tcPr>
            <w:tcW w:w="713"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282,427</w:t>
            </w:r>
          </w:p>
        </w:tc>
        <w:tc>
          <w:tcPr>
            <w:tcW w:w="517"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100.0</w:t>
            </w:r>
          </w:p>
        </w:tc>
        <w:tc>
          <w:tcPr>
            <w:tcW w:w="726"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289,172</w:t>
            </w:r>
          </w:p>
        </w:tc>
        <w:tc>
          <w:tcPr>
            <w:tcW w:w="476" w:type="dxa"/>
            <w:tcBorders>
              <w:top w:val="nil"/>
              <w:left w:val="nil"/>
              <w:bottom w:val="single" w:sz="4" w:space="0" w:color="auto"/>
              <w:right w:val="doub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100.0</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85,759</w:t>
            </w:r>
          </w:p>
        </w:tc>
        <w:tc>
          <w:tcPr>
            <w:tcW w:w="627" w:type="dxa"/>
            <w:tcBorders>
              <w:top w:val="nil"/>
              <w:left w:val="nil"/>
              <w:bottom w:val="single" w:sz="4" w:space="0" w:color="auto"/>
              <w:right w:val="single" w:sz="12"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100.0</w:t>
            </w:r>
          </w:p>
        </w:tc>
      </w:tr>
      <w:tr w:rsidR="005245B7" w:rsidRPr="00C27DAE" w:rsidTr="00461CF1">
        <w:tc>
          <w:tcPr>
            <w:tcW w:w="292" w:type="dxa"/>
            <w:vMerge w:val="restart"/>
            <w:tcBorders>
              <w:top w:val="nil"/>
              <w:left w:val="single" w:sz="12" w:space="0" w:color="auto"/>
              <w:right w:val="single" w:sz="4" w:space="0" w:color="auto"/>
            </w:tcBorders>
            <w:shd w:val="clear" w:color="auto" w:fill="auto"/>
            <w:vAlign w:val="center"/>
            <w:hideMark/>
          </w:tcPr>
          <w:p w:rsidR="005245B7" w:rsidRPr="00C27DAE" w:rsidRDefault="005245B7" w:rsidP="005245B7">
            <w:pPr>
              <w:pStyle w:val="142"/>
              <w:jc w:val="center"/>
              <w:rPr>
                <w:snapToGrid/>
                <w:spacing w:val="-20"/>
                <w:w w:val="85"/>
              </w:rPr>
            </w:pPr>
            <w:r w:rsidRPr="00C27DAE">
              <w:rPr>
                <w:rFonts w:hint="eastAsia"/>
                <w:snapToGrid/>
                <w:spacing w:val="-20"/>
                <w:w w:val="85"/>
              </w:rPr>
              <w:t>再</w:t>
            </w:r>
          </w:p>
          <w:p w:rsidR="005245B7" w:rsidRPr="00C27DAE" w:rsidRDefault="005245B7" w:rsidP="005245B7">
            <w:pPr>
              <w:pStyle w:val="142"/>
              <w:jc w:val="center"/>
              <w:rPr>
                <w:snapToGrid/>
                <w:spacing w:val="-20"/>
                <w:w w:val="85"/>
              </w:rPr>
            </w:pPr>
            <w:r w:rsidRPr="00C27DAE">
              <w:rPr>
                <w:rFonts w:hint="eastAsia"/>
                <w:snapToGrid/>
                <w:spacing w:val="-20"/>
                <w:w w:val="85"/>
              </w:rPr>
              <w:t>生</w:t>
            </w:r>
          </w:p>
          <w:p w:rsidR="005245B7" w:rsidRPr="00C27DAE" w:rsidRDefault="005245B7" w:rsidP="005245B7">
            <w:pPr>
              <w:pStyle w:val="142"/>
              <w:jc w:val="center"/>
              <w:rPr>
                <w:snapToGrid/>
                <w:spacing w:val="-20"/>
                <w:w w:val="85"/>
              </w:rPr>
            </w:pPr>
            <w:r w:rsidRPr="00C27DAE">
              <w:rPr>
                <w:rFonts w:hint="eastAsia"/>
                <w:snapToGrid/>
                <w:spacing w:val="-20"/>
                <w:w w:val="85"/>
              </w:rPr>
              <w:t>能</w:t>
            </w:r>
          </w:p>
          <w:p w:rsidR="005245B7" w:rsidRPr="00C27DAE" w:rsidRDefault="005245B7" w:rsidP="005245B7">
            <w:pPr>
              <w:pStyle w:val="142"/>
              <w:jc w:val="center"/>
              <w:rPr>
                <w:rFonts w:hint="eastAsia"/>
                <w:snapToGrid/>
                <w:spacing w:val="-20"/>
                <w:w w:val="85"/>
              </w:rPr>
            </w:pPr>
            <w:r w:rsidRPr="00C27DAE">
              <w:rPr>
                <w:rFonts w:hint="eastAsia"/>
                <w:snapToGrid/>
                <w:spacing w:val="-20"/>
                <w:w w:val="85"/>
              </w:rPr>
              <w:t>源</w:t>
            </w:r>
          </w:p>
        </w:tc>
        <w:tc>
          <w:tcPr>
            <w:tcW w:w="1008" w:type="dxa"/>
            <w:gridSpan w:val="2"/>
            <w:tcBorders>
              <w:top w:val="single" w:sz="4" w:space="0" w:color="auto"/>
              <w:left w:val="nil"/>
              <w:bottom w:val="single" w:sz="4" w:space="0" w:color="auto"/>
              <w:right w:val="double" w:sz="4" w:space="0" w:color="auto"/>
            </w:tcBorders>
            <w:shd w:val="clear" w:color="auto" w:fill="auto"/>
            <w:noWrap/>
            <w:vAlign w:val="center"/>
            <w:hideMark/>
          </w:tcPr>
          <w:p w:rsidR="005245B7" w:rsidRPr="00C27DAE" w:rsidRDefault="005245B7" w:rsidP="005245B7">
            <w:pPr>
              <w:pStyle w:val="142"/>
              <w:jc w:val="center"/>
              <w:rPr>
                <w:rFonts w:hint="eastAsia"/>
                <w:snapToGrid/>
                <w:spacing w:val="-20"/>
                <w:w w:val="85"/>
              </w:rPr>
            </w:pPr>
            <w:r w:rsidRPr="00C27DAE">
              <w:rPr>
                <w:rFonts w:hint="eastAsia"/>
                <w:snapToGrid/>
                <w:spacing w:val="-20"/>
                <w:w w:val="85"/>
              </w:rPr>
              <w:t>太陽光電</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6,075</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2.2</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7,970</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2.7</w:t>
            </w:r>
          </w:p>
        </w:tc>
        <w:tc>
          <w:tcPr>
            <w:tcW w:w="740"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10,675</w:t>
            </w:r>
          </w:p>
        </w:tc>
        <w:tc>
          <w:tcPr>
            <w:tcW w:w="474"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3.7</w:t>
            </w:r>
          </w:p>
        </w:tc>
        <w:tc>
          <w:tcPr>
            <w:tcW w:w="713"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12,910</w:t>
            </w:r>
          </w:p>
        </w:tc>
        <w:tc>
          <w:tcPr>
            <w:tcW w:w="517"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4.6</w:t>
            </w:r>
          </w:p>
        </w:tc>
        <w:tc>
          <w:tcPr>
            <w:tcW w:w="726"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15,296</w:t>
            </w:r>
          </w:p>
        </w:tc>
        <w:tc>
          <w:tcPr>
            <w:tcW w:w="476" w:type="dxa"/>
            <w:tcBorders>
              <w:top w:val="nil"/>
              <w:left w:val="nil"/>
              <w:bottom w:val="single" w:sz="4" w:space="0" w:color="auto"/>
              <w:right w:val="doub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5.3</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4,110</w:t>
            </w:r>
          </w:p>
        </w:tc>
        <w:tc>
          <w:tcPr>
            <w:tcW w:w="627" w:type="dxa"/>
            <w:tcBorders>
              <w:top w:val="nil"/>
              <w:left w:val="nil"/>
              <w:bottom w:val="single" w:sz="4" w:space="0" w:color="auto"/>
              <w:right w:val="single" w:sz="12"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4.8</w:t>
            </w:r>
          </w:p>
        </w:tc>
      </w:tr>
      <w:tr w:rsidR="005245B7" w:rsidRPr="00C27DAE" w:rsidTr="00461CF1">
        <w:tc>
          <w:tcPr>
            <w:tcW w:w="292" w:type="dxa"/>
            <w:vMerge/>
            <w:tcBorders>
              <w:left w:val="single" w:sz="12" w:space="0" w:color="auto"/>
              <w:right w:val="single" w:sz="4" w:space="0" w:color="auto"/>
            </w:tcBorders>
            <w:shd w:val="clear" w:color="auto" w:fill="auto"/>
            <w:vAlign w:val="center"/>
            <w:hideMark/>
          </w:tcPr>
          <w:p w:rsidR="005245B7" w:rsidRPr="00C27DAE" w:rsidRDefault="005245B7" w:rsidP="00C27DAE">
            <w:pPr>
              <w:pStyle w:val="142"/>
              <w:rPr>
                <w:rFonts w:hint="eastAsia"/>
                <w:snapToGrid/>
                <w:spacing w:val="-20"/>
                <w:w w:val="85"/>
              </w:rPr>
            </w:pPr>
          </w:p>
        </w:tc>
        <w:tc>
          <w:tcPr>
            <w:tcW w:w="42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5245B7">
            <w:pPr>
              <w:pStyle w:val="142"/>
              <w:jc w:val="center"/>
              <w:rPr>
                <w:rFonts w:hint="eastAsia"/>
                <w:snapToGrid/>
                <w:spacing w:val="-20"/>
                <w:w w:val="85"/>
              </w:rPr>
            </w:pPr>
            <w:r w:rsidRPr="00C27DAE">
              <w:rPr>
                <w:rFonts w:hint="eastAsia"/>
                <w:snapToGrid/>
                <w:spacing w:val="-20"/>
                <w:w w:val="85"/>
              </w:rPr>
              <w:t>風力</w:t>
            </w:r>
          </w:p>
        </w:tc>
        <w:tc>
          <w:tcPr>
            <w:tcW w:w="586" w:type="dxa"/>
            <w:tcBorders>
              <w:top w:val="nil"/>
              <w:left w:val="nil"/>
              <w:bottom w:val="single" w:sz="4" w:space="0" w:color="auto"/>
              <w:right w:val="double" w:sz="4" w:space="0" w:color="auto"/>
            </w:tcBorders>
            <w:shd w:val="clear" w:color="auto" w:fill="auto"/>
            <w:vAlign w:val="center"/>
            <w:hideMark/>
          </w:tcPr>
          <w:p w:rsidR="005245B7" w:rsidRPr="00C27DAE" w:rsidRDefault="005245B7" w:rsidP="005245B7">
            <w:pPr>
              <w:pStyle w:val="142"/>
              <w:jc w:val="center"/>
              <w:rPr>
                <w:rFonts w:hint="eastAsia"/>
                <w:snapToGrid/>
                <w:spacing w:val="-20"/>
                <w:w w:val="85"/>
              </w:rPr>
            </w:pPr>
            <w:r w:rsidRPr="00C27DAE">
              <w:rPr>
                <w:rFonts w:hint="eastAsia"/>
                <w:snapToGrid/>
                <w:spacing w:val="-20"/>
                <w:w w:val="85"/>
              </w:rPr>
              <w:t>陸域</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1,793</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0.6</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1,701</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0.6</w:t>
            </w:r>
          </w:p>
        </w:tc>
        <w:tc>
          <w:tcPr>
            <w:tcW w:w="740"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2,083</w:t>
            </w:r>
          </w:p>
        </w:tc>
        <w:tc>
          <w:tcPr>
            <w:tcW w:w="474"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0.7</w:t>
            </w:r>
          </w:p>
        </w:tc>
        <w:tc>
          <w:tcPr>
            <w:tcW w:w="713"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1,741</w:t>
            </w:r>
          </w:p>
        </w:tc>
        <w:tc>
          <w:tcPr>
            <w:tcW w:w="517"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0.6</w:t>
            </w:r>
          </w:p>
        </w:tc>
        <w:tc>
          <w:tcPr>
            <w:tcW w:w="726"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1,898</w:t>
            </w:r>
          </w:p>
        </w:tc>
        <w:tc>
          <w:tcPr>
            <w:tcW w:w="476" w:type="dxa"/>
            <w:tcBorders>
              <w:top w:val="nil"/>
              <w:left w:val="nil"/>
              <w:bottom w:val="single" w:sz="4" w:space="0" w:color="auto"/>
              <w:right w:val="doub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0.7</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841</w:t>
            </w:r>
          </w:p>
        </w:tc>
        <w:tc>
          <w:tcPr>
            <w:tcW w:w="627" w:type="dxa"/>
            <w:tcBorders>
              <w:top w:val="nil"/>
              <w:left w:val="nil"/>
              <w:bottom w:val="single" w:sz="4" w:space="0" w:color="auto"/>
              <w:right w:val="single" w:sz="12"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1.0</w:t>
            </w:r>
          </w:p>
        </w:tc>
      </w:tr>
      <w:tr w:rsidR="005245B7" w:rsidRPr="00C27DAE" w:rsidTr="00461CF1">
        <w:tc>
          <w:tcPr>
            <w:tcW w:w="292" w:type="dxa"/>
            <w:vMerge/>
            <w:tcBorders>
              <w:left w:val="single" w:sz="12" w:space="0" w:color="auto"/>
              <w:right w:val="single" w:sz="4" w:space="0" w:color="auto"/>
            </w:tcBorders>
            <w:shd w:val="clear" w:color="auto" w:fill="auto"/>
            <w:vAlign w:val="center"/>
            <w:hideMark/>
          </w:tcPr>
          <w:p w:rsidR="005245B7" w:rsidRPr="00C27DAE" w:rsidRDefault="005245B7" w:rsidP="00C27DAE">
            <w:pPr>
              <w:pStyle w:val="142"/>
              <w:rPr>
                <w:rFonts w:hint="eastAsia"/>
                <w:snapToGrid/>
                <w:spacing w:val="-20"/>
                <w:w w:val="85"/>
              </w:rPr>
            </w:pPr>
          </w:p>
        </w:tc>
        <w:tc>
          <w:tcPr>
            <w:tcW w:w="422" w:type="dxa"/>
            <w:vMerge/>
            <w:tcBorders>
              <w:top w:val="nil"/>
              <w:left w:val="single" w:sz="4" w:space="0" w:color="auto"/>
              <w:bottom w:val="single" w:sz="4" w:space="0" w:color="auto"/>
              <w:right w:val="single" w:sz="4" w:space="0" w:color="auto"/>
            </w:tcBorders>
            <w:vAlign w:val="center"/>
            <w:hideMark/>
          </w:tcPr>
          <w:p w:rsidR="005245B7" w:rsidRPr="00C27DAE" w:rsidRDefault="005245B7" w:rsidP="00C27DAE">
            <w:pPr>
              <w:pStyle w:val="142"/>
              <w:rPr>
                <w:snapToGrid/>
                <w:spacing w:val="-20"/>
                <w:w w:val="85"/>
              </w:rPr>
            </w:pPr>
          </w:p>
        </w:tc>
        <w:tc>
          <w:tcPr>
            <w:tcW w:w="586" w:type="dxa"/>
            <w:tcBorders>
              <w:top w:val="nil"/>
              <w:left w:val="nil"/>
              <w:bottom w:val="single" w:sz="4" w:space="0" w:color="auto"/>
              <w:right w:val="double" w:sz="4" w:space="0" w:color="auto"/>
            </w:tcBorders>
            <w:shd w:val="clear" w:color="auto" w:fill="auto"/>
            <w:vAlign w:val="center"/>
            <w:hideMark/>
          </w:tcPr>
          <w:p w:rsidR="005245B7" w:rsidRPr="00C27DAE" w:rsidRDefault="005245B7" w:rsidP="005245B7">
            <w:pPr>
              <w:pStyle w:val="142"/>
              <w:jc w:val="center"/>
              <w:rPr>
                <w:rFonts w:hint="eastAsia"/>
                <w:snapToGrid/>
                <w:spacing w:val="-20"/>
                <w:w w:val="85"/>
              </w:rPr>
            </w:pPr>
            <w:r w:rsidRPr="00C27DAE">
              <w:rPr>
                <w:rFonts w:hint="eastAsia"/>
                <w:snapToGrid/>
                <w:spacing w:val="-20"/>
                <w:w w:val="85"/>
              </w:rPr>
              <w:t>離岸</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516</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0.2</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569</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0.2</w:t>
            </w:r>
          </w:p>
        </w:tc>
        <w:tc>
          <w:tcPr>
            <w:tcW w:w="740"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1,495</w:t>
            </w:r>
          </w:p>
        </w:tc>
        <w:tc>
          <w:tcPr>
            <w:tcW w:w="474"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0.5</w:t>
            </w:r>
          </w:p>
        </w:tc>
        <w:tc>
          <w:tcPr>
            <w:tcW w:w="713"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4,497</w:t>
            </w:r>
          </w:p>
        </w:tc>
        <w:tc>
          <w:tcPr>
            <w:tcW w:w="517"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1.6</w:t>
            </w:r>
          </w:p>
        </w:tc>
        <w:tc>
          <w:tcPr>
            <w:tcW w:w="726"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8,611</w:t>
            </w:r>
          </w:p>
        </w:tc>
        <w:tc>
          <w:tcPr>
            <w:tcW w:w="476" w:type="dxa"/>
            <w:tcBorders>
              <w:top w:val="nil"/>
              <w:left w:val="nil"/>
              <w:bottom w:val="single" w:sz="4" w:space="0" w:color="auto"/>
              <w:right w:val="doub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3.0</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4,331</w:t>
            </w:r>
          </w:p>
        </w:tc>
        <w:tc>
          <w:tcPr>
            <w:tcW w:w="627" w:type="dxa"/>
            <w:tcBorders>
              <w:top w:val="nil"/>
              <w:left w:val="nil"/>
              <w:bottom w:val="single" w:sz="4" w:space="0" w:color="auto"/>
              <w:right w:val="single" w:sz="12"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5.1</w:t>
            </w:r>
          </w:p>
        </w:tc>
      </w:tr>
      <w:tr w:rsidR="005245B7" w:rsidRPr="00C27DAE" w:rsidTr="00461CF1">
        <w:tc>
          <w:tcPr>
            <w:tcW w:w="292" w:type="dxa"/>
            <w:vMerge/>
            <w:tcBorders>
              <w:left w:val="single" w:sz="12" w:space="0" w:color="auto"/>
              <w:right w:val="single" w:sz="4" w:space="0" w:color="auto"/>
            </w:tcBorders>
            <w:shd w:val="clear" w:color="auto" w:fill="auto"/>
            <w:vAlign w:val="center"/>
            <w:hideMark/>
          </w:tcPr>
          <w:p w:rsidR="005245B7" w:rsidRPr="00C27DAE" w:rsidRDefault="005245B7" w:rsidP="00C27DAE">
            <w:pPr>
              <w:pStyle w:val="142"/>
              <w:rPr>
                <w:rFonts w:hint="eastAsia"/>
                <w:snapToGrid/>
                <w:spacing w:val="-20"/>
                <w:w w:val="85"/>
              </w:rPr>
            </w:pPr>
          </w:p>
        </w:tc>
        <w:tc>
          <w:tcPr>
            <w:tcW w:w="422" w:type="dxa"/>
            <w:vMerge/>
            <w:tcBorders>
              <w:top w:val="nil"/>
              <w:left w:val="single" w:sz="4" w:space="0" w:color="auto"/>
              <w:bottom w:val="single" w:sz="4" w:space="0" w:color="auto"/>
              <w:right w:val="single" w:sz="4" w:space="0" w:color="auto"/>
            </w:tcBorders>
            <w:vAlign w:val="center"/>
            <w:hideMark/>
          </w:tcPr>
          <w:p w:rsidR="005245B7" w:rsidRPr="00C27DAE" w:rsidRDefault="005245B7" w:rsidP="00C27DAE">
            <w:pPr>
              <w:pStyle w:val="142"/>
              <w:rPr>
                <w:snapToGrid/>
                <w:spacing w:val="-20"/>
                <w:w w:val="85"/>
              </w:rPr>
            </w:pPr>
          </w:p>
        </w:tc>
        <w:tc>
          <w:tcPr>
            <w:tcW w:w="586" w:type="dxa"/>
            <w:tcBorders>
              <w:top w:val="nil"/>
              <w:left w:val="nil"/>
              <w:bottom w:val="single" w:sz="4" w:space="0" w:color="auto"/>
              <w:right w:val="double" w:sz="4" w:space="0" w:color="auto"/>
            </w:tcBorders>
            <w:shd w:val="clear" w:color="auto" w:fill="auto"/>
            <w:vAlign w:val="center"/>
            <w:hideMark/>
          </w:tcPr>
          <w:p w:rsidR="005245B7" w:rsidRPr="00C27DAE" w:rsidRDefault="005245B7" w:rsidP="005245B7">
            <w:pPr>
              <w:pStyle w:val="142"/>
              <w:jc w:val="center"/>
              <w:rPr>
                <w:rFonts w:hint="eastAsia"/>
                <w:b/>
                <w:bCs/>
                <w:snapToGrid/>
                <w:spacing w:val="-20"/>
                <w:w w:val="85"/>
              </w:rPr>
            </w:pPr>
            <w:r w:rsidRPr="00C27DAE">
              <w:rPr>
                <w:rFonts w:hint="eastAsia"/>
                <w:b/>
                <w:bCs/>
                <w:snapToGrid/>
                <w:spacing w:val="-20"/>
                <w:w w:val="85"/>
              </w:rPr>
              <w:t>小計</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487F01" w:rsidRDefault="005245B7" w:rsidP="00C27DAE">
            <w:pPr>
              <w:pStyle w:val="142"/>
              <w:jc w:val="right"/>
              <w:rPr>
                <w:rFonts w:hint="eastAsia"/>
                <w:b/>
                <w:bCs/>
                <w:snapToGrid/>
                <w:color w:val="000000"/>
                <w:spacing w:val="-20"/>
                <w:w w:val="85"/>
              </w:rPr>
            </w:pPr>
            <w:r w:rsidRPr="00487F01">
              <w:rPr>
                <w:rFonts w:hint="eastAsia"/>
                <w:b/>
                <w:bCs/>
                <w:snapToGrid/>
                <w:color w:val="000000"/>
                <w:spacing w:val="-20"/>
                <w:w w:val="85"/>
              </w:rPr>
              <w:t>2,309</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487F01" w:rsidRDefault="005245B7" w:rsidP="00C27DAE">
            <w:pPr>
              <w:pStyle w:val="142"/>
              <w:jc w:val="right"/>
              <w:rPr>
                <w:rFonts w:hint="eastAsia"/>
                <w:b/>
                <w:snapToGrid/>
                <w:color w:val="000000"/>
                <w:spacing w:val="-20"/>
                <w:w w:val="85"/>
              </w:rPr>
            </w:pPr>
            <w:r w:rsidRPr="00487F01">
              <w:rPr>
                <w:rFonts w:hint="eastAsia"/>
                <w:b/>
                <w:snapToGrid/>
                <w:color w:val="000000"/>
                <w:spacing w:val="-20"/>
                <w:w w:val="85"/>
              </w:rPr>
              <w:t>0.8</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487F01" w:rsidRDefault="005245B7" w:rsidP="00C27DAE">
            <w:pPr>
              <w:pStyle w:val="142"/>
              <w:jc w:val="right"/>
              <w:rPr>
                <w:rFonts w:hint="eastAsia"/>
                <w:b/>
                <w:bCs/>
                <w:snapToGrid/>
                <w:color w:val="000000"/>
                <w:spacing w:val="-20"/>
                <w:w w:val="85"/>
              </w:rPr>
            </w:pPr>
            <w:r w:rsidRPr="00487F01">
              <w:rPr>
                <w:rFonts w:hint="eastAsia"/>
                <w:b/>
                <w:bCs/>
                <w:snapToGrid/>
                <w:color w:val="000000"/>
                <w:spacing w:val="-20"/>
                <w:w w:val="85"/>
              </w:rPr>
              <w:t>2,270</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487F01" w:rsidRDefault="005245B7" w:rsidP="00C27DAE">
            <w:pPr>
              <w:pStyle w:val="142"/>
              <w:jc w:val="right"/>
              <w:rPr>
                <w:rFonts w:hint="eastAsia"/>
                <w:b/>
                <w:snapToGrid/>
                <w:color w:val="000000"/>
                <w:spacing w:val="-20"/>
                <w:w w:val="85"/>
              </w:rPr>
            </w:pPr>
            <w:r w:rsidRPr="00487F01">
              <w:rPr>
                <w:rFonts w:hint="eastAsia"/>
                <w:b/>
                <w:snapToGrid/>
                <w:color w:val="000000"/>
                <w:spacing w:val="-20"/>
                <w:w w:val="85"/>
              </w:rPr>
              <w:t>0.8</w:t>
            </w:r>
          </w:p>
        </w:tc>
        <w:tc>
          <w:tcPr>
            <w:tcW w:w="740" w:type="dxa"/>
            <w:tcBorders>
              <w:top w:val="nil"/>
              <w:left w:val="nil"/>
              <w:bottom w:val="single" w:sz="4" w:space="0" w:color="auto"/>
              <w:right w:val="single" w:sz="4" w:space="0" w:color="auto"/>
            </w:tcBorders>
            <w:shd w:val="clear" w:color="auto" w:fill="auto"/>
            <w:vAlign w:val="center"/>
            <w:hideMark/>
          </w:tcPr>
          <w:p w:rsidR="005245B7" w:rsidRPr="00487F01" w:rsidRDefault="005245B7" w:rsidP="00C27DAE">
            <w:pPr>
              <w:pStyle w:val="142"/>
              <w:jc w:val="right"/>
              <w:rPr>
                <w:rFonts w:hint="eastAsia"/>
                <w:b/>
                <w:bCs/>
                <w:snapToGrid/>
                <w:color w:val="000000"/>
                <w:spacing w:val="-20"/>
                <w:w w:val="85"/>
              </w:rPr>
            </w:pPr>
            <w:r w:rsidRPr="00487F01">
              <w:rPr>
                <w:rFonts w:hint="eastAsia"/>
                <w:b/>
                <w:bCs/>
                <w:snapToGrid/>
                <w:color w:val="000000"/>
                <w:spacing w:val="-20"/>
                <w:w w:val="85"/>
              </w:rPr>
              <w:t>3,578</w:t>
            </w:r>
          </w:p>
        </w:tc>
        <w:tc>
          <w:tcPr>
            <w:tcW w:w="474" w:type="dxa"/>
            <w:tcBorders>
              <w:top w:val="nil"/>
              <w:left w:val="nil"/>
              <w:bottom w:val="single" w:sz="4" w:space="0" w:color="auto"/>
              <w:right w:val="single" w:sz="4" w:space="0" w:color="auto"/>
            </w:tcBorders>
            <w:shd w:val="clear" w:color="auto" w:fill="auto"/>
            <w:vAlign w:val="center"/>
            <w:hideMark/>
          </w:tcPr>
          <w:p w:rsidR="005245B7" w:rsidRPr="00487F01" w:rsidRDefault="005245B7" w:rsidP="00C27DAE">
            <w:pPr>
              <w:pStyle w:val="142"/>
              <w:jc w:val="right"/>
              <w:rPr>
                <w:rFonts w:hint="eastAsia"/>
                <w:b/>
                <w:snapToGrid/>
                <w:color w:val="000000"/>
                <w:spacing w:val="-20"/>
                <w:w w:val="85"/>
              </w:rPr>
            </w:pPr>
            <w:r w:rsidRPr="00487F01">
              <w:rPr>
                <w:rFonts w:hint="eastAsia"/>
                <w:b/>
                <w:snapToGrid/>
                <w:color w:val="000000"/>
                <w:spacing w:val="-20"/>
                <w:w w:val="85"/>
              </w:rPr>
              <w:t>1.2</w:t>
            </w:r>
          </w:p>
        </w:tc>
        <w:tc>
          <w:tcPr>
            <w:tcW w:w="713" w:type="dxa"/>
            <w:tcBorders>
              <w:top w:val="nil"/>
              <w:left w:val="nil"/>
              <w:bottom w:val="single" w:sz="4" w:space="0" w:color="auto"/>
              <w:right w:val="single" w:sz="4" w:space="0" w:color="auto"/>
            </w:tcBorders>
            <w:shd w:val="clear" w:color="auto" w:fill="auto"/>
            <w:vAlign w:val="center"/>
            <w:hideMark/>
          </w:tcPr>
          <w:p w:rsidR="005245B7" w:rsidRPr="00487F01" w:rsidRDefault="005245B7" w:rsidP="00C27DAE">
            <w:pPr>
              <w:pStyle w:val="142"/>
              <w:jc w:val="right"/>
              <w:rPr>
                <w:rFonts w:hint="eastAsia"/>
                <w:b/>
                <w:bCs/>
                <w:snapToGrid/>
                <w:color w:val="000000"/>
                <w:spacing w:val="-20"/>
                <w:w w:val="85"/>
              </w:rPr>
            </w:pPr>
            <w:r w:rsidRPr="00487F01">
              <w:rPr>
                <w:rFonts w:hint="eastAsia"/>
                <w:b/>
                <w:bCs/>
                <w:snapToGrid/>
                <w:color w:val="000000"/>
                <w:spacing w:val="-20"/>
                <w:w w:val="85"/>
              </w:rPr>
              <w:t>6,238</w:t>
            </w:r>
          </w:p>
        </w:tc>
        <w:tc>
          <w:tcPr>
            <w:tcW w:w="517" w:type="dxa"/>
            <w:tcBorders>
              <w:top w:val="nil"/>
              <w:left w:val="nil"/>
              <w:bottom w:val="single" w:sz="4" w:space="0" w:color="auto"/>
              <w:right w:val="single" w:sz="4" w:space="0" w:color="auto"/>
            </w:tcBorders>
            <w:shd w:val="clear" w:color="auto" w:fill="auto"/>
            <w:noWrap/>
            <w:vAlign w:val="center"/>
            <w:hideMark/>
          </w:tcPr>
          <w:p w:rsidR="005245B7" w:rsidRPr="00487F01" w:rsidRDefault="005245B7" w:rsidP="00C27DAE">
            <w:pPr>
              <w:pStyle w:val="142"/>
              <w:jc w:val="right"/>
              <w:rPr>
                <w:rFonts w:hint="eastAsia"/>
                <w:b/>
                <w:snapToGrid/>
                <w:color w:val="000000"/>
                <w:spacing w:val="-20"/>
                <w:w w:val="85"/>
              </w:rPr>
            </w:pPr>
            <w:r w:rsidRPr="00487F01">
              <w:rPr>
                <w:rFonts w:hint="eastAsia"/>
                <w:b/>
                <w:snapToGrid/>
                <w:color w:val="000000"/>
                <w:spacing w:val="-20"/>
                <w:w w:val="85"/>
              </w:rPr>
              <w:t>2.2</w:t>
            </w:r>
          </w:p>
        </w:tc>
        <w:tc>
          <w:tcPr>
            <w:tcW w:w="726" w:type="dxa"/>
            <w:tcBorders>
              <w:top w:val="nil"/>
              <w:left w:val="nil"/>
              <w:bottom w:val="single" w:sz="4" w:space="0" w:color="auto"/>
              <w:right w:val="single" w:sz="4" w:space="0" w:color="auto"/>
            </w:tcBorders>
            <w:shd w:val="clear" w:color="auto" w:fill="auto"/>
            <w:vAlign w:val="center"/>
            <w:hideMark/>
          </w:tcPr>
          <w:p w:rsidR="005245B7" w:rsidRPr="00487F01" w:rsidRDefault="005245B7" w:rsidP="00C27DAE">
            <w:pPr>
              <w:pStyle w:val="142"/>
              <w:jc w:val="right"/>
              <w:rPr>
                <w:rFonts w:hint="eastAsia"/>
                <w:b/>
                <w:bCs/>
                <w:snapToGrid/>
                <w:color w:val="000000"/>
                <w:spacing w:val="-20"/>
                <w:w w:val="85"/>
              </w:rPr>
            </w:pPr>
            <w:r w:rsidRPr="00487F01">
              <w:rPr>
                <w:rFonts w:hint="eastAsia"/>
                <w:b/>
                <w:bCs/>
                <w:snapToGrid/>
                <w:color w:val="000000"/>
                <w:spacing w:val="-20"/>
                <w:w w:val="85"/>
              </w:rPr>
              <w:t>10,509</w:t>
            </w:r>
          </w:p>
        </w:tc>
        <w:tc>
          <w:tcPr>
            <w:tcW w:w="476" w:type="dxa"/>
            <w:tcBorders>
              <w:top w:val="nil"/>
              <w:left w:val="nil"/>
              <w:bottom w:val="single" w:sz="4" w:space="0" w:color="auto"/>
              <w:right w:val="double" w:sz="4" w:space="0" w:color="auto"/>
            </w:tcBorders>
            <w:shd w:val="clear" w:color="auto" w:fill="auto"/>
            <w:noWrap/>
            <w:vAlign w:val="center"/>
            <w:hideMark/>
          </w:tcPr>
          <w:p w:rsidR="005245B7" w:rsidRPr="00487F01" w:rsidRDefault="005245B7" w:rsidP="00C27DAE">
            <w:pPr>
              <w:pStyle w:val="142"/>
              <w:jc w:val="right"/>
              <w:rPr>
                <w:rFonts w:hint="eastAsia"/>
                <w:b/>
                <w:snapToGrid/>
                <w:color w:val="000000"/>
                <w:spacing w:val="-20"/>
                <w:w w:val="85"/>
              </w:rPr>
            </w:pPr>
            <w:r w:rsidRPr="00487F01">
              <w:rPr>
                <w:rFonts w:hint="eastAsia"/>
                <w:b/>
                <w:snapToGrid/>
                <w:color w:val="000000"/>
                <w:spacing w:val="-20"/>
                <w:w w:val="85"/>
              </w:rPr>
              <w:t>3.6</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487F01" w:rsidRDefault="005245B7" w:rsidP="00C27DAE">
            <w:pPr>
              <w:pStyle w:val="142"/>
              <w:jc w:val="right"/>
              <w:rPr>
                <w:rFonts w:hint="eastAsia"/>
                <w:b/>
                <w:bCs/>
                <w:snapToGrid/>
                <w:color w:val="000000"/>
                <w:spacing w:val="-20"/>
                <w:w w:val="85"/>
              </w:rPr>
            </w:pPr>
            <w:r w:rsidRPr="00487F01">
              <w:rPr>
                <w:rFonts w:hint="eastAsia"/>
                <w:b/>
                <w:bCs/>
                <w:snapToGrid/>
                <w:color w:val="000000"/>
                <w:spacing w:val="-20"/>
                <w:w w:val="85"/>
              </w:rPr>
              <w:t>5,172</w:t>
            </w:r>
          </w:p>
        </w:tc>
        <w:tc>
          <w:tcPr>
            <w:tcW w:w="627" w:type="dxa"/>
            <w:tcBorders>
              <w:top w:val="nil"/>
              <w:left w:val="nil"/>
              <w:bottom w:val="single" w:sz="4" w:space="0" w:color="auto"/>
              <w:right w:val="single" w:sz="12" w:space="0" w:color="auto"/>
            </w:tcBorders>
            <w:shd w:val="clear" w:color="auto" w:fill="auto"/>
            <w:vAlign w:val="center"/>
            <w:hideMark/>
          </w:tcPr>
          <w:p w:rsidR="005245B7" w:rsidRPr="00487F01" w:rsidRDefault="005245B7" w:rsidP="00C27DAE">
            <w:pPr>
              <w:pStyle w:val="142"/>
              <w:jc w:val="right"/>
              <w:rPr>
                <w:rFonts w:hint="eastAsia"/>
                <w:b/>
                <w:snapToGrid/>
                <w:color w:val="000000"/>
                <w:spacing w:val="-20"/>
                <w:w w:val="85"/>
              </w:rPr>
            </w:pPr>
            <w:r w:rsidRPr="00487F01">
              <w:rPr>
                <w:rFonts w:hint="eastAsia"/>
                <w:b/>
                <w:snapToGrid/>
                <w:color w:val="000000"/>
                <w:spacing w:val="-20"/>
                <w:w w:val="85"/>
              </w:rPr>
              <w:t>6.0</w:t>
            </w:r>
          </w:p>
        </w:tc>
      </w:tr>
      <w:tr w:rsidR="005245B7" w:rsidRPr="00C27DAE" w:rsidTr="00461CF1">
        <w:tc>
          <w:tcPr>
            <w:tcW w:w="292" w:type="dxa"/>
            <w:vMerge/>
            <w:tcBorders>
              <w:left w:val="single" w:sz="12" w:space="0" w:color="auto"/>
              <w:right w:val="single" w:sz="4" w:space="0" w:color="auto"/>
            </w:tcBorders>
            <w:shd w:val="clear" w:color="auto" w:fill="auto"/>
            <w:vAlign w:val="center"/>
            <w:hideMark/>
          </w:tcPr>
          <w:p w:rsidR="005245B7" w:rsidRPr="00C27DAE" w:rsidRDefault="005245B7" w:rsidP="00C27DAE">
            <w:pPr>
              <w:pStyle w:val="142"/>
              <w:rPr>
                <w:rFonts w:ascii="新細明體" w:eastAsia="新細明體" w:hAnsi="新細明體" w:hint="eastAsia"/>
                <w:snapToGrid/>
                <w:spacing w:val="-20"/>
                <w:w w:val="85"/>
              </w:rPr>
            </w:pPr>
          </w:p>
        </w:tc>
        <w:tc>
          <w:tcPr>
            <w:tcW w:w="1008" w:type="dxa"/>
            <w:gridSpan w:val="2"/>
            <w:tcBorders>
              <w:top w:val="single" w:sz="4" w:space="0" w:color="auto"/>
              <w:left w:val="nil"/>
              <w:bottom w:val="single" w:sz="4" w:space="0" w:color="auto"/>
              <w:right w:val="double" w:sz="4" w:space="0" w:color="auto"/>
            </w:tcBorders>
            <w:shd w:val="clear" w:color="auto" w:fill="auto"/>
            <w:noWrap/>
            <w:vAlign w:val="center"/>
            <w:hideMark/>
          </w:tcPr>
          <w:p w:rsidR="005245B7" w:rsidRPr="00C27DAE" w:rsidRDefault="005245B7" w:rsidP="005245B7">
            <w:pPr>
              <w:pStyle w:val="142"/>
              <w:jc w:val="center"/>
              <w:rPr>
                <w:rFonts w:hint="eastAsia"/>
                <w:snapToGrid/>
                <w:spacing w:val="-20"/>
                <w:w w:val="85"/>
              </w:rPr>
            </w:pPr>
            <w:r w:rsidRPr="00C27DAE">
              <w:rPr>
                <w:rFonts w:hint="eastAsia"/>
                <w:snapToGrid/>
                <w:spacing w:val="-20"/>
                <w:w w:val="85"/>
              </w:rPr>
              <w:t>地熱能</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0.0</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9</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0.0</w:t>
            </w:r>
          </w:p>
        </w:tc>
        <w:tc>
          <w:tcPr>
            <w:tcW w:w="740"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25</w:t>
            </w:r>
          </w:p>
        </w:tc>
        <w:tc>
          <w:tcPr>
            <w:tcW w:w="474"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0.0</w:t>
            </w:r>
          </w:p>
        </w:tc>
        <w:tc>
          <w:tcPr>
            <w:tcW w:w="713"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23</w:t>
            </w:r>
          </w:p>
        </w:tc>
        <w:tc>
          <w:tcPr>
            <w:tcW w:w="517"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0.0</w:t>
            </w:r>
          </w:p>
        </w:tc>
        <w:tc>
          <w:tcPr>
            <w:tcW w:w="726"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27</w:t>
            </w:r>
          </w:p>
        </w:tc>
        <w:tc>
          <w:tcPr>
            <w:tcW w:w="476" w:type="dxa"/>
            <w:tcBorders>
              <w:top w:val="nil"/>
              <w:left w:val="nil"/>
              <w:bottom w:val="single" w:sz="4" w:space="0" w:color="auto"/>
              <w:right w:val="doub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0.0</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10</w:t>
            </w:r>
          </w:p>
        </w:tc>
        <w:tc>
          <w:tcPr>
            <w:tcW w:w="627" w:type="dxa"/>
            <w:tcBorders>
              <w:top w:val="nil"/>
              <w:left w:val="nil"/>
              <w:bottom w:val="single" w:sz="4" w:space="0" w:color="auto"/>
              <w:right w:val="single" w:sz="12"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0.0</w:t>
            </w:r>
          </w:p>
        </w:tc>
      </w:tr>
      <w:tr w:rsidR="005245B7" w:rsidRPr="00C27DAE" w:rsidTr="00461CF1">
        <w:tc>
          <w:tcPr>
            <w:tcW w:w="292" w:type="dxa"/>
            <w:vMerge/>
            <w:tcBorders>
              <w:left w:val="single" w:sz="12" w:space="0" w:color="auto"/>
              <w:right w:val="single" w:sz="4" w:space="0" w:color="auto"/>
            </w:tcBorders>
            <w:shd w:val="clear" w:color="auto" w:fill="auto"/>
            <w:vAlign w:val="center"/>
            <w:hideMark/>
          </w:tcPr>
          <w:p w:rsidR="005245B7" w:rsidRPr="00C27DAE" w:rsidRDefault="005245B7" w:rsidP="00C27DAE">
            <w:pPr>
              <w:pStyle w:val="142"/>
              <w:rPr>
                <w:rFonts w:ascii="新細明體" w:eastAsia="新細明體" w:hAnsi="新細明體" w:hint="eastAsia"/>
                <w:snapToGrid/>
                <w:spacing w:val="-20"/>
                <w:w w:val="85"/>
              </w:rPr>
            </w:pPr>
          </w:p>
        </w:tc>
        <w:tc>
          <w:tcPr>
            <w:tcW w:w="1008" w:type="dxa"/>
            <w:gridSpan w:val="2"/>
            <w:tcBorders>
              <w:top w:val="single" w:sz="4" w:space="0" w:color="auto"/>
              <w:left w:val="nil"/>
              <w:bottom w:val="single" w:sz="4" w:space="0" w:color="auto"/>
              <w:right w:val="double" w:sz="4" w:space="0" w:color="auto"/>
            </w:tcBorders>
            <w:shd w:val="clear" w:color="auto" w:fill="auto"/>
            <w:noWrap/>
            <w:vAlign w:val="center"/>
            <w:hideMark/>
          </w:tcPr>
          <w:p w:rsidR="005245B7" w:rsidRDefault="005245B7" w:rsidP="005245B7">
            <w:pPr>
              <w:pStyle w:val="142"/>
              <w:jc w:val="center"/>
              <w:rPr>
                <w:snapToGrid/>
                <w:spacing w:val="-20"/>
                <w:w w:val="85"/>
              </w:rPr>
            </w:pPr>
            <w:r w:rsidRPr="00C27DAE">
              <w:rPr>
                <w:rFonts w:hint="eastAsia"/>
                <w:snapToGrid/>
                <w:spacing w:val="-20"/>
                <w:w w:val="85"/>
              </w:rPr>
              <w:t>生質能</w:t>
            </w:r>
          </w:p>
          <w:p w:rsidR="005245B7" w:rsidRPr="00C27DAE" w:rsidRDefault="005245B7" w:rsidP="005245B7">
            <w:pPr>
              <w:pStyle w:val="142"/>
              <w:jc w:val="center"/>
              <w:rPr>
                <w:rFonts w:hint="eastAsia"/>
                <w:snapToGrid/>
                <w:spacing w:val="-20"/>
                <w:w w:val="85"/>
              </w:rPr>
            </w:pPr>
            <w:r w:rsidRPr="00C27DAE">
              <w:rPr>
                <w:rFonts w:hint="eastAsia"/>
                <w:snapToGrid/>
                <w:spacing w:val="-20"/>
                <w:w w:val="85"/>
              </w:rPr>
              <w:t>及廢棄物</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3,781</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1.4</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3,806</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1.3</w:t>
            </w:r>
          </w:p>
        </w:tc>
        <w:tc>
          <w:tcPr>
            <w:tcW w:w="740"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3,769</w:t>
            </w:r>
          </w:p>
        </w:tc>
        <w:tc>
          <w:tcPr>
            <w:tcW w:w="474"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1.3</w:t>
            </w:r>
          </w:p>
        </w:tc>
        <w:tc>
          <w:tcPr>
            <w:tcW w:w="713"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3,861</w:t>
            </w:r>
          </w:p>
        </w:tc>
        <w:tc>
          <w:tcPr>
            <w:tcW w:w="517"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1.4</w:t>
            </w:r>
          </w:p>
        </w:tc>
        <w:tc>
          <w:tcPr>
            <w:tcW w:w="726"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3,876</w:t>
            </w:r>
          </w:p>
        </w:tc>
        <w:tc>
          <w:tcPr>
            <w:tcW w:w="476" w:type="dxa"/>
            <w:tcBorders>
              <w:top w:val="nil"/>
              <w:left w:val="nil"/>
              <w:bottom w:val="single" w:sz="4" w:space="0" w:color="auto"/>
              <w:right w:val="doub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1.3</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1,371</w:t>
            </w:r>
          </w:p>
        </w:tc>
        <w:tc>
          <w:tcPr>
            <w:tcW w:w="627" w:type="dxa"/>
            <w:tcBorders>
              <w:top w:val="nil"/>
              <w:left w:val="nil"/>
              <w:bottom w:val="single" w:sz="4" w:space="0" w:color="auto"/>
              <w:right w:val="single" w:sz="12"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1.6</w:t>
            </w:r>
          </w:p>
        </w:tc>
      </w:tr>
      <w:tr w:rsidR="005245B7" w:rsidRPr="00C27DAE" w:rsidTr="00461CF1">
        <w:tc>
          <w:tcPr>
            <w:tcW w:w="292" w:type="dxa"/>
            <w:vMerge/>
            <w:tcBorders>
              <w:left w:val="single" w:sz="12" w:space="0" w:color="auto"/>
              <w:right w:val="single" w:sz="4" w:space="0" w:color="auto"/>
            </w:tcBorders>
            <w:shd w:val="clear" w:color="auto" w:fill="auto"/>
            <w:vAlign w:val="center"/>
            <w:hideMark/>
          </w:tcPr>
          <w:p w:rsidR="005245B7" w:rsidRPr="00C27DAE" w:rsidRDefault="005245B7" w:rsidP="00C27DAE">
            <w:pPr>
              <w:pStyle w:val="142"/>
              <w:rPr>
                <w:rFonts w:ascii="新細明體" w:eastAsia="新細明體" w:hAnsi="新細明體" w:hint="eastAsia"/>
                <w:snapToGrid/>
                <w:spacing w:val="-20"/>
                <w:w w:val="85"/>
              </w:rPr>
            </w:pPr>
          </w:p>
        </w:tc>
        <w:tc>
          <w:tcPr>
            <w:tcW w:w="1008" w:type="dxa"/>
            <w:gridSpan w:val="2"/>
            <w:tcBorders>
              <w:top w:val="single" w:sz="4" w:space="0" w:color="auto"/>
              <w:left w:val="nil"/>
              <w:bottom w:val="single" w:sz="4" w:space="0" w:color="auto"/>
              <w:right w:val="double" w:sz="4" w:space="0" w:color="auto"/>
            </w:tcBorders>
            <w:shd w:val="clear" w:color="auto" w:fill="auto"/>
            <w:noWrap/>
            <w:vAlign w:val="center"/>
            <w:hideMark/>
          </w:tcPr>
          <w:p w:rsidR="005245B7" w:rsidRPr="00C27DAE" w:rsidRDefault="005245B7" w:rsidP="005245B7">
            <w:pPr>
              <w:pStyle w:val="142"/>
              <w:jc w:val="center"/>
              <w:rPr>
                <w:rFonts w:hint="eastAsia"/>
                <w:snapToGrid/>
                <w:spacing w:val="-20"/>
                <w:w w:val="85"/>
              </w:rPr>
            </w:pPr>
            <w:r w:rsidRPr="00C27DAE">
              <w:rPr>
                <w:rFonts w:hint="eastAsia"/>
                <w:snapToGrid/>
                <w:spacing w:val="-20"/>
                <w:w w:val="85"/>
              </w:rPr>
              <w:t>水力</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3,019</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1.1</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3,475</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1.2</w:t>
            </w:r>
          </w:p>
        </w:tc>
        <w:tc>
          <w:tcPr>
            <w:tcW w:w="740"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5,837</w:t>
            </w:r>
          </w:p>
        </w:tc>
        <w:tc>
          <w:tcPr>
            <w:tcW w:w="474"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2.0</w:t>
            </w:r>
          </w:p>
        </w:tc>
        <w:tc>
          <w:tcPr>
            <w:tcW w:w="713"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3,963</w:t>
            </w:r>
          </w:p>
        </w:tc>
        <w:tc>
          <w:tcPr>
            <w:tcW w:w="517"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1.4</w:t>
            </w:r>
          </w:p>
        </w:tc>
        <w:tc>
          <w:tcPr>
            <w:tcW w:w="726"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4,208</w:t>
            </w:r>
          </w:p>
        </w:tc>
        <w:tc>
          <w:tcPr>
            <w:tcW w:w="476" w:type="dxa"/>
            <w:tcBorders>
              <w:top w:val="nil"/>
              <w:left w:val="nil"/>
              <w:bottom w:val="single" w:sz="4" w:space="0" w:color="auto"/>
              <w:right w:val="doub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1.5</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1,352</w:t>
            </w:r>
          </w:p>
        </w:tc>
        <w:tc>
          <w:tcPr>
            <w:tcW w:w="627" w:type="dxa"/>
            <w:tcBorders>
              <w:top w:val="nil"/>
              <w:left w:val="nil"/>
              <w:bottom w:val="single" w:sz="4" w:space="0" w:color="auto"/>
              <w:right w:val="single" w:sz="12"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1.6</w:t>
            </w:r>
          </w:p>
        </w:tc>
      </w:tr>
      <w:tr w:rsidR="005245B7" w:rsidRPr="00C27DAE" w:rsidTr="00461CF1">
        <w:tc>
          <w:tcPr>
            <w:tcW w:w="292" w:type="dxa"/>
            <w:vMerge/>
            <w:tcBorders>
              <w:left w:val="single" w:sz="12" w:space="0" w:color="auto"/>
              <w:right w:val="single" w:sz="4" w:space="0" w:color="auto"/>
            </w:tcBorders>
            <w:shd w:val="clear" w:color="auto" w:fill="auto"/>
            <w:vAlign w:val="center"/>
            <w:hideMark/>
          </w:tcPr>
          <w:p w:rsidR="005245B7" w:rsidRPr="00C27DAE" w:rsidRDefault="005245B7" w:rsidP="00C27DAE">
            <w:pPr>
              <w:pStyle w:val="142"/>
              <w:rPr>
                <w:rFonts w:ascii="新細明體" w:eastAsia="新細明體" w:hAnsi="新細明體" w:hint="eastAsia"/>
                <w:snapToGrid/>
                <w:spacing w:val="-20"/>
                <w:w w:val="85"/>
              </w:rPr>
            </w:pPr>
          </w:p>
        </w:tc>
        <w:tc>
          <w:tcPr>
            <w:tcW w:w="1008" w:type="dxa"/>
            <w:gridSpan w:val="2"/>
            <w:tcBorders>
              <w:top w:val="single" w:sz="4" w:space="0" w:color="auto"/>
              <w:left w:val="nil"/>
              <w:bottom w:val="single" w:sz="4" w:space="0" w:color="auto"/>
              <w:right w:val="double" w:sz="4" w:space="0" w:color="auto"/>
            </w:tcBorders>
            <w:shd w:val="clear" w:color="auto" w:fill="auto"/>
            <w:noWrap/>
            <w:vAlign w:val="center"/>
            <w:hideMark/>
          </w:tcPr>
          <w:p w:rsidR="005245B7" w:rsidRPr="00C27DAE" w:rsidRDefault="005245B7" w:rsidP="005245B7">
            <w:pPr>
              <w:pStyle w:val="142"/>
              <w:jc w:val="center"/>
              <w:rPr>
                <w:rFonts w:hint="eastAsia"/>
                <w:snapToGrid/>
                <w:spacing w:val="-20"/>
                <w:w w:val="85"/>
              </w:rPr>
            </w:pPr>
            <w:r w:rsidRPr="00C27DAE">
              <w:rPr>
                <w:rFonts w:hint="eastAsia"/>
                <w:snapToGrid/>
                <w:spacing w:val="-20"/>
                <w:w w:val="85"/>
              </w:rPr>
              <w:t>燃料電池</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518"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5245B7" w:rsidRPr="00C27DAE" w:rsidRDefault="005245B7" w:rsidP="005245B7">
            <w:pPr>
              <w:pStyle w:val="142"/>
              <w:ind w:hanging="30"/>
              <w:jc w:val="right"/>
              <w:rPr>
                <w:rFonts w:hint="eastAsia"/>
                <w:snapToGrid/>
                <w:spacing w:val="-20"/>
                <w:w w:val="85"/>
              </w:rPr>
            </w:pPr>
            <w:r w:rsidRPr="00C27DAE">
              <w:rPr>
                <w:rFonts w:hint="eastAsia"/>
                <w:snapToGrid/>
                <w:spacing w:val="-20"/>
                <w:w w:val="85"/>
              </w:rPr>
              <w:t>--</w:t>
            </w:r>
          </w:p>
        </w:tc>
        <w:tc>
          <w:tcPr>
            <w:tcW w:w="490" w:type="dxa"/>
            <w:tcBorders>
              <w:top w:val="nil"/>
              <w:left w:val="nil"/>
              <w:bottom w:val="single" w:sz="4" w:space="0" w:color="auto"/>
              <w:right w:val="single" w:sz="4" w:space="0" w:color="auto"/>
            </w:tcBorders>
            <w:shd w:val="clear" w:color="auto" w:fill="auto"/>
            <w:noWrap/>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740"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474"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713"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517"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726" w:type="dxa"/>
            <w:tcBorders>
              <w:top w:val="nil"/>
              <w:left w:val="nil"/>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476" w:type="dxa"/>
            <w:tcBorders>
              <w:top w:val="nil"/>
              <w:left w:val="nil"/>
              <w:bottom w:val="single" w:sz="4" w:space="0" w:color="auto"/>
              <w:right w:val="doub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c>
          <w:tcPr>
            <w:tcW w:w="627" w:type="dxa"/>
            <w:tcBorders>
              <w:top w:val="nil"/>
              <w:left w:val="nil"/>
              <w:bottom w:val="single" w:sz="4" w:space="0" w:color="auto"/>
              <w:right w:val="single" w:sz="12" w:space="0" w:color="auto"/>
            </w:tcBorders>
            <w:shd w:val="clear" w:color="auto" w:fill="auto"/>
            <w:vAlign w:val="center"/>
            <w:hideMark/>
          </w:tcPr>
          <w:p w:rsidR="005245B7" w:rsidRPr="00C27DAE" w:rsidRDefault="005245B7" w:rsidP="00C27DAE">
            <w:pPr>
              <w:pStyle w:val="142"/>
              <w:jc w:val="right"/>
              <w:rPr>
                <w:rFonts w:hint="eastAsia"/>
                <w:snapToGrid/>
                <w:spacing w:val="-20"/>
                <w:w w:val="85"/>
              </w:rPr>
            </w:pPr>
            <w:r w:rsidRPr="00C27DAE">
              <w:rPr>
                <w:rFonts w:hint="eastAsia"/>
                <w:snapToGrid/>
                <w:spacing w:val="-20"/>
                <w:w w:val="85"/>
              </w:rPr>
              <w:t>--</w:t>
            </w:r>
          </w:p>
        </w:tc>
      </w:tr>
      <w:tr w:rsidR="005245B7" w:rsidRPr="00C27DAE" w:rsidTr="00487F01">
        <w:tc>
          <w:tcPr>
            <w:tcW w:w="292" w:type="dxa"/>
            <w:vMerge/>
            <w:tcBorders>
              <w:left w:val="single" w:sz="12" w:space="0" w:color="auto"/>
              <w:bottom w:val="double" w:sz="4" w:space="0" w:color="auto"/>
              <w:right w:val="single" w:sz="4" w:space="0" w:color="auto"/>
            </w:tcBorders>
            <w:shd w:val="clear" w:color="auto" w:fill="auto"/>
            <w:vAlign w:val="center"/>
            <w:hideMark/>
          </w:tcPr>
          <w:p w:rsidR="005245B7" w:rsidRPr="00C27DAE" w:rsidRDefault="005245B7" w:rsidP="00C27DAE">
            <w:pPr>
              <w:pStyle w:val="142"/>
              <w:rPr>
                <w:rFonts w:ascii="新細明體" w:eastAsia="新細明體" w:hAnsi="新細明體" w:hint="eastAsia"/>
                <w:snapToGrid/>
                <w:spacing w:val="-20"/>
                <w:w w:val="85"/>
              </w:rPr>
            </w:pPr>
          </w:p>
        </w:tc>
        <w:tc>
          <w:tcPr>
            <w:tcW w:w="1008" w:type="dxa"/>
            <w:gridSpan w:val="2"/>
            <w:tcBorders>
              <w:top w:val="single" w:sz="4" w:space="0" w:color="auto"/>
              <w:left w:val="nil"/>
              <w:bottom w:val="double" w:sz="4" w:space="0" w:color="auto"/>
              <w:right w:val="double" w:sz="4" w:space="0" w:color="auto"/>
            </w:tcBorders>
            <w:shd w:val="clear" w:color="auto" w:fill="FFF2CC"/>
            <w:noWrap/>
            <w:vAlign w:val="center"/>
            <w:hideMark/>
          </w:tcPr>
          <w:p w:rsidR="005245B7" w:rsidRPr="005245B7" w:rsidRDefault="005245B7" w:rsidP="005245B7">
            <w:pPr>
              <w:pStyle w:val="142"/>
              <w:jc w:val="center"/>
              <w:rPr>
                <w:b/>
                <w:bCs/>
                <w:snapToGrid/>
                <w:spacing w:val="-20"/>
                <w:w w:val="85"/>
              </w:rPr>
            </w:pPr>
            <w:r w:rsidRPr="005245B7">
              <w:rPr>
                <w:rFonts w:hint="eastAsia"/>
                <w:b/>
                <w:bCs/>
                <w:snapToGrid/>
                <w:spacing w:val="-20"/>
                <w:w w:val="85"/>
              </w:rPr>
              <w:t>再生能源</w:t>
            </w:r>
          </w:p>
          <w:p w:rsidR="005245B7" w:rsidRPr="005245B7" w:rsidRDefault="005245B7" w:rsidP="005245B7">
            <w:pPr>
              <w:pStyle w:val="142"/>
              <w:jc w:val="center"/>
              <w:rPr>
                <w:rFonts w:hint="eastAsia"/>
                <w:b/>
                <w:bCs/>
                <w:snapToGrid/>
                <w:spacing w:val="-20"/>
                <w:w w:val="85"/>
              </w:rPr>
            </w:pPr>
            <w:r w:rsidRPr="005245B7">
              <w:rPr>
                <w:rFonts w:hint="eastAsia"/>
                <w:b/>
                <w:bCs/>
                <w:snapToGrid/>
                <w:spacing w:val="-20"/>
                <w:w w:val="85"/>
              </w:rPr>
              <w:t>小計</w:t>
            </w:r>
          </w:p>
        </w:tc>
        <w:tc>
          <w:tcPr>
            <w:tcW w:w="658" w:type="dxa"/>
            <w:tcBorders>
              <w:top w:val="single" w:sz="4" w:space="0" w:color="auto"/>
              <w:left w:val="double" w:sz="4" w:space="0" w:color="auto"/>
              <w:bottom w:val="double" w:sz="4" w:space="0" w:color="auto"/>
              <w:right w:val="single" w:sz="4" w:space="0" w:color="auto"/>
            </w:tcBorders>
            <w:shd w:val="clear" w:color="auto" w:fill="FFF2CC"/>
            <w:noWrap/>
            <w:vAlign w:val="center"/>
            <w:hideMark/>
          </w:tcPr>
          <w:p w:rsidR="005245B7" w:rsidRPr="005245B7" w:rsidRDefault="005245B7" w:rsidP="00C27DAE">
            <w:pPr>
              <w:pStyle w:val="142"/>
              <w:jc w:val="right"/>
              <w:rPr>
                <w:rFonts w:hint="eastAsia"/>
                <w:b/>
                <w:bCs/>
                <w:snapToGrid/>
                <w:spacing w:val="-20"/>
                <w:w w:val="85"/>
              </w:rPr>
            </w:pPr>
            <w:r w:rsidRPr="005245B7">
              <w:rPr>
                <w:rFonts w:hint="eastAsia"/>
                <w:b/>
                <w:bCs/>
                <w:snapToGrid/>
                <w:spacing w:val="-20"/>
                <w:w w:val="85"/>
              </w:rPr>
              <w:t>15,186</w:t>
            </w:r>
          </w:p>
        </w:tc>
        <w:tc>
          <w:tcPr>
            <w:tcW w:w="518" w:type="dxa"/>
            <w:tcBorders>
              <w:top w:val="single" w:sz="4" w:space="0" w:color="auto"/>
              <w:left w:val="nil"/>
              <w:bottom w:val="double" w:sz="4" w:space="0" w:color="auto"/>
              <w:right w:val="single" w:sz="4" w:space="0" w:color="auto"/>
            </w:tcBorders>
            <w:shd w:val="clear" w:color="auto" w:fill="FFF2CC"/>
            <w:noWrap/>
            <w:vAlign w:val="center"/>
            <w:hideMark/>
          </w:tcPr>
          <w:p w:rsidR="005245B7" w:rsidRPr="005245B7" w:rsidRDefault="005245B7" w:rsidP="00C27DAE">
            <w:pPr>
              <w:pStyle w:val="142"/>
              <w:jc w:val="right"/>
              <w:rPr>
                <w:rFonts w:hint="eastAsia"/>
                <w:b/>
                <w:snapToGrid/>
                <w:spacing w:val="-20"/>
                <w:w w:val="85"/>
              </w:rPr>
            </w:pPr>
            <w:r w:rsidRPr="005245B7">
              <w:rPr>
                <w:rFonts w:hint="eastAsia"/>
                <w:b/>
                <w:snapToGrid/>
                <w:spacing w:val="-20"/>
                <w:w w:val="85"/>
              </w:rPr>
              <w:t>5.4</w:t>
            </w:r>
          </w:p>
        </w:tc>
        <w:tc>
          <w:tcPr>
            <w:tcW w:w="658" w:type="dxa"/>
            <w:tcBorders>
              <w:top w:val="single" w:sz="4" w:space="0" w:color="auto"/>
              <w:left w:val="single" w:sz="4" w:space="0" w:color="auto"/>
              <w:bottom w:val="double" w:sz="4" w:space="0" w:color="auto"/>
              <w:right w:val="single" w:sz="4" w:space="0" w:color="auto"/>
            </w:tcBorders>
            <w:shd w:val="clear" w:color="auto" w:fill="FFF2CC"/>
            <w:noWrap/>
            <w:vAlign w:val="center"/>
            <w:hideMark/>
          </w:tcPr>
          <w:p w:rsidR="005245B7" w:rsidRPr="005245B7" w:rsidRDefault="005245B7" w:rsidP="00C27DAE">
            <w:pPr>
              <w:pStyle w:val="142"/>
              <w:jc w:val="right"/>
              <w:rPr>
                <w:rFonts w:hint="eastAsia"/>
                <w:b/>
                <w:bCs/>
                <w:snapToGrid/>
                <w:spacing w:val="-20"/>
                <w:w w:val="85"/>
              </w:rPr>
            </w:pPr>
            <w:r w:rsidRPr="005245B7">
              <w:rPr>
                <w:rFonts w:hint="eastAsia"/>
                <w:b/>
                <w:bCs/>
                <w:snapToGrid/>
                <w:spacing w:val="-20"/>
                <w:w w:val="85"/>
              </w:rPr>
              <w:t>17,530</w:t>
            </w:r>
          </w:p>
        </w:tc>
        <w:tc>
          <w:tcPr>
            <w:tcW w:w="490" w:type="dxa"/>
            <w:tcBorders>
              <w:top w:val="single" w:sz="4" w:space="0" w:color="auto"/>
              <w:left w:val="nil"/>
              <w:bottom w:val="double" w:sz="4" w:space="0" w:color="auto"/>
              <w:right w:val="single" w:sz="4" w:space="0" w:color="auto"/>
            </w:tcBorders>
            <w:shd w:val="clear" w:color="auto" w:fill="FFF2CC"/>
            <w:noWrap/>
            <w:vAlign w:val="center"/>
            <w:hideMark/>
          </w:tcPr>
          <w:p w:rsidR="005245B7" w:rsidRPr="005245B7" w:rsidRDefault="005245B7" w:rsidP="00C27DAE">
            <w:pPr>
              <w:pStyle w:val="142"/>
              <w:jc w:val="right"/>
              <w:rPr>
                <w:rFonts w:hint="eastAsia"/>
                <w:b/>
                <w:snapToGrid/>
                <w:spacing w:val="-20"/>
                <w:w w:val="85"/>
              </w:rPr>
            </w:pPr>
            <w:r w:rsidRPr="005245B7">
              <w:rPr>
                <w:rFonts w:hint="eastAsia"/>
                <w:b/>
                <w:snapToGrid/>
                <w:spacing w:val="-20"/>
                <w:w w:val="85"/>
              </w:rPr>
              <w:t>6.0</w:t>
            </w:r>
          </w:p>
        </w:tc>
        <w:tc>
          <w:tcPr>
            <w:tcW w:w="740" w:type="dxa"/>
            <w:tcBorders>
              <w:top w:val="single" w:sz="4" w:space="0" w:color="auto"/>
              <w:left w:val="nil"/>
              <w:bottom w:val="double" w:sz="4" w:space="0" w:color="auto"/>
              <w:right w:val="single" w:sz="4" w:space="0" w:color="auto"/>
            </w:tcBorders>
            <w:shd w:val="clear" w:color="auto" w:fill="FFF2CC"/>
            <w:vAlign w:val="center"/>
            <w:hideMark/>
          </w:tcPr>
          <w:p w:rsidR="005245B7" w:rsidRPr="005245B7" w:rsidRDefault="005245B7" w:rsidP="00C27DAE">
            <w:pPr>
              <w:pStyle w:val="142"/>
              <w:jc w:val="right"/>
              <w:rPr>
                <w:rFonts w:hint="eastAsia"/>
                <w:b/>
                <w:bCs/>
                <w:snapToGrid/>
                <w:spacing w:val="-20"/>
                <w:w w:val="85"/>
              </w:rPr>
            </w:pPr>
            <w:r w:rsidRPr="005245B7">
              <w:rPr>
                <w:rFonts w:hint="eastAsia"/>
                <w:b/>
                <w:bCs/>
                <w:snapToGrid/>
                <w:spacing w:val="-20"/>
                <w:w w:val="85"/>
              </w:rPr>
              <w:t>23,884</w:t>
            </w:r>
          </w:p>
        </w:tc>
        <w:tc>
          <w:tcPr>
            <w:tcW w:w="474" w:type="dxa"/>
            <w:tcBorders>
              <w:top w:val="single" w:sz="4" w:space="0" w:color="auto"/>
              <w:left w:val="nil"/>
              <w:bottom w:val="double" w:sz="4" w:space="0" w:color="auto"/>
              <w:right w:val="single" w:sz="4" w:space="0" w:color="auto"/>
            </w:tcBorders>
            <w:shd w:val="clear" w:color="auto" w:fill="FFF2CC"/>
            <w:vAlign w:val="center"/>
            <w:hideMark/>
          </w:tcPr>
          <w:p w:rsidR="005245B7" w:rsidRPr="005245B7" w:rsidRDefault="005245B7" w:rsidP="00C27DAE">
            <w:pPr>
              <w:pStyle w:val="142"/>
              <w:jc w:val="right"/>
              <w:rPr>
                <w:rFonts w:hint="eastAsia"/>
                <w:b/>
                <w:snapToGrid/>
                <w:spacing w:val="-20"/>
                <w:w w:val="85"/>
              </w:rPr>
            </w:pPr>
            <w:r w:rsidRPr="005245B7">
              <w:rPr>
                <w:rFonts w:hint="eastAsia"/>
                <w:b/>
                <w:snapToGrid/>
                <w:spacing w:val="-20"/>
                <w:w w:val="85"/>
              </w:rPr>
              <w:t>8.3</w:t>
            </w:r>
          </w:p>
        </w:tc>
        <w:tc>
          <w:tcPr>
            <w:tcW w:w="713" w:type="dxa"/>
            <w:tcBorders>
              <w:top w:val="single" w:sz="4" w:space="0" w:color="auto"/>
              <w:left w:val="nil"/>
              <w:bottom w:val="double" w:sz="4" w:space="0" w:color="auto"/>
              <w:right w:val="single" w:sz="4" w:space="0" w:color="auto"/>
            </w:tcBorders>
            <w:shd w:val="clear" w:color="auto" w:fill="FFF2CC"/>
            <w:vAlign w:val="center"/>
            <w:hideMark/>
          </w:tcPr>
          <w:p w:rsidR="005245B7" w:rsidRPr="005245B7" w:rsidRDefault="005245B7" w:rsidP="00C27DAE">
            <w:pPr>
              <w:pStyle w:val="142"/>
              <w:jc w:val="right"/>
              <w:rPr>
                <w:rFonts w:hint="eastAsia"/>
                <w:b/>
                <w:bCs/>
                <w:snapToGrid/>
                <w:spacing w:val="-20"/>
                <w:w w:val="85"/>
              </w:rPr>
            </w:pPr>
            <w:r w:rsidRPr="005245B7">
              <w:rPr>
                <w:rFonts w:hint="eastAsia"/>
                <w:b/>
                <w:bCs/>
                <w:snapToGrid/>
                <w:spacing w:val="-20"/>
                <w:w w:val="85"/>
              </w:rPr>
              <w:t>26,995</w:t>
            </w:r>
          </w:p>
        </w:tc>
        <w:tc>
          <w:tcPr>
            <w:tcW w:w="517" w:type="dxa"/>
            <w:tcBorders>
              <w:top w:val="single" w:sz="4" w:space="0" w:color="auto"/>
              <w:left w:val="nil"/>
              <w:bottom w:val="double" w:sz="4" w:space="0" w:color="auto"/>
              <w:right w:val="single" w:sz="4" w:space="0" w:color="auto"/>
            </w:tcBorders>
            <w:shd w:val="clear" w:color="auto" w:fill="FFF2CC"/>
            <w:noWrap/>
            <w:vAlign w:val="center"/>
            <w:hideMark/>
          </w:tcPr>
          <w:p w:rsidR="005245B7" w:rsidRPr="005245B7" w:rsidRDefault="005245B7" w:rsidP="00C27DAE">
            <w:pPr>
              <w:pStyle w:val="142"/>
              <w:jc w:val="right"/>
              <w:rPr>
                <w:rFonts w:hint="eastAsia"/>
                <w:b/>
                <w:snapToGrid/>
                <w:spacing w:val="-20"/>
                <w:w w:val="85"/>
              </w:rPr>
            </w:pPr>
            <w:r w:rsidRPr="005245B7">
              <w:rPr>
                <w:rFonts w:hint="eastAsia"/>
                <w:b/>
                <w:snapToGrid/>
                <w:spacing w:val="-20"/>
                <w:w w:val="85"/>
              </w:rPr>
              <w:t>9.6</w:t>
            </w:r>
          </w:p>
        </w:tc>
        <w:tc>
          <w:tcPr>
            <w:tcW w:w="726" w:type="dxa"/>
            <w:tcBorders>
              <w:top w:val="single" w:sz="4" w:space="0" w:color="auto"/>
              <w:left w:val="nil"/>
              <w:bottom w:val="double" w:sz="4" w:space="0" w:color="auto"/>
              <w:right w:val="single" w:sz="4" w:space="0" w:color="auto"/>
            </w:tcBorders>
            <w:shd w:val="clear" w:color="auto" w:fill="FFF2CC"/>
            <w:vAlign w:val="center"/>
            <w:hideMark/>
          </w:tcPr>
          <w:p w:rsidR="005245B7" w:rsidRPr="005245B7" w:rsidRDefault="005245B7" w:rsidP="00C27DAE">
            <w:pPr>
              <w:pStyle w:val="142"/>
              <w:jc w:val="right"/>
              <w:rPr>
                <w:rFonts w:hint="eastAsia"/>
                <w:b/>
                <w:bCs/>
                <w:snapToGrid/>
                <w:spacing w:val="-20"/>
                <w:w w:val="85"/>
              </w:rPr>
            </w:pPr>
            <w:r w:rsidRPr="005245B7">
              <w:rPr>
                <w:rFonts w:hint="eastAsia"/>
                <w:b/>
                <w:bCs/>
                <w:snapToGrid/>
                <w:spacing w:val="-20"/>
                <w:w w:val="85"/>
              </w:rPr>
              <w:t>33,916</w:t>
            </w:r>
          </w:p>
        </w:tc>
        <w:tc>
          <w:tcPr>
            <w:tcW w:w="476" w:type="dxa"/>
            <w:tcBorders>
              <w:top w:val="single" w:sz="4" w:space="0" w:color="auto"/>
              <w:left w:val="nil"/>
              <w:bottom w:val="double" w:sz="4" w:space="0" w:color="auto"/>
              <w:right w:val="double" w:sz="4" w:space="0" w:color="auto"/>
            </w:tcBorders>
            <w:shd w:val="clear" w:color="auto" w:fill="FFF2CC"/>
            <w:noWrap/>
            <w:vAlign w:val="center"/>
            <w:hideMark/>
          </w:tcPr>
          <w:p w:rsidR="005245B7" w:rsidRPr="005245B7" w:rsidRDefault="005245B7" w:rsidP="00C27DAE">
            <w:pPr>
              <w:pStyle w:val="142"/>
              <w:jc w:val="right"/>
              <w:rPr>
                <w:rFonts w:hint="eastAsia"/>
                <w:b/>
                <w:snapToGrid/>
                <w:spacing w:val="-20"/>
                <w:w w:val="85"/>
              </w:rPr>
            </w:pPr>
            <w:r w:rsidRPr="005245B7">
              <w:rPr>
                <w:rFonts w:hint="eastAsia"/>
                <w:b/>
                <w:snapToGrid/>
                <w:spacing w:val="-20"/>
                <w:w w:val="85"/>
              </w:rPr>
              <w:t>11.7</w:t>
            </w:r>
          </w:p>
        </w:tc>
        <w:tc>
          <w:tcPr>
            <w:tcW w:w="656" w:type="dxa"/>
            <w:tcBorders>
              <w:top w:val="single" w:sz="4" w:space="0" w:color="auto"/>
              <w:left w:val="double" w:sz="4" w:space="0" w:color="auto"/>
              <w:bottom w:val="double" w:sz="4" w:space="0" w:color="auto"/>
              <w:right w:val="single" w:sz="4" w:space="0" w:color="auto"/>
            </w:tcBorders>
            <w:shd w:val="clear" w:color="auto" w:fill="FFF2CC"/>
            <w:vAlign w:val="center"/>
            <w:hideMark/>
          </w:tcPr>
          <w:p w:rsidR="005245B7" w:rsidRPr="005245B7" w:rsidRDefault="005245B7" w:rsidP="00C27DAE">
            <w:pPr>
              <w:pStyle w:val="142"/>
              <w:jc w:val="right"/>
              <w:rPr>
                <w:rFonts w:hint="eastAsia"/>
                <w:b/>
                <w:bCs/>
                <w:snapToGrid/>
                <w:spacing w:val="-20"/>
                <w:w w:val="85"/>
              </w:rPr>
            </w:pPr>
            <w:r w:rsidRPr="005245B7">
              <w:rPr>
                <w:rFonts w:hint="eastAsia"/>
                <w:b/>
                <w:bCs/>
                <w:snapToGrid/>
                <w:spacing w:val="-20"/>
                <w:w w:val="85"/>
              </w:rPr>
              <w:t>12,015</w:t>
            </w:r>
          </w:p>
        </w:tc>
        <w:tc>
          <w:tcPr>
            <w:tcW w:w="627" w:type="dxa"/>
            <w:tcBorders>
              <w:top w:val="single" w:sz="4" w:space="0" w:color="auto"/>
              <w:left w:val="nil"/>
              <w:bottom w:val="double" w:sz="4" w:space="0" w:color="auto"/>
              <w:right w:val="single" w:sz="12" w:space="0" w:color="auto"/>
            </w:tcBorders>
            <w:shd w:val="clear" w:color="auto" w:fill="FFF2CC"/>
            <w:vAlign w:val="center"/>
            <w:hideMark/>
          </w:tcPr>
          <w:p w:rsidR="005245B7" w:rsidRPr="005245B7" w:rsidRDefault="005245B7" w:rsidP="00C27DAE">
            <w:pPr>
              <w:pStyle w:val="142"/>
              <w:jc w:val="right"/>
              <w:rPr>
                <w:rFonts w:hint="eastAsia"/>
                <w:b/>
                <w:snapToGrid/>
                <w:spacing w:val="-20"/>
                <w:w w:val="85"/>
              </w:rPr>
            </w:pPr>
            <w:r w:rsidRPr="005245B7">
              <w:rPr>
                <w:rFonts w:hint="eastAsia"/>
                <w:b/>
                <w:snapToGrid/>
                <w:spacing w:val="-20"/>
                <w:w w:val="85"/>
              </w:rPr>
              <w:t>14.0</w:t>
            </w:r>
          </w:p>
        </w:tc>
      </w:tr>
      <w:tr w:rsidR="005245B7" w:rsidRPr="00C27DAE" w:rsidTr="00461CF1">
        <w:tc>
          <w:tcPr>
            <w:tcW w:w="1300" w:type="dxa"/>
            <w:gridSpan w:val="3"/>
            <w:tcBorders>
              <w:top w:val="double" w:sz="4" w:space="0" w:color="auto"/>
              <w:left w:val="single" w:sz="12" w:space="0" w:color="auto"/>
              <w:bottom w:val="single" w:sz="4" w:space="0" w:color="auto"/>
              <w:right w:val="double" w:sz="4" w:space="0" w:color="auto"/>
            </w:tcBorders>
            <w:shd w:val="clear" w:color="auto" w:fill="FBE7D9"/>
            <w:vAlign w:val="center"/>
            <w:hideMark/>
          </w:tcPr>
          <w:p w:rsidR="00C27DAE" w:rsidRPr="005245B7" w:rsidRDefault="00C27DAE" w:rsidP="005245B7">
            <w:pPr>
              <w:pStyle w:val="142"/>
              <w:jc w:val="center"/>
              <w:rPr>
                <w:rFonts w:hint="eastAsia"/>
                <w:b/>
                <w:bCs/>
                <w:snapToGrid/>
                <w:spacing w:val="-20"/>
                <w:w w:val="85"/>
              </w:rPr>
            </w:pPr>
            <w:r w:rsidRPr="005245B7">
              <w:rPr>
                <w:rFonts w:hint="eastAsia"/>
                <w:b/>
                <w:bCs/>
                <w:snapToGrid/>
                <w:spacing w:val="-20"/>
                <w:w w:val="85"/>
              </w:rPr>
              <w:t>燃氣</w:t>
            </w:r>
          </w:p>
        </w:tc>
        <w:tc>
          <w:tcPr>
            <w:tcW w:w="658" w:type="dxa"/>
            <w:tcBorders>
              <w:top w:val="double" w:sz="4" w:space="0" w:color="auto"/>
              <w:left w:val="double" w:sz="4" w:space="0" w:color="auto"/>
              <w:bottom w:val="single" w:sz="4" w:space="0" w:color="auto"/>
              <w:right w:val="single" w:sz="4" w:space="0" w:color="auto"/>
            </w:tcBorders>
            <w:shd w:val="clear" w:color="auto" w:fill="FBE7D9"/>
            <w:noWrap/>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99,887</w:t>
            </w:r>
          </w:p>
        </w:tc>
        <w:tc>
          <w:tcPr>
            <w:tcW w:w="518" w:type="dxa"/>
            <w:tcBorders>
              <w:top w:val="double" w:sz="4" w:space="0" w:color="auto"/>
              <w:left w:val="nil"/>
              <w:bottom w:val="single" w:sz="4" w:space="0" w:color="auto"/>
              <w:right w:val="single" w:sz="4" w:space="0" w:color="auto"/>
            </w:tcBorders>
            <w:shd w:val="clear" w:color="auto" w:fill="FBE7D9"/>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35.7</w:t>
            </w:r>
          </w:p>
        </w:tc>
        <w:tc>
          <w:tcPr>
            <w:tcW w:w="658" w:type="dxa"/>
            <w:tcBorders>
              <w:top w:val="double" w:sz="4" w:space="0" w:color="auto"/>
              <w:left w:val="single" w:sz="4" w:space="0" w:color="auto"/>
              <w:bottom w:val="single" w:sz="4" w:space="0" w:color="auto"/>
              <w:right w:val="single" w:sz="4" w:space="0" w:color="auto"/>
            </w:tcBorders>
            <w:shd w:val="clear" w:color="auto" w:fill="FBE7D9"/>
            <w:noWrap/>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108,359</w:t>
            </w:r>
          </w:p>
        </w:tc>
        <w:tc>
          <w:tcPr>
            <w:tcW w:w="490" w:type="dxa"/>
            <w:tcBorders>
              <w:top w:val="double" w:sz="4" w:space="0" w:color="auto"/>
              <w:left w:val="nil"/>
              <w:bottom w:val="single" w:sz="4" w:space="0" w:color="auto"/>
              <w:right w:val="single" w:sz="4" w:space="0" w:color="auto"/>
            </w:tcBorders>
            <w:shd w:val="clear" w:color="auto" w:fill="FBE7D9"/>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37.2</w:t>
            </w:r>
          </w:p>
        </w:tc>
        <w:tc>
          <w:tcPr>
            <w:tcW w:w="740" w:type="dxa"/>
            <w:tcBorders>
              <w:top w:val="double" w:sz="4" w:space="0" w:color="auto"/>
              <w:left w:val="nil"/>
              <w:bottom w:val="single" w:sz="4" w:space="0" w:color="auto"/>
              <w:right w:val="single" w:sz="4" w:space="0" w:color="auto"/>
            </w:tcBorders>
            <w:shd w:val="clear" w:color="auto" w:fill="FBE7D9"/>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112,006</w:t>
            </w:r>
          </w:p>
        </w:tc>
        <w:tc>
          <w:tcPr>
            <w:tcW w:w="474" w:type="dxa"/>
            <w:tcBorders>
              <w:top w:val="double" w:sz="4" w:space="0" w:color="auto"/>
              <w:left w:val="nil"/>
              <w:bottom w:val="single" w:sz="4" w:space="0" w:color="auto"/>
              <w:right w:val="single" w:sz="4" w:space="0" w:color="auto"/>
            </w:tcBorders>
            <w:shd w:val="clear" w:color="auto" w:fill="FBE7D9"/>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38.9</w:t>
            </w:r>
          </w:p>
        </w:tc>
        <w:tc>
          <w:tcPr>
            <w:tcW w:w="713" w:type="dxa"/>
            <w:tcBorders>
              <w:top w:val="double" w:sz="4" w:space="0" w:color="auto"/>
              <w:left w:val="nil"/>
              <w:bottom w:val="single" w:sz="4" w:space="0" w:color="auto"/>
              <w:right w:val="single" w:sz="4" w:space="0" w:color="auto"/>
            </w:tcBorders>
            <w:shd w:val="clear" w:color="auto" w:fill="FBE7D9"/>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111,630</w:t>
            </w:r>
          </w:p>
        </w:tc>
        <w:tc>
          <w:tcPr>
            <w:tcW w:w="517" w:type="dxa"/>
            <w:tcBorders>
              <w:top w:val="double" w:sz="4" w:space="0" w:color="auto"/>
              <w:left w:val="nil"/>
              <w:bottom w:val="single" w:sz="4" w:space="0" w:color="auto"/>
              <w:right w:val="single" w:sz="4" w:space="0" w:color="auto"/>
            </w:tcBorders>
            <w:shd w:val="clear" w:color="auto" w:fill="FBE7D9"/>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39.5</w:t>
            </w:r>
          </w:p>
        </w:tc>
        <w:tc>
          <w:tcPr>
            <w:tcW w:w="726" w:type="dxa"/>
            <w:tcBorders>
              <w:top w:val="double" w:sz="4" w:space="0" w:color="auto"/>
              <w:left w:val="nil"/>
              <w:bottom w:val="single" w:sz="4" w:space="0" w:color="auto"/>
              <w:right w:val="single" w:sz="4" w:space="0" w:color="auto"/>
            </w:tcBorders>
            <w:shd w:val="clear" w:color="auto" w:fill="FBE7D9"/>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122,503</w:t>
            </w:r>
          </w:p>
        </w:tc>
        <w:tc>
          <w:tcPr>
            <w:tcW w:w="476" w:type="dxa"/>
            <w:tcBorders>
              <w:top w:val="double" w:sz="4" w:space="0" w:color="auto"/>
              <w:left w:val="nil"/>
              <w:bottom w:val="single" w:sz="4" w:space="0" w:color="auto"/>
              <w:right w:val="double" w:sz="4" w:space="0" w:color="auto"/>
            </w:tcBorders>
            <w:shd w:val="clear" w:color="auto" w:fill="FBE7D9"/>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42.4</w:t>
            </w:r>
          </w:p>
        </w:tc>
        <w:tc>
          <w:tcPr>
            <w:tcW w:w="656" w:type="dxa"/>
            <w:tcBorders>
              <w:top w:val="double" w:sz="4" w:space="0" w:color="auto"/>
              <w:left w:val="double" w:sz="4" w:space="0" w:color="auto"/>
              <w:bottom w:val="single" w:sz="4" w:space="0" w:color="auto"/>
              <w:right w:val="single" w:sz="4" w:space="0" w:color="auto"/>
            </w:tcBorders>
            <w:shd w:val="clear" w:color="auto" w:fill="FBE7D9"/>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39,188</w:t>
            </w:r>
          </w:p>
        </w:tc>
        <w:tc>
          <w:tcPr>
            <w:tcW w:w="627" w:type="dxa"/>
            <w:tcBorders>
              <w:top w:val="double" w:sz="4" w:space="0" w:color="auto"/>
              <w:left w:val="nil"/>
              <w:bottom w:val="single" w:sz="4" w:space="0" w:color="auto"/>
              <w:right w:val="single" w:sz="12" w:space="0" w:color="auto"/>
            </w:tcBorders>
            <w:shd w:val="clear" w:color="auto" w:fill="FBE7D9"/>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45.7</w:t>
            </w:r>
          </w:p>
        </w:tc>
      </w:tr>
      <w:tr w:rsidR="00C27DAE" w:rsidRPr="00C27DAE" w:rsidTr="00461CF1">
        <w:tc>
          <w:tcPr>
            <w:tcW w:w="1300" w:type="dxa"/>
            <w:gridSpan w:val="3"/>
            <w:tcBorders>
              <w:top w:val="single" w:sz="4" w:space="0" w:color="auto"/>
              <w:left w:val="single" w:sz="12" w:space="0" w:color="auto"/>
              <w:bottom w:val="single" w:sz="4" w:space="0" w:color="auto"/>
              <w:right w:val="doub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燃油</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4,420</w:t>
            </w:r>
          </w:p>
        </w:tc>
        <w:tc>
          <w:tcPr>
            <w:tcW w:w="518"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1.6</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5,331</w:t>
            </w:r>
          </w:p>
        </w:tc>
        <w:tc>
          <w:tcPr>
            <w:tcW w:w="490"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1.8</w:t>
            </w:r>
          </w:p>
        </w:tc>
        <w:tc>
          <w:tcPr>
            <w:tcW w:w="740"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4,450</w:t>
            </w:r>
          </w:p>
        </w:tc>
        <w:tc>
          <w:tcPr>
            <w:tcW w:w="474"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1.5</w:t>
            </w:r>
          </w:p>
        </w:tc>
        <w:tc>
          <w:tcPr>
            <w:tcW w:w="713"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3,776</w:t>
            </w:r>
          </w:p>
        </w:tc>
        <w:tc>
          <w:tcPr>
            <w:tcW w:w="517"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1.3</w:t>
            </w:r>
          </w:p>
        </w:tc>
        <w:tc>
          <w:tcPr>
            <w:tcW w:w="726"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4,182</w:t>
            </w:r>
          </w:p>
        </w:tc>
        <w:tc>
          <w:tcPr>
            <w:tcW w:w="476" w:type="dxa"/>
            <w:tcBorders>
              <w:top w:val="nil"/>
              <w:left w:val="nil"/>
              <w:bottom w:val="single" w:sz="4" w:space="0" w:color="auto"/>
              <w:right w:val="doub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1.4</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1,187</w:t>
            </w:r>
          </w:p>
        </w:tc>
        <w:tc>
          <w:tcPr>
            <w:tcW w:w="627" w:type="dxa"/>
            <w:tcBorders>
              <w:top w:val="nil"/>
              <w:left w:val="nil"/>
              <w:bottom w:val="single" w:sz="4" w:space="0" w:color="auto"/>
              <w:right w:val="single" w:sz="12"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1.4</w:t>
            </w:r>
          </w:p>
        </w:tc>
      </w:tr>
      <w:tr w:rsidR="005245B7" w:rsidRPr="00C27DAE" w:rsidTr="00487F01">
        <w:tc>
          <w:tcPr>
            <w:tcW w:w="1300" w:type="dxa"/>
            <w:gridSpan w:val="3"/>
            <w:tcBorders>
              <w:top w:val="single" w:sz="4" w:space="0" w:color="auto"/>
              <w:left w:val="single" w:sz="12" w:space="0" w:color="auto"/>
              <w:bottom w:val="single" w:sz="4" w:space="0" w:color="auto"/>
              <w:right w:val="double" w:sz="4" w:space="0" w:color="auto"/>
            </w:tcBorders>
            <w:shd w:val="clear" w:color="auto" w:fill="FBE4D5"/>
            <w:vAlign w:val="center"/>
            <w:hideMark/>
          </w:tcPr>
          <w:p w:rsidR="00C27DAE" w:rsidRPr="005245B7" w:rsidRDefault="00C27DAE" w:rsidP="005245B7">
            <w:pPr>
              <w:pStyle w:val="142"/>
              <w:jc w:val="center"/>
              <w:rPr>
                <w:rFonts w:hint="eastAsia"/>
                <w:b/>
                <w:bCs/>
                <w:snapToGrid/>
                <w:spacing w:val="-20"/>
                <w:w w:val="85"/>
              </w:rPr>
            </w:pPr>
            <w:r w:rsidRPr="005245B7">
              <w:rPr>
                <w:rFonts w:hint="eastAsia"/>
                <w:b/>
                <w:bCs/>
                <w:snapToGrid/>
                <w:spacing w:val="-20"/>
                <w:w w:val="85"/>
              </w:rPr>
              <w:t>燃煤</w:t>
            </w:r>
          </w:p>
        </w:tc>
        <w:tc>
          <w:tcPr>
            <w:tcW w:w="658" w:type="dxa"/>
            <w:tcBorders>
              <w:top w:val="single" w:sz="4" w:space="0" w:color="auto"/>
              <w:left w:val="double" w:sz="4" w:space="0" w:color="auto"/>
              <w:bottom w:val="single" w:sz="4" w:space="0" w:color="auto"/>
              <w:right w:val="single" w:sz="4" w:space="0" w:color="auto"/>
            </w:tcBorders>
            <w:shd w:val="clear" w:color="auto" w:fill="FBE4D5"/>
            <w:noWrap/>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125,907</w:t>
            </w:r>
          </w:p>
        </w:tc>
        <w:tc>
          <w:tcPr>
            <w:tcW w:w="518" w:type="dxa"/>
            <w:tcBorders>
              <w:top w:val="single" w:sz="4" w:space="0" w:color="auto"/>
              <w:left w:val="nil"/>
              <w:bottom w:val="single" w:sz="4" w:space="0" w:color="auto"/>
              <w:right w:val="single" w:sz="4" w:space="0" w:color="auto"/>
            </w:tcBorders>
            <w:shd w:val="clear" w:color="auto" w:fill="FBE4D5"/>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45.0</w:t>
            </w:r>
          </w:p>
        </w:tc>
        <w:tc>
          <w:tcPr>
            <w:tcW w:w="658" w:type="dxa"/>
            <w:tcBorders>
              <w:top w:val="single" w:sz="4" w:space="0" w:color="auto"/>
              <w:left w:val="single" w:sz="4" w:space="0" w:color="auto"/>
              <w:bottom w:val="single" w:sz="4" w:space="0" w:color="auto"/>
              <w:right w:val="single" w:sz="4" w:space="0" w:color="auto"/>
            </w:tcBorders>
            <w:shd w:val="clear" w:color="auto" w:fill="FBE4D5"/>
            <w:noWrap/>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128,840</w:t>
            </w:r>
          </w:p>
        </w:tc>
        <w:tc>
          <w:tcPr>
            <w:tcW w:w="490" w:type="dxa"/>
            <w:tcBorders>
              <w:top w:val="single" w:sz="4" w:space="0" w:color="auto"/>
              <w:left w:val="nil"/>
              <w:bottom w:val="single" w:sz="4" w:space="0" w:color="auto"/>
              <w:right w:val="single" w:sz="4" w:space="0" w:color="auto"/>
            </w:tcBorders>
            <w:shd w:val="clear" w:color="auto" w:fill="FBE4D5"/>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44.3</w:t>
            </w:r>
          </w:p>
        </w:tc>
        <w:tc>
          <w:tcPr>
            <w:tcW w:w="740" w:type="dxa"/>
            <w:tcBorders>
              <w:top w:val="single" w:sz="4" w:space="0" w:color="auto"/>
              <w:left w:val="nil"/>
              <w:bottom w:val="single" w:sz="4" w:space="0" w:color="auto"/>
              <w:right w:val="single" w:sz="4" w:space="0" w:color="auto"/>
            </w:tcBorders>
            <w:shd w:val="clear" w:color="auto" w:fill="FBE4D5"/>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121,029</w:t>
            </w:r>
          </w:p>
        </w:tc>
        <w:tc>
          <w:tcPr>
            <w:tcW w:w="474" w:type="dxa"/>
            <w:tcBorders>
              <w:top w:val="single" w:sz="4" w:space="0" w:color="auto"/>
              <w:left w:val="nil"/>
              <w:bottom w:val="single" w:sz="4" w:space="0" w:color="auto"/>
              <w:right w:val="single" w:sz="4" w:space="0" w:color="auto"/>
            </w:tcBorders>
            <w:shd w:val="clear" w:color="auto" w:fill="FBE4D5"/>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42.0</w:t>
            </w:r>
          </w:p>
        </w:tc>
        <w:tc>
          <w:tcPr>
            <w:tcW w:w="713" w:type="dxa"/>
            <w:tcBorders>
              <w:top w:val="single" w:sz="4" w:space="0" w:color="auto"/>
              <w:left w:val="nil"/>
              <w:bottom w:val="single" w:sz="4" w:space="0" w:color="auto"/>
              <w:right w:val="single" w:sz="4" w:space="0" w:color="auto"/>
            </w:tcBorders>
            <w:shd w:val="clear" w:color="auto" w:fill="FBE4D5"/>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119,173</w:t>
            </w:r>
          </w:p>
        </w:tc>
        <w:tc>
          <w:tcPr>
            <w:tcW w:w="517" w:type="dxa"/>
            <w:tcBorders>
              <w:top w:val="single" w:sz="4" w:space="0" w:color="auto"/>
              <w:left w:val="nil"/>
              <w:bottom w:val="single" w:sz="4" w:space="0" w:color="auto"/>
              <w:right w:val="single" w:sz="4" w:space="0" w:color="auto"/>
            </w:tcBorders>
            <w:shd w:val="clear" w:color="auto" w:fill="FBE4D5"/>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42.2</w:t>
            </w:r>
          </w:p>
        </w:tc>
        <w:tc>
          <w:tcPr>
            <w:tcW w:w="726" w:type="dxa"/>
            <w:tcBorders>
              <w:top w:val="single" w:sz="4" w:space="0" w:color="auto"/>
              <w:left w:val="nil"/>
              <w:bottom w:val="single" w:sz="4" w:space="0" w:color="auto"/>
              <w:right w:val="single" w:sz="4" w:space="0" w:color="auto"/>
            </w:tcBorders>
            <w:shd w:val="clear" w:color="auto" w:fill="FBE4D5"/>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113,316</w:t>
            </w:r>
          </w:p>
        </w:tc>
        <w:tc>
          <w:tcPr>
            <w:tcW w:w="476" w:type="dxa"/>
            <w:tcBorders>
              <w:top w:val="single" w:sz="4" w:space="0" w:color="auto"/>
              <w:left w:val="nil"/>
              <w:bottom w:val="single" w:sz="4" w:space="0" w:color="auto"/>
              <w:right w:val="double" w:sz="4" w:space="0" w:color="auto"/>
            </w:tcBorders>
            <w:shd w:val="clear" w:color="auto" w:fill="FBE4D5"/>
            <w:noWrap/>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39.2</w:t>
            </w:r>
          </w:p>
        </w:tc>
        <w:tc>
          <w:tcPr>
            <w:tcW w:w="656" w:type="dxa"/>
            <w:tcBorders>
              <w:top w:val="single" w:sz="4" w:space="0" w:color="auto"/>
              <w:left w:val="double" w:sz="4" w:space="0" w:color="auto"/>
              <w:bottom w:val="single" w:sz="4" w:space="0" w:color="auto"/>
              <w:right w:val="single" w:sz="4" w:space="0" w:color="auto"/>
            </w:tcBorders>
            <w:shd w:val="clear" w:color="auto" w:fill="FBE4D5"/>
            <w:vAlign w:val="center"/>
            <w:hideMark/>
          </w:tcPr>
          <w:p w:rsidR="00C27DAE" w:rsidRPr="005245B7" w:rsidRDefault="00C27DAE" w:rsidP="00C27DAE">
            <w:pPr>
              <w:pStyle w:val="142"/>
              <w:jc w:val="right"/>
              <w:rPr>
                <w:rFonts w:hint="eastAsia"/>
                <w:b/>
                <w:bCs/>
                <w:snapToGrid/>
                <w:spacing w:val="-20"/>
                <w:w w:val="85"/>
              </w:rPr>
            </w:pPr>
            <w:r w:rsidRPr="005245B7">
              <w:rPr>
                <w:rFonts w:hint="eastAsia"/>
                <w:b/>
                <w:bCs/>
                <w:snapToGrid/>
                <w:spacing w:val="-20"/>
                <w:w w:val="85"/>
              </w:rPr>
              <w:t>29,517</w:t>
            </w:r>
          </w:p>
        </w:tc>
        <w:tc>
          <w:tcPr>
            <w:tcW w:w="627" w:type="dxa"/>
            <w:tcBorders>
              <w:top w:val="single" w:sz="4" w:space="0" w:color="auto"/>
              <w:left w:val="nil"/>
              <w:bottom w:val="single" w:sz="4" w:space="0" w:color="auto"/>
              <w:right w:val="single" w:sz="12" w:space="0" w:color="auto"/>
            </w:tcBorders>
            <w:shd w:val="clear" w:color="auto" w:fill="FBE4D5"/>
            <w:vAlign w:val="center"/>
            <w:hideMark/>
          </w:tcPr>
          <w:p w:rsidR="00C27DAE" w:rsidRPr="005245B7" w:rsidRDefault="00C27DAE" w:rsidP="00C27DAE">
            <w:pPr>
              <w:pStyle w:val="142"/>
              <w:jc w:val="right"/>
              <w:rPr>
                <w:rFonts w:hint="eastAsia"/>
                <w:b/>
                <w:snapToGrid/>
                <w:spacing w:val="-20"/>
                <w:w w:val="85"/>
              </w:rPr>
            </w:pPr>
            <w:r w:rsidRPr="005245B7">
              <w:rPr>
                <w:rFonts w:hint="eastAsia"/>
                <w:b/>
                <w:snapToGrid/>
                <w:spacing w:val="-20"/>
                <w:w w:val="85"/>
              </w:rPr>
              <w:t>34.4</w:t>
            </w:r>
          </w:p>
        </w:tc>
      </w:tr>
      <w:tr w:rsidR="00C27DAE" w:rsidRPr="00C27DAE" w:rsidTr="00461CF1">
        <w:tc>
          <w:tcPr>
            <w:tcW w:w="1300" w:type="dxa"/>
            <w:gridSpan w:val="3"/>
            <w:tcBorders>
              <w:top w:val="single" w:sz="4" w:space="0" w:color="auto"/>
              <w:left w:val="single" w:sz="12" w:space="0" w:color="auto"/>
              <w:bottom w:val="single" w:sz="4" w:space="0" w:color="auto"/>
              <w:right w:val="doub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核能發電</w:t>
            </w:r>
          </w:p>
        </w:tc>
        <w:tc>
          <w:tcPr>
            <w:tcW w:w="658" w:type="dxa"/>
            <w:tcBorders>
              <w:top w:val="nil"/>
              <w:left w:val="double" w:sz="4" w:space="0" w:color="auto"/>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31,440</w:t>
            </w:r>
          </w:p>
        </w:tc>
        <w:tc>
          <w:tcPr>
            <w:tcW w:w="518"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11.2</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27,788</w:t>
            </w:r>
          </w:p>
        </w:tc>
        <w:tc>
          <w:tcPr>
            <w:tcW w:w="490"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9.5</w:t>
            </w:r>
          </w:p>
        </w:tc>
        <w:tc>
          <w:tcPr>
            <w:tcW w:w="740"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23,755</w:t>
            </w:r>
          </w:p>
        </w:tc>
        <w:tc>
          <w:tcPr>
            <w:tcW w:w="474"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8.2</w:t>
            </w:r>
          </w:p>
        </w:tc>
        <w:tc>
          <w:tcPr>
            <w:tcW w:w="713"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17,802</w:t>
            </w:r>
          </w:p>
        </w:tc>
        <w:tc>
          <w:tcPr>
            <w:tcW w:w="517" w:type="dxa"/>
            <w:tcBorders>
              <w:top w:val="nil"/>
              <w:left w:val="nil"/>
              <w:bottom w:val="single" w:sz="4"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6.3</w:t>
            </w:r>
          </w:p>
        </w:tc>
        <w:tc>
          <w:tcPr>
            <w:tcW w:w="726" w:type="dxa"/>
            <w:tcBorders>
              <w:top w:val="nil"/>
              <w:left w:val="nil"/>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12,180</w:t>
            </w:r>
          </w:p>
        </w:tc>
        <w:tc>
          <w:tcPr>
            <w:tcW w:w="476" w:type="dxa"/>
            <w:tcBorders>
              <w:top w:val="nil"/>
              <w:left w:val="nil"/>
              <w:bottom w:val="single" w:sz="4" w:space="0" w:color="auto"/>
              <w:right w:val="doub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4.2</w:t>
            </w:r>
          </w:p>
        </w:tc>
        <w:tc>
          <w:tcPr>
            <w:tcW w:w="656" w:type="dxa"/>
            <w:tcBorders>
              <w:top w:val="nil"/>
              <w:left w:val="double" w:sz="4" w:space="0" w:color="auto"/>
              <w:bottom w:val="single" w:sz="4"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2,843</w:t>
            </w:r>
          </w:p>
        </w:tc>
        <w:tc>
          <w:tcPr>
            <w:tcW w:w="627" w:type="dxa"/>
            <w:tcBorders>
              <w:top w:val="nil"/>
              <w:left w:val="nil"/>
              <w:bottom w:val="single" w:sz="4" w:space="0" w:color="auto"/>
              <w:right w:val="single" w:sz="12"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3.3</w:t>
            </w:r>
          </w:p>
        </w:tc>
      </w:tr>
      <w:tr w:rsidR="00C27DAE" w:rsidRPr="00C27DAE" w:rsidTr="00461CF1">
        <w:tc>
          <w:tcPr>
            <w:tcW w:w="1300" w:type="dxa"/>
            <w:gridSpan w:val="3"/>
            <w:tcBorders>
              <w:top w:val="single" w:sz="4" w:space="0" w:color="auto"/>
              <w:left w:val="single" w:sz="12" w:space="0" w:color="auto"/>
              <w:bottom w:val="single" w:sz="12" w:space="0" w:color="auto"/>
              <w:right w:val="double" w:sz="4" w:space="0" w:color="auto"/>
            </w:tcBorders>
            <w:shd w:val="clear" w:color="auto" w:fill="auto"/>
            <w:vAlign w:val="center"/>
            <w:hideMark/>
          </w:tcPr>
          <w:p w:rsidR="00C27DAE" w:rsidRPr="00C27DAE" w:rsidRDefault="00C27DAE" w:rsidP="005245B7">
            <w:pPr>
              <w:pStyle w:val="142"/>
              <w:jc w:val="center"/>
              <w:rPr>
                <w:rFonts w:hint="eastAsia"/>
                <w:snapToGrid/>
                <w:spacing w:val="-20"/>
                <w:w w:val="85"/>
              </w:rPr>
            </w:pPr>
            <w:r w:rsidRPr="00C27DAE">
              <w:rPr>
                <w:rFonts w:hint="eastAsia"/>
                <w:snapToGrid/>
                <w:spacing w:val="-20"/>
                <w:w w:val="85"/>
              </w:rPr>
              <w:t>抽蓄水力</w:t>
            </w:r>
          </w:p>
        </w:tc>
        <w:tc>
          <w:tcPr>
            <w:tcW w:w="658" w:type="dxa"/>
            <w:tcBorders>
              <w:top w:val="nil"/>
              <w:left w:val="double" w:sz="4" w:space="0" w:color="auto"/>
              <w:bottom w:val="single" w:sz="12"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3,159</w:t>
            </w:r>
          </w:p>
        </w:tc>
        <w:tc>
          <w:tcPr>
            <w:tcW w:w="518" w:type="dxa"/>
            <w:tcBorders>
              <w:top w:val="nil"/>
              <w:left w:val="nil"/>
              <w:bottom w:val="single" w:sz="12"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1.1</w:t>
            </w:r>
          </w:p>
        </w:tc>
        <w:tc>
          <w:tcPr>
            <w:tcW w:w="658" w:type="dxa"/>
            <w:tcBorders>
              <w:top w:val="nil"/>
              <w:left w:val="single" w:sz="4" w:space="0" w:color="auto"/>
              <w:bottom w:val="single" w:sz="12"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3,184</w:t>
            </w:r>
          </w:p>
        </w:tc>
        <w:tc>
          <w:tcPr>
            <w:tcW w:w="490" w:type="dxa"/>
            <w:tcBorders>
              <w:top w:val="nil"/>
              <w:left w:val="nil"/>
              <w:bottom w:val="single" w:sz="12"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1.1</w:t>
            </w:r>
          </w:p>
        </w:tc>
        <w:tc>
          <w:tcPr>
            <w:tcW w:w="740" w:type="dxa"/>
            <w:tcBorders>
              <w:top w:val="nil"/>
              <w:left w:val="nil"/>
              <w:bottom w:val="single" w:sz="12"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3,062</w:t>
            </w:r>
          </w:p>
        </w:tc>
        <w:tc>
          <w:tcPr>
            <w:tcW w:w="474" w:type="dxa"/>
            <w:tcBorders>
              <w:top w:val="nil"/>
              <w:left w:val="nil"/>
              <w:bottom w:val="single" w:sz="12"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1.1</w:t>
            </w:r>
          </w:p>
        </w:tc>
        <w:tc>
          <w:tcPr>
            <w:tcW w:w="713" w:type="dxa"/>
            <w:tcBorders>
              <w:top w:val="nil"/>
              <w:left w:val="nil"/>
              <w:bottom w:val="single" w:sz="12"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3,051</w:t>
            </w:r>
          </w:p>
        </w:tc>
        <w:tc>
          <w:tcPr>
            <w:tcW w:w="517" w:type="dxa"/>
            <w:tcBorders>
              <w:top w:val="nil"/>
              <w:left w:val="nil"/>
              <w:bottom w:val="single" w:sz="12" w:space="0" w:color="auto"/>
              <w:right w:val="sing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1.1</w:t>
            </w:r>
          </w:p>
        </w:tc>
        <w:tc>
          <w:tcPr>
            <w:tcW w:w="726" w:type="dxa"/>
            <w:tcBorders>
              <w:top w:val="nil"/>
              <w:left w:val="nil"/>
              <w:bottom w:val="single" w:sz="12"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3,075</w:t>
            </w:r>
          </w:p>
        </w:tc>
        <w:tc>
          <w:tcPr>
            <w:tcW w:w="476" w:type="dxa"/>
            <w:tcBorders>
              <w:top w:val="nil"/>
              <w:left w:val="nil"/>
              <w:bottom w:val="single" w:sz="12" w:space="0" w:color="auto"/>
              <w:right w:val="double" w:sz="4" w:space="0" w:color="auto"/>
            </w:tcBorders>
            <w:shd w:val="clear" w:color="auto" w:fill="auto"/>
            <w:noWrap/>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1.1</w:t>
            </w:r>
          </w:p>
        </w:tc>
        <w:tc>
          <w:tcPr>
            <w:tcW w:w="656" w:type="dxa"/>
            <w:tcBorders>
              <w:top w:val="nil"/>
              <w:left w:val="double" w:sz="4" w:space="0" w:color="auto"/>
              <w:bottom w:val="single" w:sz="12" w:space="0" w:color="auto"/>
              <w:right w:val="single" w:sz="4"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1,009</w:t>
            </w:r>
          </w:p>
        </w:tc>
        <w:tc>
          <w:tcPr>
            <w:tcW w:w="627" w:type="dxa"/>
            <w:tcBorders>
              <w:top w:val="nil"/>
              <w:left w:val="nil"/>
              <w:bottom w:val="single" w:sz="12" w:space="0" w:color="auto"/>
              <w:right w:val="single" w:sz="12" w:space="0" w:color="auto"/>
            </w:tcBorders>
            <w:shd w:val="clear" w:color="auto" w:fill="auto"/>
            <w:vAlign w:val="center"/>
            <w:hideMark/>
          </w:tcPr>
          <w:p w:rsidR="00C27DAE" w:rsidRPr="00C27DAE" w:rsidRDefault="00C27DAE" w:rsidP="00C27DAE">
            <w:pPr>
              <w:pStyle w:val="142"/>
              <w:jc w:val="right"/>
              <w:rPr>
                <w:rFonts w:hint="eastAsia"/>
                <w:snapToGrid/>
                <w:spacing w:val="-20"/>
                <w:w w:val="85"/>
              </w:rPr>
            </w:pPr>
            <w:r w:rsidRPr="00C27DAE">
              <w:rPr>
                <w:rFonts w:hint="eastAsia"/>
                <w:snapToGrid/>
                <w:spacing w:val="-20"/>
                <w:w w:val="85"/>
              </w:rPr>
              <w:t>1.2</w:t>
            </w:r>
          </w:p>
        </w:tc>
      </w:tr>
    </w:tbl>
    <w:p w:rsidR="00935D76" w:rsidRDefault="00935D76" w:rsidP="00935D76">
      <w:pPr>
        <w:pStyle w:val="142"/>
        <w:rPr>
          <w:rFonts w:hint="eastAsia"/>
          <w:color w:val="000000"/>
        </w:rPr>
      </w:pPr>
      <w:r w:rsidRPr="00FD2245">
        <w:rPr>
          <w:rFonts w:hint="eastAsia"/>
        </w:rPr>
        <w:t>資料來源：經濟部能源署能源統計月報。</w:t>
      </w:r>
    </w:p>
    <w:p w:rsidR="008241CA" w:rsidRPr="008B7D0B" w:rsidRDefault="008241CA" w:rsidP="0008703E">
      <w:pPr>
        <w:pStyle w:val="a5"/>
        <w:ind w:left="849" w:hanging="283"/>
        <w:rPr>
          <w:rFonts w:hint="eastAsia"/>
          <w:b/>
          <w:color w:val="000000"/>
        </w:rPr>
      </w:pPr>
      <w:r w:rsidRPr="008B7D0B">
        <w:rPr>
          <w:rFonts w:hint="eastAsia"/>
          <w:b/>
        </w:rPr>
        <w:t>(</w:t>
      </w:r>
      <w:r w:rsidR="00E51E35" w:rsidRPr="008B7D0B">
        <w:rPr>
          <w:rFonts w:hint="eastAsia"/>
          <w:b/>
        </w:rPr>
        <w:t>三</w:t>
      </w:r>
      <w:r w:rsidRPr="008B7D0B">
        <w:rPr>
          <w:rFonts w:hint="eastAsia"/>
          <w:b/>
        </w:rPr>
        <w:t>)</w:t>
      </w:r>
      <w:r w:rsidR="008B7D0B" w:rsidRPr="008B7D0B">
        <w:rPr>
          <w:rFonts w:hint="eastAsia"/>
          <w:b/>
        </w:rPr>
        <w:t>行政院及經濟部113年10月間向本院提出專案報告，基於執行現況，</w:t>
      </w:r>
      <w:r w:rsidR="00A64B98">
        <w:rPr>
          <w:rFonts w:hint="eastAsia"/>
          <w:b/>
        </w:rPr>
        <w:t>原訂</w:t>
      </w:r>
      <w:r w:rsidR="006353F8">
        <w:rPr>
          <w:rFonts w:hint="eastAsia"/>
          <w:b/>
        </w:rPr>
        <w:t>114年度</w:t>
      </w:r>
      <w:r w:rsidR="008B7D0B" w:rsidRPr="008B7D0B">
        <w:rPr>
          <w:rFonts w:hint="eastAsia"/>
          <w:b/>
        </w:rPr>
        <w:t>太陽光電之</w:t>
      </w:r>
      <w:r w:rsidR="001C50C4">
        <w:rPr>
          <w:rFonts w:hint="eastAsia"/>
          <w:b/>
        </w:rPr>
        <w:t>20</w:t>
      </w:r>
      <w:r w:rsidR="001C50C4">
        <w:rPr>
          <w:b/>
        </w:rPr>
        <w:t>GW</w:t>
      </w:r>
      <w:r w:rsidR="008B7D0B" w:rsidRPr="008B7D0B">
        <w:rPr>
          <w:rFonts w:hint="eastAsia"/>
          <w:b/>
        </w:rPr>
        <w:t>目標</w:t>
      </w:r>
      <w:r w:rsidR="0078549F">
        <w:rPr>
          <w:rFonts w:hint="eastAsia"/>
          <w:b/>
        </w:rPr>
        <w:t>展延至</w:t>
      </w:r>
      <w:r w:rsidR="008B7D0B" w:rsidRPr="008B7D0B">
        <w:rPr>
          <w:rFonts w:hint="eastAsia"/>
          <w:b/>
        </w:rPr>
        <w:t>115年度達成</w:t>
      </w:r>
    </w:p>
    <w:p w:rsidR="008241CA" w:rsidRDefault="008241CA" w:rsidP="008241CA">
      <w:pPr>
        <w:pStyle w:val="22"/>
        <w:ind w:left="850" w:firstLine="566"/>
      </w:pPr>
      <w:r>
        <w:rPr>
          <w:rFonts w:hint="eastAsia"/>
        </w:rPr>
        <w:lastRenderedPageBreak/>
        <w:t>經濟部能源署說明略以，</w:t>
      </w:r>
      <w:r w:rsidRPr="000B4512">
        <w:rPr>
          <w:rFonts w:hint="eastAsia"/>
        </w:rPr>
        <w:t>經濟部</w:t>
      </w:r>
      <w:r>
        <w:rPr>
          <w:rFonts w:hint="eastAsia"/>
        </w:rPr>
        <w:t>及行政院</w:t>
      </w:r>
      <w:r w:rsidRPr="000B4512">
        <w:rPr>
          <w:rFonts w:hint="eastAsia"/>
        </w:rPr>
        <w:t>於113年10月16日</w:t>
      </w:r>
      <w:r>
        <w:rPr>
          <w:rFonts w:hint="eastAsia"/>
        </w:rPr>
        <w:t>及</w:t>
      </w:r>
      <w:r w:rsidRPr="000B4512">
        <w:rPr>
          <w:rFonts w:hint="eastAsia"/>
        </w:rPr>
        <w:t>29日向</w:t>
      </w:r>
      <w:r>
        <w:rPr>
          <w:rFonts w:hint="eastAsia"/>
        </w:rPr>
        <w:t>本</w:t>
      </w:r>
      <w:r w:rsidRPr="000B4512">
        <w:rPr>
          <w:rFonts w:hint="eastAsia"/>
        </w:rPr>
        <w:t>院</w:t>
      </w:r>
      <w:r>
        <w:rPr>
          <w:rFonts w:hint="eastAsia"/>
        </w:rPr>
        <w:t>各</w:t>
      </w:r>
      <w:r w:rsidRPr="000B4512">
        <w:rPr>
          <w:rFonts w:hint="eastAsia"/>
        </w:rPr>
        <w:t>提出「我國電力能源配比執行現況與未來規劃專案報告」</w:t>
      </w:r>
      <w:r>
        <w:rPr>
          <w:rFonts w:hint="eastAsia"/>
        </w:rPr>
        <w:t>及</w:t>
      </w:r>
      <w:r w:rsidRPr="000B4512">
        <w:rPr>
          <w:rFonts w:hint="eastAsia"/>
        </w:rPr>
        <w:t>「能源配比及電價政策專案報告」</w:t>
      </w:r>
      <w:r>
        <w:rPr>
          <w:rFonts w:hint="eastAsia"/>
        </w:rPr>
        <w:t>，基於</w:t>
      </w:r>
      <w:r w:rsidRPr="000B4512">
        <w:rPr>
          <w:rFonts w:hint="eastAsia"/>
        </w:rPr>
        <w:t>因應實際推動情形，</w:t>
      </w:r>
      <w:r>
        <w:rPr>
          <w:rFonts w:hint="eastAsia"/>
        </w:rPr>
        <w:t>業</w:t>
      </w:r>
      <w:r w:rsidRPr="000B4512">
        <w:rPr>
          <w:rFonts w:hint="eastAsia"/>
        </w:rPr>
        <w:t>將太陽光電之政策目標進行調整，修正為於</w:t>
      </w:r>
      <w:r>
        <w:rPr>
          <w:rFonts w:hint="eastAsia"/>
        </w:rPr>
        <w:t>115</w:t>
      </w:r>
      <w:r>
        <w:rPr>
          <w:rFonts w:hint="eastAsia"/>
        </w:rPr>
        <w:lastRenderedPageBreak/>
        <w:t>年度</w:t>
      </w:r>
      <w:r w:rsidRPr="000B4512">
        <w:rPr>
          <w:rFonts w:hint="eastAsia"/>
        </w:rPr>
        <w:t>達成20GW之裝置容量</w:t>
      </w:r>
      <w:r>
        <w:rPr>
          <w:rFonts w:hint="eastAsia"/>
        </w:rPr>
        <w:t>，並</w:t>
      </w:r>
      <w:r w:rsidRPr="00486A25">
        <w:rPr>
          <w:rFonts w:hint="eastAsia"/>
        </w:rPr>
        <w:t>將持續發展再生能源，搭配燃氣機組，於119年達成再生能源</w:t>
      </w:r>
      <w:r w:rsidR="00FC1828">
        <w:rPr>
          <w:rFonts w:hint="eastAsia"/>
        </w:rPr>
        <w:t>、燃</w:t>
      </w:r>
      <w:r w:rsidR="00890B07">
        <w:rPr>
          <w:rFonts w:hint="eastAsia"/>
        </w:rPr>
        <w:t>氣及燃煤</w:t>
      </w:r>
      <w:r w:rsidRPr="00486A25">
        <w:rPr>
          <w:rFonts w:hint="eastAsia"/>
        </w:rPr>
        <w:t>發電占比</w:t>
      </w:r>
      <w:r w:rsidR="00890B07">
        <w:rPr>
          <w:rFonts w:hint="eastAsia"/>
        </w:rPr>
        <w:t>各為</w:t>
      </w:r>
      <w:r w:rsidRPr="00486A25">
        <w:rPr>
          <w:rFonts w:hint="eastAsia"/>
        </w:rPr>
        <w:t>30%</w:t>
      </w:r>
      <w:r w:rsidR="00890B07">
        <w:rPr>
          <w:rFonts w:hint="eastAsia"/>
        </w:rPr>
        <w:t>、</w:t>
      </w:r>
      <w:r w:rsidRPr="00486A25">
        <w:rPr>
          <w:rFonts w:hint="eastAsia"/>
        </w:rPr>
        <w:t>50%</w:t>
      </w:r>
      <w:r w:rsidR="00890B07">
        <w:rPr>
          <w:rFonts w:hint="eastAsia"/>
        </w:rPr>
        <w:t>及2</w:t>
      </w:r>
      <w:r w:rsidRPr="00486A25">
        <w:rPr>
          <w:rFonts w:hint="eastAsia"/>
        </w:rPr>
        <w:t>0%，</w:t>
      </w:r>
      <w:r w:rsidR="00381AD8">
        <w:rPr>
          <w:rFonts w:hint="eastAsia"/>
        </w:rPr>
        <w:t>以</w:t>
      </w:r>
      <w:r w:rsidRPr="00486A25">
        <w:rPr>
          <w:rFonts w:hint="eastAsia"/>
        </w:rPr>
        <w:t>兼顧穩定供電與環境保護</w:t>
      </w:r>
      <w:r w:rsidR="00381AD8">
        <w:rPr>
          <w:rFonts w:hint="eastAsia"/>
        </w:rPr>
        <w:t>，另</w:t>
      </w:r>
      <w:r w:rsidRPr="00486A25">
        <w:rPr>
          <w:rFonts w:hint="eastAsia"/>
        </w:rPr>
        <w:t>台電公司已備妥因應措施，包含調度儲能系統及抽蓄水力等，再結合需求管理措施(電價時間帶調整、需量反應方案等)及擴大輔助服務等作法下，</w:t>
      </w:r>
      <w:r>
        <w:rPr>
          <w:rFonts w:hint="eastAsia"/>
        </w:rPr>
        <w:t>俾</w:t>
      </w:r>
      <w:r w:rsidRPr="00486A25">
        <w:rPr>
          <w:rFonts w:hint="eastAsia"/>
        </w:rPr>
        <w:t>確保供電無虞。</w:t>
      </w:r>
    </w:p>
    <w:p w:rsidR="00E51E35" w:rsidRPr="008241CA" w:rsidRDefault="00E51E35" w:rsidP="00E51E35">
      <w:pPr>
        <w:pStyle w:val="a5"/>
        <w:ind w:left="849" w:hanging="283"/>
        <w:rPr>
          <w:rFonts w:hint="eastAsia"/>
          <w:color w:val="000000"/>
        </w:rPr>
      </w:pPr>
      <w:r w:rsidRPr="00FF6515">
        <w:rPr>
          <w:rFonts w:hint="eastAsia"/>
          <w:b/>
        </w:rPr>
        <w:t>(</w:t>
      </w:r>
      <w:r>
        <w:rPr>
          <w:rFonts w:hint="eastAsia"/>
          <w:b/>
        </w:rPr>
        <w:t>四</w:t>
      </w:r>
      <w:r w:rsidRPr="00FF6515">
        <w:rPr>
          <w:rFonts w:hint="eastAsia"/>
          <w:b/>
        </w:rPr>
        <w:t>)</w:t>
      </w:r>
      <w:r>
        <w:rPr>
          <w:rFonts w:hint="eastAsia"/>
          <w:b/>
        </w:rPr>
        <w:t>再生能源發展條例第6條明定推廣總量下限值</w:t>
      </w:r>
      <w:r w:rsidR="000A1A90">
        <w:rPr>
          <w:rFonts w:hint="eastAsia"/>
          <w:b/>
        </w:rPr>
        <w:t>目標期限114年度</w:t>
      </w:r>
      <w:r w:rsidR="0078549F">
        <w:rPr>
          <w:rFonts w:hint="eastAsia"/>
          <w:b/>
        </w:rPr>
        <w:t>將屆期</w:t>
      </w:r>
      <w:r w:rsidRPr="008241CA">
        <w:rPr>
          <w:rFonts w:hint="eastAsia"/>
          <w:b/>
        </w:rPr>
        <w:t>，</w:t>
      </w:r>
      <w:r w:rsidR="000A1A90">
        <w:rPr>
          <w:rFonts w:hint="eastAsia"/>
          <w:b/>
        </w:rPr>
        <w:t>且</w:t>
      </w:r>
      <w:r w:rsidR="0078549F">
        <w:rPr>
          <w:rFonts w:hint="eastAsia"/>
          <w:b/>
        </w:rPr>
        <w:t>應</w:t>
      </w:r>
      <w:r w:rsidR="000A1A90">
        <w:rPr>
          <w:rFonts w:hint="eastAsia"/>
          <w:b/>
        </w:rPr>
        <w:t>按本院108</w:t>
      </w:r>
      <w:r w:rsidR="0078549F">
        <w:rPr>
          <w:rFonts w:hint="eastAsia"/>
          <w:b/>
        </w:rPr>
        <w:t>年審議該條例所作</w:t>
      </w:r>
      <w:r w:rsidR="000A1A90">
        <w:rPr>
          <w:rFonts w:hint="eastAsia"/>
          <w:b/>
        </w:rPr>
        <w:t>附帶決議</w:t>
      </w:r>
      <w:r w:rsidR="00197972">
        <w:rPr>
          <w:rFonts w:hint="eastAsia"/>
          <w:b/>
        </w:rPr>
        <w:t>，</w:t>
      </w:r>
      <w:r w:rsidR="0078549F">
        <w:rPr>
          <w:rFonts w:hint="eastAsia"/>
          <w:b/>
        </w:rPr>
        <w:t>逐年檢討</w:t>
      </w:r>
      <w:r w:rsidR="000A1A90">
        <w:rPr>
          <w:rFonts w:hint="eastAsia"/>
          <w:b/>
        </w:rPr>
        <w:t>提出成效與對策報告</w:t>
      </w:r>
    </w:p>
    <w:p w:rsidR="00EF30FF" w:rsidRDefault="00EF30FF" w:rsidP="008241CA">
      <w:pPr>
        <w:pStyle w:val="22"/>
        <w:ind w:left="850" w:firstLine="566"/>
      </w:pPr>
      <w:r>
        <w:rPr>
          <w:rFonts w:hint="eastAsia"/>
        </w:rPr>
        <w:t>按再生能源發展條例第6條第1</w:t>
      </w:r>
      <w:r w:rsidR="0078549F">
        <w:rPr>
          <w:rFonts w:hint="eastAsia"/>
        </w:rPr>
        <w:t>項所定</w:t>
      </w:r>
      <w:r w:rsidRPr="0074211F">
        <w:rPr>
          <w:rFonts w:hint="eastAsia"/>
        </w:rPr>
        <w:t>規劃</w:t>
      </w:r>
      <w:r>
        <w:rPr>
          <w:rFonts w:hint="eastAsia"/>
        </w:rPr>
        <w:t>114年</w:t>
      </w:r>
      <w:r w:rsidRPr="0074211F">
        <w:rPr>
          <w:rFonts w:hint="eastAsia"/>
        </w:rPr>
        <w:t>再生能源發電設備推廣目標總量達</w:t>
      </w:r>
      <w:r>
        <w:rPr>
          <w:rFonts w:hint="eastAsia"/>
        </w:rPr>
        <w:t>2</w:t>
      </w:r>
      <w:r>
        <w:t>,700</w:t>
      </w:r>
      <w:r>
        <w:rPr>
          <w:rFonts w:hint="eastAsia"/>
        </w:rPr>
        <w:t>萬</w:t>
      </w:r>
      <w:r w:rsidRPr="0074211F">
        <w:rPr>
          <w:rFonts w:hint="eastAsia"/>
        </w:rPr>
        <w:t>瓩以上</w:t>
      </w:r>
      <w:r>
        <w:rPr>
          <w:rFonts w:hint="eastAsia"/>
        </w:rPr>
        <w:t>，</w:t>
      </w:r>
      <w:r w:rsidR="00A24980">
        <w:rPr>
          <w:rFonts w:hint="eastAsia"/>
        </w:rPr>
        <w:t>其修法</w:t>
      </w:r>
      <w:r>
        <w:rPr>
          <w:rFonts w:hint="eastAsia"/>
        </w:rPr>
        <w:t>理由略以</w:t>
      </w:r>
      <w:r>
        <w:rPr>
          <w:rStyle w:val="af7"/>
        </w:rPr>
        <w:footnoteReference w:id="5"/>
      </w:r>
      <w:r>
        <w:rPr>
          <w:rFonts w:hint="eastAsia"/>
        </w:rPr>
        <w:t>，</w:t>
      </w:r>
      <w:r w:rsidR="00A24980" w:rsidRPr="00A24980">
        <w:rPr>
          <w:rFonts w:hint="eastAsia"/>
        </w:rPr>
        <w:t>國際上推動再生能源政策普遍規定目標量年限隨推動進程調整</w:t>
      </w:r>
      <w:r w:rsidR="00A24980">
        <w:rPr>
          <w:rFonts w:hint="eastAsia"/>
        </w:rPr>
        <w:t>，</w:t>
      </w:r>
      <w:r w:rsidR="00A24980" w:rsidRPr="00A24980">
        <w:rPr>
          <w:rFonts w:hint="eastAsia"/>
        </w:rPr>
        <w:t>且考量政策論述、政策願景說明上多以推廣目標總量為主，亦便於檢討政策推廣情形之成效</w:t>
      </w:r>
      <w:r w:rsidR="00A24980">
        <w:rPr>
          <w:rFonts w:hint="eastAsia"/>
        </w:rPr>
        <w:t>，爰</w:t>
      </w:r>
      <w:r w:rsidR="00A24980" w:rsidRPr="00A24980">
        <w:rPr>
          <w:rFonts w:hint="eastAsia"/>
        </w:rPr>
        <w:t>將推廣目標總量規劃於114年提升為「二千七百萬瓩以上」，以明確推廣政策之目標。</w:t>
      </w:r>
    </w:p>
    <w:p w:rsidR="008241CA" w:rsidRDefault="00A24980" w:rsidP="008241CA">
      <w:pPr>
        <w:pStyle w:val="22"/>
        <w:ind w:left="850" w:firstLine="566"/>
      </w:pPr>
      <w:r>
        <w:rPr>
          <w:rFonts w:hint="eastAsia"/>
        </w:rPr>
        <w:t>另</w:t>
      </w:r>
      <w:r w:rsidR="0008703E">
        <w:rPr>
          <w:rFonts w:hint="eastAsia"/>
        </w:rPr>
        <w:t>本院108年審議</w:t>
      </w:r>
      <w:r w:rsidR="0078549F">
        <w:rPr>
          <w:rFonts w:hint="eastAsia"/>
        </w:rPr>
        <w:t>前開</w:t>
      </w:r>
      <w:r w:rsidR="0008703E">
        <w:rPr>
          <w:rFonts w:hint="eastAsia"/>
        </w:rPr>
        <w:t>再生能源發展條例修正草案所作附帶決議(三)：「</w:t>
      </w:r>
      <w:r w:rsidR="008241CA">
        <w:rPr>
          <w:rFonts w:hint="eastAsia"/>
        </w:rPr>
        <w:t>為充分發揮備查之效益，中央主管機關依第六條在逐年檢討及訂定未來二年再生能源推廣總裝置容量目標及各</w:t>
      </w:r>
      <w:r w:rsidR="008241CA">
        <w:rPr>
          <w:rFonts w:hint="eastAsia"/>
        </w:rPr>
        <w:lastRenderedPageBreak/>
        <w:t>類別再生能源所占比率時，應按</w:t>
      </w:r>
      <w:r>
        <w:rPr>
          <w:rFonts w:hint="eastAsia"/>
        </w:rPr>
        <w:t>『</w:t>
      </w:r>
      <w:r w:rsidR="008241CA">
        <w:rPr>
          <w:rFonts w:hint="eastAsia"/>
        </w:rPr>
        <w:t>獎勵措施</w:t>
      </w:r>
      <w:r>
        <w:rPr>
          <w:rFonts w:hint="eastAsia"/>
        </w:rPr>
        <w:t>』</w:t>
      </w:r>
      <w:r w:rsidR="008241CA">
        <w:rPr>
          <w:rFonts w:hint="eastAsia"/>
        </w:rPr>
        <w:t>、</w:t>
      </w:r>
      <w:r>
        <w:rPr>
          <w:rFonts w:hint="eastAsia"/>
        </w:rPr>
        <w:t>『</w:t>
      </w:r>
      <w:r w:rsidR="008241CA">
        <w:rPr>
          <w:rFonts w:hint="eastAsia"/>
        </w:rPr>
        <w:t>具體規劃</w:t>
      </w:r>
      <w:r>
        <w:rPr>
          <w:rFonts w:hint="eastAsia"/>
        </w:rPr>
        <w:t>』</w:t>
      </w:r>
      <w:r w:rsidR="008241CA">
        <w:rPr>
          <w:rFonts w:hint="eastAsia"/>
        </w:rPr>
        <w:t>、</w:t>
      </w:r>
      <w:r>
        <w:rPr>
          <w:rFonts w:hint="eastAsia"/>
        </w:rPr>
        <w:t>『</w:t>
      </w:r>
      <w:r w:rsidR="008241CA">
        <w:rPr>
          <w:rFonts w:hint="eastAsia"/>
        </w:rPr>
        <w:t>協調相關部會</w:t>
      </w:r>
      <w:r>
        <w:rPr>
          <w:rFonts w:hint="eastAsia"/>
        </w:rPr>
        <w:t>』</w:t>
      </w:r>
      <w:r w:rsidR="008241CA">
        <w:rPr>
          <w:rFonts w:hint="eastAsia"/>
        </w:rPr>
        <w:t>等三大事項，</w:t>
      </w:r>
      <w:r>
        <w:rPr>
          <w:rFonts w:hint="eastAsia"/>
        </w:rPr>
        <w:t>就</w:t>
      </w:r>
      <w:r w:rsidR="008241CA">
        <w:rPr>
          <w:rFonts w:hint="eastAsia"/>
        </w:rPr>
        <w:t>前期之推動成效、面臨之障礙、解決之對策與建議提出報告。</w:t>
      </w:r>
      <w:r w:rsidR="0008703E">
        <w:rPr>
          <w:rFonts w:hint="eastAsia"/>
        </w:rPr>
        <w:t>」</w:t>
      </w:r>
    </w:p>
    <w:p w:rsidR="00E469FF" w:rsidRPr="00E469FF" w:rsidRDefault="00EF30FF" w:rsidP="00966E83">
      <w:pPr>
        <w:pStyle w:val="22"/>
        <w:ind w:left="850" w:firstLine="566"/>
      </w:pPr>
      <w:r>
        <w:rPr>
          <w:rFonts w:hint="eastAsia"/>
        </w:rPr>
        <w:t>衡酌</w:t>
      </w:r>
      <w:r w:rsidR="00197972">
        <w:rPr>
          <w:rFonts w:hint="eastAsia"/>
        </w:rPr>
        <w:t>再生能源發展條例第6條第1項所明定之</w:t>
      </w:r>
      <w:r w:rsidRPr="0074211F">
        <w:rPr>
          <w:rFonts w:hint="eastAsia"/>
        </w:rPr>
        <w:t>再生能源發電設備推廣目標總量達</w:t>
      </w:r>
      <w:r>
        <w:rPr>
          <w:rFonts w:hint="eastAsia"/>
        </w:rPr>
        <w:t>2</w:t>
      </w:r>
      <w:r>
        <w:t>,700</w:t>
      </w:r>
      <w:r>
        <w:rPr>
          <w:rFonts w:hint="eastAsia"/>
        </w:rPr>
        <w:t>萬</w:t>
      </w:r>
      <w:r w:rsidRPr="0074211F">
        <w:rPr>
          <w:rFonts w:hint="eastAsia"/>
        </w:rPr>
        <w:t>瓩</w:t>
      </w:r>
      <w:r w:rsidR="00A24980">
        <w:rPr>
          <w:rFonts w:hint="eastAsia"/>
        </w:rPr>
        <w:t>之下限值目標</w:t>
      </w:r>
      <w:r w:rsidR="00197972">
        <w:rPr>
          <w:rFonts w:hint="eastAsia"/>
        </w:rPr>
        <w:t>年限114年度將屆期</w:t>
      </w:r>
      <w:r>
        <w:rPr>
          <w:rFonts w:hint="eastAsia"/>
        </w:rPr>
        <w:t>，若按執行現況已確實無法達致</w:t>
      </w:r>
      <w:r w:rsidR="00A24980">
        <w:rPr>
          <w:rFonts w:hint="eastAsia"/>
        </w:rPr>
        <w:t>該</w:t>
      </w:r>
      <w:r>
        <w:rPr>
          <w:rFonts w:hint="eastAsia"/>
        </w:rPr>
        <w:t>目標，允宜務實檢討</w:t>
      </w:r>
      <w:r w:rsidR="00A24980">
        <w:rPr>
          <w:rFonts w:hint="eastAsia"/>
        </w:rPr>
        <w:t>政策推廣成效，並依本院附帶決議提出對策與建議報告</w:t>
      </w:r>
      <w:r>
        <w:rPr>
          <w:rFonts w:hint="eastAsia"/>
        </w:rPr>
        <w:t>，</w:t>
      </w:r>
      <w:r w:rsidR="00197972">
        <w:rPr>
          <w:rFonts w:hint="eastAsia"/>
        </w:rPr>
        <w:t>以及</w:t>
      </w:r>
      <w:r>
        <w:rPr>
          <w:rFonts w:hint="eastAsia"/>
        </w:rPr>
        <w:t>審酌修</w:t>
      </w:r>
      <w:r w:rsidR="00A24980">
        <w:rPr>
          <w:rFonts w:hint="eastAsia"/>
        </w:rPr>
        <w:t>法</w:t>
      </w:r>
      <w:r>
        <w:rPr>
          <w:rFonts w:hint="eastAsia"/>
        </w:rPr>
        <w:t>調整該條例規定目標。</w:t>
      </w:r>
      <w:bookmarkEnd w:id="0"/>
    </w:p>
    <w:sectPr w:rsidR="00E469FF" w:rsidRPr="00E469FF" w:rsidSect="00C27DA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966E83" w:rsidRPr="00966E8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 w:id="1">
    <w:p w:rsidR="008F4B8E" w:rsidRPr="00FC1F19" w:rsidRDefault="008F4B8E" w:rsidP="008241CA">
      <w:pPr>
        <w:pStyle w:val="142"/>
        <w:ind w:leftChars="-5" w:left="168" w:hangingChars="75" w:hanging="182"/>
        <w:jc w:val="both"/>
        <w:rPr>
          <w:rFonts w:hint="eastAsia"/>
        </w:rPr>
      </w:pPr>
      <w:r>
        <w:rPr>
          <w:rStyle w:val="af7"/>
        </w:rPr>
        <w:footnoteRef/>
      </w:r>
      <w:r>
        <w:t xml:space="preserve"> </w:t>
      </w:r>
      <w:r>
        <w:rPr>
          <w:rFonts w:hint="eastAsia"/>
        </w:rPr>
        <w:t>再生能源發展條例第6條第1項規定：「</w:t>
      </w:r>
      <w:r w:rsidRPr="00EC6949">
        <w:rPr>
          <w:rFonts w:hint="eastAsia"/>
        </w:rPr>
        <w:t>中央主管機關得考量國內再生能源開發潛力、對國內經濟及電力供應穩定之影響，訂定未來</w:t>
      </w:r>
      <w:r w:rsidR="00083967">
        <w:rPr>
          <w:rFonts w:hint="eastAsia"/>
        </w:rPr>
        <w:t>2</w:t>
      </w:r>
      <w:r w:rsidRPr="00EC6949">
        <w:rPr>
          <w:rFonts w:hint="eastAsia"/>
        </w:rPr>
        <w:t>年及中華民國</w:t>
      </w:r>
      <w:r w:rsidR="00083967">
        <w:rPr>
          <w:rFonts w:hint="eastAsia"/>
        </w:rPr>
        <w:t>114</w:t>
      </w:r>
      <w:r w:rsidRPr="00EC6949">
        <w:rPr>
          <w:rFonts w:hint="eastAsia"/>
        </w:rPr>
        <w:t>年再生能源推廣目標、各類別再生能源所占比率及其發展計畫與方案並公告之，另規劃</w:t>
      </w:r>
      <w:r w:rsidR="00C83C7F">
        <w:rPr>
          <w:rFonts w:hint="eastAsia"/>
        </w:rPr>
        <w:t>114</w:t>
      </w:r>
      <w:r w:rsidRPr="00EC6949">
        <w:rPr>
          <w:rFonts w:hint="eastAsia"/>
        </w:rPr>
        <w:t>年再生能源發電設備推廣目標總量達</w:t>
      </w:r>
      <w:r w:rsidR="00083967">
        <w:rPr>
          <w:rFonts w:hint="eastAsia"/>
        </w:rPr>
        <w:t>2</w:t>
      </w:r>
      <w:r w:rsidR="00083967">
        <w:t>,700</w:t>
      </w:r>
      <w:r w:rsidR="00083967">
        <w:rPr>
          <w:rFonts w:hint="eastAsia"/>
        </w:rPr>
        <w:t>萬</w:t>
      </w:r>
      <w:r w:rsidRPr="00EC6949">
        <w:rPr>
          <w:rFonts w:hint="eastAsia"/>
        </w:rPr>
        <w:t>瓩以上。</w:t>
      </w:r>
      <w:r>
        <w:rPr>
          <w:rFonts w:hint="eastAsia"/>
        </w:rPr>
        <w:t>」</w:t>
      </w:r>
    </w:p>
  </w:footnote>
  <w:footnote w:id="2">
    <w:p w:rsidR="008F4B8E" w:rsidRPr="001F0C9C" w:rsidRDefault="008F4B8E" w:rsidP="00EE5B65">
      <w:pPr>
        <w:pStyle w:val="142"/>
        <w:ind w:leftChars="-9" w:left="172" w:hangingChars="81" w:hanging="197"/>
        <w:rPr>
          <w:rFonts w:hint="eastAsia"/>
        </w:rPr>
      </w:pPr>
      <w:r>
        <w:rPr>
          <w:rStyle w:val="af7"/>
        </w:rPr>
        <w:footnoteRef/>
      </w:r>
      <w:r>
        <w:t xml:space="preserve"> </w:t>
      </w:r>
      <w:r>
        <w:rPr>
          <w:rFonts w:hint="eastAsia"/>
        </w:rPr>
        <w:t>參</w:t>
      </w:r>
      <w:r w:rsidRPr="001F0C9C">
        <w:rPr>
          <w:rFonts w:hint="eastAsia"/>
        </w:rPr>
        <w:t>「再生能源發展條例第六條第一項未來二年及中華民國一百十四年再生能源推廣目標各類別再生能源所占比率及其發展計畫與方案」</w:t>
      </w:r>
      <w:r>
        <w:rPr>
          <w:rFonts w:hint="eastAsia"/>
        </w:rPr>
        <w:t>。</w:t>
      </w:r>
    </w:p>
  </w:footnote>
  <w:footnote w:id="3">
    <w:p w:rsidR="008F4B8E" w:rsidRPr="00B944A0" w:rsidRDefault="008F4B8E" w:rsidP="00986A7A">
      <w:pPr>
        <w:pStyle w:val="142"/>
        <w:rPr>
          <w:rFonts w:hint="eastAsia"/>
        </w:rPr>
      </w:pPr>
      <w:r>
        <w:rPr>
          <w:rStyle w:val="af7"/>
        </w:rPr>
        <w:footnoteRef/>
      </w:r>
      <w:r>
        <w:t xml:space="preserve"> </w:t>
      </w:r>
      <w:r>
        <w:rPr>
          <w:rFonts w:hint="eastAsia"/>
        </w:rPr>
        <w:t>同註6。</w:t>
      </w:r>
    </w:p>
  </w:footnote>
  <w:footnote w:id="4">
    <w:p w:rsidR="008F4B8E" w:rsidRPr="00966926" w:rsidRDefault="008F4B8E" w:rsidP="001961BB">
      <w:pPr>
        <w:pStyle w:val="142"/>
        <w:ind w:leftChars="2" w:left="169" w:hangingChars="67" w:hanging="163"/>
        <w:jc w:val="both"/>
        <w:rPr>
          <w:rFonts w:hint="eastAsia"/>
        </w:rPr>
      </w:pPr>
      <w:r>
        <w:rPr>
          <w:rStyle w:val="af7"/>
        </w:rPr>
        <w:footnoteRef/>
      </w:r>
      <w:r>
        <w:t xml:space="preserve"> </w:t>
      </w:r>
      <w:r>
        <w:rPr>
          <w:rFonts w:hint="eastAsia"/>
        </w:rPr>
        <w:t>按經濟部</w:t>
      </w:r>
      <w:r w:rsidRPr="001F0C9C">
        <w:rPr>
          <w:rFonts w:hint="eastAsia"/>
        </w:rPr>
        <w:t>108年9月公布</w:t>
      </w:r>
      <w:r>
        <w:rPr>
          <w:rFonts w:hint="eastAsia"/>
        </w:rPr>
        <w:t>之再生能源推廣目標，114年度陸域及離岸風電裝置容量目標各為1.2GW及5.738GW</w:t>
      </w:r>
      <w:r>
        <w:rPr>
          <w:rFonts w:hint="eastAsia"/>
          <w:color w:val="000000"/>
        </w:rPr>
        <w:t>。</w:t>
      </w:r>
      <w:r>
        <w:rPr>
          <w:rFonts w:hint="eastAsia"/>
        </w:rPr>
        <w:t>行政院112年4月核定之</w:t>
      </w:r>
      <w:r w:rsidRPr="006D6DB3">
        <w:rPr>
          <w:rFonts w:hint="eastAsia"/>
        </w:rPr>
        <w:t>臺灣2050淨零轉型「風電/光電」關鍵戰略行動計畫</w:t>
      </w:r>
      <w:r>
        <w:rPr>
          <w:rFonts w:hint="eastAsia"/>
        </w:rPr>
        <w:t>之離岸風電總體績效指標下調為5.6GW</w:t>
      </w:r>
      <w:r>
        <w:rPr>
          <w:rFonts w:hint="eastAsia"/>
          <w:color w:val="000000"/>
        </w:rPr>
        <w:t>，加計陸域風電目標1.2GW，114年度風電目標</w:t>
      </w:r>
      <w:r w:rsidR="001961BB">
        <w:rPr>
          <w:rFonts w:hint="eastAsia"/>
          <w:color w:val="000000"/>
        </w:rPr>
        <w:t>為</w:t>
      </w:r>
      <w:r>
        <w:rPr>
          <w:rFonts w:hint="eastAsia"/>
          <w:color w:val="000000"/>
        </w:rPr>
        <w:t>6.8GW</w:t>
      </w:r>
      <w:r>
        <w:rPr>
          <w:rFonts w:hint="eastAsia"/>
        </w:rPr>
        <w:t>。</w:t>
      </w:r>
    </w:p>
  </w:footnote>
  <w:footnote w:id="5">
    <w:p w:rsidR="008F4B8E" w:rsidRPr="00EF30FF" w:rsidRDefault="008F4B8E" w:rsidP="00F15DC7">
      <w:pPr>
        <w:pStyle w:val="142"/>
        <w:ind w:left="251" w:hangingChars="103" w:hanging="251"/>
        <w:jc w:val="both"/>
        <w:rPr>
          <w:rFonts w:hint="eastAsia"/>
        </w:rPr>
      </w:pPr>
      <w:r>
        <w:rPr>
          <w:rStyle w:val="af7"/>
        </w:rPr>
        <w:footnoteRef/>
      </w:r>
      <w:r>
        <w:t xml:space="preserve"> </w:t>
      </w:r>
      <w:r w:rsidRPr="00BC2E47">
        <w:rPr>
          <w:rFonts w:hint="eastAsia"/>
        </w:rPr>
        <w:t>108年5月1日公布修正再生能源發展條例第6條第1項規定修正理由說明</w:t>
      </w:r>
      <w:r w:rsidR="0078549F">
        <w:rPr>
          <w:rFonts w:hint="eastAsia"/>
        </w:rPr>
        <w:t>略以，</w:t>
      </w:r>
      <w:r w:rsidRPr="00BC2E47">
        <w:rPr>
          <w:rFonts w:hint="eastAsia"/>
        </w:rPr>
        <w:t>鑒於國際上推動再生能源政策普遍規定目標量年限隨推動進程調整，對獎勵總量則多半保留彈性空間，且考量政策論述、政策願景說明上多以推廣目標總量為主，亦便於檢討政策推廣情形之成效，爰將原第二項前段所定「獎勵總量」修正為「推廣目標總量」，並將推廣目標總量規劃於114年提升為「二千七百萬瓩以上」，以明確推廣政策之目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6E83"/>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34D2E95-9FB6-4F43-8A24-3449864C2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2DF6C-7F86-4A33-939B-AAE9A362D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12</Pages>
  <Words>583</Words>
  <Characters>3329</Characters>
  <Application>Microsoft Office Word</Application>
  <DocSecurity>0</DocSecurity>
  <Lines>27</Lines>
  <Paragraphs>7</Paragraphs>
  <ScaleCrop>false</ScaleCrop>
  <Company>HOME</Company>
  <LinksUpToDate>false</LinksUpToDate>
  <CharactersWithSpaces>3905</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2025-07-31T07:21:00Z</dcterms:created>
  <dcterms:modified xsi:type="dcterms:W3CDTF">2025-07-31T07:21:00Z</dcterms:modified>
</cp:coreProperties>
</file>