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2B42C3" w:rsidRPr="00EF18A7" w:rsidRDefault="002B42C3" w:rsidP="00C31F34">
      <w:pPr>
        <w:pStyle w:val="14"/>
        <w:ind w:left="567" w:hanging="567"/>
        <w:rPr>
          <w:rFonts w:hAnsi="標楷體" w:cs="細明體"/>
        </w:rPr>
      </w:pPr>
      <w:bookmarkStart w:id="1" w:name="_Toc281290052"/>
      <w:bookmarkStart w:id="2" w:name="_Toc456886643"/>
      <w:bookmarkStart w:id="3" w:name="_Toc487132829"/>
      <w:bookmarkStart w:id="4" w:name="_Toc79675889"/>
      <w:bookmarkStart w:id="5" w:name="_Toc44686223"/>
      <w:bookmarkStart w:id="6" w:name="_Toc204695714"/>
      <w:r w:rsidRPr="00EF18A7">
        <w:rPr>
          <w:rFonts w:hAnsi="標楷體" w:hint="eastAsia"/>
        </w:rPr>
        <w:t>二、</w:t>
      </w:r>
      <w:bookmarkEnd w:id="4"/>
      <w:r w:rsidR="002768A8" w:rsidRPr="00EF18A7">
        <w:rPr>
          <w:rFonts w:hAnsi="標楷體" w:cs="細明體" w:hint="eastAsia"/>
        </w:rPr>
        <w:t>文化黑潮計畫下</w:t>
      </w:r>
      <w:r w:rsidR="002768A8" w:rsidRPr="00EF18A7">
        <w:rPr>
          <w:rFonts w:hAnsi="標楷體" w:hint="eastAsia"/>
        </w:rPr>
        <w:t>相關</w:t>
      </w:r>
      <w:r w:rsidR="000F6CD7" w:rsidRPr="00EF18A7">
        <w:rPr>
          <w:rFonts w:hAnsi="標楷體" w:cs="細明體" w:hint="eastAsia"/>
        </w:rPr>
        <w:t>子計畫之</w:t>
      </w:r>
      <w:r w:rsidR="00006B28" w:rsidRPr="00EF18A7">
        <w:rPr>
          <w:rFonts w:hAnsi="標楷體" w:cs="細明體" w:hint="eastAsia"/>
        </w:rPr>
        <w:t>績效指標</w:t>
      </w:r>
      <w:r w:rsidR="004668EB">
        <w:rPr>
          <w:rFonts w:hAnsi="標楷體" w:cs="細明體" w:hint="eastAsia"/>
        </w:rPr>
        <w:t>未盡妥適，</w:t>
      </w:r>
      <w:r w:rsidR="000F6CD7" w:rsidRPr="00EF18A7">
        <w:rPr>
          <w:rFonts w:hAnsi="標楷體" w:cs="細明體" w:hint="eastAsia"/>
        </w:rPr>
        <w:t>允宜合理</w:t>
      </w:r>
      <w:r w:rsidR="00006B28" w:rsidRPr="00EF18A7">
        <w:rPr>
          <w:rFonts w:hAnsi="標楷體" w:cs="細明體" w:hint="eastAsia"/>
        </w:rPr>
        <w:t>訂定</w:t>
      </w:r>
      <w:r w:rsidR="000F6CD7" w:rsidRPr="00EF18A7">
        <w:rPr>
          <w:rFonts w:hAnsi="標楷體" w:cs="細明體" w:hint="eastAsia"/>
        </w:rPr>
        <w:t>，並</w:t>
      </w:r>
      <w:r w:rsidR="00006B28" w:rsidRPr="00EF18A7">
        <w:rPr>
          <w:rFonts w:hAnsi="標楷體" w:cs="細明體" w:hint="eastAsia"/>
        </w:rPr>
        <w:t>研議</w:t>
      </w:r>
      <w:r w:rsidR="00CB3BCE">
        <w:rPr>
          <w:rFonts w:hAnsi="標楷體" w:cs="細明體" w:hint="eastAsia"/>
        </w:rPr>
        <w:t>增</w:t>
      </w:r>
      <w:r w:rsidR="00006B28" w:rsidRPr="00EF18A7">
        <w:rPr>
          <w:rFonts w:hAnsi="標楷體" w:cs="細明體" w:hint="eastAsia"/>
        </w:rPr>
        <w:t>訂</w:t>
      </w:r>
      <w:r w:rsidR="00CB3BCE">
        <w:rPr>
          <w:rFonts w:hAnsi="標楷體" w:cs="細明體" w:hint="eastAsia"/>
        </w:rPr>
        <w:t>成果型</w:t>
      </w:r>
      <w:r w:rsidR="00006B28" w:rsidRPr="00EF18A7">
        <w:rPr>
          <w:rFonts w:hAnsi="標楷體" w:cs="細明體" w:hint="eastAsia"/>
        </w:rPr>
        <w:t>指標</w:t>
      </w:r>
      <w:bookmarkEnd w:id="6"/>
      <w:r w:rsidR="00CB3BCE">
        <w:rPr>
          <w:rFonts w:hAnsi="標楷體" w:cs="細明體" w:hint="eastAsia"/>
        </w:rPr>
        <w:t>之可行性</w:t>
      </w:r>
    </w:p>
    <w:p w:rsidR="00ED7942" w:rsidRPr="00EF18A7" w:rsidRDefault="00006B28" w:rsidP="00341026">
      <w:pPr>
        <w:pStyle w:val="ab"/>
        <w:ind w:left="849" w:hanging="283"/>
        <w:rPr>
          <w:rFonts w:hAnsi="標楷體"/>
          <w:b/>
          <w:bCs/>
          <w:color w:val="000000"/>
        </w:rPr>
      </w:pPr>
      <w:r w:rsidRPr="00EF18A7">
        <w:rPr>
          <w:rFonts w:hAnsi="標楷體" w:hint="eastAsia"/>
          <w:b/>
          <w:bCs/>
          <w:color w:val="000000"/>
        </w:rPr>
        <w:t xml:space="preserve"> </w:t>
      </w:r>
      <w:r w:rsidR="00ED7942" w:rsidRPr="00EF18A7">
        <w:rPr>
          <w:rFonts w:hAnsi="標楷體" w:hint="eastAsia"/>
          <w:b/>
          <w:bCs/>
          <w:color w:val="000000"/>
        </w:rPr>
        <w:t>(一)計畫內容及效益</w:t>
      </w:r>
      <w:r w:rsidR="00ED7942" w:rsidRPr="00EF18A7">
        <w:rPr>
          <w:rFonts w:hAnsi="標楷體" w:hint="eastAsia"/>
          <w:b/>
        </w:rPr>
        <w:t>目標</w:t>
      </w:r>
      <w:r w:rsidR="00ED7942" w:rsidRPr="00EF18A7">
        <w:rPr>
          <w:rFonts w:hAnsi="標楷體" w:hint="eastAsia"/>
          <w:b/>
          <w:bCs/>
          <w:color w:val="000000"/>
        </w:rPr>
        <w:t>概況</w:t>
      </w:r>
    </w:p>
    <w:p w:rsidR="00ED7942" w:rsidRPr="00EF18A7" w:rsidRDefault="000C3E59" w:rsidP="00341026">
      <w:pPr>
        <w:adjustRightInd w:val="0"/>
        <w:ind w:leftChars="300" w:left="850" w:firstLine="566"/>
        <w:rPr>
          <w:rFonts w:hAnsi="標楷體"/>
          <w:color w:val="000000"/>
        </w:rPr>
      </w:pPr>
      <w:r w:rsidRPr="00EF18A7">
        <w:rPr>
          <w:rFonts w:hAnsi="標楷體" w:hint="eastAsia"/>
          <w:color w:val="000000"/>
        </w:rPr>
        <w:t>文化黑潮計畫之</w:t>
      </w:r>
      <w:r w:rsidRPr="00EF18A7">
        <w:rPr>
          <w:rFonts w:hAnsi="標楷體" w:hint="eastAsia"/>
          <w:bdr w:val="none" w:sz="0" w:space="0" w:color="auto" w:frame="1"/>
        </w:rPr>
        <w:t>15</w:t>
      </w:r>
      <w:r w:rsidRPr="00EF18A7">
        <w:rPr>
          <w:rFonts w:hAnsi="標楷體" w:hint="eastAsia"/>
          <w:color w:val="000000"/>
        </w:rPr>
        <w:t>項子計畫</w:t>
      </w:r>
      <w:r w:rsidR="00ED7942" w:rsidRPr="00EF18A7">
        <w:rPr>
          <w:rFonts w:hAnsi="標楷體" w:hint="eastAsia"/>
          <w:color w:val="000000"/>
        </w:rPr>
        <w:t>及分年效益概況</w:t>
      </w:r>
      <w:r w:rsidR="004668EB">
        <w:rPr>
          <w:rFonts w:hAnsi="標楷體" w:hint="eastAsia"/>
          <w:color w:val="000000"/>
        </w:rPr>
        <w:t>(詳表3-2-1)</w:t>
      </w:r>
      <w:r w:rsidR="00ED7942" w:rsidRPr="00EF18A7">
        <w:rPr>
          <w:rFonts w:hAnsi="標楷體" w:hint="eastAsia"/>
          <w:color w:val="000000"/>
        </w:rPr>
        <w:t>，說明如下：</w:t>
      </w:r>
    </w:p>
    <w:p w:rsidR="00ED7942" w:rsidRPr="00EF18A7" w:rsidRDefault="00ED7942" w:rsidP="00702CCD">
      <w:pPr>
        <w:pStyle w:val="123"/>
        <w:ind w:left="1133" w:hanging="283"/>
        <w:rPr>
          <w:rFonts w:hAnsi="標楷體"/>
          <w:color w:val="000000"/>
        </w:rPr>
      </w:pPr>
      <w:r w:rsidRPr="00EF18A7">
        <w:rPr>
          <w:rFonts w:hAnsi="標楷體" w:hint="eastAsia"/>
          <w:b/>
          <w:color w:val="000000"/>
        </w:rPr>
        <w:t>1</w:t>
      </w:r>
      <w:r w:rsidRPr="00EF18A7">
        <w:rPr>
          <w:rFonts w:hAnsi="標楷體"/>
          <w:b/>
          <w:color w:val="000000"/>
        </w:rPr>
        <w:t>.</w:t>
      </w:r>
      <w:r w:rsidR="004668EB">
        <w:rPr>
          <w:rFonts w:hAnsi="標楷體" w:hint="eastAsia"/>
          <w:b/>
          <w:color w:val="000000"/>
        </w:rPr>
        <w:t>子計畫</w:t>
      </w:r>
      <w:r w:rsidRPr="00EF18A7">
        <w:rPr>
          <w:rFonts w:hAnsi="標楷體" w:hint="eastAsia"/>
          <w:b/>
          <w:color w:val="000000"/>
        </w:rPr>
        <w:t>：</w:t>
      </w:r>
      <w:r w:rsidR="000C3E59" w:rsidRPr="00EF18A7">
        <w:rPr>
          <w:rFonts w:hAnsi="標楷體" w:hint="eastAsia"/>
          <w:color w:val="000000"/>
        </w:rPr>
        <w:t>係</w:t>
      </w:r>
      <w:r w:rsidRPr="00EF18A7">
        <w:rPr>
          <w:rFonts w:hAnsi="標楷體" w:hint="eastAsia"/>
          <w:color w:val="000000"/>
        </w:rPr>
        <w:t>以</w:t>
      </w:r>
      <w:r w:rsidR="000C3E59" w:rsidRPr="00EF18A7">
        <w:rPr>
          <w:rFonts w:hAnsi="標楷體" w:hint="eastAsia"/>
          <w:color w:val="000000"/>
        </w:rPr>
        <w:t>6項政策主軸</w:t>
      </w:r>
      <w:r w:rsidRPr="00EF18A7">
        <w:rPr>
          <w:rFonts w:hAnsi="標楷體" w:hint="eastAsia"/>
          <w:color w:val="000000"/>
        </w:rPr>
        <w:t>展開</w:t>
      </w:r>
      <w:r w:rsidR="00702CCD" w:rsidRPr="00EF18A7">
        <w:rPr>
          <w:rFonts w:hAnsi="標楷體" w:hint="eastAsia"/>
          <w:color w:val="000000"/>
        </w:rPr>
        <w:t>15項子計畫，分別為提升故事力關鍵人才培育</w:t>
      </w:r>
      <w:r w:rsidR="00624DCA" w:rsidRPr="00EF18A7">
        <w:rPr>
          <w:rFonts w:hAnsi="標楷體" w:hint="eastAsia"/>
          <w:color w:val="000000"/>
        </w:rPr>
        <w:t>與</w:t>
      </w:r>
      <w:r w:rsidR="00702CCD" w:rsidRPr="00EF18A7">
        <w:rPr>
          <w:rFonts w:hAnsi="標楷體" w:hint="eastAsia"/>
          <w:color w:val="000000"/>
        </w:rPr>
        <w:t>電影內容升級、國際臺劇內容升級計畫、流行音樂內容產業升級暨國際拓展計畫、投資未來兒少</w:t>
      </w:r>
      <w:r w:rsidR="00702CCD" w:rsidRPr="00EF18A7">
        <w:rPr>
          <w:rFonts w:hAnsi="標楷體" w:hint="eastAsia"/>
          <w:color w:val="000000"/>
        </w:rPr>
        <w:lastRenderedPageBreak/>
        <w:t>影音內容倍增計畫、臺灣流行音樂史料蒐集及主題推廣、以文化內容為外交軟實力推動計畫、傳統戲曲文化內容躍升計畫、視覺藝術能量提升暨品牌開展計畫、支持臺灣文化內容再開發、擴大電子書計次借閱及優化圖書採購、拓展臺流文本外譯 Books from Taiwan 2.0、補助財團法人中央通訊社推動國際傳播交流、文化部獎勵實體書店串聯辦理創新書市活動、建構產銷均衡的文創產業生態系、以科技的文化應用推波臺流擴散等</w:t>
      </w:r>
      <w:r w:rsidRPr="00EF18A7">
        <w:rPr>
          <w:rFonts w:hAnsi="標楷體" w:hint="eastAsia"/>
          <w:color w:val="000000"/>
        </w:rPr>
        <w:t>。</w:t>
      </w:r>
    </w:p>
    <w:p w:rsidR="00ED7942" w:rsidRPr="00EF18A7" w:rsidRDefault="00ED7942" w:rsidP="00341026">
      <w:pPr>
        <w:pStyle w:val="123"/>
        <w:ind w:left="1133" w:hanging="283"/>
        <w:rPr>
          <w:rFonts w:hAnsi="標楷體"/>
        </w:rPr>
      </w:pPr>
      <w:r w:rsidRPr="00EF18A7">
        <w:rPr>
          <w:rFonts w:hAnsi="標楷體" w:hint="eastAsia"/>
          <w:b/>
          <w:color w:val="000000"/>
        </w:rPr>
        <w:t>2</w:t>
      </w:r>
      <w:r w:rsidRPr="00EF18A7">
        <w:rPr>
          <w:rFonts w:hAnsi="標楷體"/>
          <w:b/>
          <w:color w:val="000000"/>
        </w:rPr>
        <w:t>.</w:t>
      </w:r>
      <w:r w:rsidRPr="00EF18A7">
        <w:rPr>
          <w:rFonts w:hAnsi="標楷體" w:hint="eastAsia"/>
          <w:b/>
          <w:color w:val="000000"/>
        </w:rPr>
        <w:t>績效目標：</w:t>
      </w:r>
      <w:r w:rsidR="00FD067F" w:rsidRPr="00EF18A7">
        <w:rPr>
          <w:rFonts w:hAnsi="標楷體" w:hint="eastAsia"/>
          <w:color w:val="000000"/>
        </w:rPr>
        <w:t>各子計畫皆訂有</w:t>
      </w:r>
      <w:r w:rsidR="004668EB">
        <w:rPr>
          <w:rFonts w:hAnsi="標楷體" w:hint="eastAsia"/>
          <w:color w:val="000000"/>
        </w:rPr>
        <w:t>個</w:t>
      </w:r>
      <w:r w:rsidR="000600F3" w:rsidRPr="00EF18A7">
        <w:rPr>
          <w:rFonts w:hAnsi="標楷體" w:hint="eastAsia"/>
          <w:color w:val="000000"/>
        </w:rPr>
        <w:t>別指標如補助影視開發專案、</w:t>
      </w:r>
      <w:r w:rsidR="00A33797" w:rsidRPr="00EF18A7">
        <w:rPr>
          <w:rFonts w:hAnsi="標楷體" w:hint="eastAsia"/>
          <w:color w:val="000000"/>
        </w:rPr>
        <w:t>補助</w:t>
      </w:r>
      <w:r w:rsidR="000600F3" w:rsidRPr="00EF18A7">
        <w:rPr>
          <w:rFonts w:hAnsi="標楷體" w:hint="eastAsia"/>
          <w:color w:val="000000"/>
        </w:rPr>
        <w:t>戲劇製作、補助流行音樂行銷、製作兒少節目時數、史料蒐集與音樂會、參與國際大型展覽、辦理歌仔戲特展、補助博物館策展、臺流文本外文翻譯、擴大電子書借閱、補助中央通訊社接觸國際媒體、獎勵實體書店辦理多元藝文元素書展、增加自製動畫短片、VR臺灣原生內容示範案例等量化指標。</w:t>
      </w:r>
    </w:p>
    <w:p w:rsidR="00054C82" w:rsidRPr="00EF18A7" w:rsidRDefault="00ED7942" w:rsidP="00CB3BCE">
      <w:pPr>
        <w:pStyle w:val="21"/>
        <w:spacing w:line="400" w:lineRule="exact"/>
        <w:ind w:leftChars="-90" w:left="-3" w:right="-142" w:hangingChars="89" w:hanging="252"/>
        <w:jc w:val="left"/>
        <w:rPr>
          <w:rFonts w:hAnsi="標楷體"/>
          <w:color w:val="000000"/>
        </w:rPr>
      </w:pPr>
      <w:r w:rsidRPr="00EF18A7">
        <w:rPr>
          <w:rFonts w:hAnsi="標楷體" w:hint="eastAsia"/>
          <w:b/>
          <w:color w:val="000000"/>
        </w:rPr>
        <w:t>表</w:t>
      </w:r>
      <w:r w:rsidR="00A33797" w:rsidRPr="00EF18A7">
        <w:rPr>
          <w:rFonts w:hAnsi="標楷體" w:hint="eastAsia"/>
          <w:b/>
          <w:color w:val="000000"/>
        </w:rPr>
        <w:t>3-2-1</w:t>
      </w:r>
      <w:r w:rsidRPr="00EF18A7">
        <w:rPr>
          <w:rFonts w:hAnsi="標楷體" w:hint="eastAsia"/>
          <w:b/>
          <w:color w:val="000000"/>
        </w:rPr>
        <w:t xml:space="preserve">  </w:t>
      </w:r>
      <w:r w:rsidR="004668EB">
        <w:rPr>
          <w:rFonts w:hAnsi="標楷體" w:hint="eastAsia"/>
          <w:b/>
          <w:color w:val="000000"/>
        </w:rPr>
        <w:t>113至114年度</w:t>
      </w:r>
      <w:r w:rsidR="0075723B" w:rsidRPr="00EF18A7">
        <w:rPr>
          <w:rFonts w:hAnsi="標楷體" w:hint="eastAsia"/>
          <w:b/>
          <w:color w:val="000000"/>
        </w:rPr>
        <w:t>文化黑潮</w:t>
      </w:r>
      <w:r w:rsidR="004668EB">
        <w:rPr>
          <w:rFonts w:hAnsi="標楷體" w:hint="eastAsia"/>
          <w:b/>
          <w:color w:val="000000"/>
        </w:rPr>
        <w:t>計畫</w:t>
      </w:r>
      <w:r w:rsidRPr="00EF18A7">
        <w:rPr>
          <w:rFonts w:hAnsi="標楷體" w:hint="eastAsia"/>
          <w:b/>
          <w:color w:val="000000"/>
        </w:rPr>
        <w:t>分年效益</w:t>
      </w:r>
      <w:r w:rsidR="004668EB">
        <w:rPr>
          <w:rFonts w:hAnsi="標楷體" w:hint="eastAsia"/>
          <w:b/>
          <w:color w:val="000000"/>
        </w:rPr>
        <w:t>達成及執行情形</w:t>
      </w:r>
      <w:r w:rsidRPr="00EF18A7">
        <w:rPr>
          <w:rFonts w:hAnsi="標楷體" w:hint="eastAsia"/>
          <w:b/>
          <w:color w:val="000000"/>
        </w:rPr>
        <w:t>概況表</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846"/>
        <w:gridCol w:w="696"/>
        <w:gridCol w:w="1620"/>
        <w:gridCol w:w="724"/>
        <w:gridCol w:w="719"/>
        <w:gridCol w:w="767"/>
        <w:gridCol w:w="3628"/>
      </w:tblGrid>
      <w:tr w:rsidR="00BF7D19" w:rsidRPr="00EF18A7" w:rsidTr="00173765">
        <w:trPr>
          <w:trHeight w:val="505"/>
          <w:tblHeader/>
          <w:jc w:val="center"/>
        </w:trPr>
        <w:tc>
          <w:tcPr>
            <w:tcW w:w="846" w:type="dxa"/>
            <w:vMerge w:val="restart"/>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子計畫</w:t>
            </w:r>
          </w:p>
        </w:tc>
        <w:tc>
          <w:tcPr>
            <w:tcW w:w="696" w:type="dxa"/>
            <w:vMerge w:val="restart"/>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類別</w:t>
            </w:r>
            <w:r w:rsidRPr="00173765">
              <w:rPr>
                <w:rFonts w:hAnsi="標楷體" w:cs="新細明體" w:hint="eastAsia"/>
                <w:b/>
                <w:snapToGrid/>
                <w:kern w:val="0"/>
                <w:sz w:val="24"/>
                <w:szCs w:val="24"/>
              </w:rPr>
              <w:lastRenderedPageBreak/>
              <w:t>/單位</w:t>
            </w:r>
          </w:p>
        </w:tc>
        <w:tc>
          <w:tcPr>
            <w:tcW w:w="1620" w:type="dxa"/>
            <w:vMerge w:val="restart"/>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lastRenderedPageBreak/>
              <w:t>工作內容</w:t>
            </w:r>
          </w:p>
        </w:tc>
        <w:tc>
          <w:tcPr>
            <w:tcW w:w="2210" w:type="dxa"/>
            <w:gridSpan w:val="3"/>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分年效益</w:t>
            </w:r>
          </w:p>
        </w:tc>
        <w:tc>
          <w:tcPr>
            <w:tcW w:w="3628" w:type="dxa"/>
            <w:vMerge w:val="restart"/>
            <w:tcBorders>
              <w:top w:val="single" w:sz="12"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r w:rsidRPr="00173765">
              <w:rPr>
                <w:rFonts w:hAnsi="標楷體" w:cs="新細明體" w:hint="eastAsia"/>
                <w:b/>
                <w:snapToGrid/>
                <w:kern w:val="0"/>
                <w:sz w:val="24"/>
                <w:szCs w:val="24"/>
              </w:rPr>
              <w:t>113年度執行成效說明</w:t>
            </w:r>
          </w:p>
        </w:tc>
      </w:tr>
      <w:tr w:rsidR="00BF7D19" w:rsidRPr="00EF18A7" w:rsidTr="00173765">
        <w:trPr>
          <w:trHeight w:val="1177"/>
          <w:tblHeader/>
          <w:jc w:val="center"/>
        </w:trPr>
        <w:tc>
          <w:tcPr>
            <w:tcW w:w="846" w:type="dxa"/>
            <w:vMerge/>
            <w:tcBorders>
              <w:top w:val="single" w:sz="6" w:space="0" w:color="auto"/>
              <w:bottom w:val="single" w:sz="6" w:space="0" w:color="auto"/>
            </w:tcBorders>
            <w:shd w:val="clear" w:color="auto" w:fill="E7E6E6"/>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p>
        </w:tc>
        <w:tc>
          <w:tcPr>
            <w:tcW w:w="696" w:type="dxa"/>
            <w:vMerge/>
            <w:tcBorders>
              <w:top w:val="single" w:sz="6" w:space="0" w:color="auto"/>
              <w:bottom w:val="single" w:sz="6" w:space="0" w:color="auto"/>
            </w:tcBorders>
            <w:shd w:val="clear" w:color="auto" w:fill="E7E6E6"/>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p>
        </w:tc>
        <w:tc>
          <w:tcPr>
            <w:tcW w:w="1620" w:type="dxa"/>
            <w:vMerge/>
            <w:tcBorders>
              <w:top w:val="single" w:sz="6" w:space="0" w:color="auto"/>
              <w:bottom w:val="single" w:sz="6" w:space="0" w:color="auto"/>
            </w:tcBorders>
            <w:shd w:val="clear" w:color="auto" w:fill="E7E6E6"/>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beforeLines="50" w:before="250" w:line="240" w:lineRule="exact"/>
              <w:ind w:leftChars="0" w:left="0" w:firstLineChars="0" w:firstLine="0"/>
              <w:rPr>
                <w:rFonts w:hAnsi="標楷體" w:cs="新細明體"/>
                <w:b/>
                <w:snapToGrid/>
                <w:kern w:val="0"/>
                <w:sz w:val="24"/>
                <w:szCs w:val="24"/>
              </w:rPr>
            </w:pPr>
            <w:r w:rsidRPr="00173765">
              <w:rPr>
                <w:rFonts w:hAnsi="標楷體" w:cs="新細明體" w:hint="eastAsia"/>
                <w:b/>
                <w:snapToGrid/>
                <w:kern w:val="0"/>
                <w:sz w:val="24"/>
                <w:szCs w:val="24"/>
              </w:rPr>
              <w:t>113年度</w:t>
            </w:r>
            <w:r w:rsidR="00094512" w:rsidRPr="00173765">
              <w:rPr>
                <w:rFonts w:hAnsi="標楷體" w:cs="新細明體" w:hint="eastAsia"/>
                <w:b/>
                <w:snapToGrid/>
                <w:kern w:val="0"/>
                <w:sz w:val="24"/>
                <w:szCs w:val="24"/>
              </w:rPr>
              <w:t>預期</w:t>
            </w:r>
            <w:r w:rsidRPr="00173765">
              <w:rPr>
                <w:rFonts w:hAnsi="標楷體" w:cs="新細明體" w:hint="eastAsia"/>
                <w:b/>
                <w:snapToGrid/>
                <w:kern w:val="0"/>
                <w:sz w:val="24"/>
                <w:szCs w:val="24"/>
              </w:rPr>
              <w:t>效益</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beforeLines="50" w:before="250" w:line="240" w:lineRule="exact"/>
              <w:ind w:leftChars="0" w:left="0" w:firstLineChars="0" w:firstLine="0"/>
              <w:rPr>
                <w:rFonts w:hAnsi="Calibri"/>
                <w:b/>
                <w:snapToGrid/>
                <w:sz w:val="24"/>
                <w:szCs w:val="24"/>
              </w:rPr>
            </w:pPr>
            <w:r w:rsidRPr="00173765">
              <w:rPr>
                <w:rFonts w:hAnsi="Calibri" w:hint="eastAsia"/>
                <w:b/>
                <w:snapToGrid/>
                <w:sz w:val="24"/>
                <w:szCs w:val="24"/>
              </w:rPr>
              <w:t>113</w:t>
            </w:r>
            <w:r w:rsidR="00BF7D19" w:rsidRPr="00173765">
              <w:rPr>
                <w:rFonts w:hAnsi="Calibri" w:hint="eastAsia"/>
                <w:b/>
                <w:snapToGrid/>
                <w:sz w:val="24"/>
                <w:szCs w:val="24"/>
              </w:rPr>
              <w:t>年度</w:t>
            </w:r>
            <w:r w:rsidR="00094512" w:rsidRPr="00173765">
              <w:rPr>
                <w:rFonts w:hAnsi="Calibri" w:hint="eastAsia"/>
                <w:b/>
                <w:snapToGrid/>
                <w:sz w:val="24"/>
                <w:szCs w:val="24"/>
              </w:rPr>
              <w:t>實際</w:t>
            </w:r>
            <w:r w:rsidR="00BF7D19" w:rsidRPr="00173765">
              <w:rPr>
                <w:rFonts w:hAnsi="Calibri" w:hint="eastAsia"/>
                <w:b/>
                <w:snapToGrid/>
                <w:sz w:val="24"/>
                <w:szCs w:val="24"/>
              </w:rPr>
              <w:t>效益</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beforeLines="50" w:before="250" w:line="240" w:lineRule="exact"/>
              <w:ind w:leftChars="0" w:left="0" w:firstLineChars="0" w:firstLine="0"/>
              <w:rPr>
                <w:rFonts w:hAnsi="Calibri"/>
                <w:b/>
                <w:snapToGrid/>
                <w:sz w:val="24"/>
                <w:szCs w:val="24"/>
              </w:rPr>
            </w:pPr>
            <w:r w:rsidRPr="00173765">
              <w:rPr>
                <w:rFonts w:hAnsi="Calibri" w:hint="eastAsia"/>
                <w:b/>
                <w:snapToGrid/>
                <w:sz w:val="24"/>
                <w:szCs w:val="24"/>
              </w:rPr>
              <w:t>114年度預期效益</w:t>
            </w:r>
          </w:p>
        </w:tc>
        <w:tc>
          <w:tcPr>
            <w:tcW w:w="3628" w:type="dxa"/>
            <w:vMerge/>
            <w:tcBorders>
              <w:top w:val="single" w:sz="6" w:space="0" w:color="auto"/>
              <w:bottom w:val="single" w:sz="6" w:space="0" w:color="auto"/>
            </w:tcBorders>
            <w:shd w:val="clear" w:color="auto" w:fill="auto"/>
          </w:tcPr>
          <w:p w:rsidR="00BF7D19" w:rsidRPr="00173765" w:rsidRDefault="00BF7D19" w:rsidP="00173765">
            <w:pPr>
              <w:widowControl/>
              <w:overflowPunct w:val="0"/>
              <w:spacing w:line="0" w:lineRule="atLeast"/>
              <w:ind w:leftChars="0" w:left="0" w:firstLineChars="0" w:firstLine="0"/>
              <w:jc w:val="center"/>
              <w:rPr>
                <w:rFonts w:hAnsi="標楷體" w:cs="新細明體"/>
                <w:b/>
                <w:snapToGrid/>
                <w:kern w:val="0"/>
                <w:sz w:val="24"/>
                <w:szCs w:val="24"/>
              </w:rPr>
            </w:pP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提升故事力關鍵人才培育、電影內容升級</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240" w:lineRule="auto"/>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補助、徵案/案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辦理「原創故事概念大賽」、「故事打造工作坊」、「劇本提升計畫」、「國際編劇人才合作支持計畫」、「TAICCA x AFIS 韓國產業課程暨長</w:t>
            </w:r>
            <w:r w:rsidRPr="00173765">
              <w:rPr>
                <w:rFonts w:hAnsi="標楷體" w:cs="新細明體"/>
                <w:snapToGrid/>
                <w:kern w:val="0"/>
                <w:sz w:val="24"/>
                <w:szCs w:val="24"/>
              </w:rPr>
              <w:lastRenderedPageBreak/>
              <w:t>片開發工作坊」</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lastRenderedPageBreak/>
              <w:t>50</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snapToGrid/>
                <w:kern w:val="0"/>
                <w:sz w:val="24"/>
                <w:szCs w:val="24"/>
              </w:rPr>
              <w:t>86</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Calibri"/>
                <w:b/>
                <w:snapToGrid/>
                <w:sz w:val="24"/>
                <w:szCs w:val="24"/>
              </w:rPr>
            </w:pPr>
            <w:r w:rsidRPr="00173765">
              <w:rPr>
                <w:rFonts w:hAnsi="Calibri" w:hint="eastAsia"/>
                <w:b/>
                <w:snapToGrid/>
                <w:sz w:val="24"/>
                <w:szCs w:val="24"/>
              </w:rPr>
              <w:t>50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113年度補助辦理「原創故事概念大賽」、「故事打造工作坊」、「劇本提升計畫」、「國際編劇人才合作支持計畫」、「TAICCA x AFIS 韓國產業課程暨長片開發工作坊」，計協助86件影視開發專案；另辦理海外人才培訓，完成與美國</w:t>
            </w:r>
            <w:r w:rsidRPr="00173765">
              <w:rPr>
                <w:rFonts w:hAnsi="標楷體" w:cs="新細明體" w:hint="eastAsia"/>
                <w:snapToGrid/>
                <w:kern w:val="0"/>
                <w:sz w:val="24"/>
                <w:szCs w:val="24"/>
              </w:rPr>
              <w:t>、</w:t>
            </w:r>
            <w:r w:rsidRPr="00173765">
              <w:rPr>
                <w:rFonts w:hAnsi="標楷體" w:cs="新細明體"/>
                <w:snapToGrid/>
                <w:kern w:val="0"/>
                <w:sz w:val="24"/>
                <w:szCs w:val="24"/>
              </w:rPr>
              <w:t>韓國五大視覺特效公司</w:t>
            </w:r>
            <w:r w:rsidRPr="00173765">
              <w:rPr>
                <w:rFonts w:hAnsi="標楷體" w:cs="新細明體" w:hint="eastAsia"/>
                <w:snapToGrid/>
                <w:kern w:val="0"/>
                <w:sz w:val="24"/>
                <w:szCs w:val="24"/>
              </w:rPr>
              <w:t>合作辦理攝影及特效</w:t>
            </w:r>
            <w:r w:rsidRPr="00173765">
              <w:rPr>
                <w:rFonts w:hAnsi="標楷體" w:cs="新細明體"/>
                <w:snapToGrid/>
                <w:kern w:val="0"/>
                <w:sz w:val="24"/>
                <w:szCs w:val="24"/>
              </w:rPr>
              <w:t>工作坊</w:t>
            </w:r>
            <w:r w:rsidR="00094512" w:rsidRPr="00173765">
              <w:rPr>
                <w:rFonts w:hAnsi="標楷體" w:cs="新細明體" w:hint="eastAsia"/>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國際臺劇內容升級計畫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徵案/案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補助作品</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4</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10</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4</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催生臺流戲劇目標4案，實際完成10案。</w:t>
            </w:r>
            <w:r w:rsidRPr="00173765">
              <w:rPr>
                <w:rFonts w:hAnsi="標楷體" w:cs="新細明體"/>
                <w:snapToGrid/>
                <w:kern w:val="0"/>
                <w:sz w:val="24"/>
                <w:szCs w:val="24"/>
              </w:rPr>
              <w:t>113年獲補助作品</w:t>
            </w:r>
            <w:r w:rsidRPr="00173765">
              <w:rPr>
                <w:rFonts w:hAnsi="標楷體" w:cs="新細明體" w:hint="eastAsia"/>
                <w:snapToGrid/>
                <w:kern w:val="0"/>
                <w:sz w:val="24"/>
                <w:szCs w:val="24"/>
              </w:rPr>
              <w:t>中，計有</w:t>
            </w:r>
            <w:r w:rsidRPr="00173765">
              <w:rPr>
                <w:rFonts w:hAnsi="標楷體" w:cs="新細明體"/>
                <w:snapToGrid/>
                <w:kern w:val="0"/>
                <w:sz w:val="24"/>
                <w:szCs w:val="24"/>
              </w:rPr>
              <w:t>《戀愛四部曲（第一、二部曲）》、《我們與惡的距離2》</w:t>
            </w:r>
            <w:r w:rsidRPr="00173765">
              <w:rPr>
                <w:rFonts w:hAnsi="標楷體" w:cs="新細明體" w:hint="eastAsia"/>
                <w:snapToGrid/>
                <w:kern w:val="0"/>
                <w:sz w:val="24"/>
                <w:szCs w:val="24"/>
              </w:rPr>
              <w:t>已陸續播畢</w:t>
            </w:r>
            <w:r w:rsidRPr="00173765">
              <w:rPr>
                <w:rFonts w:hAnsi="標楷體" w:cs="新細明體"/>
                <w:snapToGrid/>
                <w:kern w:val="0"/>
                <w:sz w:val="24"/>
                <w:szCs w:val="24"/>
              </w:rPr>
              <w:t>，《零日攻擊》預計於114年8月2日播出</w:t>
            </w:r>
            <w:r w:rsidRPr="00173765">
              <w:rPr>
                <w:rFonts w:hAnsi="標楷體" w:cs="新細明體" w:hint="eastAsia"/>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流行音樂內容產業升級暨國際拓展計畫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徵案/案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補助節目製作與多元行銷，助力流行音樂產業拓展國際市場</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4</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767" w:type="dxa"/>
            <w:tcBorders>
              <w:top w:val="single" w:sz="6" w:space="0" w:color="auto"/>
              <w:left w:val="double" w:sz="4" w:space="0" w:color="auto"/>
              <w:bottom w:val="single" w:sz="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4</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113年度計5案獲選，獲選案節目包含IP「原子少年」第2季、男團偶像選秀節目「Scool」、</w:t>
            </w:r>
            <w:r w:rsidRPr="00173765">
              <w:rPr>
                <w:rFonts w:hAnsi="標楷體" w:cs="新細明體" w:hint="eastAsia"/>
                <w:snapToGrid/>
                <w:kern w:val="0"/>
                <w:sz w:val="24"/>
                <w:szCs w:val="24"/>
              </w:rPr>
              <w:t>《</w:t>
            </w:r>
            <w:r w:rsidRPr="00173765">
              <w:rPr>
                <w:rFonts w:hAnsi="標楷體" w:cs="新細明體"/>
                <w:snapToGrid/>
                <w:kern w:val="0"/>
                <w:sz w:val="24"/>
                <w:szCs w:val="24"/>
              </w:rPr>
              <w:t>一起聽團吧</w:t>
            </w:r>
            <w:r w:rsidRPr="00173765">
              <w:rPr>
                <w:rFonts w:hAnsi="標楷體" w:cs="新細明體" w:hint="eastAsia"/>
                <w:snapToGrid/>
                <w:kern w:val="0"/>
                <w:sz w:val="24"/>
                <w:szCs w:val="24"/>
              </w:rPr>
              <w:t>》</w:t>
            </w:r>
            <w:r w:rsidRPr="00173765">
              <w:rPr>
                <w:rFonts w:hAnsi="標楷體" w:cs="新細明體"/>
                <w:snapToGrid/>
                <w:kern w:val="0"/>
                <w:sz w:val="24"/>
                <w:szCs w:val="24"/>
              </w:rPr>
              <w:t>及虛擬偶像</w:t>
            </w:r>
            <w:r w:rsidRPr="00173765">
              <w:rPr>
                <w:rFonts w:hAnsi="標楷體" w:cs="新細明體" w:hint="eastAsia"/>
                <w:snapToGrid/>
                <w:kern w:val="0"/>
                <w:sz w:val="24"/>
                <w:szCs w:val="24"/>
              </w:rPr>
              <w:t>（</w:t>
            </w:r>
            <w:r w:rsidRPr="00173765">
              <w:rPr>
                <w:rFonts w:hAnsi="標楷體" w:cs="新細明體"/>
                <w:snapToGrid/>
                <w:kern w:val="0"/>
                <w:sz w:val="24"/>
                <w:szCs w:val="24"/>
              </w:rPr>
              <w:t>V-tuber</w:t>
            </w:r>
            <w:r w:rsidRPr="00173765">
              <w:rPr>
                <w:rFonts w:hAnsi="標楷體" w:cs="新細明體" w:hint="eastAsia"/>
                <w:snapToGrid/>
                <w:kern w:val="0"/>
                <w:sz w:val="24"/>
                <w:szCs w:val="24"/>
              </w:rPr>
              <w:t>）</w:t>
            </w:r>
            <w:r w:rsidRPr="00173765">
              <w:rPr>
                <w:rFonts w:hAnsi="標楷體" w:cs="新細明體"/>
                <w:snapToGrid/>
                <w:kern w:val="0"/>
                <w:sz w:val="24"/>
                <w:szCs w:val="24"/>
              </w:rPr>
              <w:t>選秀等</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投資未來兒少影音內容倍增計畫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shd w:val="clear" w:color="auto" w:fill="FFFFFF"/>
              </w:rPr>
            </w:pPr>
            <w:r w:rsidRPr="00173765">
              <w:rPr>
                <w:rFonts w:hAnsi="標楷體" w:cs="新細明體" w:hint="eastAsia"/>
                <w:snapToGrid/>
                <w:kern w:val="0"/>
                <w:sz w:val="24"/>
                <w:szCs w:val="24"/>
              </w:rPr>
              <w:t>捐助/小時</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營運兒少頻道，新製播節目時數</w:t>
            </w:r>
            <w:r w:rsidRPr="00173765">
              <w:rPr>
                <w:rFonts w:hAnsi="標楷體" w:cs="新細明體" w:hint="eastAsia"/>
                <w:snapToGrid/>
                <w:kern w:val="0"/>
                <w:sz w:val="24"/>
                <w:szCs w:val="24"/>
              </w:rPr>
              <w:t>，製播兒少多元內容時數</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150</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383</w:t>
            </w:r>
          </w:p>
        </w:tc>
        <w:tc>
          <w:tcPr>
            <w:tcW w:w="767" w:type="dxa"/>
            <w:tcBorders>
              <w:top w:val="single" w:sz="2"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150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規劃製播兒少多元內容時數150小時以上，實際完成383小時</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臺灣流行音樂史料蒐集及主題推廣</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shd w:val="clear" w:color="auto" w:fill="FFFFFF"/>
              </w:rPr>
            </w:pPr>
            <w:r w:rsidRPr="00173765">
              <w:rPr>
                <w:rFonts w:hAnsi="標楷體" w:cs="新細明體" w:hint="eastAsia"/>
                <w:snapToGrid/>
                <w:kern w:val="0"/>
                <w:sz w:val="24"/>
                <w:szCs w:val="24"/>
              </w:rPr>
              <w:t>補助/案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補助辦理臺灣流行音樂史料蒐集及主題推廣</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6</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w:t>
            </w:r>
            <w:r w:rsidRPr="00173765">
              <w:rPr>
                <w:rFonts w:hAnsi="標楷體" w:cs="新細明體"/>
                <w:snapToGrid/>
                <w:kern w:val="0"/>
                <w:sz w:val="24"/>
                <w:szCs w:val="24"/>
              </w:rPr>
              <w:t>完成</w:t>
            </w:r>
            <w:r w:rsidRPr="00173765">
              <w:rPr>
                <w:rFonts w:hAnsi="標楷體" w:cs="新細明體" w:hint="eastAsia"/>
                <w:snapToGrid/>
                <w:kern w:val="0"/>
                <w:sz w:val="24"/>
                <w:szCs w:val="24"/>
              </w:rPr>
              <w:t>《</w:t>
            </w:r>
            <w:r w:rsidRPr="00173765">
              <w:rPr>
                <w:rFonts w:hAnsi="標楷體" w:cs="新細明體"/>
                <w:snapToGrid/>
                <w:kern w:val="0"/>
                <w:sz w:val="24"/>
                <w:szCs w:val="24"/>
              </w:rPr>
              <w:t>2024真愛秀</w:t>
            </w:r>
            <w:r w:rsidRPr="00173765">
              <w:rPr>
                <w:rFonts w:hAnsi="標楷體" w:cs="新細明體" w:hint="eastAsia"/>
                <w:snapToGrid/>
                <w:kern w:val="0"/>
                <w:sz w:val="24"/>
                <w:szCs w:val="24"/>
              </w:rPr>
              <w:t>．</w:t>
            </w:r>
            <w:r w:rsidRPr="00173765">
              <w:rPr>
                <w:rFonts w:hAnsi="標楷體" w:cs="新細明體"/>
                <w:snapToGrid/>
                <w:kern w:val="0"/>
                <w:sz w:val="24"/>
                <w:szCs w:val="24"/>
              </w:rPr>
              <w:t>藍寶石大歌廳</w:t>
            </w:r>
            <w:r w:rsidRPr="00173765">
              <w:rPr>
                <w:rFonts w:hAnsi="標楷體" w:cs="新細明體" w:hint="eastAsia"/>
                <w:snapToGrid/>
                <w:kern w:val="0"/>
                <w:sz w:val="24"/>
                <w:szCs w:val="24"/>
              </w:rPr>
              <w:t>》</w:t>
            </w:r>
            <w:r w:rsidRPr="00173765">
              <w:rPr>
                <w:rFonts w:hAnsi="標楷體" w:cs="新細明體"/>
                <w:snapToGrid/>
                <w:kern w:val="0"/>
                <w:sz w:val="24"/>
                <w:szCs w:val="24"/>
              </w:rPr>
              <w:t>2場次，觀眾人數共計6,000人次</w:t>
            </w:r>
            <w:r w:rsidRPr="00173765">
              <w:rPr>
                <w:rFonts w:hAnsi="標楷體" w:cs="新細明體" w:hint="eastAsia"/>
                <w:snapToGrid/>
                <w:kern w:val="0"/>
                <w:sz w:val="24"/>
                <w:szCs w:val="24"/>
              </w:rPr>
              <w:t>，辦理《</w:t>
            </w:r>
            <w:r w:rsidRPr="00173765">
              <w:rPr>
                <w:rFonts w:hAnsi="標楷體" w:cs="新細明體"/>
                <w:snapToGrid/>
                <w:kern w:val="0"/>
                <w:sz w:val="24"/>
                <w:szCs w:val="24"/>
              </w:rPr>
              <w:t>NTSO交響派對—聲映經典</w:t>
            </w:r>
            <w:r w:rsidRPr="00173765">
              <w:rPr>
                <w:rFonts w:hAnsi="標楷體" w:cs="新細明體" w:hint="eastAsia"/>
                <w:snapToGrid/>
                <w:kern w:val="0"/>
                <w:sz w:val="24"/>
                <w:szCs w:val="24"/>
              </w:rPr>
              <w:t>．</w:t>
            </w:r>
            <w:r w:rsidRPr="00173765">
              <w:rPr>
                <w:rFonts w:hAnsi="標楷體" w:cs="新細明體"/>
                <w:snapToGrid/>
                <w:kern w:val="0"/>
                <w:sz w:val="24"/>
                <w:szCs w:val="24"/>
              </w:rPr>
              <w:t>潮湧的時代</w:t>
            </w:r>
            <w:r w:rsidRPr="00173765">
              <w:rPr>
                <w:rFonts w:hAnsi="標楷體" w:cs="新細明體" w:hint="eastAsia"/>
                <w:snapToGrid/>
                <w:kern w:val="0"/>
                <w:sz w:val="24"/>
                <w:szCs w:val="24"/>
              </w:rPr>
              <w:t>》</w:t>
            </w:r>
            <w:r w:rsidRPr="00173765">
              <w:rPr>
                <w:rFonts w:hAnsi="標楷體" w:cs="新細明體" w:hint="eastAsia"/>
                <w:snapToGrid/>
                <w:kern w:val="0"/>
                <w:sz w:val="24"/>
                <w:szCs w:val="24"/>
                <w:bdr w:val="none" w:sz="0" w:space="0" w:color="auto" w:frame="1"/>
                <w:shd w:val="clear" w:color="auto" w:fill="FFFFFF"/>
              </w:rPr>
              <w:t>講座</w:t>
            </w:r>
            <w:r w:rsidRPr="00173765">
              <w:rPr>
                <w:rFonts w:hAnsi="標楷體" w:cs="Calibri"/>
                <w:snapToGrid/>
                <w:kern w:val="0"/>
                <w:sz w:val="24"/>
                <w:szCs w:val="24"/>
                <w:bdr w:val="none" w:sz="0" w:space="0" w:color="auto" w:frame="1"/>
                <w:shd w:val="clear" w:color="auto" w:fill="FFFFFF"/>
              </w:rPr>
              <w:t>1</w:t>
            </w:r>
            <w:r w:rsidRPr="00173765">
              <w:rPr>
                <w:rFonts w:hAnsi="標楷體" w:cs="新細明體" w:hint="eastAsia"/>
                <w:snapToGrid/>
                <w:kern w:val="0"/>
                <w:sz w:val="24"/>
                <w:szCs w:val="24"/>
                <w:bdr w:val="none" w:sz="0" w:space="0" w:color="auto" w:frame="1"/>
                <w:shd w:val="clear" w:color="auto" w:fill="FFFFFF"/>
              </w:rPr>
              <w:t>場次、走讀</w:t>
            </w:r>
            <w:r w:rsidRPr="00173765">
              <w:rPr>
                <w:rFonts w:hAnsi="標楷體" w:cs="Calibri"/>
                <w:snapToGrid/>
                <w:kern w:val="0"/>
                <w:sz w:val="24"/>
                <w:szCs w:val="24"/>
                <w:bdr w:val="none" w:sz="0" w:space="0" w:color="auto" w:frame="1"/>
                <w:shd w:val="clear" w:color="auto" w:fill="FFFFFF"/>
              </w:rPr>
              <w:t>2</w:t>
            </w:r>
            <w:r w:rsidRPr="00173765">
              <w:rPr>
                <w:rFonts w:hAnsi="標楷體" w:cs="新細明體" w:hint="eastAsia"/>
                <w:snapToGrid/>
                <w:kern w:val="0"/>
                <w:sz w:val="24"/>
                <w:szCs w:val="24"/>
                <w:bdr w:val="none" w:sz="0" w:space="0" w:color="auto" w:frame="1"/>
                <w:shd w:val="clear" w:color="auto" w:fill="FFFFFF"/>
              </w:rPr>
              <w:t>場次及</w:t>
            </w:r>
            <w:r w:rsidRPr="00173765">
              <w:rPr>
                <w:rFonts w:hAnsi="標楷體" w:cs="新細明體"/>
                <w:snapToGrid/>
                <w:kern w:val="0"/>
                <w:sz w:val="24"/>
                <w:szCs w:val="24"/>
              </w:rPr>
              <w:t>音樂會</w:t>
            </w:r>
            <w:r w:rsidRPr="00173765">
              <w:rPr>
                <w:rFonts w:hAnsi="標楷體" w:cs="Calibri"/>
                <w:snapToGrid/>
                <w:kern w:val="0"/>
                <w:sz w:val="24"/>
                <w:szCs w:val="24"/>
                <w:bdr w:val="none" w:sz="0" w:space="0" w:color="auto" w:frame="1"/>
                <w:shd w:val="clear" w:color="auto" w:fill="FFFFFF"/>
              </w:rPr>
              <w:t>1</w:t>
            </w:r>
            <w:r w:rsidRPr="00173765">
              <w:rPr>
                <w:rFonts w:hAnsi="標楷體" w:cs="新細明體" w:hint="eastAsia"/>
                <w:snapToGrid/>
                <w:kern w:val="0"/>
                <w:sz w:val="24"/>
                <w:szCs w:val="24"/>
                <w:bdr w:val="none" w:sz="0" w:space="0" w:color="auto" w:frame="1"/>
                <w:shd w:val="clear" w:color="auto" w:fill="FFFFFF"/>
              </w:rPr>
              <w:t>場次</w:t>
            </w:r>
            <w:r w:rsidRPr="00173765">
              <w:rPr>
                <w:rFonts w:hAnsi="標楷體" w:cs="新細明體"/>
                <w:snapToGrid/>
                <w:kern w:val="0"/>
                <w:sz w:val="24"/>
                <w:szCs w:val="24"/>
              </w:rPr>
              <w:t>，觀眾逾萬人</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以文化內容為</w:t>
            </w:r>
            <w:r w:rsidRPr="00173765">
              <w:rPr>
                <w:rFonts w:hAnsi="標楷體" w:cs="新細明體" w:hint="eastAsia"/>
                <w:snapToGrid/>
                <w:kern w:val="0"/>
                <w:sz w:val="24"/>
                <w:szCs w:val="24"/>
              </w:rPr>
              <w:lastRenderedPageBreak/>
              <w:t>外交軟實力推動計畫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lastRenderedPageBreak/>
              <w:t>補助/人</w:t>
            </w:r>
            <w:r w:rsidRPr="00173765">
              <w:rPr>
                <w:rFonts w:hAnsi="標楷體" w:cs="新細明體" w:hint="eastAsia"/>
                <w:snapToGrid/>
                <w:kern w:val="0"/>
                <w:sz w:val="24"/>
                <w:szCs w:val="24"/>
              </w:rPr>
              <w:lastRenderedPageBreak/>
              <w:t>次</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lastRenderedPageBreak/>
              <w:t>補助參與國際大型展會活動</w:t>
            </w:r>
          </w:p>
        </w:tc>
        <w:tc>
          <w:tcPr>
            <w:tcW w:w="724" w:type="dxa"/>
            <w:tcBorders>
              <w:top w:val="single" w:sz="6" w:space="0" w:color="auto"/>
              <w:bottom w:val="single" w:sz="6"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094512"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7萬</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2.5萬</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Calibri"/>
                <w:snapToGrid/>
                <w:kern w:val="0"/>
                <w:sz w:val="24"/>
                <w:szCs w:val="24"/>
                <w:bdr w:val="none" w:sz="0" w:space="0" w:color="auto" w:frame="1"/>
                <w:shd w:val="clear" w:color="auto" w:fill="FFFFFF"/>
              </w:rPr>
              <w:t>113</w:t>
            </w:r>
            <w:r w:rsidRPr="00173765">
              <w:rPr>
                <w:rFonts w:hAnsi="標楷體" w:cs="新細明體" w:hint="eastAsia"/>
                <w:snapToGrid/>
                <w:kern w:val="0"/>
                <w:sz w:val="24"/>
                <w:szCs w:val="24"/>
                <w:bdr w:val="none" w:sz="0" w:space="0" w:color="auto" w:frame="1"/>
                <w:shd w:val="clear" w:color="auto" w:fill="FFFFFF"/>
              </w:rPr>
              <w:t>年</w:t>
            </w:r>
            <w:r w:rsidRPr="00173765">
              <w:rPr>
                <w:rFonts w:hAnsi="標楷體" w:cs="Calibri"/>
                <w:snapToGrid/>
                <w:kern w:val="0"/>
                <w:sz w:val="24"/>
                <w:szCs w:val="24"/>
                <w:bdr w:val="none" w:sz="0" w:space="0" w:color="auto" w:frame="1"/>
                <w:shd w:val="clear" w:color="auto" w:fill="FFFFFF"/>
              </w:rPr>
              <w:t>7</w:t>
            </w:r>
            <w:r w:rsidRPr="00173765">
              <w:rPr>
                <w:rFonts w:hAnsi="標楷體" w:cs="新細明體" w:hint="eastAsia"/>
                <w:snapToGrid/>
                <w:kern w:val="0"/>
                <w:sz w:val="24"/>
                <w:szCs w:val="24"/>
                <w:bdr w:val="none" w:sz="0" w:space="0" w:color="auto" w:frame="1"/>
                <w:shd w:val="clear" w:color="auto" w:fill="FFFFFF"/>
              </w:rPr>
              <w:t>月</w:t>
            </w:r>
            <w:r w:rsidRPr="00173765">
              <w:rPr>
                <w:rFonts w:hAnsi="標楷體" w:cs="Calibri"/>
                <w:snapToGrid/>
                <w:kern w:val="0"/>
                <w:sz w:val="24"/>
                <w:szCs w:val="24"/>
                <w:bdr w:val="none" w:sz="0" w:space="0" w:color="auto" w:frame="1"/>
                <w:shd w:val="clear" w:color="auto" w:fill="FFFFFF"/>
              </w:rPr>
              <w:t>27</w:t>
            </w:r>
            <w:r w:rsidRPr="00173765">
              <w:rPr>
                <w:rFonts w:hAnsi="標楷體" w:cs="新細明體" w:hint="eastAsia"/>
                <w:snapToGrid/>
                <w:kern w:val="0"/>
                <w:sz w:val="24"/>
                <w:szCs w:val="24"/>
                <w:bdr w:val="none" w:sz="0" w:space="0" w:color="auto" w:frame="1"/>
                <w:shd w:val="clear" w:color="auto" w:fill="FFFFFF"/>
              </w:rPr>
              <w:t>日至</w:t>
            </w:r>
            <w:r w:rsidRPr="00173765">
              <w:rPr>
                <w:rFonts w:hAnsi="標楷體" w:cs="Calibri"/>
                <w:snapToGrid/>
                <w:kern w:val="0"/>
                <w:sz w:val="24"/>
                <w:szCs w:val="24"/>
                <w:bdr w:val="none" w:sz="0" w:space="0" w:color="auto" w:frame="1"/>
                <w:shd w:val="clear" w:color="auto" w:fill="FFFFFF"/>
              </w:rPr>
              <w:t>8</w:t>
            </w:r>
            <w:r w:rsidRPr="00173765">
              <w:rPr>
                <w:rFonts w:hAnsi="標楷體" w:cs="新細明體" w:hint="eastAsia"/>
                <w:snapToGrid/>
                <w:kern w:val="0"/>
                <w:sz w:val="24"/>
                <w:szCs w:val="24"/>
                <w:bdr w:val="none" w:sz="0" w:space="0" w:color="auto" w:frame="1"/>
                <w:shd w:val="clear" w:color="auto" w:fill="FFFFFF"/>
              </w:rPr>
              <w:t>月</w:t>
            </w:r>
            <w:r w:rsidRPr="00173765">
              <w:rPr>
                <w:rFonts w:hAnsi="標楷體" w:cs="Calibri"/>
                <w:snapToGrid/>
                <w:kern w:val="0"/>
                <w:sz w:val="24"/>
                <w:szCs w:val="24"/>
                <w:bdr w:val="none" w:sz="0" w:space="0" w:color="auto" w:frame="1"/>
                <w:shd w:val="clear" w:color="auto" w:fill="FFFFFF"/>
              </w:rPr>
              <w:t>10</w:t>
            </w:r>
            <w:r w:rsidRPr="00173765">
              <w:rPr>
                <w:rFonts w:hAnsi="標楷體" w:cs="新細明體" w:hint="eastAsia"/>
                <w:snapToGrid/>
                <w:kern w:val="0"/>
                <w:sz w:val="24"/>
                <w:szCs w:val="24"/>
                <w:bdr w:val="none" w:sz="0" w:space="0" w:color="auto" w:frame="1"/>
                <w:shd w:val="clear" w:color="auto" w:fill="FFFFFF"/>
              </w:rPr>
              <w:t>日假巴黎拉維特園區</w:t>
            </w:r>
            <w:r w:rsidRPr="00173765">
              <w:rPr>
                <w:rFonts w:hAnsi="標楷體" w:cs="新細明體"/>
                <w:snapToGrid/>
                <w:kern w:val="0"/>
                <w:sz w:val="24"/>
                <w:szCs w:val="24"/>
              </w:rPr>
              <w:t>設置臺灣館，</w:t>
            </w:r>
            <w:r w:rsidRPr="00173765">
              <w:rPr>
                <w:rFonts w:hAnsi="標楷體" w:cs="新細明體" w:hint="eastAsia"/>
                <w:snapToGrid/>
                <w:kern w:val="0"/>
                <w:sz w:val="24"/>
                <w:szCs w:val="24"/>
                <w:bdr w:val="none" w:sz="0" w:space="0" w:color="auto" w:frame="1"/>
                <w:shd w:val="clear" w:color="auto" w:fill="FFFFFF"/>
              </w:rPr>
              <w:t>辦理</w:t>
            </w:r>
            <w:r w:rsidRPr="00173765">
              <w:rPr>
                <w:rFonts w:hAnsi="標楷體" w:cs="新細明體" w:hint="eastAsia"/>
                <w:snapToGrid/>
                <w:kern w:val="0"/>
                <w:sz w:val="24"/>
                <w:szCs w:val="24"/>
                <w:bdr w:val="none" w:sz="0" w:space="0" w:color="auto" w:frame="1"/>
                <w:shd w:val="clear" w:color="auto" w:fill="FFFFFF"/>
              </w:rPr>
              <w:lastRenderedPageBreak/>
              <w:t>巴黎文化奧運專案，</w:t>
            </w:r>
            <w:r w:rsidRPr="00173765">
              <w:rPr>
                <w:rFonts w:hAnsi="標楷體" w:cs="新細明體"/>
                <w:snapToGrid/>
                <w:kern w:val="0"/>
                <w:sz w:val="24"/>
                <w:szCs w:val="24"/>
              </w:rPr>
              <w:t>邀請計24團、122名藝術家</w:t>
            </w:r>
            <w:r w:rsidRPr="00173765">
              <w:rPr>
                <w:rFonts w:hAnsi="標楷體" w:cs="新細明體" w:hint="eastAsia"/>
                <w:snapToGrid/>
                <w:kern w:val="0"/>
                <w:sz w:val="24"/>
                <w:szCs w:val="24"/>
                <w:bdr w:val="none" w:sz="0" w:space="0" w:color="auto" w:frame="1"/>
                <w:shd w:val="clear" w:color="auto" w:fill="FFFFFF"/>
              </w:rPr>
              <w:t>共</w:t>
            </w:r>
            <w:r w:rsidRPr="00173765">
              <w:rPr>
                <w:rFonts w:hAnsi="標楷體" w:cs="Calibri"/>
                <w:snapToGrid/>
                <w:kern w:val="0"/>
                <w:sz w:val="24"/>
                <w:szCs w:val="24"/>
                <w:bdr w:val="none" w:sz="0" w:space="0" w:color="auto" w:frame="1"/>
                <w:shd w:val="clear" w:color="auto" w:fill="FFFFFF"/>
              </w:rPr>
              <w:t>57</w:t>
            </w:r>
            <w:r w:rsidRPr="00173765">
              <w:rPr>
                <w:rFonts w:hAnsi="標楷體" w:cs="新細明體" w:hint="eastAsia"/>
                <w:snapToGrid/>
                <w:kern w:val="0"/>
                <w:sz w:val="24"/>
                <w:szCs w:val="24"/>
                <w:bdr w:val="none" w:sz="0" w:space="0" w:color="auto" w:frame="1"/>
                <w:shd w:val="clear" w:color="auto" w:fill="FFFFFF"/>
              </w:rPr>
              <w:t>場演出，</w:t>
            </w:r>
            <w:r w:rsidRPr="00173765">
              <w:rPr>
                <w:rFonts w:hAnsi="標楷體" w:cs="新細明體" w:hint="eastAsia"/>
                <w:snapToGrid/>
                <w:kern w:val="0"/>
                <w:sz w:val="24"/>
                <w:szCs w:val="24"/>
              </w:rPr>
              <w:t>累積逾</w:t>
            </w:r>
            <w:r w:rsidRPr="00173765">
              <w:rPr>
                <w:rFonts w:hAnsi="標楷體" w:cs="新細明體"/>
                <w:snapToGrid/>
                <w:kern w:val="0"/>
                <w:sz w:val="24"/>
                <w:szCs w:val="24"/>
              </w:rPr>
              <w:t>7萬人次</w:t>
            </w:r>
            <w:r w:rsidR="00FB186D"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lastRenderedPageBreak/>
              <w:t>傳統戲曲文化內容躍升計畫</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補助、委辦/人次</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辦理歌仔戲特展及兒童歌仔戲推廣</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5萬</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r w:rsidR="00094512" w:rsidRPr="00173765">
              <w:rPr>
                <w:rFonts w:hAnsi="標楷體" w:cs="新細明體" w:hint="eastAsia"/>
                <w:snapToGrid/>
                <w:kern w:val="0"/>
                <w:sz w:val="24"/>
                <w:szCs w:val="24"/>
              </w:rPr>
              <w:t>.15</w:t>
            </w:r>
            <w:r w:rsidRPr="00173765">
              <w:rPr>
                <w:rFonts w:hAnsi="標楷體" w:cs="新細明體" w:hint="eastAsia"/>
                <w:snapToGrid/>
                <w:kern w:val="0"/>
                <w:sz w:val="24"/>
                <w:szCs w:val="24"/>
              </w:rPr>
              <w:t>萬</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5萬</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113年度辧理兒童歌仔戲匯演，逾</w:t>
            </w:r>
            <w:r w:rsidRPr="00173765">
              <w:rPr>
                <w:rFonts w:hAnsi="標楷體" w:cs="新細明體"/>
                <w:snapToGrid/>
                <w:kern w:val="0"/>
                <w:sz w:val="24"/>
                <w:szCs w:val="24"/>
              </w:rPr>
              <w:t>2</w:t>
            </w:r>
            <w:r w:rsidR="00094512" w:rsidRPr="00173765">
              <w:rPr>
                <w:rFonts w:hAnsi="標楷體" w:cs="新細明體" w:hint="eastAsia"/>
                <w:snapToGrid/>
                <w:kern w:val="0"/>
                <w:sz w:val="24"/>
                <w:szCs w:val="24"/>
              </w:rPr>
              <w:t>萬</w:t>
            </w:r>
            <w:r w:rsidRPr="00173765">
              <w:rPr>
                <w:rFonts w:hAnsi="標楷體" w:cs="新細明體"/>
                <w:snapToGrid/>
                <w:kern w:val="0"/>
                <w:sz w:val="24"/>
                <w:szCs w:val="24"/>
              </w:rPr>
              <w:t>1,000人次參與；辦理歌仔戲「歌仔上</w:t>
            </w:r>
            <w:r w:rsidRPr="00173765">
              <w:rPr>
                <w:rFonts w:hAnsi="標楷體" w:cs="新細明體" w:hint="eastAsia"/>
                <w:snapToGrid/>
                <w:kern w:val="0"/>
                <w:sz w:val="24"/>
                <w:szCs w:val="24"/>
              </w:rPr>
              <w:t>媠」特展及相關推廣活動逾</w:t>
            </w:r>
            <w:r w:rsidRPr="00173765">
              <w:rPr>
                <w:rFonts w:hAnsi="標楷體" w:cs="新細明體"/>
                <w:snapToGrid/>
                <w:kern w:val="0"/>
                <w:sz w:val="24"/>
                <w:szCs w:val="24"/>
              </w:rPr>
              <w:t>1</w:t>
            </w:r>
            <w:r w:rsidR="00094512" w:rsidRPr="00173765">
              <w:rPr>
                <w:rFonts w:hAnsi="標楷體" w:cs="新細明體" w:hint="eastAsia"/>
                <w:snapToGrid/>
                <w:kern w:val="0"/>
                <w:sz w:val="24"/>
                <w:szCs w:val="24"/>
              </w:rPr>
              <w:t>萬</w:t>
            </w:r>
            <w:r w:rsidRPr="00173765">
              <w:rPr>
                <w:rFonts w:hAnsi="標楷體" w:cs="新細明體"/>
                <w:snapToGrid/>
                <w:kern w:val="0"/>
                <w:sz w:val="24"/>
                <w:szCs w:val="24"/>
              </w:rPr>
              <w:t>5,000人次參與；校園推廣及校外文化體驗逾1</w:t>
            </w:r>
            <w:r w:rsidR="00094512" w:rsidRPr="00173765">
              <w:rPr>
                <w:rFonts w:hAnsi="標楷體" w:cs="新細明體" w:hint="eastAsia"/>
                <w:snapToGrid/>
                <w:kern w:val="0"/>
                <w:sz w:val="24"/>
                <w:szCs w:val="24"/>
              </w:rPr>
              <w:t>萬</w:t>
            </w:r>
            <w:r w:rsidRPr="00173765">
              <w:rPr>
                <w:rFonts w:hAnsi="標楷體" w:cs="新細明體"/>
                <w:snapToGrid/>
                <w:kern w:val="0"/>
                <w:sz w:val="24"/>
                <w:szCs w:val="24"/>
              </w:rPr>
              <w:t>5,500人次參與</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lastRenderedPageBreak/>
              <w:t>視覺藝術能量提升暨品牌開展</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補助/場次</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補助辦理</w:t>
            </w:r>
            <w:r w:rsidRPr="00173765">
              <w:rPr>
                <w:rFonts w:hAnsi="標楷體" w:cs="新細明體"/>
                <w:snapToGrid/>
                <w:kern w:val="0"/>
                <w:sz w:val="24"/>
                <w:szCs w:val="24"/>
              </w:rPr>
              <w:t>國際型態視覺藝術相關展覽或博覽會</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7</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7</w:t>
            </w:r>
            <w:r w:rsidR="00094512" w:rsidRPr="00173765">
              <w:rPr>
                <w:rFonts w:hAnsi="標楷體" w:cs="新細明體" w:hint="eastAsia"/>
                <w:snapToGrid/>
                <w:kern w:val="0"/>
                <w:sz w:val="24"/>
                <w:szCs w:val="24"/>
              </w:rPr>
              <w:t>5</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113年度完成補助辦理</w:t>
            </w:r>
            <w:r w:rsidRPr="00173765">
              <w:rPr>
                <w:rFonts w:hAnsi="標楷體" w:cs="新細明體"/>
                <w:snapToGrid/>
                <w:kern w:val="0"/>
                <w:sz w:val="24"/>
                <w:szCs w:val="24"/>
              </w:rPr>
              <w:t>75場國際型態視覺藝術相關展覽或博覽會，共推介203位臺灣藝術家於國際展覽曝光</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支持臺灣文化內容再開發</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補助、委辦/案</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補助博物館辦理國際策展及交流活動，呈現國際文化議題的臺灣經驗或觀點</w:t>
            </w:r>
            <w:r w:rsidRPr="00173765">
              <w:rPr>
                <w:rFonts w:hAnsi="標楷體" w:cs="新細明體"/>
                <w:snapToGrid/>
                <w:kern w:val="0"/>
                <w:sz w:val="24"/>
                <w:szCs w:val="24"/>
              </w:rPr>
              <w:t xml:space="preserve"> </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9</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9</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snapToGrid/>
                <w:kern w:val="0"/>
                <w:sz w:val="24"/>
                <w:szCs w:val="24"/>
              </w:rPr>
              <w:t>113年共核定24案國際策展計畫，已開展或完成交流活動計9案，包含朱銘美術館舉辦「方物－亞洲當代雕塑展」、國立臺灣美術館2024年亞洲藝術雙年展等；並核定13案委託公立博物館辦理支持臺灣文化內容再開發計畫</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擴大電子書計次借閱及優化圖書採購</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補助/縣市</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透過各縣市公共圖書館系統，擴大電子書計次借閱及優化圖書採購機制</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snapToGrid/>
                <w:kern w:val="0"/>
                <w:sz w:val="24"/>
                <w:szCs w:val="24"/>
              </w:rPr>
              <w:t>20</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33" w:left="2" w:hangingChars="39" w:hanging="95"/>
              <w:jc w:val="center"/>
              <w:rPr>
                <w:rFonts w:hAnsi="標楷體" w:cs="新細明體"/>
                <w:snapToGrid/>
                <w:kern w:val="0"/>
                <w:sz w:val="24"/>
                <w:szCs w:val="24"/>
              </w:rPr>
            </w:pPr>
            <w:r w:rsidRPr="00173765">
              <w:rPr>
                <w:rFonts w:hAnsi="標楷體" w:cs="新細明體" w:hint="eastAsia"/>
                <w:snapToGrid/>
                <w:kern w:val="0"/>
                <w:sz w:val="24"/>
                <w:szCs w:val="24"/>
              </w:rPr>
              <w:t>20</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113年度輔導</w:t>
            </w:r>
            <w:r w:rsidRPr="00173765">
              <w:rPr>
                <w:rFonts w:hAnsi="標楷體" w:cs="新細明體"/>
                <w:snapToGrid/>
                <w:kern w:val="0"/>
                <w:sz w:val="24"/>
                <w:szCs w:val="24"/>
              </w:rPr>
              <w:t>20縣市優化圖書採購機制，保障出版社實得圖書定價7折以上，保障出版社合理利潤</w:t>
            </w:r>
            <w:r w:rsidRPr="00173765">
              <w:rPr>
                <w:rFonts w:hAnsi="標楷體" w:cs="新細明體" w:hint="eastAsia"/>
                <w:snapToGrid/>
                <w:kern w:val="0"/>
                <w:sz w:val="24"/>
                <w:szCs w:val="24"/>
              </w:rPr>
              <w:t>，並</w:t>
            </w:r>
            <w:r w:rsidRPr="00173765">
              <w:rPr>
                <w:rFonts w:hAnsi="標楷體" w:cs="新細明體"/>
                <w:snapToGrid/>
                <w:kern w:val="0"/>
                <w:sz w:val="24"/>
                <w:szCs w:val="24"/>
              </w:rPr>
              <w:t>擴大公共圖書館電子書計次借閱，使用人次約550萬人次，為往年使用量4倍</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left"/>
              <w:rPr>
                <w:rFonts w:hAnsi="標楷體" w:cs="新細明體"/>
                <w:snapToGrid/>
                <w:kern w:val="0"/>
                <w:sz w:val="24"/>
                <w:szCs w:val="24"/>
              </w:rPr>
            </w:pPr>
            <w:r w:rsidRPr="00173765">
              <w:rPr>
                <w:rFonts w:hAnsi="標楷體" w:cs="新細明體" w:hint="eastAsia"/>
                <w:snapToGrid/>
                <w:kern w:val="0"/>
                <w:sz w:val="24"/>
                <w:szCs w:val="24"/>
              </w:rPr>
              <w:t>拓展臺流文本外譯</w:t>
            </w:r>
            <w:r w:rsidRPr="00173765">
              <w:rPr>
                <w:rFonts w:hAnsi="標楷體" w:cs="新細明體"/>
                <w:snapToGrid/>
                <w:kern w:val="0"/>
                <w:sz w:val="24"/>
                <w:szCs w:val="24"/>
              </w:rPr>
              <w:t xml:space="preserve"> Books from Taiwan 2.0</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採購/本</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辦理版權推廣及書系建立、整合行銷，完成製作試譯本及全譯本</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220</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220</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220</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113年度完成</w:t>
            </w:r>
            <w:r w:rsidRPr="00173765">
              <w:rPr>
                <w:rFonts w:hAnsi="標楷體" w:cs="新細明體"/>
                <w:snapToGrid/>
                <w:kern w:val="0"/>
                <w:sz w:val="24"/>
                <w:szCs w:val="24"/>
              </w:rPr>
              <w:t>220本譯本製作並印製刊物，向國際市場推廣</w:t>
            </w:r>
            <w:r w:rsidRPr="00173765">
              <w:rPr>
                <w:rFonts w:hAnsi="標楷體" w:cs="新細明體" w:hint="eastAsia"/>
                <w:snapToGrid/>
                <w:kern w:val="0"/>
                <w:sz w:val="24"/>
                <w:szCs w:val="24"/>
              </w:rPr>
              <w:t>，</w:t>
            </w:r>
            <w:r w:rsidRPr="00173765">
              <w:rPr>
                <w:rFonts w:hAnsi="標楷體" w:cs="新細明體"/>
                <w:snapToGrid/>
                <w:kern w:val="0"/>
                <w:sz w:val="24"/>
                <w:szCs w:val="24"/>
              </w:rPr>
              <w:t>參加國內外重要書展，包含韓國首爾書展等</w:t>
            </w:r>
            <w:r w:rsidRPr="00173765">
              <w:rPr>
                <w:rFonts w:hAnsi="標楷體" w:cs="新細明體" w:hint="eastAsia"/>
                <w:snapToGrid/>
                <w:kern w:val="0"/>
                <w:sz w:val="24"/>
                <w:szCs w:val="24"/>
              </w:rPr>
              <w:t>5個國內外書展</w:t>
            </w:r>
            <w:r w:rsidR="00FB186D"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補助中央通訊</w:t>
            </w:r>
            <w:r w:rsidRPr="00173765">
              <w:rPr>
                <w:rFonts w:hAnsi="標楷體" w:cs="新細明體" w:hint="eastAsia"/>
                <w:snapToGrid/>
                <w:kern w:val="0"/>
                <w:sz w:val="24"/>
                <w:szCs w:val="24"/>
              </w:rPr>
              <w:lastRenderedPageBreak/>
              <w:t>社推動國際傳播交流</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lastRenderedPageBreak/>
              <w:t>補助/家</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辦理國際交流互惠掌握臺灣</w:t>
            </w:r>
            <w:r w:rsidRPr="00173765">
              <w:rPr>
                <w:rFonts w:hAnsi="標楷體" w:cs="新細明體" w:hint="eastAsia"/>
                <w:snapToGrid/>
                <w:kern w:val="0"/>
                <w:sz w:val="24"/>
                <w:szCs w:val="24"/>
              </w:rPr>
              <w:lastRenderedPageBreak/>
              <w:t>民主話語權，接觸國外媒體、簽定合作意向書</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lastRenderedPageBreak/>
              <w:t>接觸：</w:t>
            </w:r>
            <w:r w:rsidR="00094512" w:rsidRPr="00173765">
              <w:rPr>
                <w:rFonts w:hAnsi="標楷體" w:cs="新細明體" w:hint="eastAsia"/>
                <w:snapToGrid/>
                <w:kern w:val="0"/>
                <w:sz w:val="24"/>
                <w:szCs w:val="24"/>
              </w:rPr>
              <w:t>4</w:t>
            </w:r>
          </w:p>
          <w:p w:rsidR="00BF7D19" w:rsidRPr="00173765" w:rsidRDefault="00BF7D19"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簽定：</w:t>
            </w:r>
            <w:r w:rsidR="00094512" w:rsidRPr="00173765">
              <w:rPr>
                <w:rFonts w:hAnsi="標楷體" w:cs="新細明體" w:hint="eastAsia"/>
                <w:snapToGrid/>
                <w:kern w:val="0"/>
                <w:sz w:val="24"/>
                <w:szCs w:val="24"/>
              </w:rPr>
              <w:t>1</w:t>
            </w:r>
          </w:p>
        </w:tc>
        <w:tc>
          <w:tcPr>
            <w:tcW w:w="719" w:type="dxa"/>
            <w:tcBorders>
              <w:top w:val="single" w:sz="6" w:space="0" w:color="auto"/>
              <w:bottom w:val="single" w:sz="6" w:space="0" w:color="auto"/>
              <w:right w:val="double" w:sz="4" w:space="0" w:color="auto"/>
            </w:tcBorders>
            <w:shd w:val="clear" w:color="auto" w:fill="auto"/>
            <w:vAlign w:val="center"/>
          </w:tcPr>
          <w:p w:rsidR="005B57BB" w:rsidRPr="00173765" w:rsidRDefault="005B57BB"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接觸：</w:t>
            </w:r>
            <w:r w:rsidR="00094512" w:rsidRPr="00173765">
              <w:rPr>
                <w:rFonts w:hAnsi="標楷體" w:cs="新細明體" w:hint="eastAsia"/>
                <w:snapToGrid/>
                <w:kern w:val="0"/>
                <w:sz w:val="24"/>
                <w:szCs w:val="24"/>
              </w:rPr>
              <w:t>7</w:t>
            </w:r>
          </w:p>
          <w:p w:rsidR="00BF7D19" w:rsidRPr="00173765" w:rsidRDefault="005B57BB"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簽定：</w:t>
            </w:r>
            <w:r w:rsidR="00094512" w:rsidRPr="00173765">
              <w:rPr>
                <w:rFonts w:hAnsi="標楷體" w:cs="新細明體" w:hint="eastAsia"/>
                <w:snapToGrid/>
                <w:kern w:val="0"/>
                <w:sz w:val="24"/>
                <w:szCs w:val="24"/>
              </w:rPr>
              <w:t>4</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接觸：4</w:t>
            </w:r>
          </w:p>
          <w:p w:rsidR="00BF7D19" w:rsidRPr="00173765" w:rsidRDefault="00BF7D19" w:rsidP="00173765">
            <w:pPr>
              <w:widowControl/>
              <w:overflowPunct w:val="0"/>
              <w:spacing w:line="0" w:lineRule="atLeast"/>
              <w:ind w:leftChars="-33" w:left="-1" w:rightChars="-23" w:right="-65" w:hangingChars="38" w:hanging="92"/>
              <w:jc w:val="center"/>
              <w:rPr>
                <w:rFonts w:hAnsi="標楷體" w:cs="新細明體"/>
                <w:snapToGrid/>
                <w:kern w:val="0"/>
                <w:sz w:val="24"/>
                <w:szCs w:val="24"/>
              </w:rPr>
            </w:pPr>
            <w:r w:rsidRPr="00173765">
              <w:rPr>
                <w:rFonts w:hAnsi="標楷體" w:cs="新細明體" w:hint="eastAsia"/>
                <w:snapToGrid/>
                <w:kern w:val="0"/>
                <w:sz w:val="24"/>
                <w:szCs w:val="24"/>
              </w:rPr>
              <w:t>簽定：1</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113年度接觸</w:t>
            </w:r>
            <w:r w:rsidRPr="00173765">
              <w:rPr>
                <w:rFonts w:hAnsi="標楷體" w:cs="新細明體"/>
                <w:snapToGrid/>
                <w:kern w:val="0"/>
                <w:sz w:val="24"/>
                <w:szCs w:val="24"/>
              </w:rPr>
              <w:t>包括瑞士資訊</w:t>
            </w:r>
            <w:r w:rsidRPr="00173765">
              <w:rPr>
                <w:rFonts w:hAnsi="標楷體" w:cs="新細明體" w:hint="eastAsia"/>
                <w:snapToGrid/>
                <w:kern w:val="0"/>
                <w:sz w:val="24"/>
                <w:szCs w:val="24"/>
              </w:rPr>
              <w:t>等</w:t>
            </w:r>
            <w:r w:rsidRPr="00173765">
              <w:rPr>
                <w:rFonts w:hAnsi="標楷體" w:cs="新細明體"/>
                <w:snapToGrid/>
                <w:kern w:val="0"/>
                <w:sz w:val="24"/>
                <w:szCs w:val="24"/>
              </w:rPr>
              <w:t>7家</w:t>
            </w:r>
            <w:r w:rsidRPr="00173765">
              <w:rPr>
                <w:rFonts w:hAnsi="標楷體" w:cs="新細明體" w:hint="eastAsia"/>
                <w:snapToGrid/>
                <w:kern w:val="0"/>
                <w:sz w:val="24"/>
                <w:szCs w:val="24"/>
              </w:rPr>
              <w:t>國外媒體，並與</w:t>
            </w:r>
            <w:r w:rsidRPr="00173765">
              <w:rPr>
                <w:rFonts w:hAnsi="標楷體" w:cs="新細明體"/>
                <w:snapToGrid/>
                <w:kern w:val="0"/>
                <w:sz w:val="24"/>
                <w:szCs w:val="24"/>
              </w:rPr>
              <w:t>印度亞洲國際新</w:t>
            </w:r>
            <w:r w:rsidRPr="00173765">
              <w:rPr>
                <w:rFonts w:hAnsi="標楷體" w:cs="新細明體"/>
                <w:snapToGrid/>
                <w:kern w:val="0"/>
                <w:sz w:val="24"/>
                <w:szCs w:val="24"/>
              </w:rPr>
              <w:lastRenderedPageBreak/>
              <w:t>聞社ANI、印度新聞信託社PTI、日本放送協會NHK、立陶宛ELTA新聞社共4家</w:t>
            </w:r>
            <w:r w:rsidRPr="00173765">
              <w:rPr>
                <w:rFonts w:hAnsi="標楷體" w:cs="新細明體" w:hint="eastAsia"/>
                <w:snapToGrid/>
                <w:kern w:val="0"/>
                <w:sz w:val="24"/>
                <w:szCs w:val="24"/>
              </w:rPr>
              <w:t>媒體簽署</w:t>
            </w:r>
            <w:r w:rsidRPr="00173765">
              <w:rPr>
                <w:rFonts w:hAnsi="標楷體" w:cs="新細明體"/>
                <w:snapToGrid/>
                <w:kern w:val="0"/>
                <w:sz w:val="24"/>
                <w:szCs w:val="24"/>
              </w:rPr>
              <w:t>MOU</w:t>
            </w:r>
            <w:r w:rsidRPr="00173765">
              <w:rPr>
                <w:rFonts w:hAnsi="標楷體" w:cs="新細明體" w:hint="eastAsia"/>
                <w:snapToGrid/>
                <w:kern w:val="0"/>
                <w:sz w:val="24"/>
                <w:szCs w:val="24"/>
              </w:rPr>
              <w:t>；另</w:t>
            </w:r>
            <w:r w:rsidRPr="00173765">
              <w:rPr>
                <w:rFonts w:hAnsi="標楷體" w:cs="新細明體"/>
                <w:snapToGrid/>
                <w:kern w:val="0"/>
                <w:sz w:val="24"/>
                <w:szCs w:val="24"/>
              </w:rPr>
              <w:t>國際暨兩岸中心外文編譯及海外特派員新增40人</w:t>
            </w:r>
            <w:r w:rsidRPr="00173765">
              <w:rPr>
                <w:rFonts w:hAnsi="標楷體" w:cs="新細明體" w:hint="eastAsia"/>
                <w:snapToGrid/>
                <w:kern w:val="0"/>
                <w:sz w:val="24"/>
                <w:szCs w:val="24"/>
              </w:rPr>
              <w:t>、</w:t>
            </w:r>
            <w:r w:rsidRPr="00173765">
              <w:rPr>
                <w:rFonts w:hAnsi="標楷體" w:cs="新細明體"/>
                <w:snapToGrid/>
                <w:kern w:val="0"/>
                <w:sz w:val="24"/>
                <w:szCs w:val="24"/>
              </w:rPr>
              <w:t>採訪229個國際大型會展活動</w:t>
            </w:r>
            <w:r w:rsidRPr="00173765">
              <w:rPr>
                <w:rFonts w:hAnsi="標楷體" w:cs="新細明體" w:hint="eastAsia"/>
                <w:snapToGrid/>
                <w:kern w:val="0"/>
                <w:sz w:val="24"/>
                <w:szCs w:val="24"/>
              </w:rPr>
              <w:t>、</w:t>
            </w:r>
            <w:r w:rsidRPr="00173765">
              <w:rPr>
                <w:rFonts w:hAnsi="標楷體" w:cs="新細明體"/>
                <w:snapToGrid/>
                <w:kern w:val="0"/>
                <w:sz w:val="24"/>
                <w:szCs w:val="24"/>
              </w:rPr>
              <w:t>露出1,791個國際媒體網站</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shd w:val="clear" w:color="auto" w:fill="FFFFFF"/>
              </w:rPr>
            </w:pPr>
            <w:r w:rsidRPr="00173765">
              <w:rPr>
                <w:rFonts w:hAnsi="標楷體" w:cs="新細明體" w:hint="eastAsia"/>
                <w:snapToGrid/>
                <w:kern w:val="0"/>
                <w:sz w:val="24"/>
                <w:szCs w:val="24"/>
                <w:shd w:val="clear" w:color="auto" w:fill="FFFFFF"/>
              </w:rPr>
              <w:lastRenderedPageBreak/>
              <w:t>文化部獎勵實</w:t>
            </w:r>
            <w:r w:rsidRPr="00173765">
              <w:rPr>
                <w:rFonts w:hAnsi="標楷體" w:cs="新細明體" w:hint="eastAsia"/>
                <w:snapToGrid/>
                <w:kern w:val="0"/>
                <w:sz w:val="24"/>
                <w:szCs w:val="24"/>
                <w:shd w:val="clear" w:color="auto" w:fill="FFFFFF"/>
              </w:rPr>
              <w:lastRenderedPageBreak/>
              <w:t>體書店串聯辦理創新書市活動</w:t>
            </w:r>
          </w:p>
        </w:tc>
        <w:tc>
          <w:tcPr>
            <w:tcW w:w="696"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bdr w:val="none" w:sz="0" w:space="0" w:color="auto" w:frame="1"/>
                <w:shd w:val="clear" w:color="auto" w:fill="FFFFFF"/>
              </w:rPr>
              <w:lastRenderedPageBreak/>
              <w:t>獎勵/人</w:t>
            </w:r>
            <w:r w:rsidRPr="00173765">
              <w:rPr>
                <w:rFonts w:hAnsi="標楷體" w:cs="新細明體" w:hint="eastAsia"/>
                <w:snapToGrid/>
                <w:kern w:val="0"/>
                <w:sz w:val="24"/>
                <w:szCs w:val="24"/>
                <w:bdr w:val="none" w:sz="0" w:space="0" w:color="auto" w:frame="1"/>
                <w:shd w:val="clear" w:color="auto" w:fill="FFFFFF"/>
              </w:rPr>
              <w:lastRenderedPageBreak/>
              <w:t>次</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shd w:val="clear" w:color="auto" w:fill="FFFFFF"/>
              </w:rPr>
              <w:lastRenderedPageBreak/>
              <w:t>獎勵實體書店串聯辦理結合</w:t>
            </w:r>
            <w:r w:rsidRPr="00173765">
              <w:rPr>
                <w:rFonts w:hAnsi="標楷體" w:cs="新細明體" w:hint="eastAsia"/>
                <w:snapToGrid/>
                <w:kern w:val="0"/>
                <w:sz w:val="24"/>
                <w:szCs w:val="24"/>
                <w:shd w:val="clear" w:color="auto" w:fill="FFFFFF"/>
              </w:rPr>
              <w:lastRenderedPageBreak/>
              <w:t>多元藝文元素書展，培養閱讀及藝文消費習慣，</w:t>
            </w:r>
            <w:r w:rsidRPr="00173765">
              <w:rPr>
                <w:rFonts w:hAnsi="標楷體" w:cs="新細明體" w:hint="eastAsia"/>
                <w:snapToGrid/>
                <w:kern w:val="0"/>
                <w:sz w:val="24"/>
                <w:szCs w:val="24"/>
                <w:bdr w:val="none" w:sz="0" w:space="0" w:color="auto" w:frame="1"/>
                <w:shd w:val="clear" w:color="auto" w:fill="FFFFFF"/>
              </w:rPr>
              <w:t>推動創新書市、提升獨立書店銷售</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lastRenderedPageBreak/>
              <w:t>3</w:t>
            </w:r>
            <w:r w:rsidR="00094512" w:rsidRPr="00173765">
              <w:rPr>
                <w:rFonts w:hAnsi="標楷體" w:cs="新細明體" w:hint="eastAsia"/>
                <w:snapToGrid/>
                <w:kern w:val="0"/>
                <w:sz w:val="24"/>
                <w:szCs w:val="24"/>
              </w:rPr>
              <w:t>0</w:t>
            </w:r>
            <w:r w:rsidRPr="00173765">
              <w:rPr>
                <w:rFonts w:hAnsi="標楷體" w:cs="新細明體" w:hint="eastAsia"/>
                <w:snapToGrid/>
                <w:kern w:val="0"/>
                <w:sz w:val="24"/>
                <w:szCs w:val="24"/>
              </w:rPr>
              <w:t>萬</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r w:rsidR="00094512" w:rsidRPr="00173765">
              <w:rPr>
                <w:rFonts w:hAnsi="標楷體" w:cs="新細明體" w:hint="eastAsia"/>
                <w:snapToGrid/>
                <w:kern w:val="0"/>
                <w:sz w:val="24"/>
                <w:szCs w:val="24"/>
              </w:rPr>
              <w:t>8</w:t>
            </w:r>
            <w:r w:rsidRPr="00173765">
              <w:rPr>
                <w:rFonts w:hAnsi="標楷體" w:cs="新細明體" w:hint="eastAsia"/>
                <w:snapToGrid/>
                <w:kern w:val="0"/>
                <w:sz w:val="24"/>
                <w:szCs w:val="24"/>
              </w:rPr>
              <w:t>萬</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30萬</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113年度共核定獎勵</w:t>
            </w:r>
            <w:r w:rsidRPr="00173765">
              <w:rPr>
                <w:rFonts w:hAnsi="標楷體" w:cs="新細明體"/>
                <w:snapToGrid/>
                <w:kern w:val="0"/>
                <w:sz w:val="24"/>
                <w:szCs w:val="24"/>
              </w:rPr>
              <w:t>31案，辦理</w:t>
            </w:r>
            <w:r w:rsidRPr="00173765">
              <w:rPr>
                <w:rFonts w:hAnsi="標楷體" w:cs="新細明體" w:hint="eastAsia"/>
                <w:snapToGrid/>
                <w:kern w:val="0"/>
                <w:sz w:val="24"/>
                <w:szCs w:val="24"/>
              </w:rPr>
              <w:t>近</w:t>
            </w:r>
            <w:r w:rsidRPr="00173765">
              <w:rPr>
                <w:rFonts w:hAnsi="標楷體" w:cs="新細明體"/>
                <w:snapToGrid/>
                <w:kern w:val="0"/>
                <w:sz w:val="24"/>
                <w:szCs w:val="24"/>
              </w:rPr>
              <w:t>百場（天）書市</w:t>
            </w:r>
            <w:r w:rsidRPr="00173765">
              <w:rPr>
                <w:rFonts w:hAnsi="標楷體" w:cs="新細明體" w:hint="eastAsia"/>
                <w:snapToGrid/>
                <w:kern w:val="0"/>
                <w:sz w:val="24"/>
                <w:szCs w:val="24"/>
              </w:rPr>
              <w:t>，以及</w:t>
            </w:r>
            <w:r w:rsidRPr="00173765">
              <w:rPr>
                <w:rFonts w:hAnsi="標楷體" w:cs="新細明體"/>
                <w:snapToGrid/>
                <w:kern w:val="0"/>
                <w:sz w:val="24"/>
                <w:szCs w:val="24"/>
              </w:rPr>
              <w:t>數百場</w:t>
            </w:r>
            <w:r w:rsidRPr="00173765">
              <w:rPr>
                <w:rFonts w:hAnsi="標楷體" w:cs="新細明體"/>
                <w:snapToGrid/>
                <w:kern w:val="0"/>
                <w:sz w:val="24"/>
                <w:szCs w:val="24"/>
              </w:rPr>
              <w:lastRenderedPageBreak/>
              <w:t>講座、走讀、展覽、演出、工作坊、電影放映等延伸活動</w:t>
            </w:r>
            <w:r w:rsidR="00094512" w:rsidRPr="00173765">
              <w:rPr>
                <w:rFonts w:hAnsi="標楷體" w:cs="新細明體"/>
                <w:snapToGrid/>
                <w:kern w:val="0"/>
                <w:sz w:val="24"/>
                <w:szCs w:val="24"/>
              </w:rPr>
              <w:t>。</w:t>
            </w:r>
          </w:p>
        </w:tc>
      </w:tr>
      <w:tr w:rsidR="00BF7D19" w:rsidRPr="00EF18A7" w:rsidTr="00173765">
        <w:trPr>
          <w:jc w:val="center"/>
        </w:trPr>
        <w:tc>
          <w:tcPr>
            <w:tcW w:w="846" w:type="dxa"/>
            <w:vMerge w:val="restart"/>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lastRenderedPageBreak/>
              <w:t>建構產銷均衡的文創產業生態系</w:t>
            </w:r>
          </w:p>
        </w:tc>
        <w:tc>
          <w:tcPr>
            <w:tcW w:w="696" w:type="dxa"/>
            <w:vMerge w:val="restart"/>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bdr w:val="none" w:sz="0" w:space="0" w:color="auto" w:frame="1"/>
                <w:shd w:val="clear" w:color="auto" w:fill="FFFFFF"/>
              </w:rPr>
              <w:t>徵案/件、家</w:t>
            </w: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bdr w:val="none" w:sz="0" w:space="0" w:color="auto" w:frame="1"/>
                <w:shd w:val="clear" w:color="auto" w:fill="FFFFFF"/>
              </w:rPr>
              <w:t>增加臺灣自製動畫短片開發量</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12</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12</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113年度辦理「文化黑潮之臺灣動畫獨立單元劇集聯合開發及行銷徵案計畫」，補助共</w:t>
            </w:r>
            <w:r w:rsidRPr="00173765">
              <w:rPr>
                <w:rFonts w:hAnsi="標楷體" w:cs="新細明體"/>
                <w:snapToGrid/>
                <w:kern w:val="0"/>
                <w:sz w:val="24"/>
                <w:szCs w:val="24"/>
              </w:rPr>
              <w:t>12件作品</w:t>
            </w:r>
            <w:r w:rsidR="00094512" w:rsidRPr="00173765">
              <w:rPr>
                <w:rFonts w:hAnsi="標楷體" w:cs="新細明體"/>
                <w:snapToGrid/>
                <w:kern w:val="0"/>
                <w:sz w:val="24"/>
                <w:szCs w:val="24"/>
              </w:rPr>
              <w:t>。</w:t>
            </w:r>
          </w:p>
        </w:tc>
      </w:tr>
      <w:tr w:rsidR="00BF7D19" w:rsidRPr="00EF18A7" w:rsidTr="00173765">
        <w:trPr>
          <w:jc w:val="center"/>
        </w:trPr>
        <w:tc>
          <w:tcPr>
            <w:tcW w:w="846" w:type="dxa"/>
            <w:vMerge/>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shd w:val="clear" w:color="auto" w:fill="FFFFFF"/>
              </w:rPr>
            </w:pPr>
          </w:p>
        </w:tc>
        <w:tc>
          <w:tcPr>
            <w:tcW w:w="696" w:type="dxa"/>
            <w:vMerge/>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p>
        </w:tc>
        <w:tc>
          <w:tcPr>
            <w:tcW w:w="1620"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left"/>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bdr w:val="none" w:sz="0" w:space="0" w:color="auto" w:frame="1"/>
                <w:shd w:val="clear" w:color="auto" w:fill="FFFFFF"/>
              </w:rPr>
              <w:t>徵選</w:t>
            </w:r>
            <w:r w:rsidRPr="00173765">
              <w:rPr>
                <w:rFonts w:hAnsi="標楷體" w:cs="新細明體"/>
                <w:snapToGrid/>
                <w:kern w:val="0"/>
                <w:sz w:val="24"/>
                <w:szCs w:val="24"/>
                <w:bdr w:val="none" w:sz="0" w:space="0" w:color="auto" w:frame="1"/>
                <w:shd w:val="clear" w:color="auto" w:fill="FFFFFF"/>
              </w:rPr>
              <w:t>業者進駐嘉義文創園區研發跨域文化科技產品</w:t>
            </w:r>
          </w:p>
        </w:tc>
        <w:tc>
          <w:tcPr>
            <w:tcW w:w="724"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w:t>
            </w:r>
          </w:p>
        </w:tc>
        <w:tc>
          <w:tcPr>
            <w:tcW w:w="719" w:type="dxa"/>
            <w:tcBorders>
              <w:top w:val="single" w:sz="6" w:space="0" w:color="auto"/>
              <w:bottom w:val="single" w:sz="6" w:space="0" w:color="auto"/>
              <w:right w:val="double" w:sz="4" w:space="0" w:color="auto"/>
            </w:tcBorders>
            <w:shd w:val="clear" w:color="auto" w:fill="auto"/>
            <w:vAlign w:val="center"/>
          </w:tcPr>
          <w:p w:rsidR="00BF7D19" w:rsidRPr="00173765" w:rsidRDefault="005B57BB"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w:t>
            </w:r>
          </w:p>
        </w:tc>
        <w:tc>
          <w:tcPr>
            <w:tcW w:w="767" w:type="dxa"/>
            <w:tcBorders>
              <w:top w:val="single" w:sz="6" w:space="0" w:color="auto"/>
              <w:left w:val="double" w:sz="4"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建置嘉義文創園區文化科技Op</w:t>
            </w:r>
            <w:r w:rsidRPr="00173765">
              <w:rPr>
                <w:rFonts w:hAnsi="標楷體" w:cs="新細明體"/>
                <w:snapToGrid/>
                <w:kern w:val="0"/>
                <w:sz w:val="24"/>
                <w:szCs w:val="24"/>
              </w:rPr>
              <w:t>enLab</w:t>
            </w:r>
            <w:r w:rsidRPr="00173765">
              <w:rPr>
                <w:rFonts w:hAnsi="標楷體" w:cs="新細明體" w:hint="eastAsia"/>
                <w:snapToGrid/>
                <w:kern w:val="0"/>
                <w:sz w:val="24"/>
                <w:szCs w:val="24"/>
              </w:rPr>
              <w:t>，並預計徵選5家業者進駐研發跨域文化科技產品</w:t>
            </w:r>
            <w:r w:rsidR="00094512" w:rsidRPr="00173765">
              <w:rPr>
                <w:rFonts w:hAnsi="標楷體" w:cs="新細明體"/>
                <w:snapToGrid/>
                <w:kern w:val="0"/>
                <w:sz w:val="24"/>
                <w:szCs w:val="24"/>
              </w:rPr>
              <w:t>。</w:t>
            </w:r>
          </w:p>
        </w:tc>
      </w:tr>
      <w:tr w:rsidR="00BF7D19" w:rsidRPr="00EF18A7" w:rsidTr="00173765">
        <w:trPr>
          <w:jc w:val="center"/>
        </w:trPr>
        <w:tc>
          <w:tcPr>
            <w:tcW w:w="846"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shd w:val="clear" w:color="auto" w:fill="FFFFFF"/>
              </w:rPr>
              <w:t>以科技的文化應用推波臺流擴散</w:t>
            </w:r>
          </w:p>
        </w:tc>
        <w:tc>
          <w:tcPr>
            <w:tcW w:w="696"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r w:rsidRPr="00173765">
              <w:rPr>
                <w:rFonts w:hAnsi="標楷體" w:cs="新細明體" w:hint="eastAsia"/>
                <w:snapToGrid/>
                <w:kern w:val="0"/>
                <w:sz w:val="24"/>
                <w:szCs w:val="24"/>
                <w:bdr w:val="none" w:sz="0" w:space="0" w:color="auto" w:frame="1"/>
                <w:shd w:val="clear" w:color="auto" w:fill="FFFFFF"/>
              </w:rPr>
              <w:t>徵案/組</w:t>
            </w:r>
          </w:p>
        </w:tc>
        <w:tc>
          <w:tcPr>
            <w:tcW w:w="1620"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bdr w:val="none" w:sz="0" w:space="0" w:color="auto" w:frame="1"/>
                <w:shd w:val="clear" w:color="auto" w:fill="FFFFFF"/>
              </w:rPr>
              <w:t>加速具國際市場潛力案件商品化</w:t>
            </w:r>
            <w:r w:rsidRPr="00173765">
              <w:rPr>
                <w:rFonts w:hAnsi="標楷體" w:cs="新細明體" w:hint="eastAsia"/>
                <w:snapToGrid/>
                <w:kern w:val="0"/>
                <w:sz w:val="24"/>
                <w:szCs w:val="24"/>
              </w:rPr>
              <w:t>，</w:t>
            </w:r>
            <w:r w:rsidRPr="00173765">
              <w:rPr>
                <w:rFonts w:hAnsi="標楷體" w:cs="新細明體"/>
                <w:snapToGrid/>
                <w:kern w:val="0"/>
                <w:sz w:val="24"/>
                <w:szCs w:val="24"/>
              </w:rPr>
              <w:t>建立臺灣原生文化內容經典示範案</w:t>
            </w:r>
          </w:p>
        </w:tc>
        <w:tc>
          <w:tcPr>
            <w:tcW w:w="724"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p>
        </w:tc>
        <w:tc>
          <w:tcPr>
            <w:tcW w:w="719" w:type="dxa"/>
            <w:tcBorders>
              <w:top w:val="single" w:sz="6" w:space="0" w:color="auto"/>
              <w:bottom w:val="single" w:sz="12" w:space="0" w:color="auto"/>
              <w:right w:val="double" w:sz="4" w:space="0" w:color="auto"/>
            </w:tcBorders>
            <w:shd w:val="clear" w:color="auto" w:fill="auto"/>
            <w:vAlign w:val="center"/>
          </w:tcPr>
          <w:p w:rsidR="00BF7D19" w:rsidRPr="00173765" w:rsidRDefault="0038193C"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p>
        </w:tc>
        <w:tc>
          <w:tcPr>
            <w:tcW w:w="767" w:type="dxa"/>
            <w:tcBorders>
              <w:top w:val="single" w:sz="6" w:space="0" w:color="auto"/>
              <w:left w:val="double" w:sz="4"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jc w:val="center"/>
              <w:rPr>
                <w:rFonts w:hAnsi="標楷體" w:cs="新細明體"/>
                <w:snapToGrid/>
                <w:kern w:val="0"/>
                <w:sz w:val="24"/>
                <w:szCs w:val="24"/>
              </w:rPr>
            </w:pPr>
            <w:r w:rsidRPr="00173765">
              <w:rPr>
                <w:rFonts w:hAnsi="標楷體" w:cs="新細明體" w:hint="eastAsia"/>
                <w:snapToGrid/>
                <w:kern w:val="0"/>
                <w:sz w:val="24"/>
                <w:szCs w:val="24"/>
              </w:rPr>
              <w:t>3</w:t>
            </w:r>
          </w:p>
        </w:tc>
        <w:tc>
          <w:tcPr>
            <w:tcW w:w="3628" w:type="dxa"/>
            <w:tcBorders>
              <w:top w:val="single" w:sz="6" w:space="0" w:color="auto"/>
              <w:bottom w:val="single" w:sz="12" w:space="0" w:color="auto"/>
            </w:tcBorders>
            <w:shd w:val="clear" w:color="auto" w:fill="auto"/>
            <w:vAlign w:val="center"/>
          </w:tcPr>
          <w:p w:rsidR="00BF7D19" w:rsidRPr="00173765" w:rsidRDefault="00BF7D19" w:rsidP="00173765">
            <w:pPr>
              <w:widowControl/>
              <w:overflowPunct w:val="0"/>
              <w:spacing w:line="0" w:lineRule="atLeast"/>
              <w:ind w:leftChars="0" w:left="0" w:firstLineChars="0" w:firstLine="0"/>
              <w:rPr>
                <w:rFonts w:hAnsi="標楷體" w:cs="新細明體"/>
                <w:snapToGrid/>
                <w:kern w:val="0"/>
                <w:sz w:val="24"/>
                <w:szCs w:val="24"/>
              </w:rPr>
            </w:pPr>
            <w:r w:rsidRPr="00173765">
              <w:rPr>
                <w:rFonts w:hAnsi="標楷體" w:cs="新細明體" w:hint="eastAsia"/>
                <w:snapToGrid/>
                <w:kern w:val="0"/>
                <w:sz w:val="24"/>
                <w:szCs w:val="24"/>
              </w:rPr>
              <w:t>113年度</w:t>
            </w:r>
            <w:r w:rsidRPr="00173765">
              <w:rPr>
                <w:rFonts w:hAnsi="標楷體" w:cs="新細明體"/>
                <w:snapToGrid/>
                <w:kern w:val="0"/>
                <w:sz w:val="24"/>
                <w:szCs w:val="24"/>
              </w:rPr>
              <w:t>建立多人走動式VR內容臺灣原生文化內容經典示範案例共2組，</w:t>
            </w:r>
            <w:r w:rsidRPr="00173765">
              <w:rPr>
                <w:rFonts w:hAnsi="標楷體" w:cs="新細明體" w:hint="eastAsia"/>
                <w:snapToGrid/>
                <w:kern w:val="0"/>
                <w:sz w:val="24"/>
                <w:szCs w:val="24"/>
              </w:rPr>
              <w:t>並</w:t>
            </w:r>
            <w:r w:rsidRPr="00173765">
              <w:rPr>
                <w:rFonts w:hAnsi="標楷體" w:cs="新細明體"/>
                <w:snapToGrid/>
                <w:kern w:val="0"/>
                <w:sz w:val="24"/>
                <w:szCs w:val="24"/>
              </w:rPr>
              <w:t>建立</w:t>
            </w:r>
            <w:r w:rsidRPr="00173765">
              <w:rPr>
                <w:rFonts w:hAnsi="標楷體" w:cs="新細明體" w:hint="eastAsia"/>
                <w:snapToGrid/>
                <w:kern w:val="0"/>
                <w:sz w:val="24"/>
                <w:szCs w:val="24"/>
              </w:rPr>
              <w:t>圖像角色</w:t>
            </w:r>
            <w:r w:rsidRPr="00173765">
              <w:rPr>
                <w:rFonts w:hAnsi="標楷體" w:cs="新細明體"/>
                <w:snapToGrid/>
                <w:kern w:val="0"/>
                <w:sz w:val="24"/>
                <w:szCs w:val="24"/>
              </w:rPr>
              <w:t>IP臺灣原生文化內容經典示範案例1組</w:t>
            </w:r>
            <w:r w:rsidR="00094512" w:rsidRPr="00173765">
              <w:rPr>
                <w:rFonts w:hAnsi="標楷體" w:cs="新細明體"/>
                <w:snapToGrid/>
                <w:kern w:val="0"/>
                <w:sz w:val="24"/>
                <w:szCs w:val="24"/>
              </w:rPr>
              <w:t>。</w:t>
            </w:r>
          </w:p>
        </w:tc>
      </w:tr>
    </w:tbl>
    <w:p w:rsidR="00810EAC" w:rsidRDefault="00810EAC" w:rsidP="0038193C">
      <w:pPr>
        <w:spacing w:line="280" w:lineRule="exact"/>
        <w:ind w:leftChars="-98" w:left="-278" w:firstLineChars="0" w:firstLine="0"/>
        <w:jc w:val="left"/>
        <w:rPr>
          <w:rFonts w:hAnsi="標楷體"/>
          <w:color w:val="000000"/>
          <w:sz w:val="24"/>
        </w:rPr>
      </w:pPr>
      <w:r>
        <w:rPr>
          <w:rFonts w:hAnsi="標楷體" w:hint="eastAsia"/>
          <w:color w:val="000000"/>
          <w:sz w:val="24"/>
        </w:rPr>
        <w:t>說    明:115及116年</w:t>
      </w:r>
      <w:r w:rsidR="00094512">
        <w:rPr>
          <w:rFonts w:hAnsi="標楷體" w:hint="eastAsia"/>
          <w:color w:val="000000"/>
          <w:sz w:val="24"/>
        </w:rPr>
        <w:t>度之預期效益</w:t>
      </w:r>
      <w:r>
        <w:rPr>
          <w:rFonts w:hAnsi="標楷體" w:hint="eastAsia"/>
          <w:color w:val="000000"/>
          <w:sz w:val="24"/>
        </w:rPr>
        <w:t>刻正辦理修正</w:t>
      </w:r>
      <w:r w:rsidR="00094512">
        <w:rPr>
          <w:rFonts w:hAnsi="標楷體" w:hint="eastAsia"/>
          <w:color w:val="000000"/>
          <w:sz w:val="24"/>
        </w:rPr>
        <w:t>作業中。</w:t>
      </w:r>
    </w:p>
    <w:p w:rsidR="00054C82" w:rsidRPr="00EF18A7" w:rsidRDefault="0075723B" w:rsidP="0038193C">
      <w:pPr>
        <w:spacing w:line="280" w:lineRule="exact"/>
        <w:ind w:leftChars="-98" w:left="-278" w:firstLineChars="0" w:firstLine="0"/>
        <w:jc w:val="left"/>
        <w:rPr>
          <w:rFonts w:hAnsi="標楷體"/>
          <w:color w:val="000000"/>
        </w:rPr>
      </w:pPr>
      <w:r w:rsidRPr="00EF18A7">
        <w:rPr>
          <w:rFonts w:hAnsi="標楷體" w:hint="eastAsia"/>
          <w:color w:val="000000"/>
          <w:sz w:val="24"/>
        </w:rPr>
        <w:t>資料來源</w:t>
      </w:r>
      <w:r w:rsidR="00810EAC" w:rsidRPr="00810EAC">
        <w:rPr>
          <w:rFonts w:hAnsi="標楷體" w:hint="eastAsia"/>
          <w:color w:val="000000"/>
          <w:sz w:val="24"/>
        </w:rPr>
        <w:t>:</w:t>
      </w:r>
      <w:r w:rsidRPr="00EF18A7">
        <w:rPr>
          <w:rFonts w:hAnsi="標楷體" w:hint="eastAsia"/>
          <w:color w:val="000000"/>
          <w:sz w:val="24"/>
        </w:rPr>
        <w:t>文化部提供，本研究彙整。</w:t>
      </w:r>
    </w:p>
    <w:p w:rsidR="00ED7942" w:rsidRPr="00EF18A7" w:rsidRDefault="00ED7942" w:rsidP="00341026">
      <w:pPr>
        <w:pStyle w:val="ab"/>
        <w:ind w:left="849" w:hanging="283"/>
        <w:rPr>
          <w:rFonts w:hAnsi="標楷體"/>
          <w:b/>
          <w:color w:val="000000"/>
        </w:rPr>
      </w:pPr>
      <w:r w:rsidRPr="00EF18A7">
        <w:rPr>
          <w:rFonts w:hAnsi="標楷體" w:hint="eastAsia"/>
          <w:b/>
          <w:color w:val="000000"/>
        </w:rPr>
        <w:t>(二)</w:t>
      </w:r>
      <w:r w:rsidR="000600F3" w:rsidRPr="00EF18A7">
        <w:rPr>
          <w:rFonts w:hAnsi="標楷體" w:hint="eastAsia"/>
          <w:b/>
          <w:color w:val="000000"/>
        </w:rPr>
        <w:t>量化指標</w:t>
      </w:r>
      <w:r w:rsidR="001839AA" w:rsidRPr="00EF18A7">
        <w:rPr>
          <w:rFonts w:hAnsi="標楷體" w:hint="eastAsia"/>
          <w:b/>
          <w:color w:val="000000"/>
        </w:rPr>
        <w:t>多超標達成，允宜檢討目標訂定之合理性及挑戰性，且</w:t>
      </w:r>
      <w:r w:rsidR="00A33797" w:rsidRPr="00EF18A7">
        <w:rPr>
          <w:rFonts w:hAnsi="標楷體" w:hint="eastAsia"/>
          <w:b/>
          <w:color w:val="000000"/>
        </w:rPr>
        <w:t>指標之選擇</w:t>
      </w:r>
      <w:r w:rsidR="001839AA" w:rsidRPr="00EF18A7">
        <w:rPr>
          <w:rFonts w:hAnsi="標楷體" w:hint="eastAsia"/>
          <w:b/>
          <w:color w:val="000000"/>
        </w:rPr>
        <w:t>應能達產業化之目的</w:t>
      </w:r>
    </w:p>
    <w:p w:rsidR="00E60E23" w:rsidRPr="00EF18A7" w:rsidRDefault="00E60E23" w:rsidP="00E60E23">
      <w:pPr>
        <w:pStyle w:val="123"/>
        <w:ind w:left="1133" w:hanging="283"/>
        <w:rPr>
          <w:rFonts w:hAnsi="標楷體"/>
          <w:color w:val="000000"/>
        </w:rPr>
      </w:pPr>
      <w:r w:rsidRPr="00EF18A7">
        <w:rPr>
          <w:rFonts w:hAnsi="標楷體" w:hint="eastAsia"/>
          <w:b/>
          <w:bCs/>
          <w:color w:val="000000"/>
        </w:rPr>
        <w:t>1.</w:t>
      </w:r>
      <w:r w:rsidR="001839AA" w:rsidRPr="00EF18A7">
        <w:rPr>
          <w:rFonts w:hAnsi="標楷體" w:hint="eastAsia"/>
          <w:b/>
          <w:bCs/>
          <w:color w:val="000000"/>
        </w:rPr>
        <w:t>113年績效目標皆達成，且多數績效均大幅超標</w:t>
      </w:r>
      <w:r w:rsidRPr="00EF18A7">
        <w:rPr>
          <w:rFonts w:hAnsi="標楷體" w:hint="eastAsia"/>
          <w:b/>
          <w:bCs/>
          <w:color w:val="000000"/>
        </w:rPr>
        <w:t>：</w:t>
      </w:r>
      <w:r w:rsidR="00126FD8" w:rsidRPr="00EF18A7">
        <w:rPr>
          <w:rFonts w:hAnsi="標楷體" w:hint="eastAsia"/>
          <w:color w:val="000000"/>
        </w:rPr>
        <w:t>經查113年度該計畫15</w:t>
      </w:r>
      <w:r w:rsidRPr="00EF18A7">
        <w:rPr>
          <w:rFonts w:hAnsi="標楷體" w:hint="eastAsia"/>
          <w:color w:val="000000"/>
        </w:rPr>
        <w:t>項</w:t>
      </w:r>
      <w:r w:rsidR="00126FD8" w:rsidRPr="00EF18A7">
        <w:rPr>
          <w:rFonts w:hAnsi="標楷體" w:hint="eastAsia"/>
          <w:color w:val="000000"/>
        </w:rPr>
        <w:t>子</w:t>
      </w:r>
      <w:r w:rsidRPr="00EF18A7">
        <w:rPr>
          <w:rFonts w:hAnsi="標楷體" w:hint="eastAsia"/>
          <w:color w:val="000000"/>
        </w:rPr>
        <w:t>計畫，</w:t>
      </w:r>
      <w:r w:rsidR="00126FD8" w:rsidRPr="00EF18A7">
        <w:rPr>
          <w:rFonts w:hAnsi="標楷體" w:hint="eastAsia"/>
          <w:color w:val="000000"/>
        </w:rPr>
        <w:t>執行成果皆達成目標值，</w:t>
      </w:r>
      <w:r w:rsidR="001E0773" w:rsidRPr="00EF18A7">
        <w:rPr>
          <w:rFonts w:hAnsi="標楷體" w:hint="eastAsia"/>
          <w:color w:val="000000"/>
        </w:rPr>
        <w:t>達成率多介於</w:t>
      </w:r>
      <w:r w:rsidR="001E0773" w:rsidRPr="00EF18A7">
        <w:rPr>
          <w:rFonts w:hAnsi="標楷體"/>
          <w:color w:val="000000"/>
        </w:rPr>
        <w:t>125%</w:t>
      </w:r>
      <w:r w:rsidR="001E0773" w:rsidRPr="00EF18A7">
        <w:rPr>
          <w:rFonts w:hAnsi="標楷體" w:hint="eastAsia"/>
          <w:color w:val="000000"/>
        </w:rPr>
        <w:t>至</w:t>
      </w:r>
      <w:r w:rsidR="001E0773" w:rsidRPr="00EF18A7">
        <w:rPr>
          <w:rFonts w:hAnsi="標楷體"/>
          <w:color w:val="000000"/>
        </w:rPr>
        <w:t>1</w:t>
      </w:r>
      <w:r w:rsidR="00A33797" w:rsidRPr="00EF18A7">
        <w:rPr>
          <w:rFonts w:hAnsi="標楷體"/>
          <w:color w:val="000000"/>
        </w:rPr>
        <w:t>,</w:t>
      </w:r>
      <w:r w:rsidR="001E0773" w:rsidRPr="00EF18A7">
        <w:rPr>
          <w:rFonts w:hAnsi="標楷體"/>
          <w:color w:val="000000"/>
        </w:rPr>
        <w:t>071%間</w:t>
      </w:r>
      <w:r w:rsidR="001E0773" w:rsidRPr="00EF18A7">
        <w:rPr>
          <w:rFonts w:hAnsi="標楷體" w:hint="eastAsia"/>
          <w:color w:val="000000"/>
        </w:rPr>
        <w:t>。</w:t>
      </w:r>
      <w:r w:rsidR="004F45D6" w:rsidRPr="00EF18A7">
        <w:rPr>
          <w:rFonts w:hAnsi="標楷體" w:hint="eastAsia"/>
          <w:color w:val="000000"/>
        </w:rPr>
        <w:t>其中</w:t>
      </w:r>
      <w:r w:rsidR="00126FD8" w:rsidRPr="00EF18A7">
        <w:rPr>
          <w:rFonts w:hAnsi="標楷體" w:hint="eastAsia"/>
          <w:color w:val="000000"/>
        </w:rPr>
        <w:t>補助辦理國際型態視覺藝術相關展覽或博覽會</w:t>
      </w:r>
      <w:r w:rsidR="004F45D6" w:rsidRPr="00EF18A7">
        <w:rPr>
          <w:rFonts w:hAnsi="標楷體" w:hint="eastAsia"/>
          <w:color w:val="000000"/>
        </w:rPr>
        <w:t>一案</w:t>
      </w:r>
      <w:r w:rsidR="00126FD8" w:rsidRPr="00EF18A7">
        <w:rPr>
          <w:rFonts w:hAnsi="標楷體" w:hint="eastAsia"/>
          <w:color w:val="000000"/>
        </w:rPr>
        <w:t>，</w:t>
      </w:r>
      <w:r w:rsidR="004F45D6" w:rsidRPr="00EF18A7">
        <w:rPr>
          <w:rFonts w:hAnsi="標楷體" w:hint="eastAsia"/>
          <w:color w:val="000000"/>
        </w:rPr>
        <w:t>其</w:t>
      </w:r>
      <w:r w:rsidR="00126FD8" w:rsidRPr="00EF18A7">
        <w:rPr>
          <w:rFonts w:hAnsi="標楷體" w:hint="eastAsia"/>
          <w:color w:val="000000"/>
        </w:rPr>
        <w:t>年度</w:t>
      </w:r>
      <w:r w:rsidR="004F45D6" w:rsidRPr="00EF18A7">
        <w:rPr>
          <w:rFonts w:hAnsi="標楷體" w:hint="eastAsia"/>
          <w:color w:val="000000"/>
        </w:rPr>
        <w:t>目</w:t>
      </w:r>
      <w:r w:rsidR="00126FD8" w:rsidRPr="00EF18A7">
        <w:rPr>
          <w:rFonts w:hAnsi="標楷體" w:hint="eastAsia"/>
          <w:color w:val="000000"/>
        </w:rPr>
        <w:t>標</w:t>
      </w:r>
      <w:r w:rsidR="004F45D6" w:rsidRPr="00EF18A7">
        <w:rPr>
          <w:rFonts w:hAnsi="標楷體" w:hint="eastAsia"/>
          <w:color w:val="000000"/>
        </w:rPr>
        <w:t>為</w:t>
      </w:r>
      <w:r w:rsidR="00126FD8" w:rsidRPr="00EF18A7">
        <w:rPr>
          <w:rFonts w:hAnsi="標楷體" w:hint="eastAsia"/>
          <w:color w:val="000000"/>
        </w:rPr>
        <w:t>7場，實際完成達75場</w:t>
      </w:r>
      <w:r w:rsidR="004F45D6" w:rsidRPr="00EF18A7">
        <w:rPr>
          <w:rFonts w:hAnsi="標楷體" w:hint="eastAsia"/>
          <w:color w:val="000000"/>
        </w:rPr>
        <w:t>，達成率達1</w:t>
      </w:r>
      <w:r w:rsidR="004F45D6" w:rsidRPr="00EF18A7">
        <w:rPr>
          <w:rFonts w:hAnsi="標楷體"/>
          <w:color w:val="000000"/>
        </w:rPr>
        <w:t>,071%</w:t>
      </w:r>
      <w:r w:rsidR="001E0773" w:rsidRPr="00EF18A7">
        <w:rPr>
          <w:rFonts w:hAnsi="標楷體" w:hint="eastAsia"/>
          <w:color w:val="000000"/>
        </w:rPr>
        <w:t>；</w:t>
      </w:r>
      <w:r w:rsidR="004F45D6" w:rsidRPr="00EF18A7">
        <w:rPr>
          <w:rFonts w:hAnsi="標楷體" w:hint="eastAsia"/>
          <w:color w:val="000000"/>
        </w:rPr>
        <w:t>另國際臺劇內容升級計畫達成率225%、投資未來兒少影音內容倍增計畫達成率255%、臺灣流行音樂史料蒐集及主題推廣目標達成率300%、補助財團法人中央通訊社推動國際傳播交流接觸媒體達成率175%、簽署MOU達成率</w:t>
      </w:r>
      <w:r w:rsidR="004F45D6" w:rsidRPr="00EF18A7">
        <w:rPr>
          <w:rFonts w:hAnsi="標楷體" w:hint="eastAsia"/>
          <w:color w:val="000000"/>
        </w:rPr>
        <w:lastRenderedPageBreak/>
        <w:t>400%，皆倍數達標，</w:t>
      </w:r>
      <w:r w:rsidR="005F5841" w:rsidRPr="00EF18A7">
        <w:rPr>
          <w:rFonts w:hAnsi="標楷體" w:hint="eastAsia"/>
          <w:color w:val="000000"/>
        </w:rPr>
        <w:t>允宜檢討</w:t>
      </w:r>
      <w:r w:rsidR="00C026E8">
        <w:rPr>
          <w:rFonts w:hAnsi="標楷體" w:hint="eastAsia"/>
          <w:color w:val="000000"/>
        </w:rPr>
        <w:t>所訂</w:t>
      </w:r>
      <w:r w:rsidR="005F5841" w:rsidRPr="00EF18A7">
        <w:rPr>
          <w:rFonts w:hAnsi="標楷體" w:hint="eastAsia"/>
          <w:color w:val="000000"/>
        </w:rPr>
        <w:t>計畫</w:t>
      </w:r>
      <w:r w:rsidR="004F45D6" w:rsidRPr="00EF18A7">
        <w:rPr>
          <w:rFonts w:hAnsi="標楷體" w:hint="eastAsia"/>
          <w:color w:val="000000"/>
        </w:rPr>
        <w:t>目標值</w:t>
      </w:r>
      <w:r w:rsidR="00C026E8">
        <w:rPr>
          <w:rFonts w:hAnsi="標楷體" w:hint="eastAsia"/>
          <w:color w:val="000000"/>
        </w:rPr>
        <w:t>是否具</w:t>
      </w:r>
      <w:r w:rsidR="005F5841" w:rsidRPr="00EF18A7">
        <w:rPr>
          <w:rFonts w:hAnsi="標楷體" w:hint="eastAsia"/>
          <w:color w:val="000000"/>
        </w:rPr>
        <w:t>挑戰性，或就</w:t>
      </w:r>
      <w:r w:rsidR="004F45D6" w:rsidRPr="00EF18A7">
        <w:rPr>
          <w:rFonts w:hAnsi="標楷體" w:hint="eastAsia"/>
          <w:color w:val="000000"/>
        </w:rPr>
        <w:t>成果認列標準</w:t>
      </w:r>
      <w:r w:rsidR="005F5841" w:rsidRPr="00EF18A7">
        <w:rPr>
          <w:rFonts w:hAnsi="標楷體" w:hint="eastAsia"/>
          <w:color w:val="000000"/>
        </w:rPr>
        <w:t>再予</w:t>
      </w:r>
      <w:r w:rsidR="004F45D6" w:rsidRPr="00EF18A7">
        <w:rPr>
          <w:rFonts w:hAnsi="標楷體" w:hint="eastAsia"/>
          <w:color w:val="000000"/>
        </w:rPr>
        <w:t>精進</w:t>
      </w:r>
      <w:r w:rsidR="001E0773" w:rsidRPr="00EF18A7">
        <w:rPr>
          <w:rFonts w:hAnsi="標楷體" w:hint="eastAsia"/>
          <w:color w:val="000000"/>
        </w:rPr>
        <w:t>，</w:t>
      </w:r>
      <w:r w:rsidR="005F5841" w:rsidRPr="00EF18A7">
        <w:rPr>
          <w:rFonts w:hAnsi="標楷體" w:hint="eastAsia"/>
          <w:color w:val="000000"/>
        </w:rPr>
        <w:t>俾激勵積極達成計畫總體目標</w:t>
      </w:r>
      <w:r w:rsidR="001E0773" w:rsidRPr="00EF18A7">
        <w:rPr>
          <w:rFonts w:hAnsi="標楷體" w:hint="eastAsia"/>
          <w:color w:val="000000"/>
        </w:rPr>
        <w:t>。</w:t>
      </w:r>
    </w:p>
    <w:p w:rsidR="00B051DE" w:rsidRPr="00EF18A7" w:rsidRDefault="00E60E23" w:rsidP="007E0FFE">
      <w:pPr>
        <w:pStyle w:val="123"/>
        <w:ind w:left="1133" w:hanging="283"/>
        <w:rPr>
          <w:rFonts w:hAnsi="標楷體"/>
          <w:color w:val="000000"/>
        </w:rPr>
      </w:pPr>
      <w:r w:rsidRPr="00EF18A7">
        <w:rPr>
          <w:rFonts w:hAnsi="標楷體" w:hint="eastAsia"/>
          <w:b/>
          <w:bCs/>
          <w:color w:val="000000"/>
        </w:rPr>
        <w:t>2.</w:t>
      </w:r>
      <w:r w:rsidR="00126FD8" w:rsidRPr="00EF18A7">
        <w:rPr>
          <w:rFonts w:hAnsi="標楷體" w:hint="eastAsia"/>
          <w:b/>
        </w:rPr>
        <w:t>允宜檢討現行指標內涵並研議增訂成果型指標</w:t>
      </w:r>
      <w:r w:rsidRPr="00EF18A7">
        <w:rPr>
          <w:rFonts w:hAnsi="標楷體" w:hint="eastAsia"/>
          <w:b/>
          <w:bCs/>
          <w:color w:val="000000"/>
        </w:rPr>
        <w:t>：</w:t>
      </w:r>
      <w:r w:rsidR="00B051DE" w:rsidRPr="00EF18A7">
        <w:rPr>
          <w:rFonts w:hAnsi="標楷體" w:hint="eastAsia"/>
        </w:rPr>
        <w:t>按績效指標可概分為投入型指標、產出型指標及成果型指標</w:t>
      </w:r>
      <w:r w:rsidR="00B051DE" w:rsidRPr="00EF18A7">
        <w:rPr>
          <w:rStyle w:val="afb"/>
          <w:rFonts w:hAnsi="標楷體"/>
        </w:rPr>
        <w:footnoteReference w:id="1"/>
      </w:r>
      <w:r w:rsidR="00B051DE" w:rsidRPr="00EF18A7">
        <w:rPr>
          <w:rFonts w:hAnsi="標楷體" w:hint="eastAsia"/>
        </w:rPr>
        <w:t>，其中成果型指標可具體衡量推動計畫效應或影響。</w:t>
      </w:r>
      <w:r w:rsidR="00C97459" w:rsidRPr="00EF18A7">
        <w:rPr>
          <w:rFonts w:hAnsi="標楷體" w:hint="eastAsia"/>
          <w:color w:val="000000"/>
        </w:rPr>
        <w:t>經查本計畫績效</w:t>
      </w:r>
      <w:r w:rsidR="001839AA" w:rsidRPr="00EF18A7">
        <w:rPr>
          <w:rFonts w:hAnsi="標楷體" w:hint="eastAsia"/>
          <w:color w:val="000000"/>
        </w:rPr>
        <w:t>指標</w:t>
      </w:r>
      <w:r w:rsidR="00C97459" w:rsidRPr="00EF18A7">
        <w:rPr>
          <w:rFonts w:hAnsi="標楷體" w:hint="eastAsia"/>
          <w:color w:val="000000"/>
        </w:rPr>
        <w:t>之</w:t>
      </w:r>
      <w:r w:rsidR="001839AA" w:rsidRPr="00EF18A7">
        <w:rPr>
          <w:rFonts w:hAnsi="標楷體" w:hint="eastAsia"/>
          <w:color w:val="000000"/>
        </w:rPr>
        <w:t>內容，</w:t>
      </w:r>
      <w:r w:rsidR="00C97459" w:rsidRPr="00EF18A7">
        <w:rPr>
          <w:rFonts w:hAnsi="標楷體" w:hint="eastAsia"/>
          <w:color w:val="000000"/>
        </w:rPr>
        <w:t>多係徵案</w:t>
      </w:r>
      <w:r w:rsidR="00B051DE" w:rsidRPr="00EF18A7">
        <w:rPr>
          <w:rFonts w:hAnsi="標楷體" w:hint="eastAsia"/>
          <w:color w:val="000000"/>
        </w:rPr>
        <w:t>件數</w:t>
      </w:r>
      <w:r w:rsidR="00C97459" w:rsidRPr="00EF18A7">
        <w:rPr>
          <w:rFonts w:hAnsi="標楷體" w:hint="eastAsia"/>
          <w:color w:val="000000"/>
        </w:rPr>
        <w:t>、</w:t>
      </w:r>
      <w:r w:rsidR="001839AA" w:rsidRPr="00EF18A7">
        <w:rPr>
          <w:rFonts w:hAnsi="標楷體" w:hint="eastAsia"/>
          <w:color w:val="000000"/>
        </w:rPr>
        <w:t>舉辦座談、活動、或</w:t>
      </w:r>
      <w:r w:rsidR="00C97459" w:rsidRPr="00EF18A7">
        <w:rPr>
          <w:rFonts w:hAnsi="標楷體" w:hint="eastAsia"/>
          <w:color w:val="000000"/>
        </w:rPr>
        <w:t>工作坊</w:t>
      </w:r>
      <w:r w:rsidR="001839AA" w:rsidRPr="00EF18A7">
        <w:rPr>
          <w:rFonts w:hAnsi="標楷體" w:hint="eastAsia"/>
          <w:color w:val="000000"/>
        </w:rPr>
        <w:t>場次或展覽檔次等投入型指標，或產製戲劇數或影片、資訊及檔案建置數量等產出型</w:t>
      </w:r>
      <w:r w:rsidR="00C97459" w:rsidRPr="00EF18A7">
        <w:rPr>
          <w:rFonts w:hAnsi="標楷體" w:hint="eastAsia"/>
          <w:color w:val="000000"/>
        </w:rPr>
        <w:t>指標</w:t>
      </w:r>
      <w:r w:rsidR="001839AA" w:rsidRPr="00EF18A7">
        <w:rPr>
          <w:rFonts w:hAnsi="標楷體" w:hint="eastAsia"/>
          <w:color w:val="000000"/>
        </w:rPr>
        <w:t>，</w:t>
      </w:r>
      <w:r w:rsidR="00C97459" w:rsidRPr="00EF18A7">
        <w:rPr>
          <w:rFonts w:hAnsi="標楷體" w:hint="eastAsia"/>
          <w:color w:val="000000"/>
        </w:rPr>
        <w:t>該等指標與計畫主要目標</w:t>
      </w:r>
      <w:r w:rsidR="007E0FFE" w:rsidRPr="00EF18A7">
        <w:rPr>
          <w:rFonts w:hAnsi="標楷體" w:hint="eastAsia"/>
          <w:color w:val="000000"/>
        </w:rPr>
        <w:t>「壯大臺灣內容、建立文化自信」</w:t>
      </w:r>
      <w:r w:rsidR="007E0FFE" w:rsidRPr="00EF18A7">
        <w:rPr>
          <w:rStyle w:val="afb"/>
          <w:rFonts w:hAnsi="標楷體"/>
          <w:color w:val="000000"/>
        </w:rPr>
        <w:footnoteReference w:id="2"/>
      </w:r>
      <w:r w:rsidR="007E0FFE" w:rsidRPr="00EF18A7">
        <w:rPr>
          <w:rFonts w:hAnsi="標楷體" w:hint="eastAsia"/>
          <w:color w:val="000000"/>
        </w:rPr>
        <w:t>間</w:t>
      </w:r>
      <w:r w:rsidR="00C97459" w:rsidRPr="00EF18A7">
        <w:rPr>
          <w:rFonts w:hAnsi="標楷體" w:hint="eastAsia"/>
          <w:color w:val="000000"/>
        </w:rPr>
        <w:t>，</w:t>
      </w:r>
      <w:r w:rsidR="007E0FFE" w:rsidRPr="00EF18A7">
        <w:rPr>
          <w:rFonts w:hAnsi="標楷體" w:hint="eastAsia"/>
          <w:color w:val="000000"/>
        </w:rPr>
        <w:t>其連結性相對有限</w:t>
      </w:r>
      <w:r w:rsidR="00B051DE" w:rsidRPr="00EF18A7">
        <w:rPr>
          <w:rFonts w:hAnsi="標楷體" w:hint="eastAsia"/>
          <w:color w:val="000000"/>
        </w:rPr>
        <w:t>。</w:t>
      </w:r>
      <w:r w:rsidR="007E0FFE" w:rsidRPr="00EF18A7">
        <w:rPr>
          <w:rFonts w:hAnsi="標楷體" w:hint="eastAsia"/>
          <w:color w:val="000000"/>
        </w:rPr>
        <w:t>次</w:t>
      </w:r>
      <w:r w:rsidR="00A33797" w:rsidRPr="00EF18A7">
        <w:rPr>
          <w:rFonts w:hAnsi="標楷體" w:hint="eastAsia"/>
          <w:color w:val="000000"/>
        </w:rPr>
        <w:t>查</w:t>
      </w:r>
      <w:r w:rsidR="00C026E8">
        <w:rPr>
          <w:rFonts w:hAnsi="標楷體" w:hint="eastAsia"/>
          <w:color w:val="000000"/>
        </w:rPr>
        <w:t>文化黑潮</w:t>
      </w:r>
      <w:r w:rsidR="00C97459" w:rsidRPr="00EF18A7">
        <w:rPr>
          <w:rFonts w:hAnsi="標楷體" w:hint="eastAsia"/>
          <w:color w:val="000000"/>
        </w:rPr>
        <w:t>計畫</w:t>
      </w:r>
      <w:r w:rsidR="007E0FFE" w:rsidRPr="00EF18A7">
        <w:rPr>
          <w:rFonts w:hAnsi="標楷體" w:hint="eastAsia"/>
          <w:color w:val="000000"/>
        </w:rPr>
        <w:t>之計畫架構</w:t>
      </w:r>
      <w:r w:rsidR="00A33797" w:rsidRPr="00EF18A7">
        <w:rPr>
          <w:rFonts w:hAnsi="標楷體" w:hint="eastAsia"/>
          <w:color w:val="000000"/>
        </w:rPr>
        <w:t>係</w:t>
      </w:r>
      <w:r w:rsidR="007E0FFE" w:rsidRPr="00EF18A7">
        <w:rPr>
          <w:rFonts w:hAnsi="標楷體" w:hint="eastAsia"/>
          <w:color w:val="000000"/>
        </w:rPr>
        <w:t>期能成就臺灣文化內容IP</w:t>
      </w:r>
      <w:r w:rsidR="00C97459" w:rsidRPr="00EF18A7">
        <w:rPr>
          <w:rFonts w:hAnsi="標楷體" w:hint="eastAsia"/>
          <w:color w:val="000000"/>
        </w:rPr>
        <w:t>，</w:t>
      </w:r>
      <w:r w:rsidR="007E0FFE" w:rsidRPr="00EF18A7">
        <w:rPr>
          <w:rFonts w:hAnsi="標楷體" w:hint="eastAsia"/>
          <w:color w:val="000000"/>
        </w:rPr>
        <w:t>帶動影視音臺流黑潮，</w:t>
      </w:r>
      <w:r w:rsidR="00B051DE" w:rsidRPr="00EF18A7">
        <w:rPr>
          <w:rFonts w:hAnsi="標楷體" w:hint="eastAsia"/>
          <w:color w:val="000000"/>
        </w:rPr>
        <w:t>計畫書</w:t>
      </w:r>
      <w:r w:rsidR="001839AA" w:rsidRPr="00EF18A7">
        <w:rPr>
          <w:rFonts w:hAnsi="標楷體" w:hint="eastAsia"/>
          <w:color w:val="000000"/>
        </w:rPr>
        <w:t>亦</w:t>
      </w:r>
      <w:r w:rsidR="00B051DE" w:rsidRPr="00EF18A7">
        <w:rPr>
          <w:rFonts w:hAnsi="標楷體" w:hint="eastAsia"/>
          <w:color w:val="000000"/>
        </w:rPr>
        <w:t>爰引</w:t>
      </w:r>
      <w:r w:rsidR="007E0FFE" w:rsidRPr="00EF18A7">
        <w:rPr>
          <w:rFonts w:hAnsi="標楷體" w:hint="eastAsia"/>
          <w:color w:val="000000"/>
        </w:rPr>
        <w:t>韓流發展模式，</w:t>
      </w:r>
      <w:r w:rsidR="00A33797" w:rsidRPr="00EF18A7">
        <w:rPr>
          <w:rFonts w:hAnsi="標楷體" w:hint="eastAsia"/>
          <w:color w:val="000000"/>
        </w:rPr>
        <w:t>俾有</w:t>
      </w:r>
      <w:r w:rsidR="001839AA" w:rsidRPr="00EF18A7">
        <w:rPr>
          <w:rFonts w:hAnsi="標楷體" w:hint="eastAsia"/>
          <w:color w:val="000000"/>
        </w:rPr>
        <w:t>帶動創造產業經濟效益</w:t>
      </w:r>
      <w:r w:rsidR="007E0FFE" w:rsidRPr="00EF18A7">
        <w:rPr>
          <w:rFonts w:hAnsi="標楷體" w:hint="eastAsia"/>
          <w:color w:val="000000"/>
        </w:rPr>
        <w:t>之構想，</w:t>
      </w:r>
      <w:r w:rsidR="00B051DE" w:rsidRPr="00EF18A7">
        <w:rPr>
          <w:rFonts w:hAnsi="標楷體" w:hint="eastAsia"/>
          <w:color w:val="000000"/>
        </w:rPr>
        <w:t>爰宜思考計畫整體目標，研議增加產值</w:t>
      </w:r>
      <w:r w:rsidR="001839AA" w:rsidRPr="00EF18A7">
        <w:rPr>
          <w:rFonts w:hAnsi="標楷體" w:hint="eastAsia"/>
          <w:color w:val="000000"/>
        </w:rPr>
        <w:t>、</w:t>
      </w:r>
      <w:r w:rsidR="00B051DE" w:rsidRPr="00EF18A7">
        <w:rPr>
          <w:rFonts w:hAnsi="標楷體" w:hint="eastAsia"/>
          <w:color w:val="000000"/>
        </w:rPr>
        <w:t>創造就業人數、國外授權金收入</w:t>
      </w:r>
      <w:r w:rsidR="001839AA" w:rsidRPr="00EF18A7">
        <w:rPr>
          <w:rFonts w:hAnsi="標楷體" w:hint="eastAsia"/>
          <w:color w:val="000000"/>
        </w:rPr>
        <w:t>等成果型指標</w:t>
      </w:r>
      <w:r w:rsidR="00B051DE" w:rsidRPr="00EF18A7">
        <w:rPr>
          <w:rFonts w:hAnsi="標楷體" w:hint="eastAsia"/>
          <w:color w:val="000000"/>
        </w:rPr>
        <w:t>之可行性</w:t>
      </w:r>
      <w:r w:rsidR="001839AA" w:rsidRPr="00EF18A7">
        <w:rPr>
          <w:rFonts w:hAnsi="標楷體" w:hint="eastAsia"/>
          <w:color w:val="000000"/>
        </w:rPr>
        <w:t>。</w:t>
      </w:r>
    </w:p>
    <w:bookmarkEnd w:id="2"/>
    <w:bookmarkEnd w:id="3"/>
    <w:bookmarkEnd w:id="5"/>
    <w:bookmarkEnd w:id="1"/>
    <w:sectPr w:rsidR="00B051DE"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571D5B" w:rsidRPr="00571D5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 w:id="1">
    <w:p w:rsidR="00490B73" w:rsidRPr="00D1478A" w:rsidRDefault="00490B73" w:rsidP="00B051DE">
      <w:pPr>
        <w:pStyle w:val="142"/>
        <w:ind w:leftChars="4" w:left="69" w:hangingChars="24" w:hanging="58"/>
        <w:jc w:val="both"/>
      </w:pPr>
      <w:r w:rsidRPr="00A962DA">
        <w:rPr>
          <w:rStyle w:val="afb"/>
          <w:szCs w:val="24"/>
        </w:rPr>
        <w:footnoteRef/>
      </w:r>
      <w:r>
        <w:rPr>
          <w:rFonts w:hint="eastAsia"/>
        </w:rPr>
        <w:t>績效指標</w:t>
      </w:r>
      <w:r w:rsidRPr="00D1478A">
        <w:rPr>
          <w:rFonts w:hint="eastAsia"/>
        </w:rPr>
        <w:t>分為投入型指標、產出型指標及成果型指標：</w:t>
      </w:r>
      <w:r w:rsidRPr="00D1478A">
        <w:t>(1)</w:t>
      </w:r>
      <w:r w:rsidRPr="00D1478A">
        <w:rPr>
          <w:rFonts w:hint="eastAsia"/>
        </w:rPr>
        <w:t>投入型指標係投入資源以完成特定階段之工作，惟未能衡量產出或成果，例如辦理講習或會議、製作文宣或教材、審查件數、補助件數或金額、派員研習、進修或出國次數等；</w:t>
      </w:r>
      <w:r w:rsidRPr="00D1478A">
        <w:t>(2)</w:t>
      </w:r>
      <w:r w:rsidRPr="00D1478A">
        <w:rPr>
          <w:rFonts w:hint="eastAsia"/>
        </w:rPr>
        <w:t>產出型指標係衡量直接之產出或服務，例如輔導或提供諮詢次數、提出研究報告、完成統計資料筆數或資料庫建置、培育人才數等；</w:t>
      </w:r>
      <w:r w:rsidRPr="00D1478A">
        <w:t>(3)</w:t>
      </w:r>
      <w:r w:rsidRPr="00D1478A">
        <w:rPr>
          <w:rFonts w:hint="eastAsia"/>
        </w:rPr>
        <w:t>成果型指標係機關推動政策對外造成之效應或影響，係對成果之衡量，例如通過認證、促進投資件數與金額、培育人才獲得肯定、滿意度、瀏覽人次等指標。</w:t>
      </w:r>
    </w:p>
  </w:footnote>
  <w:footnote w:id="2">
    <w:p w:rsidR="00490B73" w:rsidRPr="00A962DA" w:rsidRDefault="00490B73" w:rsidP="00A962DA">
      <w:pPr>
        <w:pStyle w:val="142"/>
        <w:ind w:leftChars="4" w:left="69" w:hangingChars="24" w:hanging="58"/>
        <w:jc w:val="both"/>
      </w:pPr>
      <w:r w:rsidRPr="00A962DA">
        <w:rPr>
          <w:rStyle w:val="afb"/>
          <w:szCs w:val="24"/>
        </w:rPr>
        <w:footnoteRef/>
      </w:r>
      <w:r w:rsidRPr="00A962DA">
        <w:rPr>
          <w:rStyle w:val="afb"/>
          <w:szCs w:val="24"/>
        </w:rPr>
        <w:t xml:space="preserve"> </w:t>
      </w:r>
      <w:r w:rsidRPr="00A962DA">
        <w:t>「匯聚臺流文化黑潮1 plus 4</w:t>
      </w:r>
      <w:r w:rsidRPr="00A962DA">
        <w:t>—</w:t>
      </w:r>
      <w:r w:rsidRPr="00A962DA">
        <w:t>T-content plan 2023暨2024～2027臺流文化內容躍升計畫」</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D5B"/>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493014-5073-4D9A-8777-03B54E9F3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A3760-5F94-4869-80A8-94360E124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19</Pages>
  <Words>526</Words>
  <Characters>3001</Characters>
  <Application>Microsoft Office Word</Application>
  <DocSecurity>0</DocSecurity>
  <Lines>25</Lines>
  <Paragraphs>7</Paragraphs>
  <ScaleCrop>false</ScaleCrop>
  <Company/>
  <LinksUpToDate>false</LinksUpToDate>
  <CharactersWithSpaces>3520</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