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bookmarkStart w:id="0" w:name="_GoBack"/>
      <w:bookmarkEnd w:id="0"/>
      <w:r w:rsidRPr="00EF18A7">
        <w:rPr>
          <w:rFonts w:hAnsi="標楷體" w:hint="eastAsia"/>
        </w:rPr>
        <w:t>中央政府辦理重大文化計畫預算編列及執行之探討</w:t>
      </w:r>
    </w:p>
    <w:p w:rsidR="002B42C3" w:rsidRPr="00EF18A7" w:rsidRDefault="002B42C3" w:rsidP="00FD0581">
      <w:pPr>
        <w:pStyle w:val="14"/>
        <w:ind w:left="567" w:hanging="567"/>
        <w:rPr>
          <w:rFonts w:hAnsi="標楷體"/>
        </w:rPr>
      </w:pPr>
      <w:bookmarkStart w:id="1" w:name="_Toc281290052"/>
      <w:bookmarkStart w:id="2" w:name="_Toc204695719"/>
      <w:r w:rsidRPr="00EF18A7">
        <w:rPr>
          <w:rFonts w:hAnsi="標楷體" w:hint="eastAsia"/>
        </w:rPr>
        <w:t>肆</w:t>
      </w:r>
      <w:bookmarkStart w:id="3" w:name="_Toc358106517"/>
      <w:r w:rsidRPr="00EF18A7">
        <w:rPr>
          <w:rFonts w:hAnsi="標楷體" w:hint="eastAsia"/>
        </w:rPr>
        <w:t>、結論</w:t>
      </w:r>
      <w:bookmarkEnd w:id="2"/>
    </w:p>
    <w:p w:rsidR="00D469F2" w:rsidRPr="00EF18A7" w:rsidRDefault="00D469F2" w:rsidP="00C627D2">
      <w:pPr>
        <w:pStyle w:val="af0"/>
        <w:ind w:left="560" w:firstLine="566"/>
        <w:rPr>
          <w:rFonts w:hAnsi="標楷體"/>
        </w:rPr>
      </w:pPr>
      <w:bookmarkStart w:id="4" w:name="_Toc358106518"/>
      <w:bookmarkStart w:id="5" w:name="_Toc456886650"/>
      <w:bookmarkStart w:id="6" w:name="_Toc456886649"/>
      <w:bookmarkEnd w:id="3"/>
      <w:r w:rsidRPr="00EF18A7">
        <w:rPr>
          <w:rFonts w:hAnsi="標楷體"/>
        </w:rPr>
        <w:t>中央政府近年積極推動</w:t>
      </w:r>
      <w:r w:rsidR="00A54CC7">
        <w:rPr>
          <w:rFonts w:hAnsi="標楷體" w:hint="eastAsia"/>
        </w:rPr>
        <w:t>多項</w:t>
      </w:r>
      <w:r w:rsidRPr="00EF18A7">
        <w:rPr>
          <w:rFonts w:hAnsi="標楷體"/>
        </w:rPr>
        <w:t>重大文化政策與計畫，</w:t>
      </w:r>
      <w:r w:rsidR="00A54CC7">
        <w:rPr>
          <w:rFonts w:hAnsi="標楷體" w:hint="eastAsia"/>
        </w:rPr>
        <w:t>並</w:t>
      </w:r>
      <w:r w:rsidRPr="00EF18A7">
        <w:rPr>
          <w:rFonts w:hAnsi="標楷體"/>
        </w:rPr>
        <w:t>以「文化黑潮計畫」為核心，結合影視音、出版、表演藝術與科技應用等多元面向，展現提升我國文化內容產製與國際輸出之企圖。然而從本研究分析可見，相關計畫在資源分配、預算編列、執行架構與成效管理上仍存在諸多</w:t>
      </w:r>
      <w:r w:rsidR="00A54CC7">
        <w:rPr>
          <w:rFonts w:hAnsi="標楷體" w:hint="eastAsia"/>
        </w:rPr>
        <w:t>待妥謀改善處</w:t>
      </w:r>
      <w:r w:rsidRPr="00EF18A7">
        <w:rPr>
          <w:rFonts w:hAnsi="標楷體"/>
        </w:rPr>
        <w:t>。首先，文化黑潮計畫</w:t>
      </w:r>
      <w:r w:rsidR="00CB1F75">
        <w:rPr>
          <w:rFonts w:hAnsi="標楷體" w:hint="eastAsia"/>
        </w:rPr>
        <w:t>之</w:t>
      </w:r>
      <w:r w:rsidRPr="00EF18A7">
        <w:rPr>
          <w:rFonts w:hAnsi="標楷體"/>
        </w:rPr>
        <w:t>子計畫</w:t>
      </w:r>
      <w:r w:rsidR="00CB1F75">
        <w:rPr>
          <w:rFonts w:hAnsi="標楷體" w:hint="eastAsia"/>
        </w:rPr>
        <w:t>中</w:t>
      </w:r>
      <w:r w:rsidRPr="00EF18A7">
        <w:rPr>
          <w:rFonts w:hAnsi="標楷體"/>
        </w:rPr>
        <w:t>與既有計畫</w:t>
      </w:r>
      <w:r w:rsidR="00A54CC7">
        <w:rPr>
          <w:rFonts w:hAnsi="標楷體" w:hint="eastAsia"/>
        </w:rPr>
        <w:t>相關</w:t>
      </w:r>
      <w:r w:rsidR="00CB1F75">
        <w:rPr>
          <w:rFonts w:hAnsi="標楷體" w:hint="eastAsia"/>
        </w:rPr>
        <w:t>聯部分</w:t>
      </w:r>
      <w:r w:rsidRPr="00EF18A7">
        <w:rPr>
          <w:rFonts w:hAnsi="標楷體"/>
        </w:rPr>
        <w:t>，需進行橫向整合與計畫目標聚焦，以發揮政策綜效。其次，雖多數子計畫績效指標</w:t>
      </w:r>
      <w:r w:rsidRPr="00EF18A7">
        <w:rPr>
          <w:rFonts w:hAnsi="標楷體" w:hint="eastAsia"/>
        </w:rPr>
        <w:t>多為投入型或產出型指標，</w:t>
      </w:r>
      <w:r w:rsidRPr="00EF18A7">
        <w:rPr>
          <w:rFonts w:hAnsi="標楷體"/>
        </w:rPr>
        <w:t>與政策原強調之建立文化內容產業鏈與壯大臺流國際競爭力目標尚有落差，</w:t>
      </w:r>
      <w:r w:rsidR="00A54CC7">
        <w:rPr>
          <w:rFonts w:hAnsi="標楷體" w:hint="eastAsia"/>
        </w:rPr>
        <w:t>允宜</w:t>
      </w:r>
      <w:r w:rsidRPr="00EF18A7">
        <w:rPr>
          <w:rFonts w:hAnsi="標楷體"/>
        </w:rPr>
        <w:t>進一步導入具挑戰性的成果型指標，強化成效導向。</w:t>
      </w:r>
    </w:p>
    <w:p w:rsidR="00D469F2" w:rsidRPr="00EF18A7" w:rsidRDefault="00A54CC7" w:rsidP="00C627D2">
      <w:pPr>
        <w:pStyle w:val="af0"/>
        <w:ind w:left="560" w:firstLine="566"/>
        <w:rPr>
          <w:rFonts w:hAnsi="標楷體"/>
        </w:rPr>
      </w:pPr>
      <w:r>
        <w:rPr>
          <w:rFonts w:hAnsi="標楷體" w:hint="eastAsia"/>
        </w:rPr>
        <w:t>又</w:t>
      </w:r>
      <w:r w:rsidR="00D469F2" w:rsidRPr="00EF18A7">
        <w:rPr>
          <w:rFonts w:hAnsi="標楷體"/>
        </w:rPr>
        <w:t>在公共文化傳播機制方面，公視基金會長期仰賴政府補助，自籌收入</w:t>
      </w:r>
      <w:r w:rsidR="00CB1F75">
        <w:rPr>
          <w:rFonts w:hAnsi="標楷體" w:hint="eastAsia"/>
        </w:rPr>
        <w:t>占</w:t>
      </w:r>
      <w:r w:rsidR="00D469F2" w:rsidRPr="00EF18A7">
        <w:rPr>
          <w:rFonts w:hAnsi="標楷體"/>
        </w:rPr>
        <w:t>比逐年下降，顯示其財務自主性不足，未能有效反映營運效能。尤其TaiwanPlus、台語台、兒少頻道等新頻道儘管具政策意涵，然網站瀏覽、APP下載與收視成效</w:t>
      </w:r>
      <w:r>
        <w:rPr>
          <w:rFonts w:hAnsi="標楷體" w:hint="eastAsia"/>
        </w:rPr>
        <w:t>均</w:t>
      </w:r>
      <w:r w:rsidR="00D469F2" w:rsidRPr="00EF18A7">
        <w:rPr>
          <w:rFonts w:hAnsi="標楷體"/>
        </w:rPr>
        <w:t>未全面達標，建議未來應強化績效評估制度，並納入具代表性</w:t>
      </w:r>
      <w:r w:rsidR="00CB1F75">
        <w:rPr>
          <w:rFonts w:hAnsi="標楷體" w:hint="eastAsia"/>
        </w:rPr>
        <w:t>之</w:t>
      </w:r>
      <w:r w:rsidR="00D469F2" w:rsidRPr="00EF18A7">
        <w:rPr>
          <w:rFonts w:hAnsi="標楷體"/>
        </w:rPr>
        <w:t>量化與質性指標，逐步提升公視集團整體之內容吸引力</w:t>
      </w:r>
      <w:r>
        <w:rPr>
          <w:rFonts w:hAnsi="標楷體" w:hint="eastAsia"/>
        </w:rPr>
        <w:t>及</w:t>
      </w:r>
      <w:r w:rsidR="00D469F2" w:rsidRPr="00EF18A7">
        <w:rPr>
          <w:rFonts w:hAnsi="標楷體"/>
        </w:rPr>
        <w:t>經營績效。</w:t>
      </w:r>
    </w:p>
    <w:p w:rsidR="00140EB7" w:rsidRPr="00EF18A7" w:rsidRDefault="00D469F2" w:rsidP="00CB1F75">
      <w:pPr>
        <w:pStyle w:val="af0"/>
        <w:ind w:left="560" w:firstLine="566"/>
        <w:rPr>
          <w:rFonts w:hAnsi="標楷體"/>
        </w:rPr>
      </w:pPr>
      <w:r w:rsidRPr="00EF18A7">
        <w:rPr>
          <w:rFonts w:hAnsi="標楷體"/>
        </w:rPr>
        <w:t>此外，面對藝文活動</w:t>
      </w:r>
      <w:r w:rsidR="00CB1F75">
        <w:rPr>
          <w:rFonts w:hAnsi="標楷體" w:hint="eastAsia"/>
        </w:rPr>
        <w:t>票券</w:t>
      </w:r>
      <w:r w:rsidRPr="00EF18A7">
        <w:rPr>
          <w:rFonts w:hAnsi="標楷體"/>
        </w:rPr>
        <w:t>實名制推動與黃牛票氾濫問題，雖已透過修法與補助機制</w:t>
      </w:r>
      <w:r w:rsidR="00CB1F75">
        <w:rPr>
          <w:rFonts w:hAnsi="標楷體" w:hint="eastAsia"/>
        </w:rPr>
        <w:t>獲</w:t>
      </w:r>
      <w:r w:rsidRPr="00EF18A7">
        <w:rPr>
          <w:rFonts w:hAnsi="標楷體"/>
        </w:rPr>
        <w:t>初步改善，但長期仍需結合數位驗證、票券平台制度改革及跨部會協作，以建立永續而透明之藝文市場機制。綜合而言，中央政府於重大文化計畫之推動已具雛形，唯有持續優化預算結構、強化執行成效、確保資源使用之效率與公平，方能真正實現提升文化實力與產業永續發展之政策目標。</w:t>
      </w:r>
    </w:p>
    <w:bookmarkEnd w:id="1"/>
    <w:bookmarkEnd w:id="4"/>
    <w:bookmarkEnd w:id="5"/>
    <w:bookmarkEnd w:id="6"/>
    <w:p w:rsidR="00E1290B" w:rsidRPr="00EF18A7" w:rsidRDefault="00107762" w:rsidP="00BD2A7F">
      <w:pPr>
        <w:pStyle w:val="af3"/>
        <w:ind w:left="566" w:firstLine="566"/>
        <w:rPr>
          <w:rFonts w:hAnsi="標楷體"/>
        </w:rPr>
      </w:pPr>
      <w:r w:rsidRPr="00EF18A7">
        <w:rPr>
          <w:rFonts w:hAnsi="標楷體" w:hint="eastAsia"/>
        </w:rPr>
        <w:t>(分機：</w:t>
      </w:r>
      <w:r w:rsidR="00E37103" w:rsidRPr="00EF18A7">
        <w:rPr>
          <w:rFonts w:hAnsi="標楷體" w:hint="eastAsia"/>
        </w:rPr>
        <w:t>1913許福添</w:t>
      </w:r>
      <w:r w:rsidRPr="00EF18A7">
        <w:rPr>
          <w:rFonts w:hAnsi="標楷體" w:hint="eastAsia"/>
        </w:rPr>
        <w:t>)</w:t>
      </w:r>
    </w:p>
    <w:sectPr w:rsidR="00E1290B" w:rsidRPr="00EF18A7" w:rsidSect="0057198D">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E12D8D" w:rsidRPr="00E12D8D">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D8D"/>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94EB510-53CF-4BFB-AD59-FE5CE6068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8149E-AF9A-4D22-B566-9AEE606EE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1</Pages>
  <Words>95</Words>
  <Characters>542</Characters>
  <Application>Microsoft Office Word</Application>
  <DocSecurity>0</DocSecurity>
  <Lines>4</Lines>
  <Paragraphs>1</Paragraphs>
  <ScaleCrop>false</ScaleCrop>
  <Company/>
  <LinksUpToDate>false</LinksUpToDate>
  <CharactersWithSpaces>636</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