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6723DA0B" w14:textId="77777777" w:rsidR="00F90D1F" w:rsidRPr="00E43134" w:rsidRDefault="00F90D1F" w:rsidP="00585076">
      <w:pPr>
        <w:pStyle w:val="144"/>
        <w:ind w:left="567" w:hanging="567"/>
      </w:pPr>
      <w:bookmarkStart w:id="2" w:name="_Toc33971146"/>
      <w:bookmarkStart w:id="3" w:name="_Toc37340530"/>
      <w:bookmarkStart w:id="4" w:name="_Toc82538369"/>
      <w:bookmarkStart w:id="5" w:name="_Toc206750390"/>
      <w:bookmarkEnd w:id="0"/>
      <w:r w:rsidRPr="00E43134">
        <w:rPr>
          <w:rFonts w:hint="eastAsia"/>
        </w:rPr>
        <w:t>第</w:t>
      </w:r>
      <w:r>
        <w:t>5</w:t>
      </w:r>
      <w:r w:rsidRPr="00E43134">
        <w:rPr>
          <w:rFonts w:hint="eastAsia"/>
        </w:rPr>
        <w:t>款、</w:t>
      </w:r>
      <w:r>
        <w:rPr>
          <w:rFonts w:hint="eastAsia"/>
        </w:rPr>
        <w:t>考試院</w:t>
      </w:r>
      <w:r w:rsidRPr="00E43134">
        <w:rPr>
          <w:rFonts w:hint="eastAsia"/>
        </w:rPr>
        <w:t>主管</w:t>
      </w:r>
      <w:bookmarkEnd w:id="2"/>
      <w:bookmarkEnd w:id="3"/>
      <w:bookmarkEnd w:id="4"/>
      <w:bookmarkEnd w:id="5"/>
    </w:p>
    <w:p w14:paraId="6570D832" w14:textId="77777777" w:rsidR="00F90D1F" w:rsidRPr="00F6399B" w:rsidRDefault="00F90D1F" w:rsidP="00340248">
      <w:pPr>
        <w:pStyle w:val="ac"/>
        <w:ind w:firstLine="566"/>
        <w:rPr>
          <w:snapToGrid/>
        </w:rPr>
      </w:pPr>
      <w:bookmarkStart w:id="6" w:name="_Toc33971147"/>
      <w:bookmarkStart w:id="7" w:name="_Toc37340531"/>
      <w:bookmarkStart w:id="8" w:name="_Toc82538370"/>
      <w:r w:rsidRPr="00F6399B">
        <w:rPr>
          <w:rFonts w:hint="eastAsia"/>
          <w:snapToGrid/>
        </w:rPr>
        <w:t>114年度中央政府總預算追加預算案中有關考試院主管部分計編列352萬元，所編追加預算均為114年度預算刪減數之回編金額，另該院主管114年度法定預算加計本追加預算案後預算數共計1億9,441萬5千元，較113年度法定預算數2億430萬4千元減少988萬9千元，減幅4.84%（詳表1）。謹就114年度考試院主管追加預算案評估如下</w:t>
      </w:r>
      <w:r>
        <w:rPr>
          <w:rFonts w:hAnsi="標楷體" w:hint="eastAsia"/>
          <w:snapToGrid/>
        </w:rPr>
        <w:t>：</w:t>
      </w:r>
    </w:p>
    <w:p w14:paraId="3522EE33" w14:textId="77777777" w:rsidR="00F90D1F" w:rsidRPr="00F6399B" w:rsidRDefault="00F90D1F" w:rsidP="000C4CD1">
      <w:pPr>
        <w:ind w:leftChars="-250" w:left="709" w:hangingChars="500" w:hanging="1417"/>
        <w:rPr>
          <w:b/>
          <w:bCs/>
          <w:snapToGrid/>
        </w:rPr>
      </w:pPr>
      <w:r w:rsidRPr="00340248">
        <w:rPr>
          <w:rFonts w:hint="eastAsia"/>
          <w:b/>
          <w:bCs/>
        </w:rPr>
        <w:t>表</w:t>
      </w:r>
      <w:r>
        <w:rPr>
          <w:rFonts w:hint="eastAsia"/>
          <w:b/>
          <w:bCs/>
        </w:rPr>
        <w:t xml:space="preserve">1  </w:t>
      </w:r>
      <w:r w:rsidRPr="00340248">
        <w:rPr>
          <w:rFonts w:hint="eastAsia"/>
          <w:b/>
          <w:bCs/>
        </w:rPr>
        <w:t>考試院主管114年度法定預算及追加預算情形表</w:t>
      </w:r>
      <w:r w:rsidRPr="00F6399B">
        <w:rPr>
          <w:rFonts w:hint="eastAsia"/>
        </w:rPr>
        <w:t xml:space="preserve"> </w:t>
      </w:r>
      <w:r w:rsidRPr="00F6399B">
        <w:t xml:space="preserve">  </w:t>
      </w:r>
      <w:r w:rsidRPr="00AB6328">
        <w:rPr>
          <w:rFonts w:hint="eastAsia"/>
          <w:sz w:val="24"/>
        </w:rPr>
        <w:t>單位：新臺幣千元</w:t>
      </w:r>
    </w:p>
    <w:tbl>
      <w:tblPr>
        <w:tblW w:w="0" w:type="auto"/>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992"/>
        <w:gridCol w:w="992"/>
        <w:gridCol w:w="709"/>
        <w:gridCol w:w="709"/>
        <w:gridCol w:w="850"/>
        <w:gridCol w:w="1134"/>
        <w:gridCol w:w="1134"/>
        <w:gridCol w:w="1134"/>
      </w:tblGrid>
      <w:tr w:rsidR="00F90D1F" w:rsidRPr="004F5B54" w14:paraId="02072D95" w14:textId="77777777" w:rsidTr="000C4CD1">
        <w:trPr>
          <w:trHeight w:val="372"/>
        </w:trPr>
        <w:tc>
          <w:tcPr>
            <w:tcW w:w="1560" w:type="dxa"/>
            <w:vMerge w:val="restart"/>
            <w:shd w:val="clear" w:color="auto" w:fill="auto"/>
            <w:vAlign w:val="center"/>
          </w:tcPr>
          <w:p w14:paraId="1818F3EB" w14:textId="77777777" w:rsidR="00F90D1F" w:rsidRPr="0001663F" w:rsidRDefault="00F90D1F" w:rsidP="0001663F">
            <w:pPr>
              <w:pStyle w:val="142"/>
              <w:jc w:val="center"/>
              <w:rPr>
                <w:sz w:val="22"/>
                <w:szCs w:val="22"/>
              </w:rPr>
            </w:pPr>
            <w:r w:rsidRPr="0001663F">
              <w:rPr>
                <w:rFonts w:hint="eastAsia"/>
                <w:sz w:val="22"/>
                <w:szCs w:val="22"/>
              </w:rPr>
              <w:t>機關別名稱</w:t>
            </w:r>
          </w:p>
        </w:tc>
        <w:tc>
          <w:tcPr>
            <w:tcW w:w="992" w:type="dxa"/>
            <w:vMerge w:val="restart"/>
            <w:shd w:val="clear" w:color="auto" w:fill="auto"/>
            <w:vAlign w:val="center"/>
          </w:tcPr>
          <w:p w14:paraId="10524C99" w14:textId="77777777" w:rsidR="00F90D1F" w:rsidRPr="0001663F" w:rsidRDefault="00F90D1F" w:rsidP="0001663F">
            <w:pPr>
              <w:pStyle w:val="142"/>
              <w:jc w:val="center"/>
              <w:rPr>
                <w:spacing w:val="-12"/>
                <w:sz w:val="22"/>
                <w:szCs w:val="22"/>
              </w:rPr>
            </w:pPr>
            <w:r w:rsidRPr="0001663F">
              <w:rPr>
                <w:rFonts w:hint="eastAsia"/>
                <w:spacing w:val="-12"/>
                <w:sz w:val="22"/>
                <w:szCs w:val="22"/>
              </w:rPr>
              <w:t>113年度法定預算數</w:t>
            </w:r>
          </w:p>
        </w:tc>
        <w:tc>
          <w:tcPr>
            <w:tcW w:w="992" w:type="dxa"/>
            <w:vMerge w:val="restart"/>
            <w:shd w:val="clear" w:color="auto" w:fill="auto"/>
            <w:vAlign w:val="center"/>
          </w:tcPr>
          <w:p w14:paraId="40515556" w14:textId="77777777" w:rsidR="00F90D1F" w:rsidRPr="0001663F" w:rsidRDefault="00F90D1F" w:rsidP="0001663F">
            <w:pPr>
              <w:pStyle w:val="142"/>
              <w:jc w:val="center"/>
              <w:rPr>
                <w:spacing w:val="-12"/>
                <w:sz w:val="22"/>
                <w:szCs w:val="22"/>
              </w:rPr>
            </w:pPr>
            <w:r w:rsidRPr="0001663F">
              <w:rPr>
                <w:rFonts w:hint="eastAsia"/>
                <w:spacing w:val="-12"/>
                <w:sz w:val="22"/>
                <w:szCs w:val="22"/>
              </w:rPr>
              <w:t>114年度預算案數(A)</w:t>
            </w:r>
          </w:p>
        </w:tc>
        <w:tc>
          <w:tcPr>
            <w:tcW w:w="2268" w:type="dxa"/>
            <w:gridSpan w:val="3"/>
            <w:shd w:val="clear" w:color="auto" w:fill="auto"/>
            <w:vAlign w:val="center"/>
          </w:tcPr>
          <w:p w14:paraId="0B439039" w14:textId="77777777" w:rsidR="00F90D1F" w:rsidRPr="0001663F" w:rsidRDefault="00F90D1F" w:rsidP="0001663F">
            <w:pPr>
              <w:pStyle w:val="142"/>
              <w:jc w:val="center"/>
              <w:rPr>
                <w:spacing w:val="-12"/>
                <w:sz w:val="22"/>
                <w:szCs w:val="22"/>
              </w:rPr>
            </w:pPr>
            <w:r w:rsidRPr="0001663F">
              <w:rPr>
                <w:rFonts w:hint="eastAsia"/>
                <w:spacing w:val="-12"/>
                <w:sz w:val="22"/>
                <w:szCs w:val="22"/>
              </w:rPr>
              <w:t>114年度預算刪減數(B)</w:t>
            </w:r>
          </w:p>
        </w:tc>
        <w:tc>
          <w:tcPr>
            <w:tcW w:w="1134" w:type="dxa"/>
            <w:vMerge w:val="restart"/>
            <w:shd w:val="clear" w:color="auto" w:fill="auto"/>
            <w:vAlign w:val="center"/>
          </w:tcPr>
          <w:p w14:paraId="3A00953A" w14:textId="77777777" w:rsidR="00F90D1F" w:rsidRPr="0001663F" w:rsidRDefault="00F90D1F" w:rsidP="0001663F">
            <w:pPr>
              <w:pStyle w:val="142"/>
              <w:jc w:val="center"/>
              <w:rPr>
                <w:spacing w:val="-12"/>
                <w:sz w:val="22"/>
                <w:szCs w:val="22"/>
              </w:rPr>
            </w:pPr>
            <w:r w:rsidRPr="0001663F">
              <w:rPr>
                <w:rFonts w:hint="eastAsia"/>
                <w:spacing w:val="-12"/>
                <w:sz w:val="22"/>
                <w:szCs w:val="22"/>
              </w:rPr>
              <w:t>114年度法定預算數C=A-B</w:t>
            </w:r>
          </w:p>
        </w:tc>
        <w:tc>
          <w:tcPr>
            <w:tcW w:w="1134" w:type="dxa"/>
            <w:vMerge w:val="restart"/>
            <w:shd w:val="clear" w:color="auto" w:fill="auto"/>
            <w:vAlign w:val="center"/>
          </w:tcPr>
          <w:p w14:paraId="4369A697" w14:textId="77777777" w:rsidR="00F90D1F" w:rsidRPr="0001663F" w:rsidRDefault="00F90D1F" w:rsidP="0001663F">
            <w:pPr>
              <w:pStyle w:val="142"/>
              <w:jc w:val="center"/>
              <w:rPr>
                <w:sz w:val="22"/>
                <w:szCs w:val="22"/>
              </w:rPr>
            </w:pPr>
            <w:r w:rsidRPr="0001663F">
              <w:rPr>
                <w:rFonts w:hint="eastAsia"/>
                <w:sz w:val="22"/>
                <w:szCs w:val="22"/>
              </w:rPr>
              <w:t>114年度追加預算數(D)</w:t>
            </w:r>
          </w:p>
        </w:tc>
        <w:tc>
          <w:tcPr>
            <w:tcW w:w="1134" w:type="dxa"/>
            <w:vMerge w:val="restart"/>
            <w:shd w:val="clear" w:color="auto" w:fill="auto"/>
            <w:vAlign w:val="center"/>
          </w:tcPr>
          <w:p w14:paraId="4728C480" w14:textId="77777777" w:rsidR="00F90D1F" w:rsidRPr="0001663F" w:rsidRDefault="00F90D1F" w:rsidP="0001663F">
            <w:pPr>
              <w:pStyle w:val="142"/>
              <w:jc w:val="center"/>
              <w:rPr>
                <w:spacing w:val="-10"/>
                <w:sz w:val="22"/>
                <w:szCs w:val="22"/>
              </w:rPr>
            </w:pPr>
            <w:r w:rsidRPr="0001663F">
              <w:rPr>
                <w:rFonts w:hint="eastAsia"/>
                <w:spacing w:val="-10"/>
                <w:sz w:val="22"/>
                <w:szCs w:val="22"/>
              </w:rPr>
              <w:t>法定預算+追加預算(C+D)</w:t>
            </w:r>
          </w:p>
        </w:tc>
      </w:tr>
      <w:tr w:rsidR="00F90D1F" w14:paraId="6DD280B3" w14:textId="77777777" w:rsidTr="000C4CD1">
        <w:tc>
          <w:tcPr>
            <w:tcW w:w="1560" w:type="dxa"/>
            <w:vMerge/>
            <w:shd w:val="clear" w:color="auto" w:fill="auto"/>
          </w:tcPr>
          <w:p w14:paraId="686C60C1" w14:textId="77777777" w:rsidR="00F90D1F" w:rsidRDefault="00F90D1F" w:rsidP="00340248">
            <w:pPr>
              <w:pStyle w:val="142"/>
            </w:pPr>
          </w:p>
        </w:tc>
        <w:tc>
          <w:tcPr>
            <w:tcW w:w="992" w:type="dxa"/>
            <w:vMerge/>
            <w:shd w:val="clear" w:color="auto" w:fill="auto"/>
          </w:tcPr>
          <w:p w14:paraId="20C8ABBA" w14:textId="77777777" w:rsidR="00F90D1F" w:rsidRDefault="00F90D1F" w:rsidP="00340248">
            <w:pPr>
              <w:pStyle w:val="142"/>
            </w:pPr>
          </w:p>
        </w:tc>
        <w:tc>
          <w:tcPr>
            <w:tcW w:w="992" w:type="dxa"/>
            <w:vMerge/>
            <w:shd w:val="clear" w:color="auto" w:fill="auto"/>
          </w:tcPr>
          <w:p w14:paraId="4D70C05B" w14:textId="77777777" w:rsidR="00F90D1F" w:rsidRDefault="00F90D1F" w:rsidP="00340248">
            <w:pPr>
              <w:pStyle w:val="142"/>
            </w:pPr>
          </w:p>
        </w:tc>
        <w:tc>
          <w:tcPr>
            <w:tcW w:w="709" w:type="dxa"/>
            <w:shd w:val="clear" w:color="auto" w:fill="auto"/>
            <w:vAlign w:val="center"/>
          </w:tcPr>
          <w:p w14:paraId="79904F54" w14:textId="77777777" w:rsidR="00F90D1F" w:rsidRPr="00E7724A" w:rsidRDefault="00F90D1F" w:rsidP="00340248">
            <w:pPr>
              <w:pStyle w:val="142"/>
              <w:rPr>
                <w:spacing w:val="-14"/>
              </w:rPr>
            </w:pPr>
            <w:r w:rsidRPr="00E7724A">
              <w:rPr>
                <w:rFonts w:hint="eastAsia"/>
                <w:spacing w:val="-14"/>
                <w:sz w:val="22"/>
                <w:szCs w:val="22"/>
              </w:rPr>
              <w:t>通案</w:t>
            </w:r>
          </w:p>
        </w:tc>
        <w:tc>
          <w:tcPr>
            <w:tcW w:w="709" w:type="dxa"/>
            <w:shd w:val="clear" w:color="auto" w:fill="auto"/>
            <w:vAlign w:val="center"/>
          </w:tcPr>
          <w:p w14:paraId="3040356A" w14:textId="77777777" w:rsidR="00F90D1F" w:rsidRPr="00E7724A" w:rsidRDefault="00F90D1F" w:rsidP="00340248">
            <w:pPr>
              <w:pStyle w:val="142"/>
              <w:rPr>
                <w:spacing w:val="-14"/>
              </w:rPr>
            </w:pPr>
            <w:r w:rsidRPr="00E7724A">
              <w:rPr>
                <w:rFonts w:hint="eastAsia"/>
                <w:spacing w:val="-14"/>
                <w:sz w:val="22"/>
                <w:szCs w:val="22"/>
              </w:rPr>
              <w:t>指定</w:t>
            </w:r>
          </w:p>
        </w:tc>
        <w:tc>
          <w:tcPr>
            <w:tcW w:w="850" w:type="dxa"/>
            <w:shd w:val="clear" w:color="auto" w:fill="auto"/>
            <w:vAlign w:val="center"/>
          </w:tcPr>
          <w:p w14:paraId="2A4DEC91" w14:textId="77777777" w:rsidR="00F90D1F" w:rsidRPr="00E7724A" w:rsidRDefault="00F90D1F" w:rsidP="00340248">
            <w:pPr>
              <w:pStyle w:val="142"/>
              <w:rPr>
                <w:spacing w:val="-14"/>
              </w:rPr>
            </w:pPr>
            <w:r w:rsidRPr="00E7724A">
              <w:rPr>
                <w:rFonts w:hint="eastAsia"/>
                <w:spacing w:val="-14"/>
                <w:sz w:val="22"/>
                <w:szCs w:val="22"/>
              </w:rPr>
              <w:t>合計</w:t>
            </w:r>
          </w:p>
        </w:tc>
        <w:tc>
          <w:tcPr>
            <w:tcW w:w="1134" w:type="dxa"/>
            <w:vMerge/>
            <w:shd w:val="clear" w:color="auto" w:fill="auto"/>
          </w:tcPr>
          <w:p w14:paraId="0A792DFA" w14:textId="77777777" w:rsidR="00F90D1F" w:rsidRDefault="00F90D1F" w:rsidP="00340248">
            <w:pPr>
              <w:pStyle w:val="142"/>
            </w:pPr>
          </w:p>
        </w:tc>
        <w:tc>
          <w:tcPr>
            <w:tcW w:w="1134" w:type="dxa"/>
            <w:vMerge/>
            <w:shd w:val="clear" w:color="auto" w:fill="auto"/>
          </w:tcPr>
          <w:p w14:paraId="65E5853E" w14:textId="77777777" w:rsidR="00F90D1F" w:rsidRDefault="00F90D1F" w:rsidP="00340248">
            <w:pPr>
              <w:pStyle w:val="142"/>
            </w:pPr>
          </w:p>
        </w:tc>
        <w:tc>
          <w:tcPr>
            <w:tcW w:w="1134" w:type="dxa"/>
            <w:vMerge/>
            <w:shd w:val="clear" w:color="auto" w:fill="auto"/>
          </w:tcPr>
          <w:p w14:paraId="313588EC" w14:textId="77777777" w:rsidR="00F90D1F" w:rsidRDefault="00F90D1F" w:rsidP="00340248">
            <w:pPr>
              <w:pStyle w:val="142"/>
            </w:pPr>
          </w:p>
        </w:tc>
      </w:tr>
      <w:tr w:rsidR="00F90D1F" w14:paraId="631AA237" w14:textId="77777777" w:rsidTr="000C4CD1">
        <w:tc>
          <w:tcPr>
            <w:tcW w:w="1560" w:type="dxa"/>
            <w:shd w:val="clear" w:color="auto" w:fill="auto"/>
          </w:tcPr>
          <w:p w14:paraId="3FA0515B" w14:textId="77777777" w:rsidR="00F90D1F" w:rsidRPr="004F5B54" w:rsidRDefault="00F90D1F" w:rsidP="00340248">
            <w:pPr>
              <w:pStyle w:val="142"/>
              <w:rPr>
                <w:spacing w:val="-30"/>
              </w:rPr>
            </w:pPr>
            <w:r w:rsidRPr="004F5B54">
              <w:rPr>
                <w:rFonts w:hint="eastAsia"/>
                <w:spacing w:val="-30"/>
              </w:rPr>
              <w:t>公務人員保障暨</w:t>
            </w:r>
            <w:r w:rsidRPr="004F5B54">
              <w:rPr>
                <w:rFonts w:hint="eastAsia"/>
                <w:spacing w:val="-30"/>
              </w:rPr>
              <w:lastRenderedPageBreak/>
              <w:t>培訓委員會</w:t>
            </w:r>
          </w:p>
        </w:tc>
        <w:tc>
          <w:tcPr>
            <w:tcW w:w="992" w:type="dxa"/>
            <w:shd w:val="clear" w:color="auto" w:fill="auto"/>
            <w:vAlign w:val="center"/>
          </w:tcPr>
          <w:p w14:paraId="045DF37E" w14:textId="77777777" w:rsidR="00F90D1F" w:rsidRPr="009814EC" w:rsidRDefault="00F90D1F" w:rsidP="0001663F">
            <w:pPr>
              <w:pStyle w:val="142"/>
              <w:jc w:val="right"/>
              <w:rPr>
                <w:spacing w:val="-12"/>
                <w:sz w:val="22"/>
                <w:szCs w:val="22"/>
              </w:rPr>
            </w:pPr>
            <w:r w:rsidRPr="009814EC">
              <w:rPr>
                <w:rFonts w:hint="eastAsia"/>
                <w:spacing w:val="-12"/>
                <w:sz w:val="22"/>
                <w:szCs w:val="22"/>
              </w:rPr>
              <w:lastRenderedPageBreak/>
              <w:t>204,304</w:t>
            </w:r>
          </w:p>
        </w:tc>
        <w:tc>
          <w:tcPr>
            <w:tcW w:w="992" w:type="dxa"/>
            <w:shd w:val="clear" w:color="auto" w:fill="auto"/>
            <w:vAlign w:val="center"/>
          </w:tcPr>
          <w:p w14:paraId="2352DDAD" w14:textId="77777777" w:rsidR="00F90D1F" w:rsidRPr="009814EC" w:rsidRDefault="00F90D1F" w:rsidP="0001663F">
            <w:pPr>
              <w:pStyle w:val="142"/>
              <w:jc w:val="right"/>
              <w:rPr>
                <w:spacing w:val="-12"/>
                <w:sz w:val="22"/>
                <w:szCs w:val="22"/>
              </w:rPr>
            </w:pPr>
            <w:r w:rsidRPr="009814EC">
              <w:rPr>
                <w:rFonts w:hint="eastAsia"/>
                <w:spacing w:val="-12"/>
                <w:sz w:val="22"/>
                <w:szCs w:val="22"/>
              </w:rPr>
              <w:t>202,941</w:t>
            </w:r>
          </w:p>
        </w:tc>
        <w:tc>
          <w:tcPr>
            <w:tcW w:w="709" w:type="dxa"/>
            <w:shd w:val="clear" w:color="auto" w:fill="auto"/>
            <w:vAlign w:val="center"/>
          </w:tcPr>
          <w:p w14:paraId="3D0EF277" w14:textId="77777777" w:rsidR="00F90D1F" w:rsidRPr="009814EC" w:rsidRDefault="00F90D1F" w:rsidP="0001663F">
            <w:pPr>
              <w:pStyle w:val="142"/>
              <w:jc w:val="right"/>
              <w:rPr>
                <w:spacing w:val="-12"/>
                <w:sz w:val="22"/>
                <w:szCs w:val="22"/>
              </w:rPr>
            </w:pPr>
            <w:r w:rsidRPr="009814EC">
              <w:rPr>
                <w:rFonts w:hint="eastAsia"/>
                <w:spacing w:val="-12"/>
                <w:sz w:val="22"/>
                <w:szCs w:val="22"/>
              </w:rPr>
              <w:t>9,185</w:t>
            </w:r>
          </w:p>
        </w:tc>
        <w:tc>
          <w:tcPr>
            <w:tcW w:w="709" w:type="dxa"/>
            <w:shd w:val="clear" w:color="auto" w:fill="auto"/>
            <w:vAlign w:val="center"/>
          </w:tcPr>
          <w:p w14:paraId="0178970D" w14:textId="77777777" w:rsidR="00F90D1F" w:rsidRPr="009814EC" w:rsidRDefault="00F90D1F" w:rsidP="0001663F">
            <w:pPr>
              <w:pStyle w:val="142"/>
              <w:jc w:val="right"/>
              <w:rPr>
                <w:spacing w:val="-12"/>
                <w:sz w:val="22"/>
                <w:szCs w:val="22"/>
              </w:rPr>
            </w:pPr>
            <w:r w:rsidRPr="009814EC">
              <w:rPr>
                <w:rFonts w:hint="eastAsia"/>
                <w:spacing w:val="-12"/>
                <w:sz w:val="22"/>
                <w:szCs w:val="22"/>
              </w:rPr>
              <w:t>2,861</w:t>
            </w:r>
          </w:p>
        </w:tc>
        <w:tc>
          <w:tcPr>
            <w:tcW w:w="850" w:type="dxa"/>
            <w:shd w:val="clear" w:color="auto" w:fill="auto"/>
            <w:vAlign w:val="center"/>
          </w:tcPr>
          <w:p w14:paraId="0A477CB5" w14:textId="77777777" w:rsidR="00F90D1F" w:rsidRPr="009814EC" w:rsidRDefault="00F90D1F" w:rsidP="0001663F">
            <w:pPr>
              <w:pStyle w:val="142"/>
              <w:jc w:val="right"/>
              <w:rPr>
                <w:spacing w:val="-12"/>
                <w:sz w:val="22"/>
                <w:szCs w:val="22"/>
              </w:rPr>
            </w:pPr>
            <w:r w:rsidRPr="009814EC">
              <w:rPr>
                <w:rFonts w:hint="eastAsia"/>
                <w:spacing w:val="-12"/>
                <w:sz w:val="22"/>
                <w:szCs w:val="22"/>
              </w:rPr>
              <w:t>12,046</w:t>
            </w:r>
          </w:p>
        </w:tc>
        <w:tc>
          <w:tcPr>
            <w:tcW w:w="1134" w:type="dxa"/>
            <w:shd w:val="clear" w:color="auto" w:fill="auto"/>
            <w:vAlign w:val="center"/>
          </w:tcPr>
          <w:p w14:paraId="7387DAF5" w14:textId="77777777" w:rsidR="00F90D1F" w:rsidRPr="009814EC" w:rsidRDefault="00F90D1F" w:rsidP="0001663F">
            <w:pPr>
              <w:pStyle w:val="142"/>
              <w:jc w:val="right"/>
              <w:rPr>
                <w:spacing w:val="-12"/>
                <w:sz w:val="22"/>
                <w:szCs w:val="22"/>
              </w:rPr>
            </w:pPr>
            <w:r w:rsidRPr="009814EC">
              <w:rPr>
                <w:rFonts w:hint="eastAsia"/>
                <w:spacing w:val="-12"/>
                <w:sz w:val="22"/>
                <w:szCs w:val="22"/>
              </w:rPr>
              <w:t>190,895</w:t>
            </w:r>
          </w:p>
        </w:tc>
        <w:tc>
          <w:tcPr>
            <w:tcW w:w="1134" w:type="dxa"/>
            <w:shd w:val="clear" w:color="auto" w:fill="auto"/>
            <w:vAlign w:val="center"/>
          </w:tcPr>
          <w:p w14:paraId="3DE7DEFB" w14:textId="77777777" w:rsidR="00F90D1F" w:rsidRPr="009814EC" w:rsidRDefault="00F90D1F" w:rsidP="0001663F">
            <w:pPr>
              <w:pStyle w:val="142"/>
              <w:jc w:val="right"/>
              <w:rPr>
                <w:spacing w:val="-12"/>
                <w:sz w:val="22"/>
                <w:szCs w:val="22"/>
              </w:rPr>
            </w:pPr>
            <w:r w:rsidRPr="009814EC">
              <w:rPr>
                <w:rFonts w:hint="eastAsia"/>
                <w:spacing w:val="-12"/>
                <w:sz w:val="22"/>
                <w:szCs w:val="22"/>
              </w:rPr>
              <w:t>3,520</w:t>
            </w:r>
          </w:p>
        </w:tc>
        <w:tc>
          <w:tcPr>
            <w:tcW w:w="1134" w:type="dxa"/>
            <w:shd w:val="clear" w:color="auto" w:fill="auto"/>
            <w:vAlign w:val="center"/>
          </w:tcPr>
          <w:p w14:paraId="036209B2" w14:textId="77777777" w:rsidR="00F90D1F" w:rsidRPr="009814EC" w:rsidRDefault="00F90D1F" w:rsidP="0001663F">
            <w:pPr>
              <w:pStyle w:val="142"/>
              <w:jc w:val="right"/>
              <w:rPr>
                <w:spacing w:val="-12"/>
                <w:sz w:val="22"/>
                <w:szCs w:val="22"/>
              </w:rPr>
            </w:pPr>
            <w:r w:rsidRPr="009814EC">
              <w:rPr>
                <w:rFonts w:hint="eastAsia"/>
                <w:spacing w:val="-12"/>
                <w:sz w:val="22"/>
                <w:szCs w:val="22"/>
              </w:rPr>
              <w:t>194,415</w:t>
            </w:r>
          </w:p>
        </w:tc>
      </w:tr>
    </w:tbl>
    <w:p w14:paraId="0FCE0CCC" w14:textId="77777777" w:rsidR="00F90D1F" w:rsidRDefault="00F90D1F" w:rsidP="000C4CD1">
      <w:pPr>
        <w:pStyle w:val="142"/>
        <w:ind w:leftChars="-250" w:left="508" w:hangingChars="500" w:hanging="1216"/>
      </w:pPr>
      <w:r w:rsidRPr="00F6399B">
        <w:rPr>
          <w:rFonts w:hint="eastAsia"/>
        </w:rPr>
        <w:t xml:space="preserve">說 </w:t>
      </w:r>
      <w:r w:rsidRPr="00F6399B">
        <w:t xml:space="preserve">   </w:t>
      </w:r>
      <w:r w:rsidRPr="00F6399B">
        <w:rPr>
          <w:rFonts w:hint="eastAsia"/>
        </w:rPr>
        <w:t>明：表內指定刪減數=預算刪減數-通案刪減數；另表內追加預算數均為114年度預算案刪減數之回編金額</w:t>
      </w:r>
      <w:r>
        <w:rPr>
          <w:rFonts w:hint="eastAsia"/>
        </w:rPr>
        <w:t>。</w:t>
      </w:r>
    </w:p>
    <w:p w14:paraId="6ECDA867" w14:textId="77777777" w:rsidR="00F90D1F" w:rsidRPr="00F6399B" w:rsidRDefault="00F90D1F" w:rsidP="000C4CD1">
      <w:pPr>
        <w:pStyle w:val="142"/>
        <w:ind w:leftChars="-250" w:left="-708"/>
        <w:rPr>
          <w:snapToGrid/>
        </w:rPr>
      </w:pPr>
      <w:r w:rsidRPr="00F6399B">
        <w:rPr>
          <w:rFonts w:hint="eastAsia"/>
        </w:rPr>
        <w:t>資料來源：114年度中央政府總預算追加預算案公務人員保障暨培訓委員會。本中心整理</w:t>
      </w:r>
      <w:r>
        <w:rPr>
          <w:rFonts w:hint="eastAsia"/>
        </w:rPr>
        <w:t>。</w:t>
      </w:r>
    </w:p>
    <w:bookmarkEnd w:id="6"/>
    <w:bookmarkEnd w:id="7"/>
    <w:bookmarkEnd w:id="8"/>
    <w:p w14:paraId="62C25D65" w14:textId="77777777" w:rsidR="00F90D1F" w:rsidRPr="00291C38" w:rsidRDefault="00F90D1F" w:rsidP="001F5237">
      <w:pPr>
        <w:pStyle w:val="a4"/>
        <w:ind w:left="567" w:hanging="567"/>
      </w:pPr>
      <w:r w:rsidRPr="00291C38">
        <w:rPr>
          <w:rFonts w:hint="eastAsia"/>
        </w:rPr>
        <w:t>一、</w:t>
      </w:r>
      <w:r w:rsidRPr="00F6399B">
        <w:rPr>
          <w:rFonts w:hint="eastAsia"/>
        </w:rPr>
        <w:t>追加預算內容編列過於簡略，不利本院審議，允宜檢討精進，並培訓優質公務人力</w:t>
      </w:r>
    </w:p>
    <w:p w14:paraId="5585CDC6" w14:textId="77777777" w:rsidR="00F90D1F" w:rsidRPr="00962D86" w:rsidRDefault="00F90D1F" w:rsidP="00585076">
      <w:pPr>
        <w:ind w:left="566" w:firstLine="566"/>
      </w:pPr>
      <w:r w:rsidRPr="00F6399B">
        <w:rPr>
          <w:rFonts w:hint="eastAsia"/>
        </w:rPr>
        <w:t>公務人員保障暨培訓委員會(以下簡稱保訓會)114年度「一般行政」工作計畫之「基本行政工作維持」分支計畫追加預算352萬元，分別為「業務費」64萬元、「設備及投資」288萬元（詳表2），用以辦理基本行政工作維持相關行政事務及資訊設備購置等所需經費。</w:t>
      </w:r>
      <w:r w:rsidRPr="00962D86">
        <w:rPr>
          <w:rFonts w:hint="eastAsia"/>
        </w:rPr>
        <w:t>經查：</w:t>
      </w:r>
    </w:p>
    <w:p w14:paraId="0933F5DB" w14:textId="77777777" w:rsidR="00F90D1F" w:rsidRPr="00E8615C" w:rsidRDefault="00F90D1F" w:rsidP="00585076">
      <w:pPr>
        <w:pStyle w:val="a6"/>
        <w:ind w:left="849" w:hanging="283"/>
        <w:rPr>
          <w:b/>
        </w:rPr>
      </w:pPr>
      <w:r w:rsidRPr="00E8615C">
        <w:rPr>
          <w:rFonts w:hint="eastAsia"/>
          <w:b/>
        </w:rPr>
        <w:t>(一)</w:t>
      </w:r>
      <w:r w:rsidRPr="006F30D4">
        <w:rPr>
          <w:rFonts w:hint="eastAsia"/>
          <w:b/>
        </w:rPr>
        <w:t>追加預算內容編列簡略，欠缺具體內容，恐限縮本院預算審議權</w:t>
      </w:r>
    </w:p>
    <w:p w14:paraId="296B8CA1" w14:textId="77777777" w:rsidR="00F90D1F" w:rsidRPr="008F7C93" w:rsidRDefault="00F90D1F" w:rsidP="00585076">
      <w:pPr>
        <w:pStyle w:val="21"/>
        <w:ind w:left="850" w:firstLine="566"/>
      </w:pPr>
      <w:r w:rsidRPr="006F30D4">
        <w:rPr>
          <w:rFonts w:hint="eastAsia"/>
        </w:rPr>
        <w:t>保訓會114年度原編預算案，其中「基本行政工作維持」分支計畫編列「業務費」1,817萬7千元及「設備及投資」632萬8千元，該預算案之說明欄中載明其擬執行工作內容及各工作內容之用途及經費額度（例如：為提升員工專業知能，辦理員工相關教育訓練課程等，所需經費391千元；辦公廳舍等水電費計需2,994千元．．．等），惟查本次追加預算352萬元，僅說明係辦理基本行政工作維持相關行政事務及資訊設備購置等所需經費，並未載明其擬執行工作內容及各工作內容之用途及經費額度，故未能據以審查其合理性，不利預算審議</w:t>
      </w:r>
      <w:r w:rsidRPr="008F7C93">
        <w:rPr>
          <w:rFonts w:hint="eastAsia"/>
        </w:rPr>
        <w:t>。</w:t>
      </w:r>
    </w:p>
    <w:p w14:paraId="1DFECD90" w14:textId="77777777" w:rsidR="00F90D1F" w:rsidRDefault="00F90D1F" w:rsidP="000C1623">
      <w:pPr>
        <w:spacing w:line="400" w:lineRule="exact"/>
        <w:ind w:leftChars="-200" w:left="-566" w:firstLineChars="0" w:firstLine="0"/>
        <w:jc w:val="left"/>
        <w:rPr>
          <w:b/>
        </w:rPr>
      </w:pPr>
      <w:r>
        <w:rPr>
          <w:rFonts w:hint="eastAsia"/>
          <w:b/>
        </w:rPr>
        <w:t xml:space="preserve">表2  </w:t>
      </w:r>
      <w:r w:rsidRPr="006F30D4">
        <w:rPr>
          <w:rFonts w:hint="eastAsia"/>
          <w:b/>
        </w:rPr>
        <w:t>公務人員保障暨培訓委員會114年度「一般行政」預算編列情形表</w:t>
      </w:r>
    </w:p>
    <w:p w14:paraId="5320D551" w14:textId="77777777" w:rsidR="00F90D1F" w:rsidRDefault="00F90D1F" w:rsidP="00305296">
      <w:pPr>
        <w:spacing w:line="320" w:lineRule="exact"/>
        <w:ind w:leftChars="-200" w:left="-566" w:firstLineChars="0" w:firstLine="0"/>
        <w:jc w:val="right"/>
        <w:rPr>
          <w:snapToGrid/>
          <w:sz w:val="24"/>
          <w:szCs w:val="24"/>
        </w:rPr>
      </w:pPr>
      <w:r w:rsidRPr="002209BC">
        <w:rPr>
          <w:snapToGrid/>
        </w:rPr>
        <w:tab/>
      </w:r>
      <w:r>
        <w:rPr>
          <w:rFonts w:hint="eastAsia"/>
          <w:snapToGrid/>
        </w:rPr>
        <w:t xml:space="preserve">   </w:t>
      </w:r>
      <w:r w:rsidRPr="00744AE8">
        <w:rPr>
          <w:rFonts w:hint="eastAsia"/>
          <w:snapToGrid/>
          <w:sz w:val="24"/>
          <w:szCs w:val="24"/>
        </w:rPr>
        <w:t>單位：</w:t>
      </w:r>
      <w:r w:rsidRPr="006F30D4">
        <w:rPr>
          <w:rFonts w:hint="eastAsia"/>
          <w:snapToGrid/>
          <w:sz w:val="24"/>
          <w:szCs w:val="24"/>
        </w:rPr>
        <w:t>新臺幣千元</w:t>
      </w:r>
    </w:p>
    <w:tbl>
      <w:tblPr>
        <w:tblW w:w="9072" w:type="dxa"/>
        <w:tblInd w:w="-53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127"/>
        <w:gridCol w:w="1134"/>
        <w:gridCol w:w="850"/>
        <w:gridCol w:w="1276"/>
        <w:gridCol w:w="1276"/>
        <w:gridCol w:w="2409"/>
      </w:tblGrid>
      <w:tr w:rsidR="00F90D1F" w:rsidRPr="00762D09" w14:paraId="4B2BD2CC" w14:textId="77777777" w:rsidTr="00E47391">
        <w:trPr>
          <w:trHeight w:hRule="exact" w:val="567"/>
          <w:tblHeader/>
        </w:trPr>
        <w:tc>
          <w:tcPr>
            <w:tcW w:w="2127" w:type="dxa"/>
            <w:shd w:val="clear" w:color="auto" w:fill="auto"/>
            <w:vAlign w:val="center"/>
          </w:tcPr>
          <w:p w14:paraId="2DA4739F"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分支計畫</w:t>
            </w:r>
            <w:r>
              <w:rPr>
                <w:rFonts w:hAnsi="標楷體" w:cs="新細明體" w:hint="eastAsia"/>
                <w:smallCaps/>
                <w:kern w:val="0"/>
                <w:sz w:val="24"/>
              </w:rPr>
              <w:t>/用途別科目</w:t>
            </w:r>
            <w:r w:rsidRPr="00762D09">
              <w:rPr>
                <w:rFonts w:hAnsi="標楷體" w:cs="新細明體" w:hint="eastAsia"/>
                <w:smallCaps/>
                <w:kern w:val="0"/>
                <w:sz w:val="24"/>
              </w:rPr>
              <w:t>名稱</w:t>
            </w:r>
          </w:p>
        </w:tc>
        <w:tc>
          <w:tcPr>
            <w:tcW w:w="1134" w:type="dxa"/>
            <w:shd w:val="clear" w:color="auto" w:fill="auto"/>
            <w:noWrap/>
            <w:vAlign w:val="center"/>
          </w:tcPr>
          <w:p w14:paraId="18F46385"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預算案數</w:t>
            </w:r>
          </w:p>
        </w:tc>
        <w:tc>
          <w:tcPr>
            <w:tcW w:w="850" w:type="dxa"/>
            <w:shd w:val="clear" w:color="auto" w:fill="auto"/>
            <w:noWrap/>
            <w:vAlign w:val="center"/>
          </w:tcPr>
          <w:p w14:paraId="729AA71A"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刪減數</w:t>
            </w:r>
          </w:p>
        </w:tc>
        <w:tc>
          <w:tcPr>
            <w:tcW w:w="1276" w:type="dxa"/>
            <w:vAlign w:val="center"/>
          </w:tcPr>
          <w:p w14:paraId="32097CB8"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法定預算數</w:t>
            </w:r>
          </w:p>
        </w:tc>
        <w:tc>
          <w:tcPr>
            <w:tcW w:w="1276" w:type="dxa"/>
            <w:shd w:val="clear" w:color="auto" w:fill="auto"/>
            <w:noWrap/>
            <w:vAlign w:val="center"/>
          </w:tcPr>
          <w:p w14:paraId="31026474"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追加預算數</w:t>
            </w:r>
          </w:p>
        </w:tc>
        <w:tc>
          <w:tcPr>
            <w:tcW w:w="2409" w:type="dxa"/>
            <w:shd w:val="clear" w:color="auto" w:fill="auto"/>
            <w:noWrap/>
            <w:vAlign w:val="center"/>
          </w:tcPr>
          <w:p w14:paraId="43D4862A" w14:textId="77777777" w:rsidR="00F90D1F" w:rsidRPr="00762D09" w:rsidRDefault="00F90D1F" w:rsidP="00E47391">
            <w:pPr>
              <w:widowControl/>
              <w:spacing w:line="280" w:lineRule="exact"/>
              <w:ind w:leftChars="0" w:left="0" w:firstLineChars="0" w:firstLine="0"/>
              <w:jc w:val="center"/>
              <w:rPr>
                <w:rFonts w:hAnsi="標楷體" w:cs="新細明體"/>
                <w:smallCaps/>
                <w:kern w:val="0"/>
                <w:sz w:val="24"/>
              </w:rPr>
            </w:pPr>
            <w:r w:rsidRPr="00762D09">
              <w:rPr>
                <w:rFonts w:hAnsi="標楷體" w:cs="新細明體" w:hint="eastAsia"/>
                <w:smallCaps/>
                <w:kern w:val="0"/>
                <w:sz w:val="24"/>
              </w:rPr>
              <w:t>追加預算原因</w:t>
            </w:r>
          </w:p>
        </w:tc>
      </w:tr>
      <w:tr w:rsidR="00F90D1F" w:rsidRPr="00762D09" w14:paraId="75DBA955" w14:textId="77777777" w:rsidTr="00E47391">
        <w:trPr>
          <w:trHeight w:hRule="exact" w:val="1768"/>
        </w:trPr>
        <w:tc>
          <w:tcPr>
            <w:tcW w:w="2127" w:type="dxa"/>
            <w:shd w:val="clear" w:color="auto" w:fill="auto"/>
            <w:vAlign w:val="center"/>
          </w:tcPr>
          <w:p w14:paraId="6B42B845" w14:textId="77777777" w:rsidR="00F90D1F" w:rsidRPr="00762D09" w:rsidRDefault="00F90D1F" w:rsidP="00E47391">
            <w:pPr>
              <w:widowControl/>
              <w:spacing w:line="320" w:lineRule="exact"/>
              <w:ind w:leftChars="0" w:left="0" w:firstLineChars="0" w:firstLine="0"/>
              <w:jc w:val="left"/>
              <w:rPr>
                <w:rFonts w:hAnsi="標楷體" w:cs="新細明體"/>
                <w:smallCaps/>
                <w:kern w:val="0"/>
                <w:sz w:val="24"/>
              </w:rPr>
            </w:pPr>
            <w:r w:rsidRPr="00762D09">
              <w:rPr>
                <w:rFonts w:hAnsi="標楷體" w:cs="新細明體" w:hint="eastAsia"/>
                <w:smallCaps/>
                <w:kern w:val="0"/>
                <w:sz w:val="24"/>
              </w:rPr>
              <w:t>基本行政工作維持/業務費</w:t>
            </w:r>
          </w:p>
        </w:tc>
        <w:tc>
          <w:tcPr>
            <w:tcW w:w="1134" w:type="dxa"/>
            <w:shd w:val="clear" w:color="auto" w:fill="auto"/>
            <w:noWrap/>
            <w:vAlign w:val="center"/>
          </w:tcPr>
          <w:p w14:paraId="79A418F0"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1</w:t>
            </w:r>
            <w:r w:rsidRPr="003C1A7F">
              <w:rPr>
                <w:rFonts w:hAnsi="標楷體" w:cs="新細明體"/>
                <w:color w:val="000000"/>
                <w:sz w:val="24"/>
              </w:rPr>
              <w:t>8,177</w:t>
            </w:r>
          </w:p>
        </w:tc>
        <w:tc>
          <w:tcPr>
            <w:tcW w:w="850" w:type="dxa"/>
            <w:shd w:val="clear" w:color="auto" w:fill="auto"/>
            <w:noWrap/>
            <w:vAlign w:val="center"/>
          </w:tcPr>
          <w:p w14:paraId="275DA25B"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1</w:t>
            </w:r>
            <w:r w:rsidRPr="003C1A7F">
              <w:rPr>
                <w:rFonts w:hAnsi="標楷體" w:cs="新細明體"/>
                <w:color w:val="000000"/>
                <w:sz w:val="24"/>
              </w:rPr>
              <w:t>,</w:t>
            </w:r>
            <w:r w:rsidRPr="003C1A7F">
              <w:rPr>
                <w:rFonts w:hAnsi="標楷體" w:cs="新細明體" w:hint="eastAsia"/>
                <w:color w:val="000000"/>
                <w:sz w:val="24"/>
              </w:rPr>
              <w:t>207</w:t>
            </w:r>
          </w:p>
        </w:tc>
        <w:tc>
          <w:tcPr>
            <w:tcW w:w="1276" w:type="dxa"/>
            <w:vAlign w:val="center"/>
          </w:tcPr>
          <w:p w14:paraId="4E2A3794"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16</w:t>
            </w:r>
            <w:r w:rsidRPr="003C1A7F">
              <w:rPr>
                <w:rFonts w:hAnsi="標楷體" w:cs="新細明體"/>
                <w:color w:val="000000"/>
                <w:sz w:val="24"/>
              </w:rPr>
              <w:t>,</w:t>
            </w:r>
            <w:r w:rsidRPr="003C1A7F">
              <w:rPr>
                <w:rFonts w:hAnsi="標楷體" w:cs="新細明體" w:hint="eastAsia"/>
                <w:color w:val="000000"/>
                <w:sz w:val="24"/>
              </w:rPr>
              <w:t>970</w:t>
            </w:r>
          </w:p>
        </w:tc>
        <w:tc>
          <w:tcPr>
            <w:tcW w:w="1276" w:type="dxa"/>
            <w:shd w:val="clear" w:color="auto" w:fill="auto"/>
            <w:noWrap/>
            <w:vAlign w:val="center"/>
          </w:tcPr>
          <w:p w14:paraId="44A2FD49"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640</w:t>
            </w:r>
          </w:p>
        </w:tc>
        <w:tc>
          <w:tcPr>
            <w:tcW w:w="2409" w:type="dxa"/>
            <w:shd w:val="clear" w:color="auto" w:fill="auto"/>
            <w:noWrap/>
            <w:vAlign w:val="center"/>
          </w:tcPr>
          <w:p w14:paraId="3BDBAF2A" w14:textId="77777777" w:rsidR="00F90D1F" w:rsidRPr="00762D09" w:rsidRDefault="00F90D1F" w:rsidP="00E47391">
            <w:pPr>
              <w:widowControl/>
              <w:spacing w:line="240" w:lineRule="exact"/>
              <w:ind w:leftChars="0" w:left="0" w:firstLineChars="0" w:firstLine="0"/>
              <w:jc w:val="left"/>
              <w:rPr>
                <w:rFonts w:hAnsi="標楷體" w:cs="新細明體"/>
                <w:smallCaps/>
                <w:kern w:val="0"/>
                <w:sz w:val="24"/>
              </w:rPr>
            </w:pPr>
            <w:r w:rsidRPr="00B73DC1">
              <w:rPr>
                <w:rFonts w:hAnsi="標楷體" w:cs="新細明體" w:hint="eastAsia"/>
                <w:smallCaps/>
                <w:kern w:val="0"/>
                <w:sz w:val="24"/>
              </w:rPr>
              <w:t>為因應114年修正之「公務人員保障法」及「公務人員執行職務安全及衛生防護辦法」辦理辦公空間調整經費及老舊電梯、電線電路檢修汰換經費等。</w:t>
            </w:r>
          </w:p>
        </w:tc>
      </w:tr>
      <w:tr w:rsidR="00F90D1F" w:rsidRPr="00762D09" w14:paraId="65A1EF40" w14:textId="77777777" w:rsidTr="00E47391">
        <w:trPr>
          <w:trHeight w:hRule="exact" w:val="2687"/>
        </w:trPr>
        <w:tc>
          <w:tcPr>
            <w:tcW w:w="2127" w:type="dxa"/>
            <w:shd w:val="clear" w:color="auto" w:fill="auto"/>
            <w:vAlign w:val="center"/>
          </w:tcPr>
          <w:p w14:paraId="06FC223C" w14:textId="77777777" w:rsidR="00F90D1F" w:rsidRPr="00762D09" w:rsidRDefault="00F90D1F" w:rsidP="00E47391">
            <w:pPr>
              <w:widowControl/>
              <w:spacing w:line="320" w:lineRule="exact"/>
              <w:ind w:leftChars="0" w:left="0" w:firstLineChars="0" w:firstLine="0"/>
              <w:jc w:val="left"/>
              <w:rPr>
                <w:rFonts w:hAnsi="標楷體" w:cs="新細明體"/>
                <w:smallCaps/>
                <w:kern w:val="0"/>
                <w:sz w:val="24"/>
              </w:rPr>
            </w:pPr>
            <w:r w:rsidRPr="00762D09">
              <w:rPr>
                <w:rFonts w:hAnsi="標楷體" w:cs="新細明體" w:hint="eastAsia"/>
                <w:smallCaps/>
                <w:kern w:val="0"/>
                <w:sz w:val="24"/>
              </w:rPr>
              <w:lastRenderedPageBreak/>
              <w:t>基本行政工作維持/</w:t>
            </w:r>
            <w:r w:rsidRPr="00462E7E">
              <w:rPr>
                <w:rFonts w:hAnsi="標楷體" w:cs="新細明體" w:hint="eastAsia"/>
                <w:smallCaps/>
                <w:kern w:val="0"/>
                <w:sz w:val="24"/>
              </w:rPr>
              <w:t>設備及投資</w:t>
            </w:r>
          </w:p>
        </w:tc>
        <w:tc>
          <w:tcPr>
            <w:tcW w:w="1134" w:type="dxa"/>
            <w:shd w:val="clear" w:color="auto" w:fill="auto"/>
            <w:noWrap/>
            <w:vAlign w:val="center"/>
          </w:tcPr>
          <w:p w14:paraId="11BA111F"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hint="eastAsia"/>
                <w:color w:val="000000"/>
                <w:sz w:val="24"/>
              </w:rPr>
              <w:t>6,</w:t>
            </w:r>
            <w:r w:rsidRPr="003C1A7F">
              <w:rPr>
                <w:rFonts w:hAnsi="標楷體" w:cs="新細明體"/>
                <w:color w:val="000000"/>
                <w:sz w:val="24"/>
              </w:rPr>
              <w:t>328</w:t>
            </w:r>
          </w:p>
        </w:tc>
        <w:tc>
          <w:tcPr>
            <w:tcW w:w="850" w:type="dxa"/>
            <w:shd w:val="clear" w:color="auto" w:fill="auto"/>
            <w:noWrap/>
            <w:vAlign w:val="center"/>
          </w:tcPr>
          <w:p w14:paraId="2A2F8404"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2,880</w:t>
            </w:r>
          </w:p>
        </w:tc>
        <w:tc>
          <w:tcPr>
            <w:tcW w:w="1276" w:type="dxa"/>
            <w:vAlign w:val="center"/>
          </w:tcPr>
          <w:p w14:paraId="7BE8584E"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3,448</w:t>
            </w:r>
          </w:p>
        </w:tc>
        <w:tc>
          <w:tcPr>
            <w:tcW w:w="1276" w:type="dxa"/>
            <w:shd w:val="clear" w:color="auto" w:fill="auto"/>
            <w:noWrap/>
            <w:vAlign w:val="center"/>
          </w:tcPr>
          <w:p w14:paraId="1B9093C9" w14:textId="77777777" w:rsidR="00F90D1F" w:rsidRPr="003C1A7F" w:rsidRDefault="00F90D1F" w:rsidP="00E47391">
            <w:pPr>
              <w:widowControl/>
              <w:spacing w:line="200" w:lineRule="exact"/>
              <w:ind w:leftChars="0" w:left="0" w:firstLineChars="0" w:firstLine="0"/>
              <w:jc w:val="right"/>
              <w:rPr>
                <w:rFonts w:hAnsi="標楷體" w:cs="新細明體"/>
                <w:smallCaps/>
                <w:color w:val="000000"/>
                <w:kern w:val="0"/>
                <w:sz w:val="24"/>
              </w:rPr>
            </w:pPr>
            <w:r w:rsidRPr="003C1A7F">
              <w:rPr>
                <w:rFonts w:hAnsi="標楷體" w:cs="新細明體"/>
                <w:color w:val="000000"/>
                <w:sz w:val="24"/>
              </w:rPr>
              <w:t>2,880</w:t>
            </w:r>
          </w:p>
        </w:tc>
        <w:tc>
          <w:tcPr>
            <w:tcW w:w="2409" w:type="dxa"/>
            <w:shd w:val="clear" w:color="auto" w:fill="auto"/>
            <w:noWrap/>
            <w:vAlign w:val="center"/>
          </w:tcPr>
          <w:p w14:paraId="14824BC8" w14:textId="77777777" w:rsidR="00F90D1F" w:rsidRPr="00762D09" w:rsidRDefault="00F90D1F" w:rsidP="00E47391">
            <w:pPr>
              <w:widowControl/>
              <w:spacing w:line="240" w:lineRule="exact"/>
              <w:ind w:leftChars="0" w:left="0" w:firstLineChars="0" w:firstLine="0"/>
              <w:jc w:val="left"/>
              <w:rPr>
                <w:rFonts w:hAnsi="標楷體" w:cs="新細明體"/>
                <w:smallCaps/>
                <w:kern w:val="0"/>
                <w:sz w:val="24"/>
              </w:rPr>
            </w:pPr>
            <w:r w:rsidRPr="00B73DC1">
              <w:rPr>
                <w:rFonts w:hAnsi="標楷體" w:cs="新細明體" w:hint="eastAsia"/>
                <w:smallCaps/>
                <w:kern w:val="0"/>
                <w:sz w:val="24"/>
              </w:rPr>
              <w:t>為因應114年修正之「公務人員保障法」及「公務人員執行職務安全及衛生防護辦法」辦理設備購置經費，及為提升機房管理效能，及因應保障事件系統前台改版開發作業，購置作業系統、伺服器及個人電腦經費等。</w:t>
            </w:r>
          </w:p>
        </w:tc>
      </w:tr>
      <w:tr w:rsidR="00F90D1F" w:rsidRPr="00762D09" w14:paraId="3CB8D60F" w14:textId="77777777" w:rsidTr="00E47391">
        <w:trPr>
          <w:trHeight w:hRule="exact" w:val="438"/>
        </w:trPr>
        <w:tc>
          <w:tcPr>
            <w:tcW w:w="2127" w:type="dxa"/>
            <w:shd w:val="clear" w:color="auto" w:fill="auto"/>
            <w:vAlign w:val="center"/>
          </w:tcPr>
          <w:p w14:paraId="106461EA" w14:textId="77777777" w:rsidR="00F90D1F" w:rsidRPr="00762D09" w:rsidRDefault="00F90D1F" w:rsidP="00E47391">
            <w:pPr>
              <w:widowControl/>
              <w:spacing w:line="320" w:lineRule="exact"/>
              <w:ind w:leftChars="0" w:left="0" w:firstLineChars="0" w:firstLine="0"/>
              <w:jc w:val="center"/>
              <w:rPr>
                <w:rFonts w:hAnsi="標楷體" w:cs="新細明體"/>
                <w:smallCaps/>
                <w:kern w:val="0"/>
                <w:sz w:val="24"/>
              </w:rPr>
            </w:pPr>
            <w:r>
              <w:rPr>
                <w:rFonts w:hAnsi="標楷體" w:cs="新細明體" w:hint="eastAsia"/>
                <w:smallCaps/>
                <w:kern w:val="0"/>
                <w:sz w:val="24"/>
              </w:rPr>
              <w:t>合計數</w:t>
            </w:r>
          </w:p>
        </w:tc>
        <w:tc>
          <w:tcPr>
            <w:tcW w:w="1134" w:type="dxa"/>
            <w:shd w:val="clear" w:color="auto" w:fill="auto"/>
            <w:noWrap/>
            <w:vAlign w:val="center"/>
          </w:tcPr>
          <w:p w14:paraId="760D048D"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24,505</w:t>
            </w:r>
          </w:p>
        </w:tc>
        <w:tc>
          <w:tcPr>
            <w:tcW w:w="850" w:type="dxa"/>
            <w:shd w:val="clear" w:color="auto" w:fill="auto"/>
            <w:noWrap/>
            <w:vAlign w:val="center"/>
          </w:tcPr>
          <w:p w14:paraId="6C749E6A"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4,087</w:t>
            </w:r>
          </w:p>
        </w:tc>
        <w:tc>
          <w:tcPr>
            <w:tcW w:w="1276" w:type="dxa"/>
            <w:vAlign w:val="center"/>
          </w:tcPr>
          <w:p w14:paraId="50EE38D3"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20,418</w:t>
            </w:r>
          </w:p>
        </w:tc>
        <w:tc>
          <w:tcPr>
            <w:tcW w:w="1276" w:type="dxa"/>
            <w:shd w:val="clear" w:color="auto" w:fill="auto"/>
            <w:noWrap/>
            <w:vAlign w:val="center"/>
          </w:tcPr>
          <w:p w14:paraId="5E06DB48" w14:textId="77777777" w:rsidR="00F90D1F" w:rsidRPr="003C1A7F" w:rsidRDefault="00F90D1F" w:rsidP="00E47391">
            <w:pPr>
              <w:widowControl/>
              <w:spacing w:line="200" w:lineRule="exact"/>
              <w:ind w:leftChars="0" w:left="0" w:firstLineChars="0" w:firstLine="0"/>
              <w:jc w:val="right"/>
              <w:rPr>
                <w:rFonts w:hAnsi="標楷體" w:cs="新細明體"/>
                <w:color w:val="000000"/>
                <w:sz w:val="24"/>
              </w:rPr>
            </w:pPr>
            <w:r>
              <w:rPr>
                <w:rFonts w:hAnsi="標楷體" w:cs="新細明體" w:hint="eastAsia"/>
                <w:color w:val="000000"/>
                <w:sz w:val="24"/>
              </w:rPr>
              <w:t>3,520</w:t>
            </w:r>
          </w:p>
        </w:tc>
        <w:tc>
          <w:tcPr>
            <w:tcW w:w="2409" w:type="dxa"/>
            <w:shd w:val="clear" w:color="auto" w:fill="auto"/>
            <w:noWrap/>
            <w:vAlign w:val="center"/>
          </w:tcPr>
          <w:p w14:paraId="481730D2" w14:textId="77777777" w:rsidR="00F90D1F" w:rsidRPr="00B73DC1" w:rsidRDefault="00F90D1F" w:rsidP="00E47391">
            <w:pPr>
              <w:widowControl/>
              <w:spacing w:line="240" w:lineRule="exact"/>
              <w:ind w:leftChars="0" w:left="0" w:firstLineChars="0" w:firstLine="0"/>
              <w:jc w:val="left"/>
              <w:rPr>
                <w:rFonts w:hAnsi="標楷體" w:cs="新細明體"/>
                <w:smallCaps/>
                <w:kern w:val="0"/>
                <w:sz w:val="24"/>
              </w:rPr>
            </w:pPr>
          </w:p>
        </w:tc>
      </w:tr>
    </w:tbl>
    <w:p w14:paraId="19F8DB43" w14:textId="77777777" w:rsidR="00F90D1F" w:rsidRPr="00C204F9" w:rsidRDefault="00F90D1F" w:rsidP="006F30D4">
      <w:pPr>
        <w:pStyle w:val="142"/>
        <w:ind w:leftChars="-200" w:left="-566"/>
      </w:pPr>
      <w:r w:rsidRPr="00C204F9">
        <w:rPr>
          <w:rFonts w:hint="eastAsia"/>
        </w:rPr>
        <w:t>資料來源：</w:t>
      </w:r>
      <w:r w:rsidRPr="006F30D4">
        <w:rPr>
          <w:rFonts w:hint="eastAsia"/>
        </w:rPr>
        <w:t>保訓會提供。</w:t>
      </w:r>
    </w:p>
    <w:p w14:paraId="7B005CB2" w14:textId="77777777" w:rsidR="00F90D1F" w:rsidRPr="00E8615C" w:rsidRDefault="00F90D1F" w:rsidP="00585076">
      <w:pPr>
        <w:pStyle w:val="a6"/>
        <w:ind w:left="849" w:hanging="283"/>
        <w:rPr>
          <w:b/>
        </w:rPr>
      </w:pPr>
      <w:r w:rsidRPr="00E8615C">
        <w:rPr>
          <w:rFonts w:hint="eastAsia"/>
          <w:b/>
        </w:rPr>
        <w:t>(</w:t>
      </w:r>
      <w:r>
        <w:rPr>
          <w:rFonts w:hint="eastAsia"/>
          <w:b/>
        </w:rPr>
        <w:t>二</w:t>
      </w:r>
      <w:r w:rsidRPr="00E8615C">
        <w:rPr>
          <w:rFonts w:hint="eastAsia"/>
          <w:b/>
        </w:rPr>
        <w:t>)</w:t>
      </w:r>
      <w:r w:rsidRPr="006F30D4">
        <w:rPr>
          <w:rFonts w:hint="eastAsia"/>
          <w:b/>
        </w:rPr>
        <w:t>保訓會為公務人員保障暨培訓之專責機關，允宜審慎規劃並積極辦理公務人員保障與培訓業務，以利培育優質公務人力</w:t>
      </w:r>
    </w:p>
    <w:p w14:paraId="57F1242E" w14:textId="77777777" w:rsidR="00F90D1F" w:rsidRDefault="00F90D1F" w:rsidP="00585076">
      <w:pPr>
        <w:pStyle w:val="21"/>
        <w:ind w:left="850" w:firstLine="566"/>
      </w:pPr>
      <w:r w:rsidRPr="006F30D4">
        <w:rPr>
          <w:rFonts w:hint="eastAsia"/>
        </w:rPr>
        <w:t>保訓會為考試院所屬中央二級機關，掌理公務人員之保障與培訓業務，並以保障公務人員合理權益與積極培育優質公務人員為施政目標，致力維護公務人員權益、提升公務人員素質。按該會係公務人員保障暨培訓之專責機關，宜積極發揮執行公務人員保障與培訓業務，期讓每位公務人員都能「尊嚴工作、勇於任事、熱忱服務、展現效能」為目標。</w:t>
      </w:r>
    </w:p>
    <w:p w14:paraId="5905DAF1" w14:textId="77777777" w:rsidR="00F90D1F" w:rsidRPr="00B44A45" w:rsidRDefault="00F90D1F" w:rsidP="00585076">
      <w:pPr>
        <w:ind w:left="566" w:firstLine="566"/>
      </w:pPr>
      <w:r w:rsidRPr="00B44A45">
        <w:rPr>
          <w:rFonts w:hint="eastAsia"/>
        </w:rPr>
        <w:t>綜上，</w:t>
      </w:r>
      <w:r w:rsidRPr="006F30D4">
        <w:rPr>
          <w:rFonts w:hint="eastAsia"/>
        </w:rPr>
        <w:t>保訓會本次追加預算內容編列過於簡略，不利本院審議；另保訓會為公務人員保障暨培訓之專責機關，允宜審慎規劃並積極辦理公務人員保障及培訓相關業務，以保障公務人員合法權益與培育優質公務人力</w:t>
      </w:r>
      <w:r>
        <w:rPr>
          <w:rFonts w:hint="eastAsia"/>
        </w:rPr>
        <w:t>。</w:t>
      </w:r>
    </w:p>
    <w:p w14:paraId="50AD2E69" w14:textId="77777777" w:rsidR="00F90D1F" w:rsidRDefault="00F90D1F" w:rsidP="00AB6328">
      <w:pPr>
        <w:pStyle w:val="af0"/>
      </w:pPr>
      <w:r w:rsidRPr="00E30DBF">
        <w:t>(</w:t>
      </w:r>
      <w:r w:rsidRPr="00E30DBF">
        <w:rPr>
          <w:rFonts w:hint="eastAsia"/>
          <w:lang w:eastAsia="zh-HK"/>
        </w:rPr>
        <w:t>分機：</w:t>
      </w:r>
      <w:r w:rsidRPr="006F30D4">
        <w:rPr>
          <w:rFonts w:hint="eastAsia"/>
          <w:lang w:eastAsia="zh-HK"/>
        </w:rPr>
        <w:t>1914葉蘭</w:t>
      </w:r>
      <w:r w:rsidRPr="00E30DBF">
        <w:t>)</w:t>
      </w:r>
    </w:p>
    <w:sectPr w:rsidR="00F90D1F"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6C19F428"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620E27">
      <w:rPr>
        <w:rStyle w:val="affb"/>
        <w:noProof/>
      </w:rPr>
      <w:t>3</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20E27"/>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CAD97-3003-4A8B-8D06-E3DF90B2C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301</Words>
  <Characters>1721</Characters>
  <Application>Microsoft Office Word</Application>
  <DocSecurity>0</DocSecurity>
  <Lines>14</Lines>
  <Paragraphs>4</Paragraphs>
  <ScaleCrop>false</ScaleCrop>
  <Company>HOME</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