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471626" w:rsidRDefault="00471626" w:rsidP="004D1209">
      <w:pPr>
        <w:pStyle w:val="14"/>
        <w:tabs>
          <w:tab w:val="left" w:pos="709"/>
        </w:tabs>
        <w:ind w:left="567" w:hanging="567"/>
        <w:rPr>
          <w:rFonts w:hAnsi="標楷體"/>
          <w:color w:val="000000"/>
        </w:rPr>
      </w:pPr>
      <w:bookmarkStart w:id="3" w:name="_Toc206930273"/>
      <w:r>
        <w:rPr>
          <w:rFonts w:hint="eastAsia"/>
        </w:rPr>
        <w:t>三</w:t>
      </w:r>
      <w:r w:rsidRPr="00E9465B">
        <w:rPr>
          <w:rFonts w:hint="eastAsia"/>
        </w:rPr>
        <w:t>、</w:t>
      </w:r>
      <w:r>
        <w:rPr>
          <w:rFonts w:hint="eastAsia"/>
        </w:rPr>
        <w:t>民眾投保住宅及汽(機)車</w:t>
      </w:r>
      <w:r w:rsidRPr="00894641">
        <w:rPr>
          <w:rFonts w:hint="eastAsia"/>
        </w:rPr>
        <w:t>颱風、洪水險之比率</w:t>
      </w:r>
      <w:r>
        <w:rPr>
          <w:rFonts w:hint="eastAsia"/>
        </w:rPr>
        <w:t>偏低</w:t>
      </w:r>
      <w:r w:rsidRPr="00894641">
        <w:rPr>
          <w:rFonts w:hint="eastAsia"/>
        </w:rPr>
        <w:t>，</w:t>
      </w:r>
      <w:r>
        <w:rPr>
          <w:rFonts w:hint="eastAsia"/>
        </w:rPr>
        <w:t>為提升人民財產安全保障，並減輕政府因颱風、洪水所致之財政負擔，</w:t>
      </w:r>
      <w:r w:rsidRPr="00894641">
        <w:rPr>
          <w:rFonts w:hint="eastAsia"/>
        </w:rPr>
        <w:t>允宜研</w:t>
      </w:r>
      <w:r>
        <w:rPr>
          <w:rFonts w:hint="eastAsia"/>
        </w:rPr>
        <w:t>謀善策並強化宣導，俾提升投保率</w:t>
      </w:r>
      <w:bookmarkEnd w:id="3"/>
    </w:p>
    <w:p w:rsidR="00471626" w:rsidRDefault="00471626" w:rsidP="004D1209">
      <w:pPr>
        <w:ind w:left="566" w:firstLine="566"/>
      </w:pPr>
      <w:r>
        <w:rPr>
          <w:rFonts w:hint="eastAsia"/>
        </w:rPr>
        <w:t>參據內政部統計年報資料，104至113年間我國所發生之天然災害種類中，以颱風發生44次最高，水患次之，兩者於上開期間</w:t>
      </w:r>
      <w:r>
        <w:rPr>
          <w:rFonts w:hint="eastAsia"/>
        </w:rPr>
        <w:lastRenderedPageBreak/>
        <w:t>之發生頻率高達75%至100%間(詳表1)，而每逢災害發生之際，常有甚多住宅及汽機車因此而造成損失，以此次丹娜絲颱風及七二八豪雨為例，房屋毀損達4.3萬戶</w:t>
      </w:r>
      <w:r>
        <w:rPr>
          <w:rStyle w:val="af9"/>
        </w:rPr>
        <w:footnoteReference w:id="1"/>
      </w:r>
      <w:r>
        <w:rPr>
          <w:rFonts w:hint="eastAsia"/>
        </w:rPr>
        <w:t>，而政府為協助受災民眾家園復原、拆除及修繕，亦提供淹水補助、住宅修繕等各項扶助措施，使受災民眾獲得所需支援</w:t>
      </w:r>
      <w:r>
        <w:rPr>
          <w:rStyle w:val="af9"/>
        </w:rPr>
        <w:footnoteReference w:id="2"/>
      </w:r>
      <w:r>
        <w:rPr>
          <w:rFonts w:hint="eastAsia"/>
        </w:rPr>
        <w:t>。經查金融監督管理委員會(下稱金管會)自109年起已於住宅火災保險之保障範圍新增住宅颱風及洪水災害補償保險，民眾亦可視需求加保「超額颱風及洪水保險附加條款」，另有關</w:t>
      </w:r>
      <w:r w:rsidRPr="003B39C9">
        <w:rPr>
          <w:rFonts w:hint="eastAsia"/>
        </w:rPr>
        <w:t>汽(機)車</w:t>
      </w:r>
      <w:r>
        <w:rPr>
          <w:rFonts w:hint="eastAsia"/>
        </w:rPr>
        <w:t>部分，因車體損失險之承保範圍未包括颱風或洪水等事故所致之損失，爰需另外加保，惟上開保險商品之投保率皆存有偏低情形。茲說明如下：</w:t>
      </w:r>
    </w:p>
    <w:p w:rsidR="00471626" w:rsidRPr="00D732B7" w:rsidRDefault="00471626" w:rsidP="004D1209">
      <w:pPr>
        <w:pStyle w:val="aa"/>
        <w:ind w:left="849" w:hanging="283"/>
        <w:rPr>
          <w:b/>
        </w:rPr>
      </w:pPr>
      <w:r w:rsidRPr="00D732B7">
        <w:rPr>
          <w:rFonts w:hint="eastAsia"/>
          <w:b/>
        </w:rPr>
        <w:t>(一)自109年起，我國已於住宅火災保險之保障範圍新增住宅颱風及洪水災害補償保險，</w:t>
      </w:r>
      <w:r>
        <w:rPr>
          <w:rFonts w:hint="eastAsia"/>
          <w:b/>
        </w:rPr>
        <w:t>而</w:t>
      </w:r>
      <w:r w:rsidRPr="00D732B7">
        <w:rPr>
          <w:rFonts w:hint="eastAsia"/>
          <w:b/>
        </w:rPr>
        <w:t>車體損失保險之承保範圍</w:t>
      </w:r>
      <w:r>
        <w:rPr>
          <w:rFonts w:hint="eastAsia"/>
          <w:b/>
        </w:rPr>
        <w:t>尚</w:t>
      </w:r>
      <w:r w:rsidRPr="00D732B7">
        <w:rPr>
          <w:rFonts w:hint="eastAsia"/>
          <w:b/>
        </w:rPr>
        <w:t>未包括颱風或洪水等事故所致損失，需另行加保方可獲得相關保障</w:t>
      </w:r>
    </w:p>
    <w:p w:rsidR="00471626" w:rsidRDefault="00471626" w:rsidP="004D1209">
      <w:pPr>
        <w:pStyle w:val="21"/>
        <w:ind w:left="850" w:firstLine="566"/>
      </w:pPr>
      <w:r>
        <w:rPr>
          <w:rFonts w:hint="eastAsia"/>
        </w:rPr>
        <w:t>我國由於地理位置之特性，每年夏、秋季節常發生颱風或豪雨，因颱風常帶來大量雨水，有時很難區分兩者所造成之損失，因此我國目前之保單係將颱風及洪水合併成一項，以減少損失理賠上認定之困難</w:t>
      </w:r>
      <w:r>
        <w:rPr>
          <w:rStyle w:val="af9"/>
        </w:rPr>
        <w:footnoteReference w:id="3"/>
      </w:r>
      <w:r>
        <w:rPr>
          <w:rFonts w:hint="eastAsia"/>
        </w:rPr>
        <w:t>。經查我國住宅火災保險之承保範圍原未包含因颱風或洪水所造成之損失，民眾需額外加保颱風洪水</w:t>
      </w:r>
      <w:r>
        <w:rPr>
          <w:rFonts w:hint="eastAsia"/>
        </w:rPr>
        <w:lastRenderedPageBreak/>
        <w:t>附加條款方可獲得相關保障，嗣金管會考量住宅火災保險之損失率尚佳，為使民眾住家安全有更周全之保障，爰自109年起，在不調漲保費之前提下，擴大該保險之保障範圍，其中即包括新增「住宅颱風及洪水災害補償保險」，針對承保建築物及其動產直接因颱風或洪水所致損失，依照建築物所在之地區別，提</w:t>
      </w:r>
      <w:r>
        <w:rPr>
          <w:rFonts w:hint="eastAsia"/>
        </w:rPr>
        <w:lastRenderedPageBreak/>
        <w:t>供7,000至9,000元之基本保障(詳表2)</w:t>
      </w:r>
      <w:r>
        <w:rPr>
          <w:rStyle w:val="af9"/>
        </w:rPr>
        <w:footnoteReference w:id="4"/>
      </w:r>
      <w:r>
        <w:rPr>
          <w:rFonts w:hint="eastAsia"/>
        </w:rPr>
        <w:t>，</w:t>
      </w:r>
      <w:r w:rsidRPr="00F44521">
        <w:rPr>
          <w:rFonts w:hint="eastAsia"/>
        </w:rPr>
        <w:t>民眾亦可視需求額外加保「超額颱風及洪水保險附加條款」，除提供更高保額外，並包含臨</w:t>
      </w:r>
      <w:r w:rsidRPr="00DC1C10">
        <w:rPr>
          <w:rFonts w:hint="eastAsia"/>
        </w:rPr>
        <w:t>時住宿費用及相關清除費用之保障</w:t>
      </w:r>
      <w:r w:rsidRPr="00DC1C10">
        <w:rPr>
          <w:rStyle w:val="af9"/>
        </w:rPr>
        <w:footnoteReference w:id="5"/>
      </w:r>
      <w:r>
        <w:rPr>
          <w:rFonts w:hint="eastAsia"/>
        </w:rPr>
        <w:t>；另有關車輛部分，因該類事故所致</w:t>
      </w:r>
      <w:r w:rsidRPr="007363A2">
        <w:rPr>
          <w:rFonts w:hint="eastAsia"/>
        </w:rPr>
        <w:t>損失並非現行車體損失保險之承保範圍，民眾</w:t>
      </w:r>
      <w:r>
        <w:rPr>
          <w:rFonts w:hint="eastAsia"/>
        </w:rPr>
        <w:t>則</w:t>
      </w:r>
      <w:r w:rsidRPr="007363A2">
        <w:rPr>
          <w:rFonts w:hint="eastAsia"/>
        </w:rPr>
        <w:t>需加保「颱風、地震、海嘯、冰雹、洪水或因雨積水附加條款」，</w:t>
      </w:r>
      <w:r>
        <w:rPr>
          <w:rFonts w:hint="eastAsia"/>
        </w:rPr>
        <w:t>方能獲得相關保障</w:t>
      </w:r>
      <w:r w:rsidRPr="007363A2">
        <w:rPr>
          <w:rFonts w:hint="eastAsia"/>
        </w:rPr>
        <w:t>。</w:t>
      </w:r>
    </w:p>
    <w:p w:rsidR="00471626" w:rsidRPr="005B4604" w:rsidRDefault="00471626" w:rsidP="004D1209">
      <w:pPr>
        <w:pStyle w:val="142"/>
        <w:spacing w:line="500" w:lineRule="exact"/>
        <w:ind w:left="566" w:rightChars="-100" w:right="-283" w:hanging="566"/>
        <w:rPr>
          <w:szCs w:val="24"/>
        </w:rPr>
      </w:pPr>
      <w:r w:rsidRPr="00906353">
        <w:rPr>
          <w:rFonts w:hint="eastAsia"/>
          <w:b/>
          <w:snapToGrid/>
          <w:sz w:val="28"/>
        </w:rPr>
        <w:t xml:space="preserve">表1  </w:t>
      </w:r>
      <w:r>
        <w:rPr>
          <w:rFonts w:hint="eastAsia"/>
          <w:b/>
          <w:snapToGrid/>
          <w:sz w:val="28"/>
        </w:rPr>
        <w:t>104至113年我國天然災害發生次數統計表</w:t>
      </w:r>
      <w:r>
        <w:rPr>
          <w:rFonts w:hAnsi="標楷體" w:hint="eastAsia"/>
          <w:color w:val="000000"/>
          <w:szCs w:val="24"/>
        </w:rPr>
        <w:t xml:space="preserve">           單位：次；%</w:t>
      </w:r>
    </w:p>
    <w:tbl>
      <w:tblPr>
        <w:tblW w:w="5132" w:type="pct"/>
        <w:tblInd w:w="-8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85" w:type="dxa"/>
          <w:right w:w="85" w:type="dxa"/>
        </w:tblCellMar>
        <w:tblLook w:val="04A0" w:firstRow="1" w:lastRow="0" w:firstColumn="1" w:lastColumn="0" w:noHBand="0" w:noVBand="1"/>
      </w:tblPr>
      <w:tblGrid>
        <w:gridCol w:w="1858"/>
        <w:gridCol w:w="1085"/>
        <w:gridCol w:w="1084"/>
        <w:gridCol w:w="1084"/>
        <w:gridCol w:w="1084"/>
        <w:gridCol w:w="1084"/>
        <w:gridCol w:w="1624"/>
      </w:tblGrid>
      <w:tr w:rsidR="00471626" w:rsidRPr="008677EE" w:rsidTr="004D1209">
        <w:trPr>
          <w:trHeight w:val="482"/>
          <w:tblHeader/>
        </w:trPr>
        <w:tc>
          <w:tcPr>
            <w:tcW w:w="1043" w:type="pct"/>
            <w:tcBorders>
              <w:top w:val="single" w:sz="12" w:space="0" w:color="000000"/>
              <w:bottom w:val="single" w:sz="6" w:space="0" w:color="000000"/>
              <w:tl2br w:val="single" w:sz="6" w:space="0" w:color="000000"/>
            </w:tcBorders>
            <w:shd w:val="clear" w:color="auto" w:fill="FFFFFF"/>
            <w:vAlign w:val="center"/>
          </w:tcPr>
          <w:p w:rsidR="00471626" w:rsidRDefault="00471626" w:rsidP="004D1209">
            <w:pPr>
              <w:pStyle w:val="142"/>
              <w:rPr>
                <w:b/>
              </w:rPr>
            </w:pPr>
            <w:bookmarkStart w:id="4" w:name="OLE_LINK1"/>
            <w:r>
              <w:rPr>
                <w:rFonts w:hint="eastAsia"/>
                <w:b/>
              </w:rPr>
              <w:t xml:space="preserve">      天然災害</w:t>
            </w:r>
          </w:p>
          <w:p w:rsidR="00471626" w:rsidRPr="008677EE" w:rsidRDefault="00471626" w:rsidP="004D1209">
            <w:pPr>
              <w:pStyle w:val="142"/>
              <w:rPr>
                <w:b/>
              </w:rPr>
            </w:pPr>
            <w:r>
              <w:rPr>
                <w:rFonts w:hint="eastAsia"/>
                <w:b/>
              </w:rPr>
              <w:t>年底</w:t>
            </w:r>
          </w:p>
        </w:tc>
        <w:tc>
          <w:tcPr>
            <w:tcW w:w="609"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颱風</w:t>
            </w:r>
          </w:p>
        </w:tc>
        <w:tc>
          <w:tcPr>
            <w:tcW w:w="609"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水患</w:t>
            </w:r>
          </w:p>
        </w:tc>
        <w:tc>
          <w:tcPr>
            <w:tcW w:w="609"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地震</w:t>
            </w:r>
          </w:p>
        </w:tc>
        <w:tc>
          <w:tcPr>
            <w:tcW w:w="609" w:type="pct"/>
            <w:tcBorders>
              <w:top w:val="single" w:sz="12" w:space="0" w:color="000000"/>
              <w:bottom w:val="single" w:sz="6" w:space="0" w:color="000000"/>
            </w:tcBorders>
            <w:shd w:val="clear" w:color="auto" w:fill="FFFFFF"/>
            <w:vAlign w:val="center"/>
          </w:tcPr>
          <w:p w:rsidR="00471626" w:rsidRPr="006C7DEF" w:rsidRDefault="00471626" w:rsidP="004D1209">
            <w:pPr>
              <w:pStyle w:val="142"/>
              <w:jc w:val="center"/>
              <w:rPr>
                <w:b/>
              </w:rPr>
            </w:pPr>
            <w:r w:rsidRPr="006C7DEF">
              <w:rPr>
                <w:rFonts w:hint="eastAsia"/>
                <w:b/>
              </w:rPr>
              <w:t>其他</w:t>
            </w:r>
          </w:p>
        </w:tc>
        <w:tc>
          <w:tcPr>
            <w:tcW w:w="609" w:type="pct"/>
            <w:tcBorders>
              <w:top w:val="single" w:sz="12" w:space="0" w:color="000000"/>
              <w:bottom w:val="single" w:sz="6" w:space="0" w:color="000000"/>
              <w:right w:val="double" w:sz="4" w:space="0" w:color="000000"/>
            </w:tcBorders>
            <w:shd w:val="clear" w:color="auto" w:fill="FFFFFF"/>
            <w:vAlign w:val="center"/>
          </w:tcPr>
          <w:p w:rsidR="00471626" w:rsidRPr="006C7DEF" w:rsidRDefault="00471626" w:rsidP="004D1209">
            <w:pPr>
              <w:pStyle w:val="142"/>
              <w:jc w:val="center"/>
              <w:rPr>
                <w:b/>
              </w:rPr>
            </w:pPr>
            <w:r>
              <w:rPr>
                <w:rFonts w:hint="eastAsia"/>
                <w:b/>
              </w:rPr>
              <w:t>合計</w:t>
            </w:r>
          </w:p>
        </w:tc>
        <w:tc>
          <w:tcPr>
            <w:tcW w:w="912" w:type="pct"/>
            <w:tcBorders>
              <w:top w:val="single" w:sz="12" w:space="0" w:color="000000"/>
              <w:left w:val="double" w:sz="4" w:space="0" w:color="000000"/>
              <w:bottom w:val="single" w:sz="6" w:space="0" w:color="000000"/>
            </w:tcBorders>
            <w:shd w:val="clear" w:color="auto" w:fill="FFFFFF"/>
          </w:tcPr>
          <w:p w:rsidR="00471626" w:rsidRDefault="00471626" w:rsidP="004D1209">
            <w:pPr>
              <w:pStyle w:val="142"/>
              <w:jc w:val="center"/>
              <w:rPr>
                <w:b/>
              </w:rPr>
            </w:pPr>
            <w:r>
              <w:rPr>
                <w:rFonts w:hint="eastAsia"/>
                <w:b/>
              </w:rPr>
              <w:t>颱風及水災之發生比率</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104年底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6</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10</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105年底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5</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9</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88.89</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106年底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8</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87.50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107年底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2</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6</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9</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88.89</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108年底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2</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10</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109年底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5</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6</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110年底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5</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8</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111年底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4</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75.00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112年底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6</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6</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113年底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8</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87.50</w:t>
            </w:r>
          </w:p>
        </w:tc>
      </w:tr>
      <w:tr w:rsidR="00471626" w:rsidRPr="008677EE" w:rsidTr="004D1209">
        <w:trPr>
          <w:trHeight w:val="227"/>
        </w:trPr>
        <w:tc>
          <w:tcPr>
            <w:tcW w:w="1043" w:type="pct"/>
            <w:tcBorders>
              <w:top w:val="single" w:sz="6" w:space="0" w:color="000000"/>
              <w:bottom w:val="single" w:sz="12" w:space="0" w:color="000000"/>
            </w:tcBorders>
            <w:shd w:val="clear" w:color="auto" w:fill="FFFFFF"/>
            <w:vAlign w:val="center"/>
          </w:tcPr>
          <w:p w:rsidR="00471626" w:rsidRPr="00CE6AEE" w:rsidRDefault="00471626" w:rsidP="004D1209">
            <w:pPr>
              <w:pStyle w:val="142"/>
              <w:jc w:val="center"/>
              <w:rPr>
                <w:b/>
                <w:bCs/>
              </w:rPr>
            </w:pPr>
            <w:r w:rsidRPr="00CE6AEE">
              <w:rPr>
                <w:rFonts w:hint="eastAsia"/>
                <w:b/>
                <w:bCs/>
              </w:rPr>
              <w:t>合計</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44</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27</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7</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0</w:t>
            </w:r>
          </w:p>
        </w:tc>
        <w:tc>
          <w:tcPr>
            <w:tcW w:w="609" w:type="pct"/>
            <w:tcBorders>
              <w:top w:val="single" w:sz="6" w:space="0" w:color="000000"/>
              <w:bottom w:val="single" w:sz="12" w:space="0" w:color="000000"/>
              <w:right w:val="double" w:sz="4" w:space="0" w:color="000000"/>
            </w:tcBorders>
            <w:shd w:val="clear" w:color="auto" w:fill="FFFFFF"/>
          </w:tcPr>
          <w:p w:rsidR="00471626" w:rsidRPr="00CE6AEE" w:rsidRDefault="00471626" w:rsidP="004D1209">
            <w:pPr>
              <w:pStyle w:val="142"/>
              <w:jc w:val="right"/>
              <w:rPr>
                <w:b/>
                <w:bCs/>
              </w:rPr>
            </w:pPr>
            <w:r w:rsidRPr="00CE6AEE">
              <w:rPr>
                <w:b/>
                <w:bCs/>
              </w:rPr>
              <w:t>78</w:t>
            </w:r>
          </w:p>
        </w:tc>
        <w:tc>
          <w:tcPr>
            <w:tcW w:w="912" w:type="pct"/>
            <w:tcBorders>
              <w:top w:val="single" w:sz="6" w:space="0" w:color="000000"/>
              <w:left w:val="double" w:sz="4" w:space="0" w:color="000000"/>
              <w:bottom w:val="single" w:sz="12" w:space="0" w:color="000000"/>
            </w:tcBorders>
            <w:shd w:val="clear" w:color="auto" w:fill="FFFFFF"/>
            <w:vAlign w:val="center"/>
          </w:tcPr>
          <w:p w:rsidR="00471626" w:rsidRPr="00CE6AEE" w:rsidRDefault="00471626" w:rsidP="004D1209">
            <w:pPr>
              <w:pStyle w:val="142"/>
              <w:jc w:val="right"/>
              <w:rPr>
                <w:b/>
                <w:bCs/>
              </w:rPr>
            </w:pPr>
            <w:r w:rsidRPr="00CE6AEE">
              <w:rPr>
                <w:rFonts w:hint="eastAsia"/>
                <w:b/>
                <w:bCs/>
              </w:rPr>
              <w:t>91.03</w:t>
            </w:r>
          </w:p>
        </w:tc>
      </w:tr>
    </w:tbl>
    <w:bookmarkEnd w:id="4"/>
    <w:p w:rsidR="00471626" w:rsidRDefault="00471626" w:rsidP="004D1209">
      <w:pPr>
        <w:spacing w:line="280" w:lineRule="exact"/>
        <w:ind w:leftChars="-51" w:left="1072" w:rightChars="-100" w:right="-283" w:hangingChars="500" w:hanging="1216"/>
        <w:jc w:val="left"/>
        <w:rPr>
          <w:rStyle w:val="143"/>
        </w:rPr>
      </w:pPr>
      <w:r>
        <w:rPr>
          <w:rFonts w:ascii="Times New Roman" w:hint="eastAsia"/>
          <w:snapToGrid/>
          <w:sz w:val="24"/>
          <w:szCs w:val="24"/>
        </w:rPr>
        <w:t>說</w:t>
      </w:r>
      <w:r>
        <w:rPr>
          <w:rFonts w:ascii="Times New Roman" w:hint="eastAsia"/>
          <w:snapToGrid/>
          <w:sz w:val="24"/>
          <w:szCs w:val="24"/>
        </w:rPr>
        <w:t xml:space="preserve">    </w:t>
      </w:r>
      <w:r>
        <w:rPr>
          <w:rFonts w:ascii="Times New Roman" w:hint="eastAsia"/>
          <w:snapToGrid/>
          <w:sz w:val="24"/>
          <w:szCs w:val="24"/>
        </w:rPr>
        <w:t>明</w:t>
      </w:r>
      <w:r w:rsidRPr="004A2A2E">
        <w:rPr>
          <w:rStyle w:val="143"/>
          <w:rFonts w:hint="eastAsia"/>
        </w:rPr>
        <w:t>：</w:t>
      </w:r>
      <w:r>
        <w:rPr>
          <w:rStyle w:val="143"/>
          <w:rFonts w:hint="eastAsia"/>
        </w:rPr>
        <w:t>該</w:t>
      </w:r>
      <w:r w:rsidRPr="00AE35E9">
        <w:rPr>
          <w:rStyle w:val="143"/>
          <w:rFonts w:hint="eastAsia"/>
        </w:rPr>
        <w:t>表統計範圍除天然災害狀況已達災害應變中心成立時或有人員傷亡時，100年起增列「或僅設緊急應變小組時」。</w:t>
      </w:r>
    </w:p>
    <w:p w:rsidR="00471626" w:rsidRPr="00906353" w:rsidRDefault="00471626" w:rsidP="004D1209">
      <w:pPr>
        <w:spacing w:line="280" w:lineRule="exact"/>
        <w:ind w:leftChars="-51" w:left="975" w:rightChars="-100" w:right="-283" w:hangingChars="460" w:hanging="1119"/>
        <w:jc w:val="left"/>
      </w:pPr>
      <w:r w:rsidRPr="006C601C">
        <w:rPr>
          <w:rFonts w:hint="eastAsia"/>
          <w:sz w:val="24"/>
        </w:rPr>
        <w:t>資料</w:t>
      </w:r>
      <w:r w:rsidRPr="006C601C">
        <w:rPr>
          <w:rFonts w:ascii="Times New Roman" w:hint="eastAsia"/>
          <w:snapToGrid/>
          <w:sz w:val="24"/>
          <w:szCs w:val="24"/>
        </w:rPr>
        <w:t>來源</w:t>
      </w:r>
      <w:r>
        <w:rPr>
          <w:rFonts w:ascii="Times New Roman" w:hint="eastAsia"/>
          <w:snapToGrid/>
          <w:sz w:val="24"/>
          <w:szCs w:val="24"/>
        </w:rPr>
        <w:t>：</w:t>
      </w:r>
      <w:r>
        <w:rPr>
          <w:rStyle w:val="143"/>
          <w:rFonts w:hint="eastAsia"/>
        </w:rPr>
        <w:t>內政統計年報</w:t>
      </w:r>
      <w:r w:rsidRPr="0030101C">
        <w:rPr>
          <w:rStyle w:val="143"/>
        </w:rPr>
        <w:t>https://www.moi.gov.tw/cl.aspx?n=4404</w:t>
      </w:r>
      <w:r>
        <w:rPr>
          <w:rStyle w:val="143"/>
          <w:rFonts w:hint="eastAsia"/>
        </w:rPr>
        <w:t>(最後瀏覽日：114年8月15日)</w:t>
      </w:r>
      <w:r>
        <w:rPr>
          <w:rFonts w:ascii="Times New Roman" w:hint="eastAsia"/>
          <w:snapToGrid/>
          <w:sz w:val="24"/>
          <w:szCs w:val="24"/>
        </w:rPr>
        <w:t>。</w:t>
      </w:r>
    </w:p>
    <w:p w:rsidR="00471626" w:rsidRPr="00142C3F" w:rsidRDefault="00471626" w:rsidP="004D1209">
      <w:pPr>
        <w:pStyle w:val="142"/>
        <w:spacing w:line="500" w:lineRule="exact"/>
        <w:ind w:left="284" w:rightChars="-100" w:right="-283" w:hanging="426"/>
        <w:rPr>
          <w:rFonts w:hAnsi="標楷體"/>
          <w:color w:val="000000"/>
          <w:szCs w:val="24"/>
        </w:rPr>
      </w:pPr>
      <w:r w:rsidRPr="00906353">
        <w:rPr>
          <w:rFonts w:hint="eastAsia"/>
          <w:b/>
          <w:snapToGrid/>
          <w:sz w:val="28"/>
        </w:rPr>
        <w:lastRenderedPageBreak/>
        <w:t>表</w:t>
      </w:r>
      <w:r>
        <w:rPr>
          <w:rFonts w:hint="eastAsia"/>
          <w:b/>
          <w:snapToGrid/>
          <w:sz w:val="28"/>
        </w:rPr>
        <w:t>2</w:t>
      </w:r>
      <w:r w:rsidRPr="00906353">
        <w:rPr>
          <w:rFonts w:hint="eastAsia"/>
          <w:b/>
          <w:snapToGrid/>
          <w:sz w:val="28"/>
        </w:rPr>
        <w:t xml:space="preserve">  </w:t>
      </w:r>
      <w:r>
        <w:rPr>
          <w:rFonts w:hint="eastAsia"/>
          <w:b/>
          <w:snapToGrid/>
          <w:sz w:val="28"/>
        </w:rPr>
        <w:t>住宅颱風及洪水災害補償保險限額表</w:t>
      </w:r>
      <w:r>
        <w:rPr>
          <w:rFonts w:hAnsi="標楷體" w:hint="eastAsia"/>
          <w:color w:val="000000"/>
          <w:szCs w:val="24"/>
        </w:rPr>
        <w:t xml:space="preserve">              單位：新臺幣元</w:t>
      </w:r>
    </w:p>
    <w:tbl>
      <w:tblPr>
        <w:tblW w:w="5000" w:type="pct"/>
        <w:tblInd w:w="-8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85" w:type="dxa"/>
          <w:right w:w="85" w:type="dxa"/>
        </w:tblCellMar>
        <w:tblLook w:val="04A0" w:firstRow="1" w:lastRow="0" w:firstColumn="1" w:lastColumn="0" w:noHBand="0" w:noVBand="1"/>
      </w:tblPr>
      <w:tblGrid>
        <w:gridCol w:w="1871"/>
        <w:gridCol w:w="4962"/>
        <w:gridCol w:w="1841"/>
      </w:tblGrid>
      <w:tr w:rsidR="00471626" w:rsidRPr="008677EE" w:rsidTr="004D1209">
        <w:trPr>
          <w:trHeight w:val="283"/>
          <w:tblHeader/>
        </w:trPr>
        <w:tc>
          <w:tcPr>
            <w:tcW w:w="3939" w:type="pct"/>
            <w:gridSpan w:val="2"/>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地區別</w:t>
            </w:r>
          </w:p>
        </w:tc>
        <w:tc>
          <w:tcPr>
            <w:tcW w:w="1061"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賠償限額</w:t>
            </w:r>
          </w:p>
        </w:tc>
      </w:tr>
      <w:tr w:rsidR="00471626" w:rsidRPr="008677EE" w:rsidTr="004D1209">
        <w:trPr>
          <w:trHeight w:val="397"/>
        </w:trPr>
        <w:tc>
          <w:tcPr>
            <w:tcW w:w="1079" w:type="pct"/>
            <w:tcBorders>
              <w:top w:val="single" w:sz="6" w:space="0" w:color="000000"/>
              <w:bottom w:val="single" w:sz="6" w:space="0" w:color="000000"/>
            </w:tcBorders>
            <w:shd w:val="clear" w:color="auto" w:fill="FFFFFF"/>
            <w:vAlign w:val="center"/>
          </w:tcPr>
          <w:p w:rsidR="00471626" w:rsidRPr="00142C3F" w:rsidRDefault="00471626" w:rsidP="004D1209">
            <w:pPr>
              <w:pStyle w:val="142"/>
              <w:jc w:val="both"/>
            </w:pPr>
            <w:r w:rsidRPr="00142C3F">
              <w:rPr>
                <w:rFonts w:hint="eastAsia"/>
              </w:rPr>
              <w:t>第一區</w:t>
            </w:r>
          </w:p>
        </w:tc>
        <w:tc>
          <w:tcPr>
            <w:tcW w:w="2860" w:type="pct"/>
            <w:tcBorders>
              <w:top w:val="single" w:sz="6" w:space="0" w:color="000000"/>
              <w:bottom w:val="single" w:sz="6" w:space="0" w:color="000000"/>
            </w:tcBorders>
            <w:shd w:val="clear" w:color="auto" w:fill="FFFFFF"/>
            <w:vAlign w:val="center"/>
          </w:tcPr>
          <w:p w:rsidR="00471626" w:rsidRPr="004E137B" w:rsidRDefault="00471626" w:rsidP="004D1209">
            <w:pPr>
              <w:pStyle w:val="142"/>
              <w:jc w:val="both"/>
            </w:pPr>
            <w:r w:rsidRPr="004E137B">
              <w:rPr>
                <w:rFonts w:hint="eastAsia"/>
              </w:rPr>
              <w:t>新竹縣（市）、臺中市、嘉義縣（市）、苗栗縣、南投縣、彰化縣、雲林縣</w:t>
            </w:r>
          </w:p>
        </w:tc>
        <w:tc>
          <w:tcPr>
            <w:tcW w:w="1061"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Pr>
                <w:rFonts w:hint="eastAsia"/>
              </w:rPr>
              <w:t>9,000</w:t>
            </w:r>
          </w:p>
        </w:tc>
      </w:tr>
      <w:tr w:rsidR="00471626" w:rsidRPr="008677EE" w:rsidTr="004D1209">
        <w:trPr>
          <w:trHeight w:val="235"/>
        </w:trPr>
        <w:tc>
          <w:tcPr>
            <w:tcW w:w="1079" w:type="pct"/>
            <w:tcBorders>
              <w:top w:val="single" w:sz="6" w:space="0" w:color="000000"/>
              <w:bottom w:val="single" w:sz="6" w:space="0" w:color="000000"/>
            </w:tcBorders>
            <w:shd w:val="clear" w:color="auto" w:fill="FFFFFF"/>
            <w:vAlign w:val="center"/>
          </w:tcPr>
          <w:p w:rsidR="00471626" w:rsidRPr="00142C3F" w:rsidRDefault="00471626" w:rsidP="004D1209">
            <w:pPr>
              <w:pStyle w:val="142"/>
              <w:jc w:val="both"/>
            </w:pPr>
            <w:r w:rsidRPr="00142C3F">
              <w:t>第二區</w:t>
            </w:r>
          </w:p>
        </w:tc>
        <w:tc>
          <w:tcPr>
            <w:tcW w:w="2860" w:type="pct"/>
            <w:tcBorders>
              <w:top w:val="single" w:sz="6" w:space="0" w:color="000000"/>
              <w:bottom w:val="single" w:sz="6" w:space="0" w:color="000000"/>
            </w:tcBorders>
            <w:shd w:val="clear" w:color="auto" w:fill="FFFFFF"/>
            <w:vAlign w:val="center"/>
          </w:tcPr>
          <w:p w:rsidR="00471626" w:rsidRPr="004E137B" w:rsidRDefault="00471626" w:rsidP="004D1209">
            <w:pPr>
              <w:pStyle w:val="142"/>
              <w:jc w:val="both"/>
            </w:pPr>
            <w:r w:rsidRPr="004E137B">
              <w:rPr>
                <w:rFonts w:hint="eastAsia"/>
              </w:rPr>
              <w:t>臺北市、新北市、臺南市、高雄市、桃園市、澎湖縣、金門馬祖地區</w:t>
            </w:r>
          </w:p>
        </w:tc>
        <w:tc>
          <w:tcPr>
            <w:tcW w:w="1061"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Pr>
                <w:rFonts w:hint="eastAsia"/>
              </w:rPr>
              <w:t>8,000</w:t>
            </w:r>
          </w:p>
        </w:tc>
      </w:tr>
      <w:tr w:rsidR="00471626" w:rsidRPr="008677EE" w:rsidTr="004D1209">
        <w:trPr>
          <w:trHeight w:val="368"/>
        </w:trPr>
        <w:tc>
          <w:tcPr>
            <w:tcW w:w="1079" w:type="pct"/>
            <w:tcBorders>
              <w:top w:val="single" w:sz="6" w:space="0" w:color="000000"/>
              <w:bottom w:val="single" w:sz="12" w:space="0" w:color="000000"/>
            </w:tcBorders>
            <w:shd w:val="clear" w:color="auto" w:fill="FFFFFF"/>
            <w:vAlign w:val="center"/>
          </w:tcPr>
          <w:p w:rsidR="00471626" w:rsidRPr="00142C3F" w:rsidRDefault="00471626" w:rsidP="004D1209">
            <w:pPr>
              <w:pStyle w:val="142"/>
              <w:jc w:val="both"/>
            </w:pPr>
            <w:r w:rsidRPr="00142C3F">
              <w:t>第三區</w:t>
            </w:r>
          </w:p>
        </w:tc>
        <w:tc>
          <w:tcPr>
            <w:tcW w:w="2860" w:type="pct"/>
            <w:tcBorders>
              <w:top w:val="single" w:sz="6" w:space="0" w:color="000000"/>
              <w:bottom w:val="single" w:sz="12" w:space="0" w:color="000000"/>
            </w:tcBorders>
            <w:shd w:val="clear" w:color="auto" w:fill="FFFFFF"/>
            <w:vAlign w:val="center"/>
          </w:tcPr>
          <w:p w:rsidR="00471626" w:rsidRPr="004E137B" w:rsidRDefault="00471626" w:rsidP="004D1209">
            <w:pPr>
              <w:pStyle w:val="142"/>
              <w:jc w:val="both"/>
            </w:pPr>
            <w:r w:rsidRPr="004E137B">
              <w:rPr>
                <w:rFonts w:hint="eastAsia"/>
              </w:rPr>
              <w:t>基隆市、宜蘭縣、花蓮縣、臺東縣、屏東縣</w:t>
            </w:r>
          </w:p>
        </w:tc>
        <w:tc>
          <w:tcPr>
            <w:tcW w:w="1061" w:type="pct"/>
            <w:tcBorders>
              <w:top w:val="single" w:sz="6" w:space="0" w:color="000000"/>
              <w:bottom w:val="single" w:sz="12" w:space="0" w:color="000000"/>
            </w:tcBorders>
            <w:shd w:val="clear" w:color="auto" w:fill="FFFFFF"/>
            <w:vAlign w:val="center"/>
          </w:tcPr>
          <w:p w:rsidR="00471626" w:rsidRPr="00CE6AEE" w:rsidRDefault="00471626" w:rsidP="004D1209">
            <w:pPr>
              <w:pStyle w:val="142"/>
              <w:jc w:val="right"/>
              <w:rPr>
                <w:b/>
                <w:bCs/>
              </w:rPr>
            </w:pPr>
            <w:r>
              <w:rPr>
                <w:rFonts w:hint="eastAsia"/>
              </w:rPr>
              <w:t>7,000</w:t>
            </w:r>
          </w:p>
        </w:tc>
      </w:tr>
    </w:tbl>
    <w:p w:rsidR="00471626" w:rsidRDefault="00471626" w:rsidP="004D1209">
      <w:pPr>
        <w:spacing w:line="280" w:lineRule="exact"/>
        <w:ind w:leftChars="-51" w:left="1072" w:rightChars="-100" w:right="-283" w:hangingChars="500" w:hanging="1216"/>
        <w:jc w:val="left"/>
        <w:rPr>
          <w:rStyle w:val="143"/>
        </w:rPr>
      </w:pPr>
      <w:r>
        <w:rPr>
          <w:rFonts w:ascii="Times New Roman" w:hint="eastAsia"/>
          <w:snapToGrid/>
          <w:sz w:val="24"/>
          <w:szCs w:val="24"/>
        </w:rPr>
        <w:t>說</w:t>
      </w:r>
      <w:r>
        <w:rPr>
          <w:rFonts w:ascii="Times New Roman" w:hint="eastAsia"/>
          <w:snapToGrid/>
          <w:sz w:val="24"/>
          <w:szCs w:val="24"/>
        </w:rPr>
        <w:t xml:space="preserve">    </w:t>
      </w:r>
      <w:r>
        <w:rPr>
          <w:rFonts w:ascii="Times New Roman" w:hint="eastAsia"/>
          <w:snapToGrid/>
          <w:sz w:val="24"/>
          <w:szCs w:val="24"/>
        </w:rPr>
        <w:t>明</w:t>
      </w:r>
      <w:r w:rsidRPr="004A2A2E">
        <w:rPr>
          <w:rStyle w:val="143"/>
          <w:rFonts w:hint="eastAsia"/>
        </w:rPr>
        <w:t>：</w:t>
      </w:r>
      <w:r w:rsidRPr="004E137B">
        <w:rPr>
          <w:rStyle w:val="143"/>
          <w:rFonts w:hint="eastAsia"/>
        </w:rPr>
        <w:t>住宅火災及地震基本保險參考條款</w:t>
      </w:r>
      <w:r>
        <w:rPr>
          <w:rStyle w:val="143"/>
          <w:rFonts w:hint="eastAsia"/>
        </w:rPr>
        <w:t>。</w:t>
      </w:r>
    </w:p>
    <w:p w:rsidR="00471626" w:rsidRPr="00906353" w:rsidRDefault="00471626" w:rsidP="004D1209">
      <w:pPr>
        <w:spacing w:line="280" w:lineRule="exact"/>
        <w:ind w:leftChars="-51" w:left="1072" w:right="-1" w:hangingChars="500" w:hanging="1216"/>
        <w:jc w:val="left"/>
      </w:pPr>
      <w:r w:rsidRPr="006C601C">
        <w:rPr>
          <w:rFonts w:hint="eastAsia"/>
          <w:sz w:val="24"/>
        </w:rPr>
        <w:lastRenderedPageBreak/>
        <w:t>資料</w:t>
      </w:r>
      <w:r w:rsidRPr="006C601C">
        <w:rPr>
          <w:rFonts w:ascii="Times New Roman" w:hint="eastAsia"/>
          <w:snapToGrid/>
          <w:sz w:val="24"/>
          <w:szCs w:val="24"/>
        </w:rPr>
        <w:t>來源</w:t>
      </w:r>
      <w:r>
        <w:rPr>
          <w:rFonts w:ascii="Times New Roman" w:hint="eastAsia"/>
          <w:snapToGrid/>
          <w:sz w:val="24"/>
          <w:szCs w:val="24"/>
        </w:rPr>
        <w:t>：產險公會網站</w:t>
      </w:r>
      <w:r w:rsidRPr="004E137B">
        <w:rPr>
          <w:rFonts w:ascii="Times New Roman"/>
          <w:snapToGrid/>
          <w:sz w:val="24"/>
          <w:szCs w:val="24"/>
        </w:rPr>
        <w:t>https://www.nlia.org.tw/(</w:t>
      </w:r>
      <w:r w:rsidRPr="004E137B">
        <w:rPr>
          <w:rFonts w:ascii="Times New Roman"/>
          <w:snapToGrid/>
          <w:sz w:val="24"/>
          <w:szCs w:val="24"/>
        </w:rPr>
        <w:t>最後瀏覽日：</w:t>
      </w:r>
      <w:r w:rsidRPr="004E137B">
        <w:rPr>
          <w:rFonts w:ascii="Times New Roman"/>
          <w:snapToGrid/>
          <w:sz w:val="24"/>
          <w:szCs w:val="24"/>
        </w:rPr>
        <w:t>114</w:t>
      </w:r>
      <w:r>
        <w:rPr>
          <w:rFonts w:ascii="Times New Roman" w:hint="eastAsia"/>
          <w:snapToGrid/>
          <w:sz w:val="24"/>
          <w:szCs w:val="24"/>
        </w:rPr>
        <w:t>年</w:t>
      </w:r>
      <w:r>
        <w:rPr>
          <w:rFonts w:ascii="Times New Roman" w:hint="eastAsia"/>
          <w:snapToGrid/>
          <w:sz w:val="24"/>
          <w:szCs w:val="24"/>
        </w:rPr>
        <w:t>8</w:t>
      </w:r>
      <w:r>
        <w:rPr>
          <w:rFonts w:ascii="Times New Roman" w:hint="eastAsia"/>
          <w:snapToGrid/>
          <w:sz w:val="24"/>
          <w:szCs w:val="24"/>
        </w:rPr>
        <w:t>月</w:t>
      </w:r>
      <w:r>
        <w:rPr>
          <w:rFonts w:ascii="Times New Roman" w:hint="eastAsia"/>
          <w:snapToGrid/>
          <w:sz w:val="24"/>
          <w:szCs w:val="24"/>
        </w:rPr>
        <w:t>15</w:t>
      </w:r>
      <w:r>
        <w:rPr>
          <w:rFonts w:ascii="Times New Roman" w:hint="eastAsia"/>
          <w:snapToGrid/>
          <w:sz w:val="24"/>
          <w:szCs w:val="24"/>
        </w:rPr>
        <w:t>日</w:t>
      </w:r>
      <w:r>
        <w:rPr>
          <w:rFonts w:ascii="Times New Roman" w:hint="eastAsia"/>
          <w:snapToGrid/>
          <w:sz w:val="24"/>
          <w:szCs w:val="24"/>
        </w:rPr>
        <w:t>)</w:t>
      </w:r>
      <w:r>
        <w:rPr>
          <w:rFonts w:ascii="Times New Roman" w:hint="eastAsia"/>
          <w:snapToGrid/>
          <w:sz w:val="24"/>
          <w:szCs w:val="24"/>
        </w:rPr>
        <w:t>。</w:t>
      </w:r>
    </w:p>
    <w:p w:rsidR="00471626" w:rsidRPr="00D732B7" w:rsidRDefault="00471626" w:rsidP="004D1209">
      <w:pPr>
        <w:pStyle w:val="aa"/>
        <w:ind w:left="849" w:hanging="283"/>
        <w:rPr>
          <w:b/>
          <w:bCs/>
        </w:rPr>
      </w:pPr>
      <w:r w:rsidRPr="00053093">
        <w:rPr>
          <w:rFonts w:hint="eastAsia"/>
          <w:b/>
          <w:bCs/>
        </w:rPr>
        <w:t>(二)</w:t>
      </w:r>
      <w:r>
        <w:rPr>
          <w:rFonts w:hint="eastAsia"/>
          <w:b/>
          <w:bCs/>
        </w:rPr>
        <w:t>我國民眾投保住宅及車輛颱風洪水相關保險之比率偏低</w:t>
      </w:r>
    </w:p>
    <w:p w:rsidR="00471626" w:rsidRPr="00A92162" w:rsidRDefault="00471626" w:rsidP="004D1209">
      <w:pPr>
        <w:pStyle w:val="21"/>
        <w:ind w:left="850" w:firstLine="566"/>
      </w:pPr>
      <w:r w:rsidRPr="00A92162">
        <w:rPr>
          <w:rFonts w:hint="eastAsia"/>
        </w:rPr>
        <w:t>據</w:t>
      </w:r>
      <w:r>
        <w:rPr>
          <w:rFonts w:hint="eastAsia"/>
        </w:rPr>
        <w:t>金管會</w:t>
      </w:r>
      <w:r w:rsidRPr="00A92162">
        <w:rPr>
          <w:rFonts w:hint="eastAsia"/>
        </w:rPr>
        <w:t>保險局提供資料，近年民眾對</w:t>
      </w:r>
      <w:r>
        <w:rPr>
          <w:rFonts w:hint="eastAsia"/>
        </w:rPr>
        <w:t>於</w:t>
      </w:r>
      <w:r w:rsidRPr="00A92162">
        <w:rPr>
          <w:rFonts w:hint="eastAsia"/>
        </w:rPr>
        <w:t>住宅、汽(機)車等有就颱風或洪水等事故投保相關保險之比率雖有成長，但比率仍偏低，茲分述如下：</w:t>
      </w:r>
    </w:p>
    <w:p w:rsidR="00471626" w:rsidRPr="00444232" w:rsidRDefault="00471626" w:rsidP="004D1209">
      <w:pPr>
        <w:pStyle w:val="123"/>
        <w:ind w:left="1133" w:hanging="283"/>
      </w:pPr>
      <w:r w:rsidRPr="00444232">
        <w:rPr>
          <w:rFonts w:hint="eastAsia"/>
          <w:b/>
          <w:bCs/>
        </w:rPr>
        <w:t>1.住宅：</w:t>
      </w:r>
      <w:r w:rsidRPr="00444232">
        <w:rPr>
          <w:rFonts w:hint="eastAsia"/>
        </w:rPr>
        <w:t>現行住宅火災保險對於承保建築物及其動產直接因颱風或洪水所致損失提供新臺幣7,000至9,000元之基本保障，</w:t>
      </w:r>
      <w:r>
        <w:rPr>
          <w:rFonts w:hint="eastAsia"/>
        </w:rPr>
        <w:t>以</w:t>
      </w:r>
      <w:r w:rsidRPr="00444232">
        <w:rPr>
          <w:rFonts w:hint="eastAsia"/>
        </w:rPr>
        <w:t>作為緊急復</w:t>
      </w:r>
      <w:r>
        <w:rPr>
          <w:rFonts w:hint="eastAsia"/>
        </w:rPr>
        <w:t>原之用；</w:t>
      </w:r>
      <w:r w:rsidRPr="00444232">
        <w:rPr>
          <w:rFonts w:hint="eastAsia"/>
        </w:rPr>
        <w:t>檢視是類保險110至113年度總簽單件數，呈逐年穩定成長，然就上開期間全國房屋之投保比率以觀，雖</w:t>
      </w:r>
      <w:r>
        <w:rPr>
          <w:rFonts w:hint="eastAsia"/>
        </w:rPr>
        <w:t>亦</w:t>
      </w:r>
      <w:r w:rsidRPr="00444232">
        <w:rPr>
          <w:rFonts w:hint="eastAsia"/>
        </w:rPr>
        <w:t>逐年攀升，然迄</w:t>
      </w:r>
      <w:r>
        <w:rPr>
          <w:rFonts w:hint="eastAsia"/>
        </w:rPr>
        <w:t>113</w:t>
      </w:r>
      <w:r w:rsidRPr="00444232">
        <w:rPr>
          <w:rFonts w:hint="eastAsia"/>
        </w:rPr>
        <w:t>年度僅</w:t>
      </w:r>
      <w:r>
        <w:rPr>
          <w:rFonts w:hint="eastAsia"/>
        </w:rPr>
        <w:t>38.89</w:t>
      </w:r>
      <w:r w:rsidRPr="00444232">
        <w:rPr>
          <w:rFonts w:hint="eastAsia"/>
        </w:rPr>
        <w:t>%，尚未及4成，比率偏低，</w:t>
      </w:r>
      <w:r>
        <w:rPr>
          <w:rFonts w:hint="eastAsia"/>
        </w:rPr>
        <w:t>且其中86.68</w:t>
      </w:r>
      <w:r w:rsidRPr="00444232">
        <w:rPr>
          <w:rFonts w:hint="eastAsia"/>
        </w:rPr>
        <w:t>%係屬貸款戶，民眾自行投保者尚未及2成。復觀諸110至113年度住宅火災保險中有加保「超額颱風及洪水保險附加條款」之簽單件數，概呈增加，113年度簽單件數為1萬3,499件，</w:t>
      </w:r>
      <w:r>
        <w:rPr>
          <w:rFonts w:hint="eastAsia"/>
        </w:rPr>
        <w:t>雖</w:t>
      </w:r>
      <w:r w:rsidRPr="00444232">
        <w:rPr>
          <w:rFonts w:hint="eastAsia"/>
        </w:rPr>
        <w:t>較110年度增加7,012件，增幅達108.09%，惟占比僅及住宅火災保險保單之0.35%，比率甚低</w:t>
      </w:r>
      <w:r>
        <w:rPr>
          <w:rFonts w:hint="eastAsia"/>
        </w:rPr>
        <w:t>(詳表3)</w:t>
      </w:r>
      <w:r w:rsidRPr="00444232">
        <w:rPr>
          <w:rFonts w:hint="eastAsia"/>
        </w:rPr>
        <w:t>。</w:t>
      </w:r>
    </w:p>
    <w:p w:rsidR="00471626" w:rsidRPr="00D732B7" w:rsidRDefault="00471626" w:rsidP="004D1209">
      <w:pPr>
        <w:pStyle w:val="123"/>
        <w:ind w:left="1133" w:hanging="283"/>
      </w:pPr>
      <w:r w:rsidRPr="00444232">
        <w:rPr>
          <w:rFonts w:hint="eastAsia"/>
          <w:b/>
          <w:bCs/>
        </w:rPr>
        <w:t>2.汽(機)車</w:t>
      </w:r>
      <w:r>
        <w:rPr>
          <w:rFonts w:hint="eastAsia"/>
          <w:b/>
          <w:bCs/>
        </w:rPr>
        <w:t>：</w:t>
      </w:r>
      <w:r w:rsidRPr="00B525B9">
        <w:rPr>
          <w:rFonts w:hint="eastAsia"/>
        </w:rPr>
        <w:t>據</w:t>
      </w:r>
      <w:r>
        <w:rPr>
          <w:rFonts w:hint="eastAsia"/>
        </w:rPr>
        <w:t>交通部網站及金管會提供資料，110至113年度間，汽車車體損失險有加保</w:t>
      </w:r>
      <w:r w:rsidRPr="0037475F">
        <w:rPr>
          <w:rFonts w:hint="eastAsia"/>
        </w:rPr>
        <w:t>颱風、洪水險</w:t>
      </w:r>
      <w:r>
        <w:rPr>
          <w:rFonts w:hint="eastAsia"/>
        </w:rPr>
        <w:t>之件數逐年穩定成長，113年度為7萬1,016件，較110年度增加2萬6,634件，增幅60.01%，然占同期間汽車登記數之比率，僅介於0.53%至0.82%間，占比尚未達1%；另上開期間機車車體損失險有加保</w:t>
      </w:r>
      <w:r w:rsidRPr="0037475F">
        <w:rPr>
          <w:rFonts w:hint="eastAsia"/>
        </w:rPr>
        <w:t>颱風、洪水險</w:t>
      </w:r>
      <w:r>
        <w:rPr>
          <w:rFonts w:hint="eastAsia"/>
        </w:rPr>
        <w:t>之件數，介於78至109件間，與同期間機</w:t>
      </w:r>
      <w:r>
        <w:rPr>
          <w:rFonts w:hint="eastAsia"/>
        </w:rPr>
        <w:lastRenderedPageBreak/>
        <w:t>車登記數1,400萬輛以上相比，占比甚低(詳表4)。</w:t>
      </w:r>
    </w:p>
    <w:p w:rsidR="00471626" w:rsidRDefault="00471626" w:rsidP="004D1209">
      <w:pPr>
        <w:pStyle w:val="21"/>
        <w:spacing w:beforeLines="20" w:before="102" w:line="360" w:lineRule="exact"/>
        <w:ind w:leftChars="-50" w:left="567" w:rightChars="-100" w:right="-283" w:hangingChars="250" w:hanging="709"/>
        <w:rPr>
          <w:snapToGrid/>
        </w:rPr>
      </w:pPr>
      <w:r>
        <w:rPr>
          <w:rFonts w:hint="eastAsia"/>
          <w:b/>
        </w:rPr>
        <w:t>表3  110至113年</w:t>
      </w:r>
      <w:r w:rsidRPr="002028BF">
        <w:rPr>
          <w:rFonts w:hint="eastAsia"/>
          <w:b/>
        </w:rPr>
        <w:t>度</w:t>
      </w:r>
      <w:r>
        <w:rPr>
          <w:rFonts w:hint="eastAsia"/>
          <w:b/>
        </w:rPr>
        <w:t>住宅火災保險及</w:t>
      </w:r>
      <w:r w:rsidRPr="002E085A">
        <w:rPr>
          <w:rFonts w:hint="eastAsia"/>
          <w:b/>
        </w:rPr>
        <w:t>加保「超額颱風及洪水保險附加條款」</w:t>
      </w:r>
      <w:r>
        <w:rPr>
          <w:rFonts w:hint="eastAsia"/>
          <w:b/>
        </w:rPr>
        <w:t xml:space="preserve">概況表                                     </w:t>
      </w:r>
      <w:r w:rsidRPr="005E55E3">
        <w:rPr>
          <w:rFonts w:hint="eastAsia"/>
          <w:snapToGrid/>
          <w:szCs w:val="24"/>
        </w:rPr>
        <w:t>單位：</w:t>
      </w:r>
      <w:r>
        <w:rPr>
          <w:rFonts w:hint="eastAsia"/>
          <w:snapToGrid/>
          <w:szCs w:val="24"/>
        </w:rPr>
        <w:t>件；%</w:t>
      </w:r>
      <w:r>
        <w:rPr>
          <w:rFonts w:hint="eastAsia"/>
          <w:snapToGrid/>
        </w:rPr>
        <w:t xml:space="preserve"> </w:t>
      </w:r>
    </w:p>
    <w:tbl>
      <w:tblPr>
        <w:tblW w:w="9073" w:type="dxa"/>
        <w:tblInd w:w="-1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61"/>
        <w:gridCol w:w="1417"/>
        <w:gridCol w:w="1192"/>
        <w:gridCol w:w="1134"/>
        <w:gridCol w:w="2133"/>
        <w:gridCol w:w="1836"/>
      </w:tblGrid>
      <w:tr w:rsidR="00471626" w:rsidRPr="00A73D18" w:rsidTr="004D1209">
        <w:trPr>
          <w:trHeight w:val="340"/>
          <w:tblHeader/>
        </w:trPr>
        <w:tc>
          <w:tcPr>
            <w:tcW w:w="1361" w:type="dxa"/>
            <w:vMerge w:val="restart"/>
            <w:tcBorders>
              <w:top w:val="single" w:sz="12" w:space="0" w:color="000000"/>
              <w:bottom w:val="single" w:sz="6" w:space="0" w:color="000000"/>
              <w:tl2br w:val="single" w:sz="6" w:space="0" w:color="000000"/>
            </w:tcBorders>
            <w:shd w:val="clear" w:color="auto" w:fill="auto"/>
            <w:vAlign w:val="center"/>
            <w:hideMark/>
          </w:tcPr>
          <w:p w:rsidR="00471626" w:rsidRPr="008A468A" w:rsidRDefault="00471626" w:rsidP="004D1209">
            <w:pPr>
              <w:pStyle w:val="142"/>
              <w:jc w:val="both"/>
              <w:rPr>
                <w:b/>
                <w:bCs/>
              </w:rPr>
            </w:pPr>
            <w:r>
              <w:rPr>
                <w:rFonts w:hint="eastAsia"/>
                <w:b/>
                <w:bCs/>
              </w:rPr>
              <w:t xml:space="preserve">    項</w:t>
            </w:r>
            <w:r w:rsidRPr="008A468A">
              <w:rPr>
                <w:rFonts w:hint="eastAsia"/>
                <w:b/>
                <w:bCs/>
              </w:rPr>
              <w:t>目</w:t>
            </w:r>
          </w:p>
          <w:p w:rsidR="00471626" w:rsidRDefault="00471626" w:rsidP="004D1209">
            <w:pPr>
              <w:pStyle w:val="142"/>
              <w:jc w:val="both"/>
              <w:rPr>
                <w:b/>
                <w:bCs/>
              </w:rPr>
            </w:pPr>
          </w:p>
          <w:p w:rsidR="00471626" w:rsidRDefault="00471626" w:rsidP="004D1209">
            <w:pPr>
              <w:pStyle w:val="142"/>
              <w:jc w:val="both"/>
              <w:rPr>
                <w:b/>
                <w:bCs/>
              </w:rPr>
            </w:pPr>
          </w:p>
          <w:p w:rsidR="00471626" w:rsidRPr="008A468A" w:rsidRDefault="00471626" w:rsidP="004D1209">
            <w:pPr>
              <w:pStyle w:val="142"/>
              <w:jc w:val="both"/>
              <w:rPr>
                <w:b/>
                <w:bCs/>
              </w:rPr>
            </w:pPr>
            <w:r w:rsidRPr="008A468A">
              <w:rPr>
                <w:rFonts w:hint="eastAsia"/>
                <w:b/>
                <w:bCs/>
              </w:rPr>
              <w:t>年度</w:t>
            </w:r>
          </w:p>
        </w:tc>
        <w:tc>
          <w:tcPr>
            <w:tcW w:w="3743" w:type="dxa"/>
            <w:gridSpan w:val="3"/>
            <w:shd w:val="clear" w:color="auto" w:fill="auto"/>
            <w:noWrap/>
            <w:vAlign w:val="center"/>
          </w:tcPr>
          <w:p w:rsidR="00471626" w:rsidRPr="008A468A" w:rsidRDefault="00471626" w:rsidP="004D1209">
            <w:pPr>
              <w:pStyle w:val="142"/>
              <w:jc w:val="center"/>
              <w:rPr>
                <w:b/>
                <w:bCs/>
              </w:rPr>
            </w:pPr>
            <w:r>
              <w:rPr>
                <w:rFonts w:hint="eastAsia"/>
                <w:b/>
                <w:bCs/>
              </w:rPr>
              <w:t>住宅火災保險</w:t>
            </w:r>
          </w:p>
        </w:tc>
        <w:tc>
          <w:tcPr>
            <w:tcW w:w="3969" w:type="dxa"/>
            <w:gridSpan w:val="2"/>
            <w:shd w:val="clear" w:color="auto" w:fill="auto"/>
            <w:vAlign w:val="center"/>
          </w:tcPr>
          <w:p w:rsidR="00471626" w:rsidRPr="008A468A" w:rsidRDefault="00471626" w:rsidP="004D1209">
            <w:pPr>
              <w:pStyle w:val="142"/>
              <w:jc w:val="center"/>
              <w:rPr>
                <w:b/>
                <w:bCs/>
              </w:rPr>
            </w:pPr>
            <w:r w:rsidRPr="00A620DA">
              <w:rPr>
                <w:rFonts w:hint="eastAsia"/>
                <w:b/>
                <w:bCs/>
              </w:rPr>
              <w:t>加保「超額颱風及洪水保險附加條款」</w:t>
            </w:r>
          </w:p>
        </w:tc>
      </w:tr>
      <w:tr w:rsidR="00471626" w:rsidRPr="00A73D18" w:rsidTr="004D1209">
        <w:trPr>
          <w:trHeight w:val="665"/>
          <w:tblHeader/>
        </w:trPr>
        <w:tc>
          <w:tcPr>
            <w:tcW w:w="1361" w:type="dxa"/>
            <w:vMerge/>
            <w:tcBorders>
              <w:top w:val="single" w:sz="6" w:space="0" w:color="000000"/>
              <w:bottom w:val="single" w:sz="6" w:space="0" w:color="000000"/>
              <w:tl2br w:val="single" w:sz="6" w:space="0" w:color="000000"/>
            </w:tcBorders>
            <w:shd w:val="clear" w:color="auto" w:fill="auto"/>
            <w:vAlign w:val="center"/>
          </w:tcPr>
          <w:p w:rsidR="00471626" w:rsidRPr="008A468A" w:rsidRDefault="00471626" w:rsidP="004D1209">
            <w:pPr>
              <w:pStyle w:val="142"/>
              <w:rPr>
                <w:b/>
                <w:bCs/>
              </w:rPr>
            </w:pPr>
          </w:p>
        </w:tc>
        <w:tc>
          <w:tcPr>
            <w:tcW w:w="1417" w:type="dxa"/>
            <w:shd w:val="clear" w:color="auto" w:fill="auto"/>
            <w:noWrap/>
            <w:vAlign w:val="center"/>
          </w:tcPr>
          <w:p w:rsidR="00471626" w:rsidRDefault="00471626" w:rsidP="004D1209">
            <w:pPr>
              <w:pStyle w:val="142"/>
              <w:jc w:val="center"/>
              <w:rPr>
                <w:b/>
                <w:bCs/>
              </w:rPr>
            </w:pPr>
            <w:r>
              <w:rPr>
                <w:rFonts w:hint="eastAsia"/>
                <w:b/>
                <w:bCs/>
              </w:rPr>
              <w:t>總簽單件數</w:t>
            </w:r>
          </w:p>
          <w:p w:rsidR="00471626" w:rsidRPr="008A468A" w:rsidRDefault="00471626" w:rsidP="004D1209">
            <w:pPr>
              <w:pStyle w:val="142"/>
              <w:jc w:val="center"/>
              <w:rPr>
                <w:b/>
                <w:bCs/>
              </w:rPr>
            </w:pPr>
            <w:r>
              <w:rPr>
                <w:rFonts w:hint="eastAsia"/>
                <w:b/>
                <w:bCs/>
              </w:rPr>
              <w:t>(A)</w:t>
            </w:r>
          </w:p>
        </w:tc>
        <w:tc>
          <w:tcPr>
            <w:tcW w:w="1192" w:type="dxa"/>
            <w:shd w:val="clear" w:color="auto" w:fill="auto"/>
            <w:vAlign w:val="center"/>
          </w:tcPr>
          <w:p w:rsidR="00471626" w:rsidRDefault="00471626" w:rsidP="004D1209">
            <w:pPr>
              <w:pStyle w:val="142"/>
              <w:jc w:val="center"/>
              <w:rPr>
                <w:b/>
                <w:bCs/>
              </w:rPr>
            </w:pPr>
            <w:r>
              <w:rPr>
                <w:rFonts w:hint="eastAsia"/>
                <w:b/>
                <w:bCs/>
              </w:rPr>
              <w:t>全國房屋投保比率</w:t>
            </w:r>
          </w:p>
          <w:p w:rsidR="00471626" w:rsidRPr="008A468A" w:rsidRDefault="00471626" w:rsidP="004D1209">
            <w:pPr>
              <w:pStyle w:val="142"/>
              <w:jc w:val="center"/>
              <w:rPr>
                <w:b/>
                <w:bCs/>
              </w:rPr>
            </w:pPr>
            <w:r>
              <w:rPr>
                <w:rFonts w:hint="eastAsia"/>
                <w:b/>
                <w:bCs/>
              </w:rPr>
              <w:t>(詳說明)</w:t>
            </w:r>
          </w:p>
        </w:tc>
        <w:tc>
          <w:tcPr>
            <w:tcW w:w="1134" w:type="dxa"/>
            <w:vAlign w:val="center"/>
          </w:tcPr>
          <w:p w:rsidR="00471626" w:rsidRDefault="00471626" w:rsidP="004D1209">
            <w:pPr>
              <w:pStyle w:val="142"/>
              <w:jc w:val="center"/>
              <w:rPr>
                <w:b/>
                <w:bCs/>
              </w:rPr>
            </w:pPr>
            <w:r>
              <w:rPr>
                <w:rFonts w:hint="eastAsia"/>
                <w:b/>
                <w:bCs/>
              </w:rPr>
              <w:t>貸款戶</w:t>
            </w:r>
          </w:p>
          <w:p w:rsidR="00471626" w:rsidRDefault="00471626" w:rsidP="004D1209">
            <w:pPr>
              <w:pStyle w:val="142"/>
              <w:jc w:val="center"/>
              <w:rPr>
                <w:b/>
                <w:bCs/>
              </w:rPr>
            </w:pPr>
            <w:r>
              <w:rPr>
                <w:rFonts w:hint="eastAsia"/>
                <w:b/>
                <w:bCs/>
              </w:rPr>
              <w:t>件數比率</w:t>
            </w:r>
          </w:p>
          <w:p w:rsidR="00471626" w:rsidRDefault="00471626" w:rsidP="004D1209">
            <w:pPr>
              <w:pStyle w:val="142"/>
              <w:jc w:val="center"/>
              <w:rPr>
                <w:b/>
                <w:bCs/>
              </w:rPr>
            </w:pPr>
            <w:r>
              <w:rPr>
                <w:rFonts w:hint="eastAsia"/>
                <w:b/>
                <w:bCs/>
              </w:rPr>
              <w:t>(詳說明)</w:t>
            </w:r>
          </w:p>
        </w:tc>
        <w:tc>
          <w:tcPr>
            <w:tcW w:w="2133" w:type="dxa"/>
            <w:shd w:val="clear" w:color="auto" w:fill="auto"/>
            <w:vAlign w:val="center"/>
          </w:tcPr>
          <w:p w:rsidR="00471626" w:rsidRDefault="00471626" w:rsidP="004D1209">
            <w:pPr>
              <w:pStyle w:val="142"/>
              <w:jc w:val="center"/>
              <w:rPr>
                <w:b/>
                <w:bCs/>
              </w:rPr>
            </w:pPr>
            <w:r>
              <w:rPr>
                <w:rFonts w:hint="eastAsia"/>
                <w:b/>
                <w:bCs/>
              </w:rPr>
              <w:t>簽單件數</w:t>
            </w:r>
          </w:p>
          <w:p w:rsidR="00471626" w:rsidRPr="008A468A" w:rsidRDefault="00471626" w:rsidP="004D1209">
            <w:pPr>
              <w:pStyle w:val="142"/>
              <w:jc w:val="center"/>
              <w:rPr>
                <w:b/>
                <w:bCs/>
              </w:rPr>
            </w:pPr>
            <w:r>
              <w:rPr>
                <w:rFonts w:hint="eastAsia"/>
                <w:b/>
                <w:bCs/>
              </w:rPr>
              <w:t>(B)</w:t>
            </w:r>
          </w:p>
        </w:tc>
        <w:tc>
          <w:tcPr>
            <w:tcW w:w="1836" w:type="dxa"/>
            <w:vAlign w:val="center"/>
          </w:tcPr>
          <w:p w:rsidR="00471626" w:rsidRDefault="00471626" w:rsidP="004D1209">
            <w:pPr>
              <w:pStyle w:val="142"/>
              <w:jc w:val="center"/>
              <w:rPr>
                <w:b/>
                <w:bCs/>
              </w:rPr>
            </w:pPr>
            <w:r>
              <w:rPr>
                <w:rFonts w:hint="eastAsia"/>
                <w:b/>
                <w:bCs/>
              </w:rPr>
              <w:t>占比</w:t>
            </w:r>
          </w:p>
          <w:p w:rsidR="00471626" w:rsidRPr="008A468A" w:rsidRDefault="00471626" w:rsidP="004D1209">
            <w:pPr>
              <w:pStyle w:val="142"/>
              <w:jc w:val="center"/>
              <w:rPr>
                <w:b/>
                <w:bCs/>
              </w:rPr>
            </w:pPr>
            <w:r>
              <w:rPr>
                <w:rFonts w:hint="eastAsia"/>
                <w:b/>
                <w:bCs/>
              </w:rPr>
              <w:t>(B)/(A)</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lastRenderedPageBreak/>
              <w:t>110年度</w:t>
            </w:r>
          </w:p>
        </w:tc>
        <w:tc>
          <w:tcPr>
            <w:tcW w:w="1417" w:type="dxa"/>
            <w:shd w:val="clear" w:color="auto" w:fill="auto"/>
            <w:noWrap/>
            <w:vAlign w:val="center"/>
          </w:tcPr>
          <w:p w:rsidR="00471626" w:rsidRPr="00A73D18" w:rsidRDefault="00471626" w:rsidP="004D1209">
            <w:pPr>
              <w:pStyle w:val="142"/>
              <w:jc w:val="right"/>
            </w:pPr>
            <w:r w:rsidRPr="00DB6716">
              <w:t>3,480,606</w:t>
            </w:r>
          </w:p>
        </w:tc>
        <w:tc>
          <w:tcPr>
            <w:tcW w:w="1192" w:type="dxa"/>
            <w:vAlign w:val="center"/>
          </w:tcPr>
          <w:p w:rsidR="00471626" w:rsidRPr="00A73D18" w:rsidRDefault="00471626" w:rsidP="004D1209">
            <w:pPr>
              <w:pStyle w:val="142"/>
              <w:jc w:val="right"/>
            </w:pPr>
            <w:r w:rsidRPr="00DB6716">
              <w:t>36.88</w:t>
            </w:r>
          </w:p>
        </w:tc>
        <w:tc>
          <w:tcPr>
            <w:tcW w:w="1134" w:type="dxa"/>
            <w:vAlign w:val="center"/>
          </w:tcPr>
          <w:p w:rsidR="00471626" w:rsidRPr="00A73D18" w:rsidRDefault="00471626" w:rsidP="004D1209">
            <w:pPr>
              <w:pStyle w:val="142"/>
              <w:jc w:val="right"/>
            </w:pPr>
            <w:r w:rsidRPr="00DB6716">
              <w:t>89.15</w:t>
            </w:r>
          </w:p>
        </w:tc>
        <w:tc>
          <w:tcPr>
            <w:tcW w:w="2133" w:type="dxa"/>
            <w:shd w:val="clear" w:color="auto" w:fill="auto"/>
            <w:noWrap/>
            <w:vAlign w:val="center"/>
          </w:tcPr>
          <w:p w:rsidR="00471626" w:rsidRPr="00A73D18" w:rsidRDefault="00471626" w:rsidP="004D1209">
            <w:pPr>
              <w:pStyle w:val="142"/>
              <w:jc w:val="right"/>
            </w:pPr>
            <w:r w:rsidRPr="00DB6716">
              <w:t>6,487</w:t>
            </w:r>
          </w:p>
        </w:tc>
        <w:tc>
          <w:tcPr>
            <w:tcW w:w="1836" w:type="dxa"/>
            <w:vAlign w:val="center"/>
          </w:tcPr>
          <w:p w:rsidR="00471626" w:rsidRPr="00A73D18" w:rsidRDefault="00471626" w:rsidP="004D1209">
            <w:pPr>
              <w:pStyle w:val="142"/>
              <w:jc w:val="right"/>
            </w:pPr>
            <w:r w:rsidRPr="00DB6716">
              <w:t>0.19</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111年度</w:t>
            </w:r>
          </w:p>
        </w:tc>
        <w:tc>
          <w:tcPr>
            <w:tcW w:w="1417" w:type="dxa"/>
            <w:shd w:val="clear" w:color="auto" w:fill="auto"/>
            <w:noWrap/>
            <w:vAlign w:val="center"/>
          </w:tcPr>
          <w:p w:rsidR="00471626" w:rsidRPr="00A73D18" w:rsidRDefault="00471626" w:rsidP="004D1209">
            <w:pPr>
              <w:pStyle w:val="142"/>
              <w:jc w:val="right"/>
            </w:pPr>
            <w:r w:rsidRPr="00DB6716">
              <w:t>3,581,398</w:t>
            </w:r>
          </w:p>
        </w:tc>
        <w:tc>
          <w:tcPr>
            <w:tcW w:w="1192" w:type="dxa"/>
            <w:vAlign w:val="center"/>
          </w:tcPr>
          <w:p w:rsidR="00471626" w:rsidRPr="00A73D18" w:rsidRDefault="00471626" w:rsidP="004D1209">
            <w:pPr>
              <w:pStyle w:val="142"/>
              <w:jc w:val="right"/>
            </w:pPr>
            <w:r w:rsidRPr="00DB6716">
              <w:t>37.46</w:t>
            </w:r>
          </w:p>
        </w:tc>
        <w:tc>
          <w:tcPr>
            <w:tcW w:w="1134" w:type="dxa"/>
            <w:vAlign w:val="center"/>
          </w:tcPr>
          <w:p w:rsidR="00471626" w:rsidRPr="00A73D18" w:rsidRDefault="00471626" w:rsidP="004D1209">
            <w:pPr>
              <w:pStyle w:val="142"/>
              <w:jc w:val="right"/>
            </w:pPr>
            <w:r w:rsidRPr="00DB6716">
              <w:t>88.44</w:t>
            </w:r>
          </w:p>
        </w:tc>
        <w:tc>
          <w:tcPr>
            <w:tcW w:w="2133" w:type="dxa"/>
            <w:shd w:val="clear" w:color="auto" w:fill="auto"/>
            <w:noWrap/>
            <w:vAlign w:val="center"/>
          </w:tcPr>
          <w:p w:rsidR="00471626" w:rsidRPr="00A73D18" w:rsidRDefault="00471626" w:rsidP="004D1209">
            <w:pPr>
              <w:pStyle w:val="142"/>
              <w:jc w:val="right"/>
            </w:pPr>
            <w:r w:rsidRPr="00DB6716">
              <w:t>6,380</w:t>
            </w:r>
          </w:p>
        </w:tc>
        <w:tc>
          <w:tcPr>
            <w:tcW w:w="1836" w:type="dxa"/>
            <w:vAlign w:val="center"/>
          </w:tcPr>
          <w:p w:rsidR="00471626" w:rsidRPr="00A73D18" w:rsidRDefault="00471626" w:rsidP="004D1209">
            <w:pPr>
              <w:pStyle w:val="142"/>
              <w:jc w:val="right"/>
            </w:pPr>
            <w:r w:rsidRPr="00DB6716">
              <w:t>0.18</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112年度</w:t>
            </w:r>
          </w:p>
        </w:tc>
        <w:tc>
          <w:tcPr>
            <w:tcW w:w="1417" w:type="dxa"/>
            <w:shd w:val="clear" w:color="auto" w:fill="auto"/>
            <w:noWrap/>
            <w:vAlign w:val="center"/>
          </w:tcPr>
          <w:p w:rsidR="00471626" w:rsidRPr="00A73D18" w:rsidRDefault="00471626" w:rsidP="004D1209">
            <w:pPr>
              <w:pStyle w:val="142"/>
              <w:jc w:val="right"/>
            </w:pPr>
            <w:r w:rsidRPr="00DB6716">
              <w:t>3,635,127</w:t>
            </w:r>
          </w:p>
        </w:tc>
        <w:tc>
          <w:tcPr>
            <w:tcW w:w="1192" w:type="dxa"/>
            <w:vAlign w:val="center"/>
          </w:tcPr>
          <w:p w:rsidR="00471626" w:rsidRPr="00A73D18" w:rsidRDefault="00471626" w:rsidP="004D1209">
            <w:pPr>
              <w:pStyle w:val="142"/>
              <w:jc w:val="right"/>
            </w:pPr>
            <w:r w:rsidRPr="00DB6716">
              <w:t>37.85</w:t>
            </w:r>
          </w:p>
        </w:tc>
        <w:tc>
          <w:tcPr>
            <w:tcW w:w="1134" w:type="dxa"/>
            <w:vAlign w:val="center"/>
          </w:tcPr>
          <w:p w:rsidR="00471626" w:rsidRPr="00A73D18" w:rsidRDefault="00471626" w:rsidP="004D1209">
            <w:pPr>
              <w:pStyle w:val="142"/>
              <w:jc w:val="right"/>
            </w:pPr>
            <w:r w:rsidRPr="00DB6716">
              <w:t>87.82</w:t>
            </w:r>
          </w:p>
        </w:tc>
        <w:tc>
          <w:tcPr>
            <w:tcW w:w="2133" w:type="dxa"/>
            <w:shd w:val="clear" w:color="auto" w:fill="auto"/>
            <w:noWrap/>
            <w:vAlign w:val="center"/>
          </w:tcPr>
          <w:p w:rsidR="00471626" w:rsidRPr="00A73D18" w:rsidRDefault="00471626" w:rsidP="004D1209">
            <w:pPr>
              <w:pStyle w:val="142"/>
              <w:jc w:val="right"/>
            </w:pPr>
            <w:r w:rsidRPr="00DB6716">
              <w:t>8,039</w:t>
            </w:r>
          </w:p>
        </w:tc>
        <w:tc>
          <w:tcPr>
            <w:tcW w:w="1836" w:type="dxa"/>
            <w:vAlign w:val="center"/>
          </w:tcPr>
          <w:p w:rsidR="00471626" w:rsidRPr="00A73D18" w:rsidRDefault="00471626" w:rsidP="004D1209">
            <w:pPr>
              <w:pStyle w:val="142"/>
              <w:jc w:val="right"/>
            </w:pPr>
            <w:r w:rsidRPr="00DB6716">
              <w:t>0.22</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113年度</w:t>
            </w:r>
          </w:p>
        </w:tc>
        <w:tc>
          <w:tcPr>
            <w:tcW w:w="1417" w:type="dxa"/>
            <w:shd w:val="clear" w:color="auto" w:fill="auto"/>
            <w:noWrap/>
            <w:vAlign w:val="center"/>
          </w:tcPr>
          <w:p w:rsidR="00471626" w:rsidRPr="00A73D18" w:rsidRDefault="00471626" w:rsidP="004D1209">
            <w:pPr>
              <w:pStyle w:val="142"/>
              <w:jc w:val="right"/>
            </w:pPr>
            <w:r w:rsidRPr="00DB6716">
              <w:t>3,837,387</w:t>
            </w:r>
          </w:p>
        </w:tc>
        <w:tc>
          <w:tcPr>
            <w:tcW w:w="1192" w:type="dxa"/>
            <w:vAlign w:val="center"/>
          </w:tcPr>
          <w:p w:rsidR="00471626" w:rsidRPr="00A73D18" w:rsidRDefault="00471626" w:rsidP="004D1209">
            <w:pPr>
              <w:pStyle w:val="142"/>
              <w:jc w:val="right"/>
            </w:pPr>
            <w:r w:rsidRPr="00DB6716">
              <w:t>38.89</w:t>
            </w:r>
          </w:p>
        </w:tc>
        <w:tc>
          <w:tcPr>
            <w:tcW w:w="1134" w:type="dxa"/>
            <w:vAlign w:val="center"/>
          </w:tcPr>
          <w:p w:rsidR="00471626" w:rsidRPr="00A73D18" w:rsidRDefault="00471626" w:rsidP="004D1209">
            <w:pPr>
              <w:pStyle w:val="142"/>
              <w:jc w:val="right"/>
            </w:pPr>
            <w:r w:rsidRPr="00DB6716">
              <w:t>86.68</w:t>
            </w:r>
          </w:p>
        </w:tc>
        <w:tc>
          <w:tcPr>
            <w:tcW w:w="2133" w:type="dxa"/>
            <w:shd w:val="clear" w:color="auto" w:fill="auto"/>
            <w:noWrap/>
            <w:vAlign w:val="center"/>
          </w:tcPr>
          <w:p w:rsidR="00471626" w:rsidRPr="00A73D18" w:rsidRDefault="00471626" w:rsidP="004D1209">
            <w:pPr>
              <w:pStyle w:val="142"/>
              <w:jc w:val="right"/>
            </w:pPr>
            <w:r w:rsidRPr="00DB6716">
              <w:t>13,499</w:t>
            </w:r>
          </w:p>
        </w:tc>
        <w:tc>
          <w:tcPr>
            <w:tcW w:w="1836" w:type="dxa"/>
            <w:vAlign w:val="center"/>
          </w:tcPr>
          <w:p w:rsidR="00471626" w:rsidRPr="00A73D18" w:rsidRDefault="00471626" w:rsidP="004D1209">
            <w:pPr>
              <w:pStyle w:val="142"/>
              <w:jc w:val="right"/>
            </w:pPr>
            <w:r w:rsidRPr="00DB6716">
              <w:t>0.35</w:t>
            </w:r>
          </w:p>
        </w:tc>
      </w:tr>
    </w:tbl>
    <w:p w:rsidR="00471626" w:rsidRPr="000656B3" w:rsidRDefault="00471626" w:rsidP="004D1209">
      <w:pPr>
        <w:pStyle w:val="142"/>
        <w:ind w:leftChars="-101" w:left="930" w:rightChars="-100" w:right="-283" w:hangingChars="500" w:hanging="1216"/>
        <w:jc w:val="both"/>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Pr>
          <w:rFonts w:ascii="Times New Roman" w:hint="eastAsia"/>
          <w:snapToGrid/>
          <w:szCs w:val="24"/>
        </w:rPr>
        <w:t>經洽保險局表示，有關住宅火災保險尚無全國房屋投保率及貸款戶件數等資料，考量政府自</w:t>
      </w:r>
      <w:r>
        <w:rPr>
          <w:rFonts w:ascii="Times New Roman" w:hint="eastAsia"/>
          <w:snapToGrid/>
          <w:szCs w:val="24"/>
        </w:rPr>
        <w:t>91</w:t>
      </w:r>
      <w:r>
        <w:rPr>
          <w:rFonts w:ascii="Times New Roman" w:hint="eastAsia"/>
          <w:snapToGrid/>
          <w:szCs w:val="24"/>
        </w:rPr>
        <w:t>年</w:t>
      </w:r>
      <w:r>
        <w:rPr>
          <w:rFonts w:ascii="Times New Roman" w:hint="eastAsia"/>
          <w:snapToGrid/>
          <w:szCs w:val="24"/>
        </w:rPr>
        <w:t>4</w:t>
      </w:r>
      <w:r>
        <w:rPr>
          <w:rFonts w:ascii="Times New Roman" w:hint="eastAsia"/>
          <w:snapToGrid/>
          <w:szCs w:val="24"/>
        </w:rPr>
        <w:t>月</w:t>
      </w:r>
      <w:r>
        <w:rPr>
          <w:rFonts w:ascii="Times New Roman" w:hint="eastAsia"/>
          <w:snapToGrid/>
          <w:szCs w:val="24"/>
        </w:rPr>
        <w:t>1</w:t>
      </w:r>
      <w:r>
        <w:rPr>
          <w:rFonts w:ascii="Times New Roman" w:hint="eastAsia"/>
          <w:snapToGrid/>
          <w:szCs w:val="24"/>
        </w:rPr>
        <w:t>日起實施住宅火災及地震基本保險制度，即</w:t>
      </w:r>
      <w:r w:rsidRPr="00EA7CA7">
        <w:rPr>
          <w:rFonts w:ascii="Times New Roman" w:hint="eastAsia"/>
          <w:snapToGrid/>
          <w:szCs w:val="24"/>
        </w:rPr>
        <w:t>住宅火災保險單自動涵蓋地震基本保</w:t>
      </w:r>
      <w:r w:rsidRPr="000656B3">
        <w:rPr>
          <w:rFonts w:ascii="Times New Roman" w:hint="eastAsia"/>
          <w:snapToGrid/>
          <w:szCs w:val="24"/>
        </w:rPr>
        <w:t>險，且參考相關期刊亦以住宅地震保險之投保率論述住宅火災保險之投保概況，爰請該局提供</w:t>
      </w:r>
      <w:r>
        <w:rPr>
          <w:rFonts w:ascii="Times New Roman" w:hint="eastAsia"/>
          <w:snapToGrid/>
          <w:szCs w:val="24"/>
        </w:rPr>
        <w:t>住宅</w:t>
      </w:r>
      <w:r w:rsidRPr="000656B3">
        <w:rPr>
          <w:rFonts w:ascii="Times New Roman" w:hint="eastAsia"/>
          <w:snapToGrid/>
          <w:szCs w:val="24"/>
        </w:rPr>
        <w:t>地震保險之投保率及貸款戶件數以大致了解住宅火災保險之投保概況</w:t>
      </w:r>
      <w:r>
        <w:rPr>
          <w:rFonts w:ascii="Times New Roman" w:hint="eastAsia"/>
          <w:snapToGrid/>
          <w:szCs w:val="24"/>
        </w:rPr>
        <w:t>，據該</w:t>
      </w:r>
      <w:r w:rsidRPr="000656B3">
        <w:rPr>
          <w:rFonts w:ascii="Times New Roman" w:hint="eastAsia"/>
          <w:snapToGrid/>
          <w:szCs w:val="24"/>
        </w:rPr>
        <w:t>局提供資料</w:t>
      </w:r>
      <w:r>
        <w:rPr>
          <w:rFonts w:ascii="Times New Roman" w:hint="eastAsia"/>
          <w:snapToGrid/>
          <w:szCs w:val="24"/>
        </w:rPr>
        <w:t>顯示</w:t>
      </w:r>
      <w:r w:rsidRPr="000656B3">
        <w:rPr>
          <w:rFonts w:ascii="Times New Roman" w:hint="eastAsia"/>
          <w:snapToGrid/>
          <w:szCs w:val="24"/>
        </w:rPr>
        <w:t>，該</w:t>
      </w:r>
      <w:r w:rsidRPr="000656B3">
        <w:rPr>
          <w:rFonts w:ascii="Times New Roman" w:hint="eastAsia"/>
          <w:snapToGrid/>
          <w:szCs w:val="24"/>
        </w:rPr>
        <w:t>2</w:t>
      </w:r>
      <w:r w:rsidRPr="000656B3">
        <w:rPr>
          <w:rFonts w:ascii="Times New Roman" w:hint="eastAsia"/>
          <w:snapToGrid/>
          <w:szCs w:val="24"/>
        </w:rPr>
        <w:t>類保險於</w:t>
      </w:r>
      <w:r w:rsidRPr="000656B3">
        <w:rPr>
          <w:rFonts w:ascii="Times New Roman" w:hint="eastAsia"/>
          <w:snapToGrid/>
          <w:szCs w:val="24"/>
        </w:rPr>
        <w:t>110</w:t>
      </w:r>
      <w:r w:rsidRPr="000656B3">
        <w:rPr>
          <w:rFonts w:ascii="Times New Roman" w:hint="eastAsia"/>
          <w:snapToGrid/>
          <w:szCs w:val="24"/>
        </w:rPr>
        <w:t>至</w:t>
      </w:r>
      <w:r w:rsidRPr="000656B3">
        <w:rPr>
          <w:rFonts w:ascii="Times New Roman" w:hint="eastAsia"/>
          <w:snapToGrid/>
          <w:szCs w:val="24"/>
        </w:rPr>
        <w:t>113</w:t>
      </w:r>
      <w:r w:rsidRPr="000656B3">
        <w:rPr>
          <w:rFonts w:ascii="Times New Roman" w:hint="eastAsia"/>
          <w:snapToGrid/>
          <w:szCs w:val="24"/>
        </w:rPr>
        <w:t>年度總簽單件數</w:t>
      </w:r>
      <w:r>
        <w:rPr>
          <w:rFonts w:ascii="Times New Roman" w:hint="eastAsia"/>
          <w:snapToGrid/>
          <w:szCs w:val="24"/>
        </w:rPr>
        <w:t>之</w:t>
      </w:r>
      <w:r w:rsidRPr="000656B3">
        <w:rPr>
          <w:rFonts w:ascii="Times New Roman" w:hint="eastAsia"/>
          <w:snapToGrid/>
          <w:szCs w:val="24"/>
        </w:rPr>
        <w:t>差距僅介於</w:t>
      </w:r>
      <w:r w:rsidRPr="000656B3">
        <w:rPr>
          <w:rFonts w:ascii="Times New Roman" w:hint="eastAsia"/>
          <w:snapToGrid/>
          <w:szCs w:val="24"/>
        </w:rPr>
        <w:t>0.12%</w:t>
      </w:r>
      <w:r w:rsidRPr="000656B3">
        <w:rPr>
          <w:rFonts w:ascii="Times New Roman" w:hint="eastAsia"/>
          <w:snapToGrid/>
          <w:szCs w:val="24"/>
        </w:rPr>
        <w:t>至</w:t>
      </w:r>
      <w:r w:rsidRPr="000656B3">
        <w:rPr>
          <w:rFonts w:ascii="Times New Roman" w:hint="eastAsia"/>
          <w:snapToGrid/>
          <w:szCs w:val="24"/>
        </w:rPr>
        <w:t>1.07%</w:t>
      </w:r>
      <w:r>
        <w:rPr>
          <w:rFonts w:ascii="Times New Roman" w:hint="eastAsia"/>
          <w:snapToGrid/>
          <w:szCs w:val="24"/>
        </w:rPr>
        <w:t>間</w:t>
      </w:r>
      <w:r w:rsidRPr="000656B3">
        <w:rPr>
          <w:rFonts w:ascii="Times New Roman" w:hint="eastAsia"/>
          <w:snapToGrid/>
          <w:szCs w:val="24"/>
        </w:rPr>
        <w:t>。</w:t>
      </w:r>
    </w:p>
    <w:p w:rsidR="00471626" w:rsidRDefault="00471626" w:rsidP="004D1209">
      <w:pPr>
        <w:pStyle w:val="142"/>
        <w:ind w:leftChars="-101" w:left="930"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：金管會保險局提供及交通部網站</w:t>
      </w:r>
      <w:r w:rsidRPr="00B41C6D">
        <w:rPr>
          <w:szCs w:val="24"/>
        </w:rPr>
        <w:t>https://www.motc.gov.tw/ch/index(最後瀏覽日：114</w:t>
      </w:r>
      <w:r>
        <w:rPr>
          <w:rFonts w:hint="eastAsia"/>
          <w:szCs w:val="24"/>
        </w:rPr>
        <w:t>年8月15日)</w:t>
      </w:r>
      <w:r w:rsidRPr="00CA261A">
        <w:rPr>
          <w:rFonts w:ascii="Times New Roman" w:hint="eastAsia"/>
          <w:snapToGrid/>
          <w:szCs w:val="24"/>
        </w:rPr>
        <w:t>。</w:t>
      </w:r>
    </w:p>
    <w:p w:rsidR="00471626" w:rsidRDefault="00471626" w:rsidP="004D1209">
      <w:pPr>
        <w:pStyle w:val="142"/>
        <w:spacing w:line="500" w:lineRule="exact"/>
        <w:ind w:leftChars="-50" w:left="-142" w:rightChars="-301" w:right="-852"/>
        <w:rPr>
          <w:snapToGrid/>
        </w:rPr>
      </w:pPr>
      <w:r>
        <w:rPr>
          <w:rFonts w:hint="eastAsia"/>
          <w:b/>
          <w:sz w:val="28"/>
        </w:rPr>
        <w:t>表4  110至113年</w:t>
      </w:r>
      <w:r w:rsidRPr="000B3E75">
        <w:rPr>
          <w:rFonts w:hint="eastAsia"/>
          <w:b/>
          <w:sz w:val="28"/>
        </w:rPr>
        <w:t>度</w:t>
      </w:r>
      <w:r>
        <w:rPr>
          <w:rFonts w:hint="eastAsia"/>
          <w:b/>
          <w:sz w:val="28"/>
        </w:rPr>
        <w:t xml:space="preserve">機動車輛附加颱風、洪水險概況表 </w:t>
      </w:r>
      <w:r w:rsidRPr="005E55E3">
        <w:rPr>
          <w:rFonts w:hint="eastAsia"/>
          <w:snapToGrid/>
          <w:szCs w:val="24"/>
        </w:rPr>
        <w:t>單位：</w:t>
      </w:r>
      <w:r>
        <w:rPr>
          <w:rFonts w:hint="eastAsia"/>
          <w:snapToGrid/>
          <w:szCs w:val="24"/>
        </w:rPr>
        <w:t>輛；件；%</w:t>
      </w:r>
      <w:r>
        <w:rPr>
          <w:rFonts w:hint="eastAsia"/>
          <w:snapToGrid/>
        </w:rPr>
        <w:t xml:space="preserve"> </w:t>
      </w:r>
    </w:p>
    <w:tbl>
      <w:tblPr>
        <w:tblW w:w="8874"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4A0" w:firstRow="1" w:lastRow="0" w:firstColumn="1" w:lastColumn="0" w:noHBand="0" w:noVBand="1"/>
      </w:tblPr>
      <w:tblGrid>
        <w:gridCol w:w="1219"/>
        <w:gridCol w:w="1417"/>
        <w:gridCol w:w="1418"/>
        <w:gridCol w:w="1205"/>
        <w:gridCol w:w="1205"/>
        <w:gridCol w:w="1205"/>
        <w:gridCol w:w="1205"/>
      </w:tblGrid>
      <w:tr w:rsidR="00471626" w:rsidRPr="00A73D18" w:rsidTr="004D1209">
        <w:trPr>
          <w:trHeight w:val="340"/>
          <w:tblHeader/>
        </w:trPr>
        <w:tc>
          <w:tcPr>
            <w:tcW w:w="1219" w:type="dxa"/>
            <w:vMerge w:val="restart"/>
            <w:tcBorders>
              <w:top w:val="single" w:sz="12" w:space="0" w:color="000000"/>
              <w:bottom w:val="single" w:sz="6" w:space="0" w:color="000000"/>
              <w:tl2br w:val="single" w:sz="6" w:space="0" w:color="000000"/>
            </w:tcBorders>
            <w:shd w:val="clear" w:color="auto" w:fill="auto"/>
            <w:vAlign w:val="center"/>
            <w:hideMark/>
          </w:tcPr>
          <w:p w:rsidR="00471626" w:rsidRPr="008A468A" w:rsidRDefault="00471626" w:rsidP="004D1209">
            <w:pPr>
              <w:pStyle w:val="142"/>
              <w:jc w:val="both"/>
              <w:rPr>
                <w:b/>
                <w:bCs/>
              </w:rPr>
            </w:pPr>
            <w:r>
              <w:rPr>
                <w:rFonts w:hint="eastAsia"/>
                <w:b/>
                <w:bCs/>
              </w:rPr>
              <w:t xml:space="preserve">    項</w:t>
            </w:r>
            <w:r w:rsidRPr="008A468A">
              <w:rPr>
                <w:rFonts w:hint="eastAsia"/>
                <w:b/>
                <w:bCs/>
              </w:rPr>
              <w:t>目</w:t>
            </w:r>
          </w:p>
          <w:p w:rsidR="00471626" w:rsidRDefault="00471626" w:rsidP="004D1209">
            <w:pPr>
              <w:pStyle w:val="142"/>
              <w:jc w:val="both"/>
              <w:rPr>
                <w:b/>
                <w:bCs/>
              </w:rPr>
            </w:pPr>
          </w:p>
          <w:p w:rsidR="00471626" w:rsidRPr="008A468A" w:rsidRDefault="00471626" w:rsidP="004D1209">
            <w:pPr>
              <w:pStyle w:val="142"/>
              <w:jc w:val="both"/>
              <w:rPr>
                <w:b/>
                <w:bCs/>
              </w:rPr>
            </w:pPr>
            <w:r w:rsidRPr="008A468A">
              <w:rPr>
                <w:rFonts w:hint="eastAsia"/>
                <w:b/>
                <w:bCs/>
              </w:rPr>
              <w:t>年度</w:t>
            </w:r>
          </w:p>
        </w:tc>
        <w:tc>
          <w:tcPr>
            <w:tcW w:w="2835" w:type="dxa"/>
            <w:gridSpan w:val="2"/>
            <w:shd w:val="clear" w:color="auto" w:fill="auto"/>
            <w:noWrap/>
            <w:vAlign w:val="center"/>
          </w:tcPr>
          <w:p w:rsidR="00471626" w:rsidRPr="008A468A" w:rsidRDefault="00471626" w:rsidP="004D1209">
            <w:pPr>
              <w:pStyle w:val="142"/>
              <w:jc w:val="center"/>
              <w:rPr>
                <w:b/>
                <w:bCs/>
              </w:rPr>
            </w:pPr>
            <w:r w:rsidRPr="008A468A">
              <w:rPr>
                <w:rFonts w:hint="eastAsia"/>
                <w:b/>
                <w:bCs/>
              </w:rPr>
              <w:t>交通部機動車輛登記數</w:t>
            </w:r>
          </w:p>
        </w:tc>
        <w:tc>
          <w:tcPr>
            <w:tcW w:w="4820" w:type="dxa"/>
            <w:gridSpan w:val="4"/>
            <w:shd w:val="clear" w:color="auto" w:fill="auto"/>
            <w:vAlign w:val="center"/>
          </w:tcPr>
          <w:p w:rsidR="00471626" w:rsidRPr="008A468A" w:rsidRDefault="00471626" w:rsidP="004D1209">
            <w:pPr>
              <w:pStyle w:val="142"/>
              <w:jc w:val="center"/>
              <w:rPr>
                <w:b/>
                <w:bCs/>
              </w:rPr>
            </w:pPr>
            <w:r w:rsidRPr="008A468A">
              <w:rPr>
                <w:rFonts w:hint="eastAsia"/>
                <w:b/>
                <w:bCs/>
              </w:rPr>
              <w:t>附加投保颱風、洪水險</w:t>
            </w:r>
            <w:r>
              <w:rPr>
                <w:rFonts w:hint="eastAsia"/>
                <w:b/>
                <w:bCs/>
              </w:rPr>
              <w:t>(詳說明)</w:t>
            </w:r>
          </w:p>
        </w:tc>
      </w:tr>
      <w:tr w:rsidR="00471626" w:rsidRPr="00A73D18" w:rsidTr="004D1209">
        <w:trPr>
          <w:trHeight w:val="340"/>
          <w:tblHeader/>
        </w:trPr>
        <w:tc>
          <w:tcPr>
            <w:tcW w:w="1219" w:type="dxa"/>
            <w:vMerge/>
            <w:tcBorders>
              <w:top w:val="single" w:sz="6" w:space="0" w:color="000000"/>
              <w:bottom w:val="single" w:sz="6" w:space="0" w:color="000000"/>
              <w:tl2br w:val="single" w:sz="6" w:space="0" w:color="000000"/>
            </w:tcBorders>
            <w:shd w:val="clear" w:color="auto" w:fill="auto"/>
            <w:vAlign w:val="center"/>
          </w:tcPr>
          <w:p w:rsidR="00471626" w:rsidRPr="008A468A" w:rsidRDefault="00471626" w:rsidP="004D1209">
            <w:pPr>
              <w:pStyle w:val="142"/>
              <w:rPr>
                <w:b/>
                <w:bCs/>
              </w:rPr>
            </w:pPr>
          </w:p>
        </w:tc>
        <w:tc>
          <w:tcPr>
            <w:tcW w:w="1417" w:type="dxa"/>
            <w:shd w:val="clear" w:color="auto" w:fill="auto"/>
            <w:noWrap/>
            <w:vAlign w:val="center"/>
          </w:tcPr>
          <w:p w:rsidR="00471626" w:rsidRDefault="00471626" w:rsidP="004D1209">
            <w:pPr>
              <w:pStyle w:val="142"/>
              <w:jc w:val="center"/>
              <w:rPr>
                <w:b/>
                <w:bCs/>
              </w:rPr>
            </w:pPr>
            <w:r>
              <w:rPr>
                <w:rFonts w:hint="eastAsia"/>
                <w:b/>
                <w:bCs/>
              </w:rPr>
              <w:t>汽車</w:t>
            </w:r>
          </w:p>
          <w:p w:rsidR="00471626" w:rsidRPr="008A468A" w:rsidRDefault="00471626" w:rsidP="004D1209">
            <w:pPr>
              <w:pStyle w:val="142"/>
              <w:jc w:val="center"/>
              <w:rPr>
                <w:b/>
                <w:bCs/>
              </w:rPr>
            </w:pPr>
            <w:r>
              <w:rPr>
                <w:rFonts w:hint="eastAsia"/>
                <w:b/>
                <w:bCs/>
              </w:rPr>
              <w:t>(A)</w:t>
            </w:r>
          </w:p>
        </w:tc>
        <w:tc>
          <w:tcPr>
            <w:tcW w:w="1418" w:type="dxa"/>
            <w:shd w:val="clear" w:color="auto" w:fill="auto"/>
            <w:vAlign w:val="center"/>
          </w:tcPr>
          <w:p w:rsidR="00471626" w:rsidRDefault="00471626" w:rsidP="004D1209">
            <w:pPr>
              <w:pStyle w:val="142"/>
              <w:jc w:val="center"/>
              <w:rPr>
                <w:b/>
                <w:bCs/>
              </w:rPr>
            </w:pPr>
            <w:r>
              <w:rPr>
                <w:rFonts w:hint="eastAsia"/>
                <w:b/>
                <w:bCs/>
              </w:rPr>
              <w:t>機車</w:t>
            </w:r>
          </w:p>
          <w:p w:rsidR="00471626" w:rsidRPr="008A468A" w:rsidRDefault="00471626" w:rsidP="004D1209">
            <w:pPr>
              <w:pStyle w:val="142"/>
              <w:jc w:val="center"/>
              <w:rPr>
                <w:b/>
                <w:bCs/>
              </w:rPr>
            </w:pPr>
            <w:r>
              <w:rPr>
                <w:rFonts w:hint="eastAsia"/>
                <w:b/>
                <w:bCs/>
              </w:rPr>
              <w:t>(B)</w:t>
            </w:r>
          </w:p>
        </w:tc>
        <w:tc>
          <w:tcPr>
            <w:tcW w:w="1205" w:type="dxa"/>
            <w:shd w:val="clear" w:color="auto" w:fill="auto"/>
            <w:vAlign w:val="center"/>
          </w:tcPr>
          <w:p w:rsidR="00471626" w:rsidRDefault="00471626" w:rsidP="004D1209">
            <w:pPr>
              <w:pStyle w:val="142"/>
              <w:jc w:val="center"/>
              <w:rPr>
                <w:b/>
                <w:bCs/>
              </w:rPr>
            </w:pPr>
            <w:r>
              <w:rPr>
                <w:rFonts w:hint="eastAsia"/>
                <w:b/>
                <w:bCs/>
              </w:rPr>
              <w:t>汽車</w:t>
            </w:r>
          </w:p>
          <w:p w:rsidR="00471626" w:rsidRPr="008A468A" w:rsidRDefault="00471626" w:rsidP="004D1209">
            <w:pPr>
              <w:pStyle w:val="142"/>
              <w:jc w:val="center"/>
              <w:rPr>
                <w:b/>
                <w:bCs/>
              </w:rPr>
            </w:pPr>
            <w:r>
              <w:rPr>
                <w:rFonts w:hint="eastAsia"/>
                <w:b/>
                <w:bCs/>
              </w:rPr>
              <w:t>(C)</w:t>
            </w:r>
          </w:p>
        </w:tc>
        <w:tc>
          <w:tcPr>
            <w:tcW w:w="1205" w:type="dxa"/>
            <w:shd w:val="clear" w:color="auto" w:fill="auto"/>
            <w:vAlign w:val="center"/>
          </w:tcPr>
          <w:p w:rsidR="00471626" w:rsidRPr="008A468A" w:rsidRDefault="00471626" w:rsidP="004D1209">
            <w:pPr>
              <w:pStyle w:val="142"/>
              <w:jc w:val="center"/>
              <w:rPr>
                <w:b/>
                <w:bCs/>
              </w:rPr>
            </w:pPr>
            <w:r>
              <w:rPr>
                <w:rFonts w:hint="eastAsia"/>
                <w:b/>
                <w:bCs/>
              </w:rPr>
              <w:t>占比(C)/(A)</w:t>
            </w:r>
          </w:p>
        </w:tc>
        <w:tc>
          <w:tcPr>
            <w:tcW w:w="1205" w:type="dxa"/>
          </w:tcPr>
          <w:p w:rsidR="00471626" w:rsidRDefault="00471626" w:rsidP="004D1209">
            <w:pPr>
              <w:pStyle w:val="142"/>
              <w:jc w:val="center"/>
              <w:rPr>
                <w:b/>
                <w:bCs/>
              </w:rPr>
            </w:pPr>
            <w:r>
              <w:rPr>
                <w:rFonts w:hint="eastAsia"/>
                <w:b/>
                <w:bCs/>
              </w:rPr>
              <w:t>機車</w:t>
            </w:r>
          </w:p>
          <w:p w:rsidR="00471626" w:rsidRPr="008A468A" w:rsidRDefault="00471626" w:rsidP="004D1209">
            <w:pPr>
              <w:pStyle w:val="142"/>
              <w:jc w:val="center"/>
              <w:rPr>
                <w:b/>
                <w:bCs/>
              </w:rPr>
            </w:pPr>
            <w:r>
              <w:rPr>
                <w:rFonts w:hint="eastAsia"/>
                <w:b/>
                <w:bCs/>
              </w:rPr>
              <w:t>(D)</w:t>
            </w:r>
          </w:p>
        </w:tc>
        <w:tc>
          <w:tcPr>
            <w:tcW w:w="1205" w:type="dxa"/>
          </w:tcPr>
          <w:p w:rsidR="00471626" w:rsidRPr="008A468A" w:rsidRDefault="00471626" w:rsidP="004D1209">
            <w:pPr>
              <w:pStyle w:val="142"/>
              <w:jc w:val="center"/>
              <w:rPr>
                <w:b/>
                <w:bCs/>
              </w:rPr>
            </w:pPr>
            <w:r>
              <w:rPr>
                <w:rFonts w:hint="eastAsia"/>
                <w:b/>
                <w:bCs/>
              </w:rPr>
              <w:t>占比(D)/(</w:t>
            </w:r>
            <w:r>
              <w:rPr>
                <w:b/>
                <w:bCs/>
              </w:rPr>
              <w:t>B</w:t>
            </w:r>
            <w:r>
              <w:rPr>
                <w:rFonts w:hint="eastAsia"/>
                <w:b/>
                <w:bCs/>
              </w:rPr>
              <w:t>)</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110年度</w:t>
            </w:r>
          </w:p>
        </w:tc>
        <w:tc>
          <w:tcPr>
            <w:tcW w:w="1417" w:type="dxa"/>
            <w:shd w:val="clear" w:color="auto" w:fill="auto"/>
            <w:noWrap/>
            <w:vAlign w:val="center"/>
          </w:tcPr>
          <w:p w:rsidR="00471626" w:rsidRPr="00A73D18" w:rsidRDefault="00471626" w:rsidP="004D1209">
            <w:pPr>
              <w:pStyle w:val="142"/>
              <w:jc w:val="right"/>
            </w:pPr>
            <w:r w:rsidRPr="00D1196D">
              <w:t>8,330,774</w:t>
            </w:r>
          </w:p>
        </w:tc>
        <w:tc>
          <w:tcPr>
            <w:tcW w:w="1418" w:type="dxa"/>
            <w:vAlign w:val="center"/>
          </w:tcPr>
          <w:p w:rsidR="00471626" w:rsidRPr="00A73D18" w:rsidRDefault="00471626" w:rsidP="004D1209">
            <w:pPr>
              <w:pStyle w:val="142"/>
              <w:jc w:val="right"/>
            </w:pPr>
            <w:r w:rsidRPr="00D1196D">
              <w:t>14,266,920</w:t>
            </w:r>
          </w:p>
        </w:tc>
        <w:tc>
          <w:tcPr>
            <w:tcW w:w="1205" w:type="dxa"/>
            <w:shd w:val="clear" w:color="auto" w:fill="auto"/>
            <w:noWrap/>
            <w:vAlign w:val="center"/>
          </w:tcPr>
          <w:p w:rsidR="00471626" w:rsidRPr="00A73D18" w:rsidRDefault="00471626" w:rsidP="004D1209">
            <w:pPr>
              <w:pStyle w:val="142"/>
              <w:jc w:val="right"/>
            </w:pPr>
            <w:r w:rsidRPr="00D1196D">
              <w:t>44,382</w:t>
            </w:r>
          </w:p>
        </w:tc>
        <w:tc>
          <w:tcPr>
            <w:tcW w:w="1205" w:type="dxa"/>
            <w:vAlign w:val="center"/>
          </w:tcPr>
          <w:p w:rsidR="00471626" w:rsidRPr="00A73D18" w:rsidRDefault="00471626" w:rsidP="004D1209">
            <w:pPr>
              <w:pStyle w:val="142"/>
              <w:jc w:val="right"/>
            </w:pPr>
            <w:r w:rsidRPr="00D1196D">
              <w:t>0.53</w:t>
            </w:r>
          </w:p>
        </w:tc>
        <w:tc>
          <w:tcPr>
            <w:tcW w:w="1205" w:type="dxa"/>
            <w:vAlign w:val="center"/>
          </w:tcPr>
          <w:p w:rsidR="00471626" w:rsidRPr="00A73D18" w:rsidRDefault="00471626" w:rsidP="004D1209">
            <w:pPr>
              <w:pStyle w:val="142"/>
              <w:jc w:val="right"/>
            </w:pPr>
            <w:r w:rsidRPr="00D1196D">
              <w:t>109</w:t>
            </w:r>
          </w:p>
        </w:tc>
        <w:tc>
          <w:tcPr>
            <w:tcW w:w="1205" w:type="dxa"/>
            <w:vAlign w:val="center"/>
          </w:tcPr>
          <w:p w:rsidR="00471626" w:rsidRPr="00A73D18" w:rsidRDefault="00471626" w:rsidP="004D1209">
            <w:pPr>
              <w:pStyle w:val="142"/>
              <w:jc w:val="right"/>
            </w:pPr>
            <w:r w:rsidRPr="00D1196D">
              <w:t>0.00</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111年度</w:t>
            </w:r>
          </w:p>
        </w:tc>
        <w:tc>
          <w:tcPr>
            <w:tcW w:w="1417" w:type="dxa"/>
            <w:shd w:val="clear" w:color="auto" w:fill="auto"/>
            <w:noWrap/>
            <w:vAlign w:val="center"/>
          </w:tcPr>
          <w:p w:rsidR="00471626" w:rsidRPr="00A73D18" w:rsidRDefault="00471626" w:rsidP="004D1209">
            <w:pPr>
              <w:pStyle w:val="142"/>
              <w:jc w:val="right"/>
            </w:pPr>
            <w:r w:rsidRPr="00D1196D">
              <w:t>8,453,420</w:t>
            </w:r>
          </w:p>
        </w:tc>
        <w:tc>
          <w:tcPr>
            <w:tcW w:w="1418" w:type="dxa"/>
            <w:vAlign w:val="center"/>
          </w:tcPr>
          <w:p w:rsidR="00471626" w:rsidRPr="00A73D18" w:rsidRDefault="00471626" w:rsidP="004D1209">
            <w:pPr>
              <w:pStyle w:val="142"/>
              <w:jc w:val="right"/>
            </w:pPr>
            <w:r w:rsidRPr="00D1196D">
              <w:t>14,390,626</w:t>
            </w:r>
          </w:p>
        </w:tc>
        <w:tc>
          <w:tcPr>
            <w:tcW w:w="1205" w:type="dxa"/>
            <w:shd w:val="clear" w:color="auto" w:fill="auto"/>
            <w:noWrap/>
            <w:vAlign w:val="center"/>
          </w:tcPr>
          <w:p w:rsidR="00471626" w:rsidRPr="00A73D18" w:rsidRDefault="00471626" w:rsidP="004D1209">
            <w:pPr>
              <w:pStyle w:val="142"/>
              <w:jc w:val="right"/>
            </w:pPr>
            <w:r w:rsidRPr="00D1196D">
              <w:t>47,554</w:t>
            </w:r>
          </w:p>
        </w:tc>
        <w:tc>
          <w:tcPr>
            <w:tcW w:w="1205" w:type="dxa"/>
            <w:vAlign w:val="center"/>
          </w:tcPr>
          <w:p w:rsidR="00471626" w:rsidRPr="00A73D18" w:rsidRDefault="00471626" w:rsidP="004D1209">
            <w:pPr>
              <w:pStyle w:val="142"/>
              <w:jc w:val="right"/>
            </w:pPr>
            <w:r w:rsidRPr="00D1196D">
              <w:t>0.56</w:t>
            </w:r>
          </w:p>
        </w:tc>
        <w:tc>
          <w:tcPr>
            <w:tcW w:w="1205" w:type="dxa"/>
            <w:vAlign w:val="center"/>
          </w:tcPr>
          <w:p w:rsidR="00471626" w:rsidRPr="00A73D18" w:rsidRDefault="00471626" w:rsidP="004D1209">
            <w:pPr>
              <w:pStyle w:val="142"/>
              <w:jc w:val="right"/>
            </w:pPr>
            <w:r w:rsidRPr="00D1196D">
              <w:t>78</w:t>
            </w:r>
          </w:p>
        </w:tc>
        <w:tc>
          <w:tcPr>
            <w:tcW w:w="1205" w:type="dxa"/>
            <w:vAlign w:val="center"/>
          </w:tcPr>
          <w:p w:rsidR="00471626" w:rsidRPr="00A73D18" w:rsidRDefault="00471626" w:rsidP="004D1209">
            <w:pPr>
              <w:pStyle w:val="142"/>
              <w:jc w:val="right"/>
            </w:pPr>
            <w:r w:rsidRPr="00D1196D">
              <w:t>0.00</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112年度</w:t>
            </w:r>
          </w:p>
        </w:tc>
        <w:tc>
          <w:tcPr>
            <w:tcW w:w="1417" w:type="dxa"/>
            <w:shd w:val="clear" w:color="auto" w:fill="auto"/>
            <w:noWrap/>
            <w:vAlign w:val="center"/>
          </w:tcPr>
          <w:p w:rsidR="00471626" w:rsidRPr="00A73D18" w:rsidRDefault="00471626" w:rsidP="004D1209">
            <w:pPr>
              <w:pStyle w:val="142"/>
              <w:jc w:val="right"/>
            </w:pPr>
            <w:r w:rsidRPr="00D1196D">
              <w:t>8,590,732</w:t>
            </w:r>
          </w:p>
        </w:tc>
        <w:tc>
          <w:tcPr>
            <w:tcW w:w="1418" w:type="dxa"/>
            <w:vAlign w:val="center"/>
          </w:tcPr>
          <w:p w:rsidR="00471626" w:rsidRPr="00A73D18" w:rsidRDefault="00471626" w:rsidP="004D1209">
            <w:pPr>
              <w:pStyle w:val="142"/>
              <w:jc w:val="right"/>
            </w:pPr>
            <w:r w:rsidRPr="00D1196D">
              <w:t>14,545,338</w:t>
            </w:r>
          </w:p>
        </w:tc>
        <w:tc>
          <w:tcPr>
            <w:tcW w:w="1205" w:type="dxa"/>
            <w:shd w:val="clear" w:color="auto" w:fill="auto"/>
            <w:noWrap/>
            <w:vAlign w:val="center"/>
          </w:tcPr>
          <w:p w:rsidR="00471626" w:rsidRPr="00A73D18" w:rsidRDefault="00471626" w:rsidP="004D1209">
            <w:pPr>
              <w:pStyle w:val="142"/>
              <w:jc w:val="right"/>
            </w:pPr>
            <w:r w:rsidRPr="00D1196D">
              <w:t>56,989</w:t>
            </w:r>
          </w:p>
        </w:tc>
        <w:tc>
          <w:tcPr>
            <w:tcW w:w="1205" w:type="dxa"/>
            <w:vAlign w:val="center"/>
          </w:tcPr>
          <w:p w:rsidR="00471626" w:rsidRPr="00A73D18" w:rsidRDefault="00471626" w:rsidP="004D1209">
            <w:pPr>
              <w:pStyle w:val="142"/>
              <w:jc w:val="right"/>
            </w:pPr>
            <w:r w:rsidRPr="00D1196D">
              <w:t>0.66</w:t>
            </w:r>
          </w:p>
        </w:tc>
        <w:tc>
          <w:tcPr>
            <w:tcW w:w="1205" w:type="dxa"/>
            <w:vAlign w:val="center"/>
          </w:tcPr>
          <w:p w:rsidR="00471626" w:rsidRPr="00A73D18" w:rsidRDefault="00471626" w:rsidP="004D1209">
            <w:pPr>
              <w:pStyle w:val="142"/>
              <w:jc w:val="right"/>
            </w:pPr>
            <w:r w:rsidRPr="00D1196D">
              <w:t>108</w:t>
            </w:r>
          </w:p>
        </w:tc>
        <w:tc>
          <w:tcPr>
            <w:tcW w:w="1205" w:type="dxa"/>
            <w:vAlign w:val="center"/>
          </w:tcPr>
          <w:p w:rsidR="00471626" w:rsidRPr="00A73D18" w:rsidRDefault="00471626" w:rsidP="004D1209">
            <w:pPr>
              <w:pStyle w:val="142"/>
              <w:jc w:val="right"/>
            </w:pPr>
            <w:r w:rsidRPr="00D1196D">
              <w:t>0.00</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113年度</w:t>
            </w:r>
          </w:p>
        </w:tc>
        <w:tc>
          <w:tcPr>
            <w:tcW w:w="1417" w:type="dxa"/>
            <w:shd w:val="clear" w:color="auto" w:fill="auto"/>
            <w:noWrap/>
            <w:vAlign w:val="center"/>
          </w:tcPr>
          <w:p w:rsidR="00471626" w:rsidRPr="00A73D18" w:rsidRDefault="00471626" w:rsidP="004D1209">
            <w:pPr>
              <w:pStyle w:val="142"/>
              <w:jc w:val="right"/>
            </w:pPr>
            <w:r w:rsidRPr="00D1196D">
              <w:t>8,679,866</w:t>
            </w:r>
          </w:p>
        </w:tc>
        <w:tc>
          <w:tcPr>
            <w:tcW w:w="1418" w:type="dxa"/>
            <w:vAlign w:val="center"/>
          </w:tcPr>
          <w:p w:rsidR="00471626" w:rsidRPr="00A73D18" w:rsidRDefault="00471626" w:rsidP="004D1209">
            <w:pPr>
              <w:pStyle w:val="142"/>
              <w:jc w:val="right"/>
            </w:pPr>
            <w:r w:rsidRPr="00D1196D">
              <w:t>14,656,084</w:t>
            </w:r>
          </w:p>
        </w:tc>
        <w:tc>
          <w:tcPr>
            <w:tcW w:w="1205" w:type="dxa"/>
            <w:shd w:val="clear" w:color="auto" w:fill="auto"/>
            <w:noWrap/>
            <w:vAlign w:val="center"/>
          </w:tcPr>
          <w:p w:rsidR="00471626" w:rsidRPr="00A73D18" w:rsidRDefault="00471626" w:rsidP="004D1209">
            <w:pPr>
              <w:pStyle w:val="142"/>
              <w:jc w:val="right"/>
            </w:pPr>
            <w:r w:rsidRPr="00D1196D">
              <w:t>71,016</w:t>
            </w:r>
          </w:p>
        </w:tc>
        <w:tc>
          <w:tcPr>
            <w:tcW w:w="1205" w:type="dxa"/>
            <w:vAlign w:val="center"/>
          </w:tcPr>
          <w:p w:rsidR="00471626" w:rsidRPr="00A73D18" w:rsidRDefault="00471626" w:rsidP="004D1209">
            <w:pPr>
              <w:pStyle w:val="142"/>
              <w:jc w:val="right"/>
            </w:pPr>
            <w:r w:rsidRPr="00D1196D">
              <w:t>0.82</w:t>
            </w:r>
          </w:p>
        </w:tc>
        <w:tc>
          <w:tcPr>
            <w:tcW w:w="1205" w:type="dxa"/>
            <w:vAlign w:val="center"/>
          </w:tcPr>
          <w:p w:rsidR="00471626" w:rsidRPr="00A73D18" w:rsidRDefault="00471626" w:rsidP="004D1209">
            <w:pPr>
              <w:pStyle w:val="142"/>
              <w:jc w:val="right"/>
            </w:pPr>
            <w:r w:rsidRPr="00D1196D">
              <w:t>82</w:t>
            </w:r>
          </w:p>
        </w:tc>
        <w:tc>
          <w:tcPr>
            <w:tcW w:w="1205" w:type="dxa"/>
            <w:vAlign w:val="center"/>
          </w:tcPr>
          <w:p w:rsidR="00471626" w:rsidRPr="00A73D18" w:rsidRDefault="00471626" w:rsidP="004D1209">
            <w:pPr>
              <w:pStyle w:val="142"/>
              <w:jc w:val="right"/>
            </w:pPr>
            <w:r w:rsidRPr="00D1196D">
              <w:t>0.00</w:t>
            </w:r>
          </w:p>
        </w:tc>
      </w:tr>
    </w:tbl>
    <w:p w:rsidR="00471626" w:rsidRDefault="00471626" w:rsidP="004D1209">
      <w:pPr>
        <w:pStyle w:val="142"/>
        <w:ind w:leftChars="-50" w:left="1074" w:rightChars="-50" w:right="-142" w:hangingChars="500" w:hanging="121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sidRPr="00281D9B">
        <w:rPr>
          <w:rFonts w:ascii="Times New Roman" w:hint="eastAsia"/>
          <w:snapToGrid/>
          <w:szCs w:val="24"/>
        </w:rPr>
        <w:t>本表所稱附加投保颱風、洪水險係指車體損失險之颱風、地震、海嘯、冰雹、洪水或因雨積水附加條款。</w:t>
      </w:r>
    </w:p>
    <w:p w:rsidR="00471626" w:rsidRDefault="00471626" w:rsidP="004D1209">
      <w:pPr>
        <w:pStyle w:val="142"/>
        <w:ind w:leftChars="-50" w:left="1074"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：金管會保險局提供及交通部網站</w:t>
      </w:r>
      <w:r w:rsidRPr="00B41C6D">
        <w:rPr>
          <w:szCs w:val="24"/>
        </w:rPr>
        <w:t>https://www.motc.gov.tw/ch/index(最後瀏覽日：114</w:t>
      </w:r>
      <w:r>
        <w:rPr>
          <w:rFonts w:hint="eastAsia"/>
          <w:szCs w:val="24"/>
        </w:rPr>
        <w:t>年8月1</w:t>
      </w:r>
      <w:r>
        <w:rPr>
          <w:szCs w:val="24"/>
        </w:rPr>
        <w:t>5</w:t>
      </w:r>
      <w:r>
        <w:rPr>
          <w:rFonts w:hint="eastAsia"/>
          <w:szCs w:val="24"/>
        </w:rPr>
        <w:t>日)</w:t>
      </w:r>
      <w:r w:rsidRPr="00CA261A">
        <w:rPr>
          <w:rFonts w:ascii="Times New Roman" w:hint="eastAsia"/>
          <w:snapToGrid/>
          <w:szCs w:val="24"/>
        </w:rPr>
        <w:t>。</w:t>
      </w:r>
    </w:p>
    <w:p w:rsidR="00471626" w:rsidRPr="003D6A4C" w:rsidRDefault="00471626" w:rsidP="004D1209">
      <w:pPr>
        <w:pStyle w:val="aa"/>
        <w:ind w:left="849" w:hanging="283"/>
        <w:rPr>
          <w:b/>
          <w:bCs/>
        </w:rPr>
      </w:pPr>
      <w:r w:rsidRPr="003D6A4C">
        <w:rPr>
          <w:rFonts w:hint="eastAsia"/>
          <w:b/>
          <w:bCs/>
        </w:rPr>
        <w:t>(三)</w:t>
      </w:r>
      <w:r w:rsidRPr="00BA38DE">
        <w:rPr>
          <w:rFonts w:hint="eastAsia"/>
          <w:b/>
          <w:bCs/>
        </w:rPr>
        <w:t>近年住宅</w:t>
      </w:r>
      <w:r w:rsidRPr="0084223D">
        <w:rPr>
          <w:rFonts w:hint="eastAsia"/>
          <w:b/>
          <w:bCs/>
        </w:rPr>
        <w:t>火災保險</w:t>
      </w:r>
      <w:r w:rsidRPr="00BA38DE">
        <w:rPr>
          <w:rFonts w:hint="eastAsia"/>
          <w:b/>
          <w:bCs/>
        </w:rPr>
        <w:t>加保「超額颱風及洪水保險附加條款」及汽(機)車附加投保颱風、洪水險之損失率均偏低</w:t>
      </w:r>
    </w:p>
    <w:p w:rsidR="00471626" w:rsidRDefault="00471626" w:rsidP="004D1209">
      <w:pPr>
        <w:pStyle w:val="21"/>
        <w:ind w:left="850" w:firstLine="566"/>
      </w:pPr>
      <w:r w:rsidRPr="008A31B8">
        <w:rPr>
          <w:rFonts w:hint="eastAsia"/>
        </w:rPr>
        <w:t>依保險</w:t>
      </w:r>
      <w:r>
        <w:rPr>
          <w:rFonts w:hint="eastAsia"/>
        </w:rPr>
        <w:t>商品銷售前程序作業準則規定</w:t>
      </w:r>
      <w:r w:rsidRPr="008A31B8">
        <w:rPr>
          <w:rFonts w:hint="eastAsia"/>
        </w:rPr>
        <w:t>，</w:t>
      </w:r>
      <w:r>
        <w:rPr>
          <w:rFonts w:hint="eastAsia"/>
        </w:rPr>
        <w:t>保險商品銷售後，保險業應定期召開保險商品管理小組會議，檢視保險商品訂價合理性分析，包含費用(率)適足性，並因應實際經驗發生率等</w:t>
      </w:r>
      <w:r>
        <w:rPr>
          <w:rFonts w:hint="eastAsia"/>
        </w:rPr>
        <w:lastRenderedPageBreak/>
        <w:t>因素，採取必要之調整修正</w:t>
      </w:r>
      <w:r>
        <w:rPr>
          <w:rStyle w:val="af9"/>
        </w:rPr>
        <w:footnoteReference w:id="6"/>
      </w:r>
      <w:r>
        <w:rPr>
          <w:rFonts w:hint="eastAsia"/>
        </w:rPr>
        <w:t>。復檢視近年</w:t>
      </w:r>
      <w:r w:rsidRPr="0077228A">
        <w:rPr>
          <w:rFonts w:hint="eastAsia"/>
        </w:rPr>
        <w:t>颱風洪水相關保險</w:t>
      </w:r>
      <w:r>
        <w:rPr>
          <w:rFonts w:hint="eastAsia"/>
        </w:rPr>
        <w:t>之損失率概況，在</w:t>
      </w:r>
      <w:r w:rsidRPr="0077228A">
        <w:rPr>
          <w:rFonts w:hint="eastAsia"/>
        </w:rPr>
        <w:t>「超額颱風及洪水保險附加條款」</w:t>
      </w:r>
      <w:r>
        <w:rPr>
          <w:rFonts w:hint="eastAsia"/>
        </w:rPr>
        <w:t>部分，於110</w:t>
      </w:r>
      <w:r>
        <w:rPr>
          <w:rFonts w:hint="eastAsia"/>
        </w:rPr>
        <w:lastRenderedPageBreak/>
        <w:t>至113年度間，損失率介於0.32%至44.13%間，雖概呈增加，然比率尚低，而114年度截至6月底止，或因受季節因素影響，尚未有相關理賠件數(詳表5)；另有關汽(機)車附加投保</w:t>
      </w:r>
      <w:r w:rsidRPr="00C961A0">
        <w:rPr>
          <w:rFonts w:hint="eastAsia"/>
        </w:rPr>
        <w:t>颱風、洪水險</w:t>
      </w:r>
      <w:r>
        <w:rPr>
          <w:rFonts w:hint="eastAsia"/>
        </w:rPr>
        <w:t>之損失率於110年度至114年度6月間僅介於0.37%至7.92%間，尚未及10%，比率偏低(詳表6)。</w:t>
      </w:r>
    </w:p>
    <w:p w:rsidR="00471626" w:rsidRDefault="00471626" w:rsidP="004D1209">
      <w:pPr>
        <w:pStyle w:val="21"/>
        <w:ind w:left="850" w:firstLine="566"/>
      </w:pPr>
      <w:r>
        <w:rPr>
          <w:rFonts w:hint="eastAsia"/>
        </w:rPr>
        <w:t>詢據金管會表示，各保險公司除依過往損失經驗釐訂費率外，因颱風洪水險係屬巨災性質，具有損失頻率低但損失幅度高之特性，爰國際再保人之報價成本亦為業者釐訂費率之考量因素，另該會表示財團法人住宅地震基金已有針對非房貸戶持續宣導投保住宅火災及地震基本保險，除督導該基金持續辦理外，並已定期發布新聞稿，建議民眾審視自身保險之保障內容，視需要投保颱風洪水相關保險以獲得完整保障。</w:t>
      </w:r>
    </w:p>
    <w:p w:rsidR="00471626" w:rsidRDefault="00471626" w:rsidP="004D1209">
      <w:pPr>
        <w:pStyle w:val="21"/>
        <w:ind w:left="850" w:firstLine="566"/>
      </w:pPr>
      <w:r>
        <w:rPr>
          <w:rFonts w:hint="eastAsia"/>
        </w:rPr>
        <w:t>鑑於</w:t>
      </w:r>
      <w:r w:rsidRPr="00E059D8">
        <w:rPr>
          <w:rFonts w:hint="eastAsia"/>
        </w:rPr>
        <w:t>我國民眾投保</w:t>
      </w:r>
      <w:r>
        <w:rPr>
          <w:rFonts w:hint="eastAsia"/>
        </w:rPr>
        <w:t>颱風洪水相關保險</w:t>
      </w:r>
      <w:r w:rsidRPr="00E059D8">
        <w:rPr>
          <w:rFonts w:hint="eastAsia"/>
        </w:rPr>
        <w:t>之比率偏低，</w:t>
      </w:r>
      <w:r>
        <w:rPr>
          <w:rFonts w:hint="eastAsia"/>
        </w:rPr>
        <w:t>致大部分民眾因颱風、豪雨所發生之財產損失無法藉由保險獲得補償，除宜加強推廣</w:t>
      </w:r>
      <w:r w:rsidRPr="00E059D8">
        <w:rPr>
          <w:rFonts w:hint="eastAsia"/>
        </w:rPr>
        <w:t>宣導</w:t>
      </w:r>
      <w:r>
        <w:rPr>
          <w:rFonts w:hint="eastAsia"/>
        </w:rPr>
        <w:t>外</w:t>
      </w:r>
      <w:r w:rsidRPr="00E059D8">
        <w:rPr>
          <w:rFonts w:hint="eastAsia"/>
        </w:rPr>
        <w:t>，</w:t>
      </w:r>
      <w:r>
        <w:rPr>
          <w:rFonts w:hint="eastAsia"/>
        </w:rPr>
        <w:t>考量近年住宅火災保險加保</w:t>
      </w:r>
      <w:r w:rsidRPr="006D7F39">
        <w:rPr>
          <w:rFonts w:hint="eastAsia"/>
        </w:rPr>
        <w:t>「超額颱風及洪水保險附加條款」</w:t>
      </w:r>
      <w:r>
        <w:rPr>
          <w:rFonts w:hint="eastAsia"/>
        </w:rPr>
        <w:t>及汽(機)車附加投保</w:t>
      </w:r>
      <w:r w:rsidRPr="00C961A0">
        <w:rPr>
          <w:rFonts w:hint="eastAsia"/>
        </w:rPr>
        <w:t>颱風、洪水險</w:t>
      </w:r>
      <w:r>
        <w:rPr>
          <w:rFonts w:hint="eastAsia"/>
        </w:rPr>
        <w:t>之損失率均偏低，允宜持續督導業者確實依相關規定釐訂並檢討費率，並適時研議調降保費之可行性或其他鼓勵民眾踴躍投保之政策方案，以達成大數法則之數量效果。</w:t>
      </w:r>
    </w:p>
    <w:p w:rsidR="00471626" w:rsidRDefault="00471626" w:rsidP="004D1209">
      <w:pPr>
        <w:pStyle w:val="21"/>
        <w:spacing w:beforeLines="20" w:before="102" w:line="360" w:lineRule="exact"/>
        <w:ind w:leftChars="-50" w:left="567" w:rightChars="-100" w:right="-283" w:hangingChars="250" w:hanging="709"/>
        <w:rPr>
          <w:snapToGrid/>
        </w:rPr>
      </w:pPr>
      <w:r>
        <w:rPr>
          <w:rFonts w:hint="eastAsia"/>
          <w:b/>
        </w:rPr>
        <w:t>表5  110年</w:t>
      </w:r>
      <w:r w:rsidRPr="000B3E75">
        <w:rPr>
          <w:rFonts w:hint="eastAsia"/>
          <w:b/>
        </w:rPr>
        <w:t>度</w:t>
      </w:r>
      <w:r>
        <w:rPr>
          <w:rFonts w:hint="eastAsia"/>
          <w:b/>
        </w:rPr>
        <w:t>至114年6月底</w:t>
      </w:r>
      <w:r w:rsidRPr="002E085A">
        <w:rPr>
          <w:rFonts w:hint="eastAsia"/>
          <w:b/>
        </w:rPr>
        <w:t>「超額颱風及洪水保險附加條款」</w:t>
      </w:r>
      <w:r>
        <w:rPr>
          <w:rFonts w:hint="eastAsia"/>
          <w:b/>
        </w:rPr>
        <w:t xml:space="preserve">保費收入及理賠概況表                      </w:t>
      </w:r>
      <w:r w:rsidRPr="000B3E75">
        <w:rPr>
          <w:rFonts w:hint="eastAsia"/>
          <w:snapToGrid/>
          <w:szCs w:val="24"/>
        </w:rPr>
        <w:t>單位</w:t>
      </w:r>
      <w:r w:rsidRPr="005E55E3">
        <w:rPr>
          <w:rFonts w:hint="eastAsia"/>
          <w:snapToGrid/>
          <w:szCs w:val="24"/>
        </w:rPr>
        <w:t>：</w:t>
      </w:r>
      <w:r>
        <w:rPr>
          <w:rFonts w:hint="eastAsia"/>
          <w:snapToGrid/>
          <w:szCs w:val="24"/>
        </w:rPr>
        <w:t>件；新臺幣千元；%</w:t>
      </w:r>
      <w:r>
        <w:rPr>
          <w:rFonts w:hint="eastAsia"/>
          <w:snapToGrid/>
        </w:rPr>
        <w:t xml:space="preserve">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71626" w:rsidRPr="00A73D18" w:rsidTr="004D1209">
        <w:trPr>
          <w:trHeight w:val="117"/>
          <w:tblHeader/>
        </w:trPr>
        <w:tc>
          <w:tcPr>
            <w:tcW w:w="1390" w:type="dxa"/>
            <w:tcBorders>
              <w:top w:val="single" w:sz="12" w:space="0" w:color="000000"/>
              <w:bottom w:val="single" w:sz="6" w:space="0" w:color="000000"/>
              <w:tl2br w:val="single" w:sz="6" w:space="0" w:color="000000"/>
            </w:tcBorders>
            <w:shd w:val="clear" w:color="auto" w:fill="auto"/>
          </w:tcPr>
          <w:p w:rsidR="00471626" w:rsidRDefault="00471626" w:rsidP="004D1209">
            <w:pPr>
              <w:pStyle w:val="142"/>
              <w:jc w:val="both"/>
              <w:rPr>
                <w:b/>
                <w:bCs/>
              </w:rPr>
            </w:pPr>
            <w:r>
              <w:rPr>
                <w:rFonts w:hint="eastAsia"/>
                <w:b/>
                <w:bCs/>
              </w:rPr>
              <w:t xml:space="preserve">      項目</w:t>
            </w:r>
          </w:p>
          <w:p w:rsidR="00471626" w:rsidRPr="008A468A" w:rsidRDefault="00471626" w:rsidP="004D1209">
            <w:pPr>
              <w:pStyle w:val="142"/>
              <w:jc w:val="both"/>
              <w:rPr>
                <w:b/>
                <w:bCs/>
              </w:rPr>
            </w:pPr>
            <w:r>
              <w:rPr>
                <w:rFonts w:hint="eastAsia"/>
                <w:b/>
                <w:bCs/>
              </w:rPr>
              <w:t>年度</w:t>
            </w:r>
          </w:p>
        </w:tc>
        <w:tc>
          <w:tcPr>
            <w:tcW w:w="1418"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保費收入(A)</w:t>
            </w:r>
          </w:p>
        </w:tc>
        <w:tc>
          <w:tcPr>
            <w:tcW w:w="1276"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理賠件數</w:t>
            </w:r>
          </w:p>
        </w:tc>
        <w:tc>
          <w:tcPr>
            <w:tcW w:w="1559"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理賠金額(B)</w:t>
            </w:r>
          </w:p>
        </w:tc>
        <w:tc>
          <w:tcPr>
            <w:tcW w:w="1701" w:type="dxa"/>
            <w:tcBorders>
              <w:top w:val="single" w:sz="12" w:space="0" w:color="000000"/>
              <w:bottom w:val="single" w:sz="6" w:space="0" w:color="000000"/>
            </w:tcBorders>
            <w:vAlign w:val="center"/>
          </w:tcPr>
          <w:p w:rsidR="00471626" w:rsidRDefault="00471626" w:rsidP="004D1209">
            <w:pPr>
              <w:pStyle w:val="142"/>
              <w:jc w:val="center"/>
              <w:rPr>
                <w:b/>
                <w:bCs/>
              </w:rPr>
            </w:pPr>
            <w:r>
              <w:rPr>
                <w:rFonts w:hint="eastAsia"/>
                <w:b/>
                <w:bCs/>
              </w:rPr>
              <w:t>損失率(B)/(A)</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110年度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6,487</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9,981</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6</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217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2.17</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lastRenderedPageBreak/>
              <w:t>111年度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6,380</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9,334</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1</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30</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0.32</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112年度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8,039</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10,774</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21</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3,417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31.72</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113年度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13,499</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15,538</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345</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6,857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44.13</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Default="00471626" w:rsidP="004D1209">
            <w:pPr>
              <w:pStyle w:val="142"/>
            </w:pPr>
            <w:r>
              <w:rPr>
                <w:rFonts w:hint="eastAsia"/>
              </w:rPr>
              <w:t>113年度</w:t>
            </w:r>
          </w:p>
          <w:p w:rsidR="00471626" w:rsidRDefault="00471626" w:rsidP="004D1209">
            <w:pPr>
              <w:pStyle w:val="142"/>
            </w:pPr>
            <w:r>
              <w:rPr>
                <w:rFonts w:hint="eastAsia"/>
              </w:rPr>
              <w:t>截至6月底</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5,906</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6,473</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0</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0</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0.00</w:t>
            </w:r>
          </w:p>
        </w:tc>
      </w:tr>
      <w:tr w:rsidR="00471626" w:rsidRPr="00A73D18" w:rsidTr="004D1209">
        <w:trPr>
          <w:trHeight w:val="283"/>
        </w:trPr>
        <w:tc>
          <w:tcPr>
            <w:tcW w:w="1390" w:type="dxa"/>
            <w:tcBorders>
              <w:top w:val="single" w:sz="6" w:space="0" w:color="000000"/>
              <w:bottom w:val="single" w:sz="12" w:space="0" w:color="000000"/>
            </w:tcBorders>
            <w:shd w:val="clear" w:color="auto" w:fill="auto"/>
            <w:vAlign w:val="center"/>
          </w:tcPr>
          <w:p w:rsidR="00471626" w:rsidRDefault="00471626" w:rsidP="004D1209">
            <w:pPr>
              <w:pStyle w:val="142"/>
            </w:pPr>
            <w:r>
              <w:rPr>
                <w:rFonts w:hint="eastAsia"/>
              </w:rPr>
              <w:t>114年度</w:t>
            </w:r>
          </w:p>
          <w:p w:rsidR="00471626" w:rsidRDefault="00471626" w:rsidP="004D1209">
            <w:pPr>
              <w:pStyle w:val="142"/>
            </w:pPr>
            <w:r>
              <w:rPr>
                <w:rFonts w:hint="eastAsia"/>
              </w:rPr>
              <w:t>截至6月底</w:t>
            </w:r>
          </w:p>
        </w:tc>
        <w:tc>
          <w:tcPr>
            <w:tcW w:w="1418" w:type="dxa"/>
            <w:tcBorders>
              <w:top w:val="single" w:sz="6" w:space="0" w:color="000000"/>
              <w:bottom w:val="single" w:sz="12" w:space="0" w:color="000000"/>
            </w:tcBorders>
            <w:shd w:val="clear" w:color="auto" w:fill="auto"/>
            <w:noWrap/>
            <w:vAlign w:val="center"/>
          </w:tcPr>
          <w:p w:rsidR="00471626" w:rsidRPr="0042301C" w:rsidRDefault="00471626" w:rsidP="004D1209">
            <w:pPr>
              <w:pStyle w:val="142"/>
              <w:jc w:val="right"/>
            </w:pPr>
            <w:r w:rsidRPr="0042301C">
              <w:t>7,835</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42301C">
              <w:t>7,389</w:t>
            </w:r>
          </w:p>
        </w:tc>
        <w:tc>
          <w:tcPr>
            <w:tcW w:w="1276" w:type="dxa"/>
            <w:tcBorders>
              <w:top w:val="single" w:sz="6" w:space="0" w:color="000000"/>
              <w:bottom w:val="single" w:sz="12" w:space="0" w:color="000000"/>
            </w:tcBorders>
            <w:vAlign w:val="center"/>
          </w:tcPr>
          <w:p w:rsidR="00471626" w:rsidRPr="0042301C" w:rsidRDefault="00471626" w:rsidP="004D1209">
            <w:pPr>
              <w:pStyle w:val="142"/>
              <w:jc w:val="right"/>
            </w:pPr>
            <w:r w:rsidRPr="0042301C">
              <w:t>0</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42301C">
              <w:t>0</w:t>
            </w:r>
          </w:p>
        </w:tc>
        <w:tc>
          <w:tcPr>
            <w:tcW w:w="1701" w:type="dxa"/>
            <w:tcBorders>
              <w:top w:val="single" w:sz="6" w:space="0" w:color="000000"/>
              <w:bottom w:val="single" w:sz="12" w:space="0" w:color="000000"/>
            </w:tcBorders>
            <w:vAlign w:val="center"/>
          </w:tcPr>
          <w:p w:rsidR="00471626" w:rsidRPr="0042301C" w:rsidRDefault="00471626" w:rsidP="004D1209">
            <w:pPr>
              <w:pStyle w:val="142"/>
              <w:jc w:val="right"/>
            </w:pPr>
            <w:r w:rsidRPr="00831147">
              <w:t>0.00</w:t>
            </w:r>
          </w:p>
        </w:tc>
      </w:tr>
    </w:tbl>
    <w:p w:rsidR="00471626" w:rsidRPr="00EA25D2" w:rsidRDefault="00471626" w:rsidP="004D1209">
      <w:pPr>
        <w:pStyle w:val="142"/>
        <w:ind w:leftChars="-50" w:left="1074" w:rightChars="-50" w:right="-142" w:hangingChars="500" w:hanging="1216"/>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Pr="00B41C6D">
        <w:rPr>
          <w:szCs w:val="24"/>
        </w:rPr>
        <w:t xml:space="preserve"> (114</w:t>
      </w:r>
      <w:r>
        <w:rPr>
          <w:rFonts w:hint="eastAsia"/>
          <w:szCs w:val="24"/>
        </w:rPr>
        <w:t>年8月12日提供)</w:t>
      </w:r>
      <w:r w:rsidRPr="00CA261A">
        <w:rPr>
          <w:rFonts w:ascii="Times New Roman" w:hint="eastAsia"/>
          <w:snapToGrid/>
          <w:szCs w:val="24"/>
        </w:rPr>
        <w:t>。</w:t>
      </w:r>
    </w:p>
    <w:p w:rsidR="00471626" w:rsidRDefault="00471626" w:rsidP="004D1209">
      <w:pPr>
        <w:pStyle w:val="21"/>
        <w:spacing w:beforeLines="20" w:before="102" w:line="360" w:lineRule="exact"/>
        <w:ind w:leftChars="-50" w:left="567" w:rightChars="-100" w:right="-283" w:hangingChars="250" w:hanging="709"/>
        <w:rPr>
          <w:snapToGrid/>
        </w:rPr>
      </w:pPr>
      <w:r>
        <w:rPr>
          <w:rFonts w:hint="eastAsia"/>
          <w:b/>
        </w:rPr>
        <w:t>表6  110年</w:t>
      </w:r>
      <w:r w:rsidRPr="000B3E75">
        <w:rPr>
          <w:rFonts w:hint="eastAsia"/>
          <w:b/>
        </w:rPr>
        <w:t>度</w:t>
      </w:r>
      <w:r>
        <w:rPr>
          <w:rFonts w:hint="eastAsia"/>
          <w:b/>
        </w:rPr>
        <w:t xml:space="preserve">至114年6月底機動車輛附加颱風、洪水險之保費收入及理賠概況表                          </w:t>
      </w:r>
      <w:r w:rsidRPr="005E55E3">
        <w:rPr>
          <w:rFonts w:hint="eastAsia"/>
          <w:snapToGrid/>
          <w:szCs w:val="24"/>
        </w:rPr>
        <w:t>單位：</w:t>
      </w:r>
      <w:r>
        <w:rPr>
          <w:rFonts w:hint="eastAsia"/>
          <w:snapToGrid/>
          <w:szCs w:val="24"/>
        </w:rPr>
        <w:t>件；新臺幣千元；%</w:t>
      </w:r>
      <w:r>
        <w:rPr>
          <w:rFonts w:hint="eastAsia"/>
          <w:snapToGrid/>
        </w:rPr>
        <w:t xml:space="preserve">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71626" w:rsidRPr="00A73D18" w:rsidTr="004D1209">
        <w:trPr>
          <w:trHeight w:val="227"/>
          <w:tblHeader/>
        </w:trPr>
        <w:tc>
          <w:tcPr>
            <w:tcW w:w="1390" w:type="dxa"/>
            <w:tcBorders>
              <w:top w:val="single" w:sz="12" w:space="0" w:color="000000"/>
              <w:bottom w:val="single" w:sz="6" w:space="0" w:color="000000"/>
              <w:tl2br w:val="single" w:sz="6" w:space="0" w:color="000000"/>
            </w:tcBorders>
            <w:shd w:val="clear" w:color="auto" w:fill="auto"/>
          </w:tcPr>
          <w:p w:rsidR="00471626" w:rsidRDefault="00471626" w:rsidP="004D1209">
            <w:pPr>
              <w:pStyle w:val="142"/>
              <w:jc w:val="both"/>
              <w:rPr>
                <w:b/>
                <w:bCs/>
              </w:rPr>
            </w:pPr>
            <w:r>
              <w:rPr>
                <w:rFonts w:hint="eastAsia"/>
                <w:b/>
                <w:bCs/>
              </w:rPr>
              <w:t xml:space="preserve">      項目</w:t>
            </w:r>
          </w:p>
          <w:p w:rsidR="00471626" w:rsidRPr="008A468A" w:rsidRDefault="00471626" w:rsidP="004D1209">
            <w:pPr>
              <w:pStyle w:val="142"/>
              <w:jc w:val="both"/>
              <w:rPr>
                <w:b/>
                <w:bCs/>
              </w:rPr>
            </w:pPr>
            <w:r>
              <w:rPr>
                <w:rFonts w:hint="eastAsia"/>
                <w:b/>
                <w:bCs/>
              </w:rPr>
              <w:t>年度</w:t>
            </w:r>
          </w:p>
        </w:tc>
        <w:tc>
          <w:tcPr>
            <w:tcW w:w="1418"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保費收入(A)</w:t>
            </w:r>
          </w:p>
        </w:tc>
        <w:tc>
          <w:tcPr>
            <w:tcW w:w="1276"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理賠件數</w:t>
            </w:r>
          </w:p>
        </w:tc>
        <w:tc>
          <w:tcPr>
            <w:tcW w:w="1559"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理賠金額(B)</w:t>
            </w:r>
          </w:p>
        </w:tc>
        <w:tc>
          <w:tcPr>
            <w:tcW w:w="1701" w:type="dxa"/>
            <w:tcBorders>
              <w:top w:val="single" w:sz="12" w:space="0" w:color="000000"/>
              <w:bottom w:val="single" w:sz="6" w:space="0" w:color="000000"/>
            </w:tcBorders>
            <w:vAlign w:val="center"/>
          </w:tcPr>
          <w:p w:rsidR="00471626" w:rsidRDefault="00471626" w:rsidP="004D1209">
            <w:pPr>
              <w:pStyle w:val="142"/>
              <w:jc w:val="center"/>
              <w:rPr>
                <w:b/>
                <w:bCs/>
              </w:rPr>
            </w:pPr>
            <w:r>
              <w:rPr>
                <w:rFonts w:hint="eastAsia"/>
                <w:b/>
                <w:bCs/>
              </w:rPr>
              <w:t>損失率(B)/(A)</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110年度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44,491</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200,746</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16</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8,317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4.14</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111年度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47,632</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230,969</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8</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865</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0.37</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112年度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57,097</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331,261</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44</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3,130</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0.94</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113年度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71,098</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445,587</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229</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35,291</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7.92</w:t>
            </w:r>
          </w:p>
        </w:tc>
      </w:tr>
      <w:tr w:rsidR="00471626" w:rsidRPr="00A73D18" w:rsidTr="004D1209">
        <w:trPr>
          <w:trHeight w:val="227"/>
        </w:trPr>
        <w:tc>
          <w:tcPr>
            <w:tcW w:w="1390" w:type="dxa"/>
            <w:tcBorders>
              <w:top w:val="single" w:sz="6" w:space="0" w:color="000000"/>
              <w:bottom w:val="single" w:sz="6" w:space="0" w:color="000000"/>
            </w:tcBorders>
            <w:shd w:val="clear" w:color="auto" w:fill="auto"/>
            <w:vAlign w:val="center"/>
          </w:tcPr>
          <w:p w:rsidR="00471626" w:rsidRDefault="00471626" w:rsidP="004D1209">
            <w:pPr>
              <w:pStyle w:val="142"/>
            </w:pPr>
            <w:r>
              <w:rPr>
                <w:rFonts w:hint="eastAsia"/>
              </w:rPr>
              <w:t>113年度</w:t>
            </w:r>
          </w:p>
          <w:p w:rsidR="00471626" w:rsidRDefault="00471626" w:rsidP="004D1209">
            <w:pPr>
              <w:pStyle w:val="142"/>
            </w:pPr>
            <w:r>
              <w:rPr>
                <w:rFonts w:hint="eastAsia"/>
              </w:rPr>
              <w:t>截至6月底</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34,965</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221,779</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22</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1,343</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0.61</w:t>
            </w:r>
          </w:p>
        </w:tc>
      </w:tr>
      <w:tr w:rsidR="00471626" w:rsidRPr="00A73D18" w:rsidTr="004D1209">
        <w:trPr>
          <w:trHeight w:val="227"/>
        </w:trPr>
        <w:tc>
          <w:tcPr>
            <w:tcW w:w="1390" w:type="dxa"/>
            <w:tcBorders>
              <w:top w:val="single" w:sz="6" w:space="0" w:color="000000"/>
              <w:bottom w:val="single" w:sz="12" w:space="0" w:color="000000"/>
            </w:tcBorders>
            <w:shd w:val="clear" w:color="auto" w:fill="auto"/>
            <w:vAlign w:val="center"/>
          </w:tcPr>
          <w:p w:rsidR="00471626" w:rsidRDefault="00471626" w:rsidP="004D1209">
            <w:pPr>
              <w:pStyle w:val="142"/>
            </w:pPr>
            <w:r>
              <w:rPr>
                <w:rFonts w:hint="eastAsia"/>
              </w:rPr>
              <w:t>114年度</w:t>
            </w:r>
          </w:p>
          <w:p w:rsidR="00471626" w:rsidRDefault="00471626" w:rsidP="004D1209">
            <w:pPr>
              <w:pStyle w:val="142"/>
            </w:pPr>
            <w:r>
              <w:rPr>
                <w:rFonts w:hint="eastAsia"/>
              </w:rPr>
              <w:t>截至6月底</w:t>
            </w:r>
          </w:p>
        </w:tc>
        <w:tc>
          <w:tcPr>
            <w:tcW w:w="1418" w:type="dxa"/>
            <w:tcBorders>
              <w:top w:val="single" w:sz="6" w:space="0" w:color="000000"/>
              <w:bottom w:val="single" w:sz="12" w:space="0" w:color="000000"/>
            </w:tcBorders>
            <w:shd w:val="clear" w:color="auto" w:fill="auto"/>
            <w:noWrap/>
            <w:vAlign w:val="center"/>
          </w:tcPr>
          <w:p w:rsidR="00471626" w:rsidRPr="0042301C" w:rsidRDefault="00471626" w:rsidP="004D1209">
            <w:pPr>
              <w:pStyle w:val="142"/>
              <w:jc w:val="right"/>
            </w:pPr>
            <w:r w:rsidRPr="007527DD">
              <w:t>39,464</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7527DD">
              <w:t>243,866</w:t>
            </w:r>
          </w:p>
        </w:tc>
        <w:tc>
          <w:tcPr>
            <w:tcW w:w="1276" w:type="dxa"/>
            <w:tcBorders>
              <w:top w:val="single" w:sz="6" w:space="0" w:color="000000"/>
              <w:bottom w:val="single" w:sz="12" w:space="0" w:color="000000"/>
            </w:tcBorders>
            <w:vAlign w:val="center"/>
          </w:tcPr>
          <w:p w:rsidR="00471626" w:rsidRPr="0042301C" w:rsidRDefault="00471626" w:rsidP="004D1209">
            <w:pPr>
              <w:pStyle w:val="142"/>
              <w:jc w:val="right"/>
            </w:pPr>
            <w:r w:rsidRPr="007527DD">
              <w:t>108</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7527DD">
              <w:t>17,402</w:t>
            </w:r>
          </w:p>
        </w:tc>
        <w:tc>
          <w:tcPr>
            <w:tcW w:w="1701" w:type="dxa"/>
            <w:tcBorders>
              <w:top w:val="single" w:sz="6" w:space="0" w:color="000000"/>
              <w:bottom w:val="single" w:sz="12" w:space="0" w:color="000000"/>
            </w:tcBorders>
            <w:vAlign w:val="center"/>
          </w:tcPr>
          <w:p w:rsidR="00471626" w:rsidRPr="0042301C" w:rsidRDefault="00471626" w:rsidP="004D1209">
            <w:pPr>
              <w:pStyle w:val="142"/>
              <w:jc w:val="right"/>
            </w:pPr>
            <w:r w:rsidRPr="007527DD">
              <w:t>7.14</w:t>
            </w:r>
          </w:p>
        </w:tc>
      </w:tr>
    </w:tbl>
    <w:p w:rsidR="00471626" w:rsidRPr="00F53F39" w:rsidRDefault="00471626" w:rsidP="004D1209">
      <w:pPr>
        <w:pStyle w:val="142"/>
        <w:ind w:leftChars="-50" w:left="1074" w:rightChars="-50" w:right="-142" w:hangingChars="500" w:hanging="121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Pr>
          <w:rFonts w:ascii="Times New Roman" w:hint="eastAsia"/>
          <w:snapToGrid/>
          <w:szCs w:val="24"/>
        </w:rPr>
        <w:t>本表所稱附加投保颱風、洪水險係</w:t>
      </w:r>
      <w:r w:rsidRPr="00F53F39">
        <w:rPr>
          <w:rFonts w:ascii="Times New Roman" w:hint="eastAsia"/>
          <w:snapToGrid/>
          <w:szCs w:val="24"/>
        </w:rPr>
        <w:t>指車體損失險</w:t>
      </w:r>
      <w:r>
        <w:rPr>
          <w:rFonts w:ascii="Times New Roman" w:hint="eastAsia"/>
          <w:snapToGrid/>
          <w:szCs w:val="24"/>
        </w:rPr>
        <w:t>之</w:t>
      </w:r>
      <w:r w:rsidRPr="00F53F39">
        <w:rPr>
          <w:rFonts w:ascii="Times New Roman" w:hint="eastAsia"/>
          <w:snapToGrid/>
          <w:szCs w:val="24"/>
        </w:rPr>
        <w:t>颱風、地震、海嘯、冰雹、洪水或因雨積水附加條款。</w:t>
      </w:r>
    </w:p>
    <w:p w:rsidR="00471626" w:rsidRPr="00EA25D2" w:rsidRDefault="00471626" w:rsidP="004D1209">
      <w:pPr>
        <w:pStyle w:val="142"/>
        <w:ind w:leftChars="-50" w:left="1074" w:rightChars="-50" w:right="-142" w:hangingChars="500" w:hanging="1216"/>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Pr="00B41C6D">
        <w:rPr>
          <w:szCs w:val="24"/>
        </w:rPr>
        <w:t xml:space="preserve"> (114</w:t>
      </w:r>
      <w:r>
        <w:rPr>
          <w:rFonts w:hint="eastAsia"/>
          <w:szCs w:val="24"/>
        </w:rPr>
        <w:t>年8月12日提供)</w:t>
      </w:r>
      <w:r w:rsidRPr="00CA261A">
        <w:rPr>
          <w:rFonts w:ascii="Times New Roman" w:hint="eastAsia"/>
          <w:snapToGrid/>
          <w:szCs w:val="24"/>
        </w:rPr>
        <w:t>。</w:t>
      </w:r>
    </w:p>
    <w:p w:rsidR="00471626" w:rsidRPr="001001C8" w:rsidRDefault="00471626" w:rsidP="004D1209">
      <w:pPr>
        <w:ind w:left="566" w:firstLine="566"/>
      </w:pPr>
      <w:r>
        <w:rPr>
          <w:rFonts w:hint="eastAsia"/>
        </w:rPr>
        <w:t>綜上，我國民眾對於房屋、汽(機)車投保颱風洪水相關保險之比率偏低，鑑於</w:t>
      </w:r>
      <w:r w:rsidRPr="000C536C">
        <w:rPr>
          <w:rFonts w:hint="eastAsia"/>
        </w:rPr>
        <w:t>天</w:t>
      </w:r>
      <w:r>
        <w:rPr>
          <w:rFonts w:hint="eastAsia"/>
        </w:rPr>
        <w:t>災之發生雖難以預測，然</w:t>
      </w:r>
      <w:r w:rsidRPr="000C536C">
        <w:rPr>
          <w:rFonts w:hint="eastAsia"/>
        </w:rPr>
        <w:t>風險可以管理</w:t>
      </w:r>
      <w:r>
        <w:rPr>
          <w:rFonts w:hint="eastAsia"/>
        </w:rPr>
        <w:t>，除完善相關</w:t>
      </w:r>
      <w:r w:rsidRPr="00B65261">
        <w:rPr>
          <w:rFonts w:hint="eastAsia"/>
        </w:rPr>
        <w:t>防災規劃</w:t>
      </w:r>
      <w:r>
        <w:rPr>
          <w:rFonts w:hint="eastAsia"/>
        </w:rPr>
        <w:t>外</w:t>
      </w:r>
      <w:r w:rsidRPr="00B65261">
        <w:rPr>
          <w:rFonts w:hint="eastAsia"/>
        </w:rPr>
        <w:t>，透過保險</w:t>
      </w:r>
      <w:r>
        <w:rPr>
          <w:rFonts w:hint="eastAsia"/>
        </w:rPr>
        <w:t>機制可強化民眾財產安全之保障，亦有助於減輕政府因天災所致之財政負擔，爰宜持續加強推廣；另考量近年住宅火災保險加保</w:t>
      </w:r>
      <w:r w:rsidRPr="006D7F39">
        <w:rPr>
          <w:rFonts w:hint="eastAsia"/>
        </w:rPr>
        <w:t>「超額颱風及洪水保險附加條款」</w:t>
      </w:r>
      <w:r>
        <w:rPr>
          <w:rFonts w:hint="eastAsia"/>
        </w:rPr>
        <w:t>及汽(機)車附加投保</w:t>
      </w:r>
      <w:r w:rsidRPr="00C961A0">
        <w:rPr>
          <w:rFonts w:hint="eastAsia"/>
        </w:rPr>
        <w:t>颱風、洪水險</w:t>
      </w:r>
      <w:r>
        <w:rPr>
          <w:rFonts w:hint="eastAsia"/>
        </w:rPr>
        <w:t>之損失率均偏低，除持續督導業者確實依相關規定釐訂並檢討費率外，允宜適時研議調降保費或其他相關政策方案之可行性，以鼓勵民眾踴躍並充分投保，進而達成大數法則之數量效果。</w:t>
      </w:r>
    </w:p>
    <w:p w:rsidR="00471626" w:rsidRPr="001001C8" w:rsidRDefault="00471626" w:rsidP="004D1209">
      <w:pPr>
        <w:pStyle w:val="af1"/>
        <w:rPr>
          <w:b/>
          <w:sz w:val="28"/>
        </w:rPr>
      </w:pPr>
      <w:r w:rsidRPr="001001C8">
        <w:rPr>
          <w:rFonts w:hint="eastAsia"/>
        </w:rPr>
        <w:t>(分機：</w:t>
      </w:r>
      <w:r>
        <w:rPr>
          <w:rFonts w:hint="eastAsia"/>
        </w:rPr>
        <w:t>8660 翁珮珊</w:t>
      </w:r>
      <w:r w:rsidRPr="001001C8">
        <w:rPr>
          <w:rFonts w:hint="eastAsia"/>
        </w:rPr>
        <w:t>)</w:t>
      </w:r>
    </w:p>
    <w:sectPr w:rsidR="00471626" w:rsidRPr="001001C8"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EB06BD">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471626" w:rsidRPr="000D6E98" w:rsidRDefault="00471626" w:rsidP="004D1209">
      <w:pPr>
        <w:pStyle w:val="142"/>
        <w:ind w:left="195" w:hangingChars="80" w:hanging="195"/>
      </w:pPr>
      <w:r>
        <w:rPr>
          <w:rStyle w:val="af9"/>
        </w:rPr>
        <w:footnoteRef/>
      </w:r>
      <w:r>
        <w:t xml:space="preserve"> </w:t>
      </w:r>
      <w:r>
        <w:rPr>
          <w:rFonts w:hint="eastAsia"/>
        </w:rPr>
        <w:t>資料來源：114年8月12日行政院</w:t>
      </w:r>
      <w:r w:rsidRPr="0041052C">
        <w:rPr>
          <w:rFonts w:hint="eastAsia"/>
        </w:rPr>
        <w:t>於本院</w:t>
      </w:r>
      <w:r>
        <w:rPr>
          <w:rFonts w:hint="eastAsia"/>
        </w:rPr>
        <w:t>院</w:t>
      </w:r>
      <w:r w:rsidRPr="0041052C">
        <w:rPr>
          <w:rFonts w:hint="eastAsia"/>
        </w:rPr>
        <w:t>會「</w:t>
      </w:r>
      <w:r w:rsidRPr="0041052C">
        <w:t>丹娜絲颱風及七二八豪雨災後復原重建」專案報告</w:t>
      </w:r>
      <w:r w:rsidRPr="0041052C">
        <w:rPr>
          <w:rFonts w:hint="eastAsia"/>
        </w:rPr>
        <w:t>之書面資料。</w:t>
      </w:r>
    </w:p>
  </w:footnote>
  <w:footnote w:id="2">
    <w:p w:rsidR="00471626" w:rsidRPr="00EE272D" w:rsidRDefault="00471626" w:rsidP="004D1209">
      <w:pPr>
        <w:pStyle w:val="142"/>
        <w:ind w:left="195" w:hangingChars="80" w:hanging="195"/>
      </w:pPr>
      <w:r>
        <w:rPr>
          <w:rStyle w:val="af9"/>
        </w:rPr>
        <w:footnoteRef/>
      </w:r>
      <w:r>
        <w:t xml:space="preserve"> </w:t>
      </w:r>
      <w:r>
        <w:rPr>
          <w:rFonts w:hint="eastAsia"/>
        </w:rPr>
        <w:t>資料來源：</w:t>
      </w:r>
      <w:r w:rsidRPr="0041052C">
        <w:t>丹娜絲颱風及七二八豪雨災後復原重建</w:t>
      </w:r>
      <w:r>
        <w:rPr>
          <w:rFonts w:hint="eastAsia"/>
        </w:rPr>
        <w:t>特別預算案書總說明。</w:t>
      </w:r>
    </w:p>
  </w:footnote>
  <w:footnote w:id="3">
    <w:p w:rsidR="00471626" w:rsidRDefault="00471626" w:rsidP="004D1209">
      <w:pPr>
        <w:pStyle w:val="142"/>
      </w:pPr>
      <w:r>
        <w:rPr>
          <w:rStyle w:val="af9"/>
        </w:rPr>
        <w:footnoteRef/>
      </w:r>
      <w:r>
        <w:t xml:space="preserve"> </w:t>
      </w:r>
      <w:r>
        <w:rPr>
          <w:rFonts w:hint="eastAsia"/>
        </w:rPr>
        <w:t>資料來源：陳彩稚</w:t>
      </w:r>
      <w:r w:rsidRPr="0019635B">
        <w:rPr>
          <w:rFonts w:hint="eastAsia"/>
        </w:rPr>
        <w:t>（112年</w:t>
      </w:r>
      <w:r w:rsidRPr="00823627">
        <w:rPr>
          <w:rFonts w:hint="eastAsia"/>
        </w:rPr>
        <w:t>）</w:t>
      </w:r>
      <w:r>
        <w:rPr>
          <w:rFonts w:hint="eastAsia"/>
        </w:rPr>
        <w:t>，</w:t>
      </w:r>
      <w:r w:rsidRPr="00830E3D">
        <w:rPr>
          <w:rFonts w:hint="eastAsia"/>
        </w:rPr>
        <w:t>財產與責任保險，</w:t>
      </w:r>
      <w:r w:rsidRPr="0035334E">
        <w:rPr>
          <w:rFonts w:hint="eastAsia"/>
        </w:rPr>
        <w:t>頁120</w:t>
      </w:r>
      <w:r w:rsidRPr="00830E3D">
        <w:rPr>
          <w:rFonts w:hint="eastAsia"/>
        </w:rPr>
        <w:t>，</w:t>
      </w:r>
      <w:r>
        <w:rPr>
          <w:rFonts w:hint="eastAsia"/>
        </w:rPr>
        <w:t>元照出版社</w:t>
      </w:r>
      <w:r w:rsidRPr="00823627">
        <w:rPr>
          <w:rFonts w:hint="eastAsia"/>
        </w:rPr>
        <w:t>。</w:t>
      </w:r>
    </w:p>
  </w:footnote>
  <w:footnote w:id="4">
    <w:p w:rsidR="00471626" w:rsidRDefault="00471626" w:rsidP="004D1209">
      <w:pPr>
        <w:pStyle w:val="142"/>
        <w:ind w:left="195" w:hangingChars="80" w:hanging="195"/>
      </w:pPr>
      <w:r>
        <w:rPr>
          <w:rStyle w:val="af9"/>
        </w:rPr>
        <w:footnoteRef/>
      </w:r>
      <w:r>
        <w:t xml:space="preserve"> </w:t>
      </w:r>
      <w:r>
        <w:rPr>
          <w:rFonts w:hint="eastAsia"/>
        </w:rPr>
        <w:t xml:space="preserve">資料來源，金管會108年10月22日新聞稿 </w:t>
      </w:r>
      <w:r w:rsidRPr="00D732B7">
        <w:t>https://www.fsc.gov.tw/ch/home.jsp?id=96&amp;parentpath=0,2(最後瀏覽日：114</w:t>
      </w:r>
      <w:r>
        <w:rPr>
          <w:rFonts w:hint="eastAsia"/>
        </w:rPr>
        <w:t>年8月15日)。</w:t>
      </w:r>
    </w:p>
  </w:footnote>
  <w:footnote w:id="5">
    <w:p w:rsidR="00471626" w:rsidRDefault="00471626" w:rsidP="004D1209">
      <w:pPr>
        <w:pStyle w:val="142"/>
        <w:ind w:left="195" w:hangingChars="80" w:hanging="195"/>
      </w:pPr>
      <w:r>
        <w:rPr>
          <w:rStyle w:val="af9"/>
        </w:rPr>
        <w:footnoteRef/>
      </w:r>
      <w:r>
        <w:t xml:space="preserve"> </w:t>
      </w:r>
      <w:r>
        <w:rPr>
          <w:rFonts w:hint="eastAsia"/>
        </w:rPr>
        <w:t xml:space="preserve">資料來源，金管會114年8月7日新聞稿 </w:t>
      </w:r>
      <w:r w:rsidRPr="00D732B7">
        <w:t>https://www.fsc.gov.tw/ch/home.jsp?id=96&amp;parentpath=0,2(最後瀏覽日：114</w:t>
      </w:r>
      <w:r>
        <w:rPr>
          <w:rFonts w:hint="eastAsia"/>
        </w:rPr>
        <w:t>年8月15日)。</w:t>
      </w:r>
    </w:p>
  </w:footnote>
  <w:footnote w:id="6">
    <w:p w:rsidR="00471626" w:rsidRDefault="00471626" w:rsidP="004D1209">
      <w:pPr>
        <w:pStyle w:val="142"/>
        <w:ind w:left="195" w:hangingChars="80" w:hanging="195"/>
      </w:pPr>
      <w:r>
        <w:rPr>
          <w:rStyle w:val="af9"/>
        </w:rPr>
        <w:footnoteRef/>
      </w:r>
      <w:r>
        <w:t xml:space="preserve"> </w:t>
      </w:r>
      <w:r>
        <w:rPr>
          <w:rFonts w:hint="eastAsia"/>
        </w:rPr>
        <w:t>資料來源：參考金管會依</w:t>
      </w:r>
      <w:r w:rsidRPr="0041052C">
        <w:rPr>
          <w:rFonts w:hint="eastAsia"/>
        </w:rPr>
        <w:t>本院</w:t>
      </w:r>
      <w:r>
        <w:rPr>
          <w:rFonts w:hint="eastAsia"/>
        </w:rPr>
        <w:t>財委會112年4月6日會議臨時提案於112年5月22日所提有關</w:t>
      </w:r>
      <w:r w:rsidRPr="0041052C">
        <w:rPr>
          <w:rFonts w:hint="eastAsia"/>
        </w:rPr>
        <w:t>「</w:t>
      </w:r>
      <w:r w:rsidRPr="00B56A87">
        <w:rPr>
          <w:rFonts w:hint="eastAsia"/>
        </w:rPr>
        <w:t>產險業之各類產險商品損失率與費率調整情形</w:t>
      </w:r>
      <w:r w:rsidRPr="0041052C">
        <w:t>」</w:t>
      </w:r>
      <w:r>
        <w:rPr>
          <w:rFonts w:hint="eastAsia"/>
        </w:rPr>
        <w:t>之</w:t>
      </w:r>
      <w:r w:rsidRPr="0041052C">
        <w:rPr>
          <w:rFonts w:hint="eastAsia"/>
        </w:rPr>
        <w:t>書面</w:t>
      </w:r>
      <w:r>
        <w:rPr>
          <w:rFonts w:hint="eastAsia"/>
        </w:rPr>
        <w:t>報告</w:t>
      </w:r>
      <w:r w:rsidRPr="0041052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06BD"/>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E27B1F-5D6E-4517-85F4-63FB3B2C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3E375-F12C-451F-BAA0-608CAD763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848</Words>
  <Characters>4840</Characters>
  <Application>Microsoft Office Word</Application>
  <DocSecurity>0</DocSecurity>
  <Lines>40</Lines>
  <Paragraphs>11</Paragraphs>
  <ScaleCrop>false</ScaleCrop>
  <Company>HOME</Company>
  <LinksUpToDate>false</LinksUpToDate>
  <CharactersWithSpaces>5677</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