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39" w:rsidRPr="00A82976" w:rsidRDefault="003271B0" w:rsidP="00BB52D8">
      <w:pPr>
        <w:pStyle w:val="16"/>
        <w:ind w:left="2" w:firstLineChars="0" w:firstLine="0"/>
        <w:rPr>
          <w:w w:val="95"/>
        </w:rPr>
      </w:pPr>
      <w:bookmarkStart w:id="0" w:name="_Toc215475737"/>
      <w:bookmarkStart w:id="1" w:name="_Toc216756479"/>
      <w:bookmarkStart w:id="2" w:name="_GoBack"/>
      <w:bookmarkEnd w:id="2"/>
      <w:r w:rsidRPr="00A82976">
        <w:rPr>
          <w:rFonts w:hint="eastAsia"/>
          <w:w w:val="95"/>
        </w:rPr>
        <w:t>近年中央政府總預算歲入結構變動概況及歲計賸餘運用情形之相關問題探討</w:t>
      </w:r>
    </w:p>
    <w:p w:rsidR="003271B0" w:rsidRDefault="003271B0" w:rsidP="003271B0">
      <w:pPr>
        <w:pStyle w:val="14"/>
        <w:ind w:left="567" w:hanging="567"/>
      </w:pPr>
      <w:bookmarkStart w:id="3" w:name="_Toc203481648"/>
      <w:r>
        <w:rPr>
          <w:rFonts w:hint="eastAsia"/>
        </w:rPr>
        <w:t>一、近年中央政府總預算歲入結構變化概況、編列稅課收入之法源依據-財政收支劃分法修正後對歲入之影響</w:t>
      </w:r>
      <w:bookmarkEnd w:id="3"/>
    </w:p>
    <w:p w:rsidR="0056311B" w:rsidRPr="0056311B" w:rsidRDefault="0056311B" w:rsidP="0056311B">
      <w:pPr>
        <w:pStyle w:val="a4"/>
        <w:ind w:left="849" w:hanging="283"/>
        <w:rPr>
          <w:b/>
        </w:rPr>
      </w:pPr>
      <w:r w:rsidRPr="0056311B">
        <w:rPr>
          <w:rFonts w:hint="eastAsia"/>
          <w:b/>
        </w:rPr>
        <w:t>(一)</w:t>
      </w:r>
      <w:r w:rsidR="00D802BF">
        <w:rPr>
          <w:rFonts w:hint="eastAsia"/>
          <w:b/>
        </w:rPr>
        <w:t>近年</w:t>
      </w:r>
      <w:r w:rsidRPr="0056311B">
        <w:rPr>
          <w:rFonts w:hint="eastAsia"/>
          <w:b/>
        </w:rPr>
        <w:t>中央政府</w:t>
      </w:r>
      <w:r>
        <w:rPr>
          <w:rFonts w:hint="eastAsia"/>
          <w:b/>
        </w:rPr>
        <w:t>總預算</w:t>
      </w:r>
      <w:r w:rsidRPr="0056311B">
        <w:rPr>
          <w:rFonts w:hint="eastAsia"/>
          <w:b/>
        </w:rPr>
        <w:t>歲入</w:t>
      </w:r>
      <w:r w:rsidR="008F7279">
        <w:rPr>
          <w:rFonts w:hint="eastAsia"/>
          <w:b/>
        </w:rPr>
        <w:t>來源</w:t>
      </w:r>
      <w:r w:rsidR="00D62FE3">
        <w:rPr>
          <w:rFonts w:hint="eastAsia"/>
          <w:b/>
        </w:rPr>
        <w:t>中</w:t>
      </w:r>
      <w:r w:rsidR="008F7279">
        <w:rPr>
          <w:rFonts w:hint="eastAsia"/>
          <w:b/>
        </w:rPr>
        <w:t>皆</w:t>
      </w:r>
      <w:r w:rsidRPr="0056311B">
        <w:rPr>
          <w:rFonts w:hint="eastAsia"/>
          <w:b/>
        </w:rPr>
        <w:t>以稅課收入</w:t>
      </w:r>
      <w:r w:rsidR="00D62FE3">
        <w:rPr>
          <w:rFonts w:hint="eastAsia"/>
          <w:b/>
        </w:rPr>
        <w:t>為</w:t>
      </w:r>
      <w:r>
        <w:rPr>
          <w:rFonts w:hint="eastAsia"/>
          <w:b/>
        </w:rPr>
        <w:t>最</w:t>
      </w:r>
      <w:r w:rsidR="00402B33">
        <w:rPr>
          <w:rFonts w:hint="eastAsia"/>
          <w:b/>
        </w:rPr>
        <w:t>大宗</w:t>
      </w:r>
      <w:r>
        <w:rPr>
          <w:rFonts w:hint="eastAsia"/>
          <w:b/>
        </w:rPr>
        <w:t>，</w:t>
      </w:r>
      <w:r w:rsidR="00D802BF" w:rsidRPr="00D802BF">
        <w:rPr>
          <w:rFonts w:hint="eastAsia"/>
          <w:b/>
        </w:rPr>
        <w:t>114年度</w:t>
      </w:r>
      <w:r w:rsidR="00D802BF">
        <w:rPr>
          <w:rFonts w:hint="eastAsia"/>
          <w:b/>
        </w:rPr>
        <w:t>占比攀升至87.98%</w:t>
      </w:r>
      <w:r w:rsidR="00402B33">
        <w:rPr>
          <w:rFonts w:hint="eastAsia"/>
          <w:b/>
        </w:rPr>
        <w:t>，且1</w:t>
      </w:r>
      <w:r w:rsidR="00693908">
        <w:rPr>
          <w:rFonts w:hint="eastAsia"/>
          <w:b/>
        </w:rPr>
        <w:t>1</w:t>
      </w:r>
      <w:r w:rsidR="00402B33">
        <w:rPr>
          <w:rFonts w:hint="eastAsia"/>
          <w:b/>
        </w:rPr>
        <w:t>年間</w:t>
      </w:r>
      <w:r w:rsidR="00926EFA">
        <w:rPr>
          <w:rFonts w:hint="eastAsia"/>
          <w:b/>
        </w:rPr>
        <w:t>所</w:t>
      </w:r>
      <w:r w:rsidR="00D62FE3">
        <w:rPr>
          <w:rFonts w:hint="eastAsia"/>
          <w:b/>
        </w:rPr>
        <w:t>占比</w:t>
      </w:r>
      <w:r w:rsidR="00926EFA">
        <w:rPr>
          <w:rFonts w:hint="eastAsia"/>
          <w:b/>
        </w:rPr>
        <w:t>重計</w:t>
      </w:r>
      <w:r w:rsidR="00402B33">
        <w:rPr>
          <w:rFonts w:hint="eastAsia"/>
          <w:b/>
        </w:rPr>
        <w:t>增加13.7</w:t>
      </w:r>
      <w:r w:rsidR="00D802BF">
        <w:rPr>
          <w:rFonts w:hint="eastAsia"/>
          <w:b/>
        </w:rPr>
        <w:t>2</w:t>
      </w:r>
      <w:r w:rsidR="00402B33">
        <w:rPr>
          <w:rFonts w:hint="eastAsia"/>
          <w:b/>
        </w:rPr>
        <w:t>個百分點</w:t>
      </w:r>
      <w:r w:rsidR="00926EFA">
        <w:rPr>
          <w:rFonts w:hint="eastAsia"/>
          <w:b/>
        </w:rPr>
        <w:t>，</w:t>
      </w:r>
      <w:r w:rsidR="00D802BF">
        <w:rPr>
          <w:rFonts w:hint="eastAsia"/>
          <w:b/>
        </w:rPr>
        <w:t>而</w:t>
      </w:r>
      <w:r w:rsidR="00926EFA">
        <w:rPr>
          <w:rFonts w:hint="eastAsia"/>
          <w:b/>
        </w:rPr>
        <w:t>其餘</w:t>
      </w:r>
      <w:r w:rsidR="00D802BF">
        <w:rPr>
          <w:rFonts w:hint="eastAsia"/>
          <w:b/>
        </w:rPr>
        <w:t>收入</w:t>
      </w:r>
      <w:r w:rsidR="00926EFA">
        <w:rPr>
          <w:rFonts w:hint="eastAsia"/>
          <w:b/>
        </w:rPr>
        <w:t>來源則均下滑</w:t>
      </w:r>
    </w:p>
    <w:p w:rsidR="008F7279" w:rsidRDefault="00416571" w:rsidP="00B92438">
      <w:pPr>
        <w:pStyle w:val="2"/>
        <w:ind w:left="850" w:firstLine="566"/>
        <w:rPr>
          <w:rFonts w:hAnsi="標楷體"/>
        </w:rPr>
      </w:pPr>
      <w:r>
        <w:rPr>
          <w:rFonts w:hAnsi="標楷體" w:hint="eastAsia"/>
        </w:rPr>
        <w:t>經彙整</w:t>
      </w:r>
      <w:r w:rsidR="008F7279">
        <w:rPr>
          <w:rFonts w:hAnsi="標楷體" w:hint="eastAsia"/>
        </w:rPr>
        <w:t>104至11</w:t>
      </w:r>
      <w:r>
        <w:rPr>
          <w:rFonts w:hAnsi="標楷體" w:hint="eastAsia"/>
        </w:rPr>
        <w:t>4</w:t>
      </w:r>
      <w:r w:rsidR="008F7279">
        <w:rPr>
          <w:rFonts w:hAnsi="標楷體" w:hint="eastAsia"/>
        </w:rPr>
        <w:t>年度</w:t>
      </w:r>
      <w:r w:rsidR="001D425B">
        <w:rPr>
          <w:rFonts w:hAnsi="標楷體" w:hint="eastAsia"/>
        </w:rPr>
        <w:t>中央政府歲入</w:t>
      </w:r>
      <w:r w:rsidR="001D425B" w:rsidRPr="001D425B">
        <w:rPr>
          <w:rFonts w:hAnsi="標楷體" w:hint="eastAsia"/>
        </w:rPr>
        <w:t>預算數</w:t>
      </w:r>
      <w:r>
        <w:rPr>
          <w:rFonts w:hAnsi="標楷體" w:hint="eastAsia"/>
        </w:rPr>
        <w:t>資料</w:t>
      </w:r>
      <w:r w:rsidR="001D425B" w:rsidRPr="001D425B">
        <w:rPr>
          <w:rFonts w:hAnsi="標楷體" w:hint="eastAsia"/>
        </w:rPr>
        <w:t>，</w:t>
      </w:r>
      <w:r w:rsidR="00693908">
        <w:rPr>
          <w:rFonts w:hAnsi="標楷體" w:hint="eastAsia"/>
        </w:rPr>
        <w:t>歲入淨額法定預算</w:t>
      </w:r>
      <w:r w:rsidR="001D425B" w:rsidRPr="001D425B">
        <w:rPr>
          <w:rFonts w:hAnsi="標楷體" w:hint="eastAsia"/>
        </w:rPr>
        <w:t>由10</w:t>
      </w:r>
      <w:r w:rsidR="001D425B">
        <w:rPr>
          <w:rFonts w:hAnsi="標楷體" w:hint="eastAsia"/>
        </w:rPr>
        <w:t>4</w:t>
      </w:r>
      <w:r w:rsidR="001D425B" w:rsidRPr="001D425B">
        <w:rPr>
          <w:rFonts w:hAnsi="標楷體" w:hint="eastAsia"/>
        </w:rPr>
        <w:t>年度之1兆</w:t>
      </w:r>
      <w:r w:rsidR="001D425B">
        <w:rPr>
          <w:rFonts w:hAnsi="標楷體" w:hint="eastAsia"/>
        </w:rPr>
        <w:t>7</w:t>
      </w:r>
      <w:r w:rsidR="001D425B">
        <w:rPr>
          <w:rFonts w:hAnsi="標楷體"/>
        </w:rPr>
        <w:t>,</w:t>
      </w:r>
      <w:r w:rsidR="001D425B">
        <w:rPr>
          <w:rFonts w:hAnsi="標楷體" w:hint="eastAsia"/>
        </w:rPr>
        <w:t>76</w:t>
      </w:r>
      <w:r w:rsidR="001D425B" w:rsidRPr="001D425B">
        <w:rPr>
          <w:rFonts w:hAnsi="標楷體" w:hint="eastAsia"/>
        </w:rPr>
        <w:t>7億</w:t>
      </w:r>
      <w:r w:rsidR="001D425B">
        <w:rPr>
          <w:rFonts w:hAnsi="標楷體" w:hint="eastAsia"/>
        </w:rPr>
        <w:t>餘</w:t>
      </w:r>
      <w:r w:rsidR="001D425B" w:rsidRPr="001D425B">
        <w:rPr>
          <w:rFonts w:hAnsi="標楷體" w:hint="eastAsia"/>
        </w:rPr>
        <w:t>元擴增至11</w:t>
      </w:r>
      <w:r w:rsidR="008F7279">
        <w:rPr>
          <w:rFonts w:hAnsi="標楷體" w:hint="eastAsia"/>
        </w:rPr>
        <w:t>3</w:t>
      </w:r>
      <w:r w:rsidR="001D425B" w:rsidRPr="001D425B">
        <w:rPr>
          <w:rFonts w:hAnsi="標楷體" w:hint="eastAsia"/>
        </w:rPr>
        <w:t>年度之</w:t>
      </w:r>
      <w:r w:rsidR="008F7279">
        <w:rPr>
          <w:rFonts w:hAnsi="標楷體" w:hint="eastAsia"/>
        </w:rPr>
        <w:t>2</w:t>
      </w:r>
      <w:r w:rsidR="001D425B" w:rsidRPr="001D425B">
        <w:rPr>
          <w:rFonts w:hAnsi="標楷體" w:hint="eastAsia"/>
        </w:rPr>
        <w:t>兆</w:t>
      </w:r>
      <w:r w:rsidR="008F7279">
        <w:rPr>
          <w:rFonts w:hAnsi="標楷體" w:hint="eastAsia"/>
        </w:rPr>
        <w:t>7</w:t>
      </w:r>
      <w:r w:rsidR="001D425B">
        <w:rPr>
          <w:rFonts w:hAnsi="標楷體"/>
        </w:rPr>
        <w:t>,</w:t>
      </w:r>
      <w:r w:rsidR="008F7279">
        <w:rPr>
          <w:rFonts w:hAnsi="標楷體" w:hint="eastAsia"/>
        </w:rPr>
        <w:t>251</w:t>
      </w:r>
      <w:r w:rsidR="001D425B" w:rsidRPr="001D425B">
        <w:rPr>
          <w:rFonts w:hAnsi="標楷體" w:hint="eastAsia"/>
        </w:rPr>
        <w:t>億</w:t>
      </w:r>
      <w:r w:rsidR="001D425B">
        <w:rPr>
          <w:rFonts w:hAnsi="標楷體" w:hint="eastAsia"/>
        </w:rPr>
        <w:t>餘</w:t>
      </w:r>
      <w:r w:rsidR="001D425B" w:rsidRPr="001D425B">
        <w:rPr>
          <w:rFonts w:hAnsi="標楷體" w:hint="eastAsia"/>
        </w:rPr>
        <w:t>元</w:t>
      </w:r>
      <w:r w:rsidR="00D802BF">
        <w:rPr>
          <w:rFonts w:hAnsi="標楷體" w:hint="eastAsia"/>
        </w:rPr>
        <w:t>，114年度增至3</w:t>
      </w:r>
      <w:r w:rsidR="00D802BF" w:rsidRPr="00D802BF">
        <w:rPr>
          <w:rFonts w:hAnsi="標楷體" w:hint="eastAsia"/>
        </w:rPr>
        <w:t>兆</w:t>
      </w:r>
      <w:r w:rsidR="00D802BF">
        <w:rPr>
          <w:rFonts w:hAnsi="標楷體" w:hint="eastAsia"/>
        </w:rPr>
        <w:t>1</w:t>
      </w:r>
      <w:r w:rsidR="00D802BF" w:rsidRPr="00D802BF">
        <w:rPr>
          <w:rFonts w:hAnsi="標楷體" w:hint="eastAsia"/>
        </w:rPr>
        <w:t>,</w:t>
      </w:r>
      <w:r w:rsidR="00D802BF">
        <w:rPr>
          <w:rFonts w:hAnsi="標楷體" w:hint="eastAsia"/>
        </w:rPr>
        <w:t>648</w:t>
      </w:r>
      <w:r w:rsidR="00D802BF" w:rsidRPr="00D802BF">
        <w:rPr>
          <w:rFonts w:hAnsi="標楷體" w:hint="eastAsia"/>
        </w:rPr>
        <w:t>億餘元</w:t>
      </w:r>
      <w:r w:rsidR="00D802BF">
        <w:rPr>
          <w:rFonts w:hAnsi="標楷體" w:hint="eastAsia"/>
        </w:rPr>
        <w:t>，首度突破3兆元</w:t>
      </w:r>
      <w:r w:rsidR="001D425B" w:rsidRPr="001D425B">
        <w:rPr>
          <w:rFonts w:hAnsi="標楷體" w:hint="eastAsia"/>
        </w:rPr>
        <w:t>(</w:t>
      </w:r>
      <w:r w:rsidR="00693908">
        <w:rPr>
          <w:rFonts w:hAnsi="標楷體" w:hint="eastAsia"/>
        </w:rPr>
        <w:t>11年間</w:t>
      </w:r>
      <w:r w:rsidR="001D425B" w:rsidRPr="001D425B">
        <w:rPr>
          <w:rFonts w:hAnsi="標楷體" w:hint="eastAsia"/>
        </w:rPr>
        <w:t>增幅</w:t>
      </w:r>
      <w:r w:rsidR="00693908">
        <w:rPr>
          <w:rFonts w:hAnsi="標楷體" w:hint="eastAsia"/>
        </w:rPr>
        <w:t>達</w:t>
      </w:r>
      <w:r w:rsidR="00D802BF">
        <w:rPr>
          <w:rFonts w:hAnsi="標楷體" w:hint="eastAsia"/>
        </w:rPr>
        <w:t>78.13</w:t>
      </w:r>
      <w:r w:rsidR="001D425B" w:rsidRPr="001D425B">
        <w:rPr>
          <w:rFonts w:hAnsi="標楷體" w:hint="eastAsia"/>
        </w:rPr>
        <w:t>%)，</w:t>
      </w:r>
      <w:r w:rsidR="00A56BE6">
        <w:rPr>
          <w:rFonts w:hAnsi="標楷體" w:hint="eastAsia"/>
        </w:rPr>
        <w:t>以</w:t>
      </w:r>
      <w:r w:rsidR="00D802BF">
        <w:rPr>
          <w:rFonts w:hAnsi="標楷體" w:hint="eastAsia"/>
        </w:rPr>
        <w:t>同期間</w:t>
      </w:r>
      <w:r w:rsidR="00B92438">
        <w:rPr>
          <w:rFonts w:hAnsi="標楷體" w:hint="eastAsia"/>
        </w:rPr>
        <w:t>歲入來源別觀之</w:t>
      </w:r>
      <w:r w:rsidR="001D425B" w:rsidRPr="001D425B">
        <w:rPr>
          <w:rFonts w:hAnsi="標楷體" w:hint="eastAsia"/>
        </w:rPr>
        <w:t>，</w:t>
      </w:r>
      <w:r w:rsidR="00AF0003">
        <w:rPr>
          <w:rFonts w:hAnsi="標楷體" w:hint="eastAsia"/>
        </w:rPr>
        <w:t>皆以稅課收入為最大宗</w:t>
      </w:r>
      <w:r w:rsidR="00693908" w:rsidRPr="00040887">
        <w:rPr>
          <w:rFonts w:hAnsi="標楷體" w:hint="eastAsia"/>
        </w:rPr>
        <w:t>(詳表2-1)</w:t>
      </w:r>
      <w:r w:rsidR="00AF0003">
        <w:rPr>
          <w:rFonts w:hAnsi="標楷體" w:hint="eastAsia"/>
        </w:rPr>
        <w:t>，</w:t>
      </w:r>
      <w:r w:rsidR="00116B3D">
        <w:rPr>
          <w:rFonts w:hAnsi="標楷體" w:hint="eastAsia"/>
        </w:rPr>
        <w:t>預算數</w:t>
      </w:r>
      <w:r w:rsidR="00116B3D" w:rsidRPr="001D425B">
        <w:rPr>
          <w:rFonts w:hAnsi="標楷體" w:hint="eastAsia"/>
        </w:rPr>
        <w:t>由1兆</w:t>
      </w:r>
      <w:r w:rsidR="00116B3D">
        <w:rPr>
          <w:rFonts w:hAnsi="標楷體" w:hint="eastAsia"/>
        </w:rPr>
        <w:t>3</w:t>
      </w:r>
      <w:r w:rsidR="00116B3D" w:rsidRPr="001D425B">
        <w:rPr>
          <w:rFonts w:hAnsi="標楷體" w:hint="eastAsia"/>
        </w:rPr>
        <w:t>,</w:t>
      </w:r>
      <w:r w:rsidR="00116B3D">
        <w:rPr>
          <w:rFonts w:hAnsi="標楷體" w:hint="eastAsia"/>
        </w:rPr>
        <w:t>194</w:t>
      </w:r>
      <w:r w:rsidR="00116B3D" w:rsidRPr="001D425B">
        <w:rPr>
          <w:rFonts w:hAnsi="標楷體" w:hint="eastAsia"/>
        </w:rPr>
        <w:t>億</w:t>
      </w:r>
      <w:r w:rsidR="00116B3D">
        <w:rPr>
          <w:rFonts w:hAnsi="標楷體" w:hint="eastAsia"/>
        </w:rPr>
        <w:t>餘</w:t>
      </w:r>
      <w:r w:rsidR="00116B3D" w:rsidRPr="001D425B">
        <w:rPr>
          <w:rFonts w:hAnsi="標楷體" w:hint="eastAsia"/>
        </w:rPr>
        <w:t>元，逐年增至</w:t>
      </w:r>
      <w:r w:rsidR="00116B3D">
        <w:rPr>
          <w:rFonts w:hAnsi="標楷體" w:hint="eastAsia"/>
        </w:rPr>
        <w:t>2</w:t>
      </w:r>
      <w:r w:rsidR="00116B3D" w:rsidRPr="001D425B">
        <w:rPr>
          <w:rFonts w:hAnsi="標楷體" w:hint="eastAsia"/>
        </w:rPr>
        <w:t>兆</w:t>
      </w:r>
      <w:r w:rsidR="00D802BF">
        <w:rPr>
          <w:rFonts w:hAnsi="標楷體" w:hint="eastAsia"/>
        </w:rPr>
        <w:t>7</w:t>
      </w:r>
      <w:r w:rsidR="00116B3D" w:rsidRPr="001D425B">
        <w:rPr>
          <w:rFonts w:hAnsi="標楷體" w:hint="eastAsia"/>
        </w:rPr>
        <w:t>,</w:t>
      </w:r>
      <w:r w:rsidR="00D802BF">
        <w:rPr>
          <w:rFonts w:hAnsi="標楷體" w:hint="eastAsia"/>
        </w:rPr>
        <w:t>844</w:t>
      </w:r>
      <w:r w:rsidR="00116B3D" w:rsidRPr="001D425B">
        <w:rPr>
          <w:rFonts w:hAnsi="標楷體" w:hint="eastAsia"/>
        </w:rPr>
        <w:t>億</w:t>
      </w:r>
      <w:r w:rsidR="00D62FE3">
        <w:rPr>
          <w:rFonts w:hAnsi="標楷體" w:hint="eastAsia"/>
        </w:rPr>
        <w:t>餘</w:t>
      </w:r>
      <w:r w:rsidR="00116B3D" w:rsidRPr="001D425B">
        <w:rPr>
          <w:rFonts w:hAnsi="標楷體" w:hint="eastAsia"/>
        </w:rPr>
        <w:t>元(增幅</w:t>
      </w:r>
      <w:r w:rsidR="00D802BF">
        <w:rPr>
          <w:rFonts w:hAnsi="標楷體" w:hint="eastAsia"/>
        </w:rPr>
        <w:t>高</w:t>
      </w:r>
      <w:r w:rsidR="00D62FE3">
        <w:rPr>
          <w:rFonts w:hAnsi="標楷體" w:hint="eastAsia"/>
        </w:rPr>
        <w:t>達</w:t>
      </w:r>
      <w:r w:rsidR="00D802BF">
        <w:rPr>
          <w:rFonts w:hAnsi="標楷體" w:hint="eastAsia"/>
        </w:rPr>
        <w:t>111.04</w:t>
      </w:r>
      <w:r w:rsidR="00116B3D" w:rsidRPr="001D425B">
        <w:rPr>
          <w:rFonts w:hAnsi="標楷體" w:hint="eastAsia"/>
        </w:rPr>
        <w:t>%)，</w:t>
      </w:r>
      <w:r w:rsidR="008F7279">
        <w:rPr>
          <w:rFonts w:hAnsi="標楷體" w:hint="eastAsia"/>
        </w:rPr>
        <w:t>其次為</w:t>
      </w:r>
      <w:r w:rsidR="00A56BE6" w:rsidRPr="00A56BE6">
        <w:rPr>
          <w:rFonts w:hAnsi="標楷體" w:hint="eastAsia"/>
        </w:rPr>
        <w:t>營業盈餘及事業收入</w:t>
      </w:r>
      <w:r w:rsidR="00A56BE6">
        <w:rPr>
          <w:rFonts w:hAnsi="標楷體" w:hint="eastAsia"/>
        </w:rPr>
        <w:t>，</w:t>
      </w:r>
      <w:r w:rsidR="00A56BE6" w:rsidRPr="00A56BE6">
        <w:rPr>
          <w:rFonts w:hAnsi="標楷體" w:hint="eastAsia"/>
        </w:rPr>
        <w:t>同期間由</w:t>
      </w:r>
      <w:r w:rsidR="00A56BE6">
        <w:rPr>
          <w:rFonts w:hAnsi="標楷體" w:hint="eastAsia"/>
        </w:rPr>
        <w:t>2</w:t>
      </w:r>
      <w:r w:rsidR="00A56BE6" w:rsidRPr="00A56BE6">
        <w:rPr>
          <w:rFonts w:hAnsi="標楷體" w:hint="eastAsia"/>
        </w:rPr>
        <w:t>,</w:t>
      </w:r>
      <w:r w:rsidR="00A56BE6">
        <w:rPr>
          <w:rFonts w:hAnsi="標楷體" w:hint="eastAsia"/>
        </w:rPr>
        <w:t>550</w:t>
      </w:r>
      <w:r w:rsidR="00A56BE6" w:rsidRPr="00A56BE6">
        <w:rPr>
          <w:rFonts w:hAnsi="標楷體" w:hint="eastAsia"/>
        </w:rPr>
        <w:t>億餘元</w:t>
      </w:r>
      <w:r w:rsidR="00D802BF">
        <w:rPr>
          <w:rFonts w:hAnsi="標楷體" w:hint="eastAsia"/>
        </w:rPr>
        <w:t>略</w:t>
      </w:r>
      <w:r w:rsidR="00A56BE6" w:rsidRPr="00A56BE6">
        <w:rPr>
          <w:rFonts w:hAnsi="標楷體" w:hint="eastAsia"/>
        </w:rPr>
        <w:t>增至</w:t>
      </w:r>
      <w:r w:rsidR="00A56BE6">
        <w:rPr>
          <w:rFonts w:hAnsi="標楷體" w:hint="eastAsia"/>
        </w:rPr>
        <w:t>2</w:t>
      </w:r>
      <w:r w:rsidR="00A56BE6" w:rsidRPr="00A56BE6">
        <w:rPr>
          <w:rFonts w:hAnsi="標楷體" w:hint="eastAsia"/>
        </w:rPr>
        <w:t>,</w:t>
      </w:r>
      <w:r w:rsidR="00D802BF">
        <w:rPr>
          <w:rFonts w:hAnsi="標楷體" w:hint="eastAsia"/>
        </w:rPr>
        <w:t>561</w:t>
      </w:r>
      <w:r w:rsidR="00A56BE6" w:rsidRPr="00A56BE6">
        <w:rPr>
          <w:rFonts w:hAnsi="標楷體" w:hint="eastAsia"/>
        </w:rPr>
        <w:t>億餘元(增幅</w:t>
      </w:r>
      <w:r w:rsidR="00D802BF">
        <w:rPr>
          <w:rFonts w:hAnsi="標楷體" w:hint="eastAsia"/>
        </w:rPr>
        <w:t>0.43</w:t>
      </w:r>
      <w:r w:rsidR="00A56BE6" w:rsidRPr="00A56BE6">
        <w:rPr>
          <w:rFonts w:hAnsi="標楷體" w:hint="eastAsia"/>
        </w:rPr>
        <w:t>%)</w:t>
      </w:r>
      <w:r w:rsidR="00A56BE6">
        <w:rPr>
          <w:rFonts w:hAnsi="標楷體" w:hint="eastAsia"/>
        </w:rPr>
        <w:t>，再次為規費及罰款收入，惟由104年度之1</w:t>
      </w:r>
      <w:r w:rsidR="00A56BE6" w:rsidRPr="00A56BE6">
        <w:rPr>
          <w:rFonts w:hAnsi="標楷體" w:hint="eastAsia"/>
        </w:rPr>
        <w:t>,0</w:t>
      </w:r>
      <w:r w:rsidR="00A56BE6">
        <w:rPr>
          <w:rFonts w:hAnsi="標楷體" w:hint="eastAsia"/>
        </w:rPr>
        <w:t>56</w:t>
      </w:r>
      <w:r w:rsidR="00A56BE6" w:rsidRPr="00A56BE6">
        <w:rPr>
          <w:rFonts w:hAnsi="標楷體" w:hint="eastAsia"/>
        </w:rPr>
        <w:t>億餘元</w:t>
      </w:r>
      <w:r w:rsidR="00A56BE6">
        <w:rPr>
          <w:rFonts w:hAnsi="標楷體" w:hint="eastAsia"/>
        </w:rPr>
        <w:t>減為11</w:t>
      </w:r>
      <w:r w:rsidR="00D802BF">
        <w:rPr>
          <w:rFonts w:hAnsi="標楷體" w:hint="eastAsia"/>
        </w:rPr>
        <w:t>4</w:t>
      </w:r>
      <w:r w:rsidR="00A56BE6">
        <w:rPr>
          <w:rFonts w:hAnsi="標楷體" w:hint="eastAsia"/>
        </w:rPr>
        <w:t>年度之8</w:t>
      </w:r>
      <w:r w:rsidR="00D802BF">
        <w:rPr>
          <w:rFonts w:hAnsi="標楷體" w:hint="eastAsia"/>
        </w:rPr>
        <w:t>18</w:t>
      </w:r>
      <w:r w:rsidR="00A56BE6" w:rsidRPr="00A56BE6">
        <w:rPr>
          <w:rFonts w:hAnsi="標楷體" w:hint="eastAsia"/>
        </w:rPr>
        <w:t>餘元(</w:t>
      </w:r>
      <w:r w:rsidR="00A56BE6">
        <w:rPr>
          <w:rFonts w:hAnsi="標楷體" w:hint="eastAsia"/>
        </w:rPr>
        <w:t>減</w:t>
      </w:r>
      <w:r w:rsidR="00A56BE6" w:rsidRPr="00A56BE6">
        <w:rPr>
          <w:rFonts w:hAnsi="標楷體" w:hint="eastAsia"/>
        </w:rPr>
        <w:t>幅</w:t>
      </w:r>
      <w:r w:rsidR="00AF0003">
        <w:rPr>
          <w:rFonts w:hAnsi="標楷體" w:hint="eastAsia"/>
        </w:rPr>
        <w:t>2</w:t>
      </w:r>
      <w:r w:rsidR="00D802BF">
        <w:rPr>
          <w:rFonts w:hAnsi="標楷體" w:hint="eastAsia"/>
        </w:rPr>
        <w:t>2.52</w:t>
      </w:r>
      <w:r w:rsidR="00A56BE6" w:rsidRPr="00A56BE6">
        <w:rPr>
          <w:rFonts w:hAnsi="標楷體" w:hint="eastAsia"/>
        </w:rPr>
        <w:t>%)</w:t>
      </w:r>
      <w:r w:rsidR="00AF0003">
        <w:rPr>
          <w:rFonts w:hAnsi="標楷體" w:hint="eastAsia"/>
        </w:rPr>
        <w:t>。</w:t>
      </w:r>
    </w:p>
    <w:p w:rsidR="001D425B" w:rsidRDefault="00671C07" w:rsidP="00B92438">
      <w:pPr>
        <w:pStyle w:val="2"/>
        <w:ind w:left="850" w:firstLine="566"/>
        <w:rPr>
          <w:rFonts w:hAnsi="標楷體"/>
        </w:rPr>
      </w:pPr>
      <w:r>
        <w:rPr>
          <w:rFonts w:hAnsi="標楷體" w:hint="eastAsia"/>
        </w:rPr>
        <w:t>復觀察</w:t>
      </w:r>
      <w:r w:rsidR="00AF0003">
        <w:rPr>
          <w:rFonts w:hAnsi="標楷體" w:hint="eastAsia"/>
        </w:rPr>
        <w:t>歲入結構比及變化，</w:t>
      </w:r>
      <w:r w:rsidR="00416571" w:rsidRPr="00416571">
        <w:rPr>
          <w:rFonts w:hAnsi="標楷體" w:hint="eastAsia"/>
        </w:rPr>
        <w:t>104至114年度</w:t>
      </w:r>
      <w:r w:rsidR="00AF0003" w:rsidRPr="00416571">
        <w:rPr>
          <w:rFonts w:hAnsi="標楷體" w:hint="eastAsia"/>
        </w:rPr>
        <w:t>稅課收</w:t>
      </w:r>
      <w:r w:rsidR="00AF0003">
        <w:rPr>
          <w:rFonts w:hAnsi="標楷體" w:hint="eastAsia"/>
        </w:rPr>
        <w:t>入</w:t>
      </w:r>
      <w:r w:rsidR="00D62FE3">
        <w:rPr>
          <w:rFonts w:hAnsi="標楷體" w:hint="eastAsia"/>
        </w:rPr>
        <w:t>占歲入比率</w:t>
      </w:r>
      <w:r w:rsidR="00402B33">
        <w:rPr>
          <w:rFonts w:hAnsi="標楷體" w:hint="eastAsia"/>
        </w:rPr>
        <w:t>概呈成長趨勢，</w:t>
      </w:r>
      <w:r w:rsidR="00D62FE3">
        <w:rPr>
          <w:rFonts w:hAnsi="標楷體" w:hint="eastAsia"/>
        </w:rPr>
        <w:t>由104年度之74.26%</w:t>
      </w:r>
      <w:r w:rsidR="00402B33">
        <w:rPr>
          <w:rFonts w:hAnsi="標楷體" w:hint="eastAsia"/>
        </w:rPr>
        <w:t>、</w:t>
      </w:r>
      <w:r w:rsidR="00D62FE3">
        <w:rPr>
          <w:rFonts w:hAnsi="標楷體" w:hint="eastAsia"/>
        </w:rPr>
        <w:t>107年度突破</w:t>
      </w:r>
      <w:r w:rsidR="00D802BF">
        <w:rPr>
          <w:rFonts w:hAnsi="標楷體" w:hint="eastAsia"/>
        </w:rPr>
        <w:t>八成增至81.36%</w:t>
      </w:r>
      <w:r w:rsidR="00D62FE3">
        <w:rPr>
          <w:rFonts w:hAnsi="標楷體" w:hint="eastAsia"/>
        </w:rPr>
        <w:t>，</w:t>
      </w:r>
      <w:r w:rsidR="00E02C0B">
        <w:rPr>
          <w:rFonts w:hAnsi="標楷體" w:hint="eastAsia"/>
        </w:rPr>
        <w:t>於</w:t>
      </w:r>
      <w:r w:rsidR="00D62FE3">
        <w:rPr>
          <w:rFonts w:hAnsi="標楷體" w:hint="eastAsia"/>
        </w:rPr>
        <w:t>11</w:t>
      </w:r>
      <w:r w:rsidR="00E02C0B">
        <w:rPr>
          <w:rFonts w:hAnsi="標楷體" w:hint="eastAsia"/>
        </w:rPr>
        <w:t>4</w:t>
      </w:r>
      <w:r w:rsidR="00D62FE3">
        <w:rPr>
          <w:rFonts w:hAnsi="標楷體" w:hint="eastAsia"/>
        </w:rPr>
        <w:t>年度占比</w:t>
      </w:r>
      <w:r>
        <w:rPr>
          <w:rFonts w:hAnsi="標楷體" w:hint="eastAsia"/>
        </w:rPr>
        <w:t>更</w:t>
      </w:r>
      <w:r w:rsidR="00D62FE3">
        <w:rPr>
          <w:rFonts w:hAnsi="標楷體" w:hint="eastAsia"/>
        </w:rPr>
        <w:t>攀升至8</w:t>
      </w:r>
      <w:r w:rsidR="00E02C0B">
        <w:rPr>
          <w:rFonts w:hAnsi="標楷體" w:hint="eastAsia"/>
        </w:rPr>
        <w:t>7.98</w:t>
      </w:r>
      <w:r w:rsidR="00D62FE3">
        <w:rPr>
          <w:rFonts w:hAnsi="標楷體" w:hint="eastAsia"/>
        </w:rPr>
        <w:t>%</w:t>
      </w:r>
      <w:r w:rsidR="00402B33">
        <w:rPr>
          <w:rFonts w:hAnsi="標楷體" w:hint="eastAsia"/>
        </w:rPr>
        <w:t>，10年間占比增加13.7</w:t>
      </w:r>
      <w:r w:rsidR="00E02C0B">
        <w:rPr>
          <w:rFonts w:hAnsi="標楷體" w:hint="eastAsia"/>
        </w:rPr>
        <w:t>2</w:t>
      </w:r>
      <w:r w:rsidR="00402B33">
        <w:rPr>
          <w:rFonts w:hAnsi="標楷體" w:hint="eastAsia"/>
        </w:rPr>
        <w:t>個百分點，而其餘之</w:t>
      </w:r>
      <w:r w:rsidR="00116B3D">
        <w:rPr>
          <w:rFonts w:hAnsi="標楷體" w:hint="eastAsia"/>
        </w:rPr>
        <w:t>營業盈餘及事業收入</w:t>
      </w:r>
      <w:r w:rsidR="00402B33">
        <w:rPr>
          <w:rFonts w:hAnsi="標楷體" w:hint="eastAsia"/>
        </w:rPr>
        <w:t>、</w:t>
      </w:r>
      <w:r w:rsidR="00402B33" w:rsidRPr="00402B33">
        <w:rPr>
          <w:rFonts w:hAnsi="標楷體" w:hint="eastAsia"/>
        </w:rPr>
        <w:t>規費及罰款收入</w:t>
      </w:r>
      <w:r w:rsidR="00402B33">
        <w:rPr>
          <w:rFonts w:hAnsi="標楷體" w:hint="eastAsia"/>
        </w:rPr>
        <w:t>、</w:t>
      </w:r>
      <w:r w:rsidR="00402B33" w:rsidRPr="00402B33">
        <w:rPr>
          <w:rFonts w:hAnsi="標楷體" w:hint="eastAsia"/>
        </w:rPr>
        <w:t>財產收入</w:t>
      </w:r>
      <w:r w:rsidR="00402B33">
        <w:rPr>
          <w:rFonts w:hAnsi="標楷體" w:hint="eastAsia"/>
        </w:rPr>
        <w:t>、</w:t>
      </w:r>
      <w:r w:rsidR="00402B33" w:rsidRPr="00402B33">
        <w:rPr>
          <w:rFonts w:hAnsi="標楷體" w:hint="eastAsia"/>
        </w:rPr>
        <w:t>其他收入</w:t>
      </w:r>
      <w:r w:rsidR="00116B3D">
        <w:rPr>
          <w:rFonts w:hAnsi="標楷體" w:hint="eastAsia"/>
        </w:rPr>
        <w:t>，</w:t>
      </w:r>
      <w:r w:rsidR="00116B3D" w:rsidRPr="001D425B">
        <w:rPr>
          <w:rFonts w:hAnsi="標楷體" w:hint="eastAsia"/>
        </w:rPr>
        <w:t>同期間</w:t>
      </w:r>
      <w:r w:rsidR="00402B33">
        <w:rPr>
          <w:rFonts w:hAnsi="標楷體" w:hint="eastAsia"/>
        </w:rPr>
        <w:t>占比均下滑，分別減少6.2</w:t>
      </w:r>
      <w:r w:rsidR="00693908">
        <w:rPr>
          <w:rFonts w:hAnsi="標楷體" w:hint="eastAsia"/>
        </w:rPr>
        <w:t>6</w:t>
      </w:r>
      <w:r w:rsidR="00402B33">
        <w:rPr>
          <w:rFonts w:hAnsi="標楷體" w:hint="eastAsia"/>
        </w:rPr>
        <w:t>、3.36、3.94、0.16個百分點</w:t>
      </w:r>
      <w:r w:rsidR="00763FC3" w:rsidRPr="00040887">
        <w:rPr>
          <w:rFonts w:hAnsi="標楷體" w:hint="eastAsia"/>
        </w:rPr>
        <w:t>(詳表2-1</w:t>
      </w:r>
      <w:r w:rsidR="00763FC3">
        <w:rPr>
          <w:rFonts w:hAnsi="標楷體" w:hint="eastAsia"/>
        </w:rPr>
        <w:t>、圖1</w:t>
      </w:r>
      <w:r w:rsidR="00763FC3" w:rsidRPr="00040887">
        <w:rPr>
          <w:rFonts w:hAnsi="標楷體" w:hint="eastAsia"/>
        </w:rPr>
        <w:t>)</w:t>
      </w:r>
      <w:r w:rsidR="00040887">
        <w:rPr>
          <w:rFonts w:hAnsi="標楷體" w:hint="eastAsia"/>
        </w:rPr>
        <w:t>。是以，</w:t>
      </w:r>
      <w:r w:rsidR="00116B3D">
        <w:rPr>
          <w:rFonts w:hAnsi="標楷體" w:hint="eastAsia"/>
        </w:rPr>
        <w:t>稅課收入</w:t>
      </w:r>
      <w:r w:rsidR="00353D54">
        <w:rPr>
          <w:rFonts w:hAnsi="標楷體" w:hint="eastAsia"/>
        </w:rPr>
        <w:t>乃中央政府</w:t>
      </w:r>
      <w:r w:rsidR="00116B3D">
        <w:rPr>
          <w:rFonts w:hAnsi="標楷體" w:hint="eastAsia"/>
        </w:rPr>
        <w:t>最</w:t>
      </w:r>
      <w:r w:rsidR="00E02C0B">
        <w:rPr>
          <w:rFonts w:hAnsi="標楷體" w:hint="eastAsia"/>
        </w:rPr>
        <w:t>重要</w:t>
      </w:r>
      <w:r w:rsidR="00116B3D">
        <w:rPr>
          <w:rFonts w:hAnsi="標楷體" w:hint="eastAsia"/>
        </w:rPr>
        <w:t>之歲入來源</w:t>
      </w:r>
      <w:r w:rsidR="00040887">
        <w:rPr>
          <w:rFonts w:hAnsi="標楷體" w:hint="eastAsia"/>
        </w:rPr>
        <w:t>。</w:t>
      </w:r>
    </w:p>
    <w:p w:rsidR="00040887" w:rsidRDefault="00040887" w:rsidP="00040887">
      <w:pPr>
        <w:pStyle w:val="20"/>
        <w:ind w:leftChars="29" w:left="1134" w:hangingChars="371" w:hanging="1052"/>
        <w:jc w:val="both"/>
        <w:rPr>
          <w:rFonts w:hAnsi="標楷體"/>
          <w:b/>
          <w:sz w:val="28"/>
        </w:rPr>
      </w:pPr>
      <w:r w:rsidRPr="00DC42CC">
        <w:rPr>
          <w:rFonts w:hint="eastAsia"/>
          <w:b/>
          <w:sz w:val="28"/>
        </w:rPr>
        <w:t>表2-</w:t>
      </w:r>
      <w:r>
        <w:rPr>
          <w:rFonts w:hint="eastAsia"/>
          <w:b/>
          <w:sz w:val="28"/>
        </w:rPr>
        <w:t>1</w:t>
      </w:r>
      <w:r w:rsidRPr="00DC42CC">
        <w:rPr>
          <w:rFonts w:hint="eastAsia"/>
          <w:b/>
          <w:sz w:val="28"/>
        </w:rPr>
        <w:t xml:space="preserve">  </w:t>
      </w:r>
      <w:r w:rsidRPr="00DC42CC">
        <w:rPr>
          <w:rFonts w:hAnsi="標楷體" w:hint="eastAsia"/>
          <w:b/>
          <w:sz w:val="28"/>
        </w:rPr>
        <w:t>10</w:t>
      </w:r>
      <w:r>
        <w:rPr>
          <w:rFonts w:hAnsi="標楷體" w:hint="eastAsia"/>
          <w:b/>
          <w:sz w:val="28"/>
        </w:rPr>
        <w:t>4</w:t>
      </w:r>
      <w:r w:rsidRPr="00DC42CC">
        <w:rPr>
          <w:rFonts w:hAnsi="標楷體" w:hint="eastAsia"/>
          <w:b/>
          <w:sz w:val="28"/>
        </w:rPr>
        <w:t>至11</w:t>
      </w:r>
      <w:r w:rsidR="00416571">
        <w:rPr>
          <w:rFonts w:hAnsi="標楷體" w:hint="eastAsia"/>
          <w:b/>
          <w:sz w:val="28"/>
        </w:rPr>
        <w:t>4</w:t>
      </w:r>
      <w:r w:rsidRPr="00DC42CC">
        <w:rPr>
          <w:rFonts w:hAnsi="標楷體" w:hint="eastAsia"/>
          <w:b/>
          <w:sz w:val="28"/>
        </w:rPr>
        <w:t>年度</w:t>
      </w:r>
      <w:r>
        <w:rPr>
          <w:rFonts w:hAnsi="標楷體" w:hint="eastAsia"/>
          <w:b/>
          <w:sz w:val="28"/>
        </w:rPr>
        <w:t>中央政府歲入淨額及來源別預算數</w:t>
      </w:r>
      <w:r w:rsidRPr="00DC42CC">
        <w:rPr>
          <w:rFonts w:hAnsi="標楷體" w:hint="eastAsia"/>
          <w:b/>
          <w:sz w:val="28"/>
        </w:rPr>
        <w:t>概況表</w:t>
      </w:r>
    </w:p>
    <w:p w:rsidR="00040887" w:rsidRPr="00DC42CC" w:rsidRDefault="00040887" w:rsidP="00040887">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百萬</w:t>
      </w:r>
      <w:r w:rsidRPr="00DC42CC">
        <w:rPr>
          <w:rFonts w:hAnsi="標楷體" w:hint="eastAsia"/>
          <w:szCs w:val="24"/>
        </w:rPr>
        <w:t>元</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7"/>
        <w:gridCol w:w="1276"/>
        <w:gridCol w:w="1284"/>
        <w:gridCol w:w="1284"/>
        <w:gridCol w:w="1284"/>
        <w:gridCol w:w="1284"/>
        <w:gridCol w:w="1285"/>
      </w:tblGrid>
      <w:tr w:rsidR="00D03DF8" w:rsidRPr="00587F54" w:rsidTr="00C361CB">
        <w:trPr>
          <w:trHeight w:val="397"/>
        </w:trPr>
        <w:tc>
          <w:tcPr>
            <w:tcW w:w="767" w:type="dxa"/>
            <w:shd w:val="clear" w:color="auto" w:fill="auto"/>
            <w:vAlign w:val="center"/>
          </w:tcPr>
          <w:p w:rsidR="00D03DF8" w:rsidRPr="00DC42CC" w:rsidRDefault="00D03DF8" w:rsidP="00233A31">
            <w:pPr>
              <w:pStyle w:val="142"/>
              <w:jc w:val="both"/>
              <w:rPr>
                <w:rFonts w:hAnsi="標楷體"/>
                <w:b/>
                <w:spacing w:val="-20"/>
                <w:szCs w:val="24"/>
              </w:rPr>
            </w:pPr>
            <w:r w:rsidRPr="00DC42CC">
              <w:rPr>
                <w:rFonts w:hAnsi="標楷體" w:hint="eastAsia"/>
                <w:b/>
                <w:spacing w:val="-20"/>
                <w:szCs w:val="24"/>
              </w:rPr>
              <w:t>年度</w:t>
            </w:r>
          </w:p>
        </w:tc>
        <w:tc>
          <w:tcPr>
            <w:tcW w:w="1276" w:type="dxa"/>
            <w:shd w:val="clear" w:color="auto" w:fill="auto"/>
            <w:vAlign w:val="center"/>
          </w:tcPr>
          <w:p w:rsidR="00D03DF8" w:rsidRPr="00D03DF8" w:rsidRDefault="000138E6" w:rsidP="000138E6">
            <w:pPr>
              <w:pStyle w:val="142"/>
              <w:jc w:val="center"/>
              <w:rPr>
                <w:rFonts w:hAnsi="標楷體"/>
                <w:b/>
                <w:spacing w:val="-20"/>
                <w:szCs w:val="24"/>
              </w:rPr>
            </w:pPr>
            <w:r>
              <w:rPr>
                <w:rFonts w:hAnsi="標楷體" w:hint="eastAsia"/>
                <w:b/>
                <w:spacing w:val="-20"/>
                <w:szCs w:val="24"/>
              </w:rPr>
              <w:t>歲入淨額</w:t>
            </w:r>
          </w:p>
        </w:tc>
        <w:tc>
          <w:tcPr>
            <w:tcW w:w="1284"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稅課收入</w:t>
            </w:r>
          </w:p>
        </w:tc>
        <w:tc>
          <w:tcPr>
            <w:tcW w:w="1284"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營業盈餘及事業收入</w:t>
            </w:r>
          </w:p>
        </w:tc>
        <w:tc>
          <w:tcPr>
            <w:tcW w:w="1284"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規費及罰款收入</w:t>
            </w:r>
          </w:p>
        </w:tc>
        <w:tc>
          <w:tcPr>
            <w:tcW w:w="1284"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財產收入</w:t>
            </w:r>
          </w:p>
        </w:tc>
        <w:tc>
          <w:tcPr>
            <w:tcW w:w="1285"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其他收入</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104</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1,776,703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1,319,405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255,005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105,674</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86,768</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9,851</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lastRenderedPageBreak/>
              <w:t>105</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1,826,507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1,450,613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237,897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77,172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49,786</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11,039</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106</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1,857,175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1,485,316</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224,097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98,998</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37,347</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11,417</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107</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1,923,689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1,565,189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186,591</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94,399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34,663</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42,847</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108</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2,001,347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1,656,079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228,821</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79,853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25,881</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10,713</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109</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2,107,028</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1,683,556</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242,744</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123,223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47,658</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9,847</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110</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2,067,375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1,685,289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246,322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79,582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33,838</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22,344</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111</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2,280,412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1,912,724</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251,522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77,162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25,773</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13,231</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112</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2,579,589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2,194,910</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264,659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79,355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25,282</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15,383</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113</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2,725,183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2,314,020</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286,910</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80,297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31,496</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12,460</w:t>
            </w:r>
          </w:p>
        </w:tc>
      </w:tr>
      <w:tr w:rsidR="00416571" w:rsidRPr="00587F54" w:rsidTr="00CF4247">
        <w:trPr>
          <w:trHeight w:val="397"/>
        </w:trPr>
        <w:tc>
          <w:tcPr>
            <w:tcW w:w="767" w:type="dxa"/>
            <w:shd w:val="clear" w:color="auto" w:fill="auto"/>
            <w:vAlign w:val="center"/>
          </w:tcPr>
          <w:p w:rsidR="00416571" w:rsidRPr="00D8223C" w:rsidRDefault="00416571" w:rsidP="00416571">
            <w:pPr>
              <w:pStyle w:val="142"/>
              <w:jc w:val="both"/>
              <w:rPr>
                <w:rFonts w:hAnsi="標楷體"/>
                <w:spacing w:val="-20"/>
                <w:szCs w:val="24"/>
              </w:rPr>
            </w:pPr>
            <w:r>
              <w:rPr>
                <w:rFonts w:hAnsi="標楷體" w:hint="eastAsia"/>
                <w:spacing w:val="-20"/>
                <w:szCs w:val="24"/>
              </w:rPr>
              <w:t>114</w:t>
            </w:r>
          </w:p>
        </w:tc>
        <w:tc>
          <w:tcPr>
            <w:tcW w:w="1276"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3,164,804</w:t>
            </w:r>
          </w:p>
        </w:tc>
        <w:tc>
          <w:tcPr>
            <w:tcW w:w="1284"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2,784,492</w:t>
            </w:r>
          </w:p>
        </w:tc>
        <w:tc>
          <w:tcPr>
            <w:tcW w:w="1284"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256,107</w:t>
            </w:r>
          </w:p>
        </w:tc>
        <w:tc>
          <w:tcPr>
            <w:tcW w:w="1284"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81,877</w:t>
            </w:r>
          </w:p>
        </w:tc>
        <w:tc>
          <w:tcPr>
            <w:tcW w:w="1284"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29,839</w:t>
            </w:r>
          </w:p>
        </w:tc>
        <w:tc>
          <w:tcPr>
            <w:tcW w:w="1285"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12,489</w:t>
            </w:r>
          </w:p>
        </w:tc>
      </w:tr>
      <w:tr w:rsidR="00416571" w:rsidRPr="00416571" w:rsidTr="00416571">
        <w:trPr>
          <w:trHeight w:val="397"/>
        </w:trPr>
        <w:tc>
          <w:tcPr>
            <w:tcW w:w="767" w:type="dxa"/>
            <w:shd w:val="clear" w:color="auto" w:fill="auto"/>
            <w:vAlign w:val="center"/>
          </w:tcPr>
          <w:p w:rsidR="00416571" w:rsidRPr="00D8223C" w:rsidRDefault="00416571" w:rsidP="00416571">
            <w:pPr>
              <w:pStyle w:val="142"/>
              <w:jc w:val="both"/>
              <w:rPr>
                <w:rFonts w:hAnsi="標楷體"/>
                <w:spacing w:val="-20"/>
                <w:szCs w:val="24"/>
              </w:rPr>
            </w:pPr>
            <w:r>
              <w:rPr>
                <w:rFonts w:hAnsi="標楷體" w:hint="eastAsia"/>
                <w:spacing w:val="-20"/>
                <w:szCs w:val="24"/>
              </w:rPr>
              <w:t>114較104增減幅</w:t>
            </w:r>
          </w:p>
        </w:tc>
        <w:tc>
          <w:tcPr>
            <w:tcW w:w="1276"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78.13%</w:t>
            </w:r>
          </w:p>
        </w:tc>
        <w:tc>
          <w:tcPr>
            <w:tcW w:w="1284"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111.04%</w:t>
            </w:r>
          </w:p>
        </w:tc>
        <w:tc>
          <w:tcPr>
            <w:tcW w:w="1284"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0.43%</w:t>
            </w:r>
          </w:p>
        </w:tc>
        <w:tc>
          <w:tcPr>
            <w:tcW w:w="1284"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-22.52%</w:t>
            </w:r>
          </w:p>
        </w:tc>
        <w:tc>
          <w:tcPr>
            <w:tcW w:w="1284"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-65.61%</w:t>
            </w:r>
          </w:p>
        </w:tc>
        <w:tc>
          <w:tcPr>
            <w:tcW w:w="1285"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26.78%</w:t>
            </w:r>
          </w:p>
        </w:tc>
      </w:tr>
    </w:tbl>
    <w:p w:rsidR="00A32865" w:rsidRPr="00B5190A" w:rsidRDefault="00A32865" w:rsidP="00A32865">
      <w:pPr>
        <w:spacing w:line="280" w:lineRule="exact"/>
        <w:ind w:leftChars="15" w:left="1455" w:rightChars="-8" w:right="-23" w:hangingChars="581" w:hanging="1413"/>
        <w:rPr>
          <w:rFonts w:hAnsi="標楷體"/>
          <w:sz w:val="24"/>
        </w:rPr>
      </w:pPr>
      <w:r w:rsidRPr="003A6A2F">
        <w:rPr>
          <w:rFonts w:hint="eastAsia"/>
          <w:sz w:val="24"/>
        </w:rPr>
        <w:t>說    明</w:t>
      </w:r>
      <w:r w:rsidRPr="003A6A2F">
        <w:rPr>
          <w:rFonts w:hAnsi="標楷體" w:hint="eastAsia"/>
          <w:sz w:val="24"/>
        </w:rPr>
        <w:t>：表列</w:t>
      </w:r>
      <w:r w:rsidR="00671C07">
        <w:rPr>
          <w:rFonts w:hAnsi="標楷體" w:hint="eastAsia"/>
          <w:sz w:val="24"/>
        </w:rPr>
        <w:t>數據</w:t>
      </w:r>
      <w:r w:rsidRPr="003A6A2F">
        <w:rPr>
          <w:rFonts w:hAnsi="標楷體" w:hint="eastAsia"/>
          <w:sz w:val="24"/>
        </w:rPr>
        <w:t>均為法定預算數</w:t>
      </w:r>
      <w:r w:rsidRPr="00B5190A">
        <w:rPr>
          <w:rFonts w:hAnsi="標楷體" w:hint="eastAsia"/>
          <w:sz w:val="24"/>
        </w:rPr>
        <w:t>。</w:t>
      </w:r>
    </w:p>
    <w:p w:rsidR="00040887" w:rsidRPr="00D8223C" w:rsidRDefault="00040887" w:rsidP="00040887">
      <w:pPr>
        <w:pStyle w:val="142"/>
        <w:ind w:firstLineChars="28" w:firstLine="68"/>
        <w:rPr>
          <w:rFonts w:hAnsi="標楷體"/>
          <w:szCs w:val="24"/>
        </w:rPr>
      </w:pPr>
      <w:r w:rsidRPr="00D8223C">
        <w:rPr>
          <w:rFonts w:hAnsi="標楷體" w:hint="eastAsia"/>
          <w:szCs w:val="24"/>
        </w:rPr>
        <w:t>資料來源：</w:t>
      </w:r>
      <w:r w:rsidRPr="00040887">
        <w:rPr>
          <w:rFonts w:hAnsi="標楷體" w:hint="eastAsia"/>
          <w:szCs w:val="24"/>
        </w:rPr>
        <w:t>財政部財政統計資料庫</w:t>
      </w:r>
      <w:r w:rsidRPr="00D8223C">
        <w:rPr>
          <w:rFonts w:hAnsi="標楷體" w:hint="eastAsia"/>
          <w:szCs w:val="24"/>
        </w:rPr>
        <w:t>。</w:t>
      </w:r>
    </w:p>
    <w:p w:rsidR="00040887" w:rsidRDefault="00040887"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F86ED1" w:rsidRPr="00BD3682" w:rsidRDefault="00F86ED1" w:rsidP="00BD3682">
      <w:pPr>
        <w:pStyle w:val="20"/>
        <w:ind w:leftChars="29" w:left="1134" w:hangingChars="371" w:hanging="1052"/>
        <w:jc w:val="both"/>
        <w:rPr>
          <w:rFonts w:hAnsi="標楷體"/>
          <w:noProof/>
          <w:sz w:val="28"/>
        </w:rPr>
      </w:pPr>
      <w:r w:rsidRPr="00BD3682">
        <w:rPr>
          <w:rFonts w:hAnsi="標楷體" w:hint="eastAsia"/>
          <w:b/>
          <w:bCs/>
          <w:noProof/>
          <w:sz w:val="28"/>
        </w:rPr>
        <w:t>圖1  104至114年度中央政府歲入結構變化概況</w:t>
      </w:r>
    </w:p>
    <w:p w:rsidR="00222B1D" w:rsidRDefault="0036257F" w:rsidP="008E68F6">
      <w:pPr>
        <w:pStyle w:val="2"/>
        <w:ind w:leftChars="0" w:left="850" w:hangingChars="300" w:hanging="850"/>
        <w:rPr>
          <w:rFonts w:hAnsi="標楷體"/>
          <w:noProof/>
        </w:rPr>
      </w:pPr>
      <w:r>
        <w:rPr>
          <w:noProof/>
        </w:rPr>
        <w:drawing>
          <wp:anchor distT="0" distB="0" distL="114300" distR="114300" simplePos="0" relativeHeight="251655168" behindDoc="0" locked="0" layoutInCell="1" allowOverlap="1">
            <wp:simplePos x="0" y="0"/>
            <wp:positionH relativeFrom="column">
              <wp:posOffset>64770</wp:posOffset>
            </wp:positionH>
            <wp:positionV relativeFrom="paragraph">
              <wp:posOffset>49530</wp:posOffset>
            </wp:positionV>
            <wp:extent cx="5446395" cy="3627755"/>
            <wp:effectExtent l="19050" t="19050" r="1905" b="0"/>
            <wp:wrapNone/>
            <wp:docPr id="16"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8">
                      <a:extLst>
                        <a:ext uri="{28A0092B-C50C-407E-A947-70E740481C1C}">
                          <a14:useLocalDpi xmlns:a14="http://schemas.microsoft.com/office/drawing/2010/main" val="0"/>
                        </a:ext>
                      </a:extLst>
                    </a:blip>
                    <a:srcRect t="6863"/>
                    <a:stretch>
                      <a:fillRect/>
                    </a:stretch>
                  </pic:blipFill>
                  <pic:spPr bwMode="auto">
                    <a:xfrm>
                      <a:off x="0" y="0"/>
                      <a:ext cx="5446395" cy="3627755"/>
                    </a:xfrm>
                    <a:prstGeom prst="rect">
                      <a:avLst/>
                    </a:prstGeom>
                    <a:noFill/>
                    <a:ln w="9525" algn="ctr">
                      <a:solidFill>
                        <a:srgbClr val="000000"/>
                      </a:solidFill>
                      <a:round/>
                      <a:headEnd/>
                      <a:tailEnd/>
                    </a:ln>
                  </pic:spPr>
                </pic:pic>
              </a:graphicData>
            </a:graphic>
            <wp14:sizeRelH relativeFrom="page">
              <wp14:pctWidth>0</wp14:pctWidth>
            </wp14:sizeRelH>
            <wp14:sizeRelV relativeFrom="page">
              <wp14:pctHeight>0</wp14:pctHeight>
            </wp14:sizeRelV>
          </wp:anchor>
        </w:drawing>
      </w:r>
    </w:p>
    <w:p w:rsidR="00222B1D" w:rsidRDefault="00222B1D" w:rsidP="008E68F6">
      <w:pPr>
        <w:pStyle w:val="2"/>
        <w:ind w:leftChars="0" w:left="850" w:hangingChars="300" w:hanging="850"/>
        <w:rPr>
          <w:rFonts w:hAnsi="標楷體"/>
          <w:noProof/>
        </w:rPr>
      </w:pPr>
    </w:p>
    <w:p w:rsidR="00222B1D" w:rsidRPr="00F86ED1" w:rsidRDefault="00222B1D"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rPr>
      </w:pPr>
    </w:p>
    <w:p w:rsidR="008E68F6" w:rsidRDefault="008E68F6" w:rsidP="008E68F6">
      <w:pPr>
        <w:pStyle w:val="2"/>
        <w:ind w:leftChars="0" w:left="850" w:hangingChars="300" w:hanging="850"/>
        <w:rPr>
          <w:rFonts w:hAnsi="標楷體"/>
        </w:rPr>
      </w:pPr>
    </w:p>
    <w:p w:rsidR="00C361CB" w:rsidRDefault="00C361CB" w:rsidP="008E68F6">
      <w:pPr>
        <w:pStyle w:val="2"/>
        <w:ind w:leftChars="0" w:left="850" w:hangingChars="300" w:hanging="850"/>
        <w:rPr>
          <w:rFonts w:hAnsi="標楷體"/>
        </w:rPr>
      </w:pPr>
    </w:p>
    <w:p w:rsidR="00093307" w:rsidRDefault="00093307" w:rsidP="00D0060A">
      <w:pPr>
        <w:pStyle w:val="142"/>
        <w:ind w:firstLineChars="28" w:firstLine="68"/>
        <w:rPr>
          <w:rFonts w:hAnsi="標楷體"/>
          <w:szCs w:val="24"/>
        </w:rPr>
      </w:pPr>
    </w:p>
    <w:p w:rsidR="00D0060A" w:rsidRPr="00D0060A" w:rsidRDefault="00D0060A" w:rsidP="00D0060A">
      <w:pPr>
        <w:pStyle w:val="142"/>
        <w:ind w:firstLineChars="28" w:firstLine="68"/>
        <w:rPr>
          <w:rFonts w:hAnsi="標楷體"/>
          <w:szCs w:val="24"/>
        </w:rPr>
      </w:pPr>
      <w:r w:rsidRPr="00D0060A">
        <w:rPr>
          <w:rFonts w:hAnsi="標楷體" w:hint="eastAsia"/>
          <w:szCs w:val="24"/>
        </w:rPr>
        <w:t>資料來源：</w:t>
      </w:r>
      <w:r>
        <w:rPr>
          <w:rFonts w:hAnsi="標楷體" w:hint="eastAsia"/>
          <w:szCs w:val="24"/>
        </w:rPr>
        <w:t>依表2-1計算</w:t>
      </w:r>
      <w:r w:rsidRPr="00D0060A">
        <w:rPr>
          <w:rFonts w:hAnsi="標楷體" w:hint="eastAsia"/>
          <w:szCs w:val="24"/>
        </w:rPr>
        <w:t>。</w:t>
      </w:r>
    </w:p>
    <w:p w:rsidR="008E68F6" w:rsidRDefault="008E68F6" w:rsidP="008E68F6">
      <w:pPr>
        <w:pStyle w:val="a4"/>
        <w:ind w:left="849" w:hanging="283"/>
        <w:rPr>
          <w:b/>
        </w:rPr>
      </w:pPr>
      <w:r w:rsidRPr="00BA156B">
        <w:rPr>
          <w:rFonts w:hint="eastAsia"/>
          <w:b/>
        </w:rPr>
        <w:lastRenderedPageBreak/>
        <w:t>(二)</w:t>
      </w:r>
      <w:r w:rsidR="00BA156B" w:rsidRPr="00BA156B">
        <w:rPr>
          <w:rFonts w:hint="eastAsia"/>
          <w:b/>
        </w:rPr>
        <w:t>經財政部以114年度各稅預算資料設算修正後財劃法對中央財源影響，初估中央政府須增加釋出財源3,753億元</w:t>
      </w:r>
    </w:p>
    <w:p w:rsidR="00A41E1D" w:rsidRDefault="006E4329" w:rsidP="006E4329">
      <w:pPr>
        <w:pStyle w:val="2"/>
        <w:ind w:left="850" w:firstLine="566"/>
        <w:rPr>
          <w:rFonts w:hAnsi="標楷體"/>
        </w:rPr>
      </w:pPr>
      <w:r w:rsidRPr="006E4329">
        <w:rPr>
          <w:rFonts w:hAnsi="標楷體" w:hint="eastAsia"/>
        </w:rPr>
        <w:t>稅課收入依財政收支劃分法</w:t>
      </w:r>
      <w:r w:rsidR="00C25E4E">
        <w:rPr>
          <w:rFonts w:hAnsi="標楷體" w:hint="eastAsia"/>
        </w:rPr>
        <w:t>(下稱財劃法)</w:t>
      </w:r>
      <w:r w:rsidRPr="006E4329">
        <w:rPr>
          <w:rFonts w:hAnsi="標楷體" w:hint="eastAsia"/>
        </w:rPr>
        <w:t>規定，劃歸中央政府財政之各項稅目，稱之為國稅</w:t>
      </w:r>
      <w:r w:rsidR="00965751">
        <w:rPr>
          <w:rFonts w:hAnsi="標楷體" w:hint="eastAsia"/>
        </w:rPr>
        <w:t>，</w:t>
      </w:r>
      <w:r w:rsidRPr="006E4329">
        <w:rPr>
          <w:rFonts w:hAnsi="標楷體" w:hint="eastAsia"/>
        </w:rPr>
        <w:t>包括所得稅、遺產及贈與稅、關稅、營業稅、貨物稅、菸酒稅、證券交易稅、期貨交易稅</w:t>
      </w:r>
      <w:r w:rsidR="00965751">
        <w:rPr>
          <w:rFonts w:hAnsi="標楷體" w:hint="eastAsia"/>
        </w:rPr>
        <w:t>等</w:t>
      </w:r>
      <w:r w:rsidR="00965751">
        <w:rPr>
          <w:rStyle w:val="af6"/>
          <w:rFonts w:hAnsi="標楷體"/>
        </w:rPr>
        <w:footnoteReference w:id="2"/>
      </w:r>
      <w:r w:rsidR="00B72630">
        <w:rPr>
          <w:rFonts w:hAnsi="標楷體" w:hint="eastAsia"/>
        </w:rPr>
        <w:t>，</w:t>
      </w:r>
      <w:r w:rsidR="008C7B49">
        <w:rPr>
          <w:rFonts w:hAnsi="標楷體" w:hint="eastAsia"/>
        </w:rPr>
        <w:t>且</w:t>
      </w:r>
      <w:r w:rsidR="00B72630">
        <w:rPr>
          <w:rFonts w:hAnsi="標楷體" w:hint="eastAsia"/>
        </w:rPr>
        <w:t>依</w:t>
      </w:r>
      <w:r w:rsidR="00B72630" w:rsidRPr="00B72630">
        <w:rPr>
          <w:rFonts w:hAnsi="標楷體" w:hint="eastAsia"/>
        </w:rPr>
        <w:t>財劃法</w:t>
      </w:r>
      <w:r w:rsidR="00B72630">
        <w:rPr>
          <w:rFonts w:hAnsi="標楷體" w:hint="eastAsia"/>
        </w:rPr>
        <w:t>之規定，</w:t>
      </w:r>
      <w:r w:rsidRPr="006E4329">
        <w:rPr>
          <w:rFonts w:hAnsi="標楷體" w:hint="eastAsia"/>
        </w:rPr>
        <w:t>國稅收入</w:t>
      </w:r>
      <w:r w:rsidR="00B72630">
        <w:rPr>
          <w:rFonts w:hAnsi="標楷體" w:hint="eastAsia"/>
        </w:rPr>
        <w:t>並</w:t>
      </w:r>
      <w:r w:rsidR="00763FC3">
        <w:rPr>
          <w:rFonts w:hAnsi="標楷體" w:hint="eastAsia"/>
        </w:rPr>
        <w:t>非</w:t>
      </w:r>
      <w:r w:rsidRPr="006E4329">
        <w:rPr>
          <w:rFonts w:hAnsi="標楷體" w:hint="eastAsia"/>
        </w:rPr>
        <w:t>全部列入中央政府歲入，</w:t>
      </w:r>
      <w:r w:rsidR="00C25E4E">
        <w:rPr>
          <w:rFonts w:hAnsi="標楷體" w:hint="eastAsia"/>
        </w:rPr>
        <w:t>如</w:t>
      </w:r>
      <w:r w:rsidRPr="006E4329">
        <w:rPr>
          <w:rFonts w:hAnsi="標楷體" w:hint="eastAsia"/>
        </w:rPr>
        <w:t>國稅中所得稅、</w:t>
      </w:r>
      <w:r w:rsidR="00C25E4E">
        <w:rPr>
          <w:rFonts w:hAnsi="標楷體" w:hint="eastAsia"/>
        </w:rPr>
        <w:t>營業稅、</w:t>
      </w:r>
      <w:r w:rsidRPr="006E4329">
        <w:rPr>
          <w:rFonts w:hAnsi="標楷體" w:hint="eastAsia"/>
        </w:rPr>
        <w:t>貨物稅</w:t>
      </w:r>
      <w:r w:rsidR="00C25E4E">
        <w:rPr>
          <w:rFonts w:hAnsi="標楷體" w:hint="eastAsia"/>
        </w:rPr>
        <w:t>須按比例提撥中央統籌分配，</w:t>
      </w:r>
      <w:r w:rsidRPr="006E4329">
        <w:rPr>
          <w:rFonts w:hAnsi="標楷體" w:hint="eastAsia"/>
        </w:rPr>
        <w:t>遺產及贈與稅和菸酒稅，</w:t>
      </w:r>
      <w:r w:rsidR="00C25E4E">
        <w:rPr>
          <w:rFonts w:hAnsi="標楷體" w:hint="eastAsia"/>
        </w:rPr>
        <w:t>亦</w:t>
      </w:r>
      <w:r w:rsidR="00A41E1D">
        <w:rPr>
          <w:rFonts w:hAnsi="標楷體" w:hint="eastAsia"/>
        </w:rPr>
        <w:t>應</w:t>
      </w:r>
      <w:r w:rsidRPr="006E4329">
        <w:rPr>
          <w:rFonts w:hAnsi="標楷體" w:hint="eastAsia"/>
        </w:rPr>
        <w:t>依</w:t>
      </w:r>
      <w:r w:rsidR="00A41E1D">
        <w:rPr>
          <w:rFonts w:hAnsi="標楷體" w:hint="eastAsia"/>
        </w:rPr>
        <w:t>財劃法</w:t>
      </w:r>
      <w:r w:rsidRPr="006E4329">
        <w:rPr>
          <w:rFonts w:hAnsi="標楷體" w:hint="eastAsia"/>
        </w:rPr>
        <w:t>規定</w:t>
      </w:r>
      <w:r w:rsidR="00C25E4E">
        <w:rPr>
          <w:rFonts w:hAnsi="標楷體" w:hint="eastAsia"/>
        </w:rPr>
        <w:t>比例</w:t>
      </w:r>
      <w:r w:rsidRPr="006E4329">
        <w:rPr>
          <w:rFonts w:hAnsi="標楷體" w:hint="eastAsia"/>
        </w:rPr>
        <w:t>分配給直轄市、縣(市)及鄉(鎮、市)。</w:t>
      </w:r>
    </w:p>
    <w:p w:rsidR="00CB101A" w:rsidRDefault="00816EEE" w:rsidP="006E4329">
      <w:pPr>
        <w:pStyle w:val="2"/>
        <w:ind w:left="850" w:firstLine="566"/>
        <w:rPr>
          <w:rFonts w:hAnsi="標楷體"/>
        </w:rPr>
      </w:pPr>
      <w:r>
        <w:rPr>
          <w:rFonts w:hAnsi="標楷體" w:hint="eastAsia"/>
        </w:rPr>
        <w:t>又按</w:t>
      </w:r>
      <w:r w:rsidR="00C25E4E">
        <w:rPr>
          <w:rFonts w:hAnsi="標楷體" w:hint="eastAsia"/>
        </w:rPr>
        <w:t>總統於114年3月21日公布</w:t>
      </w:r>
      <w:r w:rsidR="00CB101A" w:rsidRPr="00CB101A">
        <w:rPr>
          <w:rFonts w:hAnsi="標楷體" w:hint="eastAsia"/>
        </w:rPr>
        <w:t>財劃法</w:t>
      </w:r>
      <w:r>
        <w:rPr>
          <w:rFonts w:hAnsi="標楷體" w:hint="eastAsia"/>
        </w:rPr>
        <w:t>修正條文</w:t>
      </w:r>
      <w:r w:rsidR="003A69BB">
        <w:rPr>
          <w:rFonts w:hAnsi="標楷體" w:hint="eastAsia"/>
        </w:rPr>
        <w:t>，其中</w:t>
      </w:r>
      <w:r w:rsidR="00CB101A" w:rsidRPr="00CB101A">
        <w:rPr>
          <w:rFonts w:hAnsi="標楷體" w:hint="eastAsia"/>
        </w:rPr>
        <w:t>第</w:t>
      </w:r>
      <w:r>
        <w:rPr>
          <w:rFonts w:hAnsi="標楷體" w:hint="eastAsia"/>
        </w:rPr>
        <w:lastRenderedPageBreak/>
        <w:t>8</w:t>
      </w:r>
      <w:r w:rsidR="00CB101A" w:rsidRPr="00CB101A">
        <w:rPr>
          <w:rFonts w:hAnsi="標楷體" w:hint="eastAsia"/>
        </w:rPr>
        <w:t>條</w:t>
      </w:r>
      <w:r>
        <w:rPr>
          <w:rFonts w:hAnsi="標楷體" w:hint="eastAsia"/>
        </w:rPr>
        <w:t>第2項規定</w:t>
      </w:r>
      <w:r w:rsidR="003A69BB">
        <w:rPr>
          <w:rStyle w:val="af6"/>
          <w:rFonts w:hAnsi="標楷體"/>
        </w:rPr>
        <w:footnoteReference w:id="3"/>
      </w:r>
      <w:r w:rsidR="00953BE1">
        <w:rPr>
          <w:rFonts w:hAnsi="標楷體" w:hint="eastAsia"/>
        </w:rPr>
        <w:t>，修正調整各級政府稅收之劃分</w:t>
      </w:r>
      <w:r w:rsidR="00CB101A" w:rsidRPr="00CB101A">
        <w:rPr>
          <w:rFonts w:hAnsi="標楷體" w:hint="eastAsia"/>
        </w:rPr>
        <w:t>，</w:t>
      </w:r>
      <w:r w:rsidR="003A69BB" w:rsidRPr="003A69BB">
        <w:rPr>
          <w:rFonts w:hAnsi="標楷體" w:hint="eastAsia"/>
        </w:rPr>
        <w:t>將所得稅提撥中央統籌分配之比例由10%</w:t>
      </w:r>
      <w:r w:rsidR="003A69BB">
        <w:rPr>
          <w:rFonts w:hAnsi="標楷體" w:hint="eastAsia"/>
        </w:rPr>
        <w:t>修正</w:t>
      </w:r>
      <w:r w:rsidR="003A69BB" w:rsidRPr="003A69BB">
        <w:rPr>
          <w:rFonts w:hAnsi="標楷體" w:hint="eastAsia"/>
        </w:rPr>
        <w:t>提高為11%</w:t>
      </w:r>
      <w:r w:rsidR="003A69BB">
        <w:rPr>
          <w:rFonts w:hAnsi="標楷體" w:hint="eastAsia"/>
        </w:rPr>
        <w:t>、</w:t>
      </w:r>
      <w:r w:rsidR="003A69BB" w:rsidRPr="003A69BB">
        <w:rPr>
          <w:rFonts w:hAnsi="標楷體" w:hint="eastAsia"/>
        </w:rPr>
        <w:t>營業稅由扣除統一發票給獎獎金後之40%</w:t>
      </w:r>
      <w:r w:rsidR="003A69BB">
        <w:rPr>
          <w:rFonts w:hAnsi="標楷體" w:hint="eastAsia"/>
        </w:rPr>
        <w:t>，修正</w:t>
      </w:r>
      <w:r w:rsidR="003A69BB" w:rsidRPr="003A69BB">
        <w:rPr>
          <w:rFonts w:hAnsi="標楷體" w:hint="eastAsia"/>
        </w:rPr>
        <w:t>提高為扣除1.5%作為稽徵經費及統一發票給獎獎金後之全部收入，均應由中央統籌分配直轄市、縣</w:t>
      </w:r>
      <w:r w:rsidR="00BB35DD">
        <w:rPr>
          <w:rFonts w:hAnsi="標楷體" w:hint="eastAsia"/>
        </w:rPr>
        <w:t>(</w:t>
      </w:r>
      <w:r w:rsidR="003A69BB" w:rsidRPr="003A69BB">
        <w:rPr>
          <w:rFonts w:hAnsi="標楷體" w:hint="eastAsia"/>
        </w:rPr>
        <w:t>市</w:t>
      </w:r>
      <w:r w:rsidR="00BB35DD">
        <w:rPr>
          <w:rFonts w:hAnsi="標楷體" w:hint="eastAsia"/>
        </w:rPr>
        <w:t>)</w:t>
      </w:r>
      <w:r w:rsidR="003A69BB" w:rsidRPr="003A69BB">
        <w:rPr>
          <w:rFonts w:hAnsi="標楷體" w:hint="eastAsia"/>
        </w:rPr>
        <w:t>及鄉</w:t>
      </w:r>
      <w:r w:rsidR="00BB35DD">
        <w:rPr>
          <w:rFonts w:hAnsi="標楷體" w:hint="eastAsia"/>
        </w:rPr>
        <w:t>(</w:t>
      </w:r>
      <w:r w:rsidR="003A69BB" w:rsidRPr="003A69BB">
        <w:rPr>
          <w:rFonts w:hAnsi="標楷體" w:hint="eastAsia"/>
        </w:rPr>
        <w:t>鎮、市</w:t>
      </w:r>
      <w:r w:rsidR="00BB35DD">
        <w:rPr>
          <w:rFonts w:hAnsi="標楷體" w:hint="eastAsia"/>
        </w:rPr>
        <w:t>)</w:t>
      </w:r>
      <w:r w:rsidR="00CB101A" w:rsidRPr="00CB101A">
        <w:rPr>
          <w:rFonts w:hAnsi="標楷體" w:hint="eastAsia"/>
        </w:rPr>
        <w:t>。</w:t>
      </w:r>
      <w:r w:rsidR="00BB35DD">
        <w:rPr>
          <w:rFonts w:hAnsi="標楷體" w:hint="eastAsia"/>
        </w:rPr>
        <w:t>經</w:t>
      </w:r>
      <w:r w:rsidR="00EE533F">
        <w:rPr>
          <w:rFonts w:hAnsi="標楷體" w:hint="eastAsia"/>
        </w:rPr>
        <w:t>洽</w:t>
      </w:r>
      <w:r w:rsidR="00CB101A" w:rsidRPr="00CB101A">
        <w:rPr>
          <w:rFonts w:hAnsi="標楷體" w:hint="eastAsia"/>
        </w:rPr>
        <w:t>財政部</w:t>
      </w:r>
      <w:r w:rsidR="00EE533F">
        <w:rPr>
          <w:rFonts w:hAnsi="標楷體" w:hint="eastAsia"/>
        </w:rPr>
        <w:t>表示，該部</w:t>
      </w:r>
      <w:r w:rsidR="00BB35DD">
        <w:rPr>
          <w:rFonts w:hAnsi="標楷體" w:hint="eastAsia"/>
        </w:rPr>
        <w:t>以</w:t>
      </w:r>
      <w:r w:rsidR="00CB101A" w:rsidRPr="00CB101A">
        <w:rPr>
          <w:rFonts w:hAnsi="標楷體" w:hint="eastAsia"/>
        </w:rPr>
        <w:t>114年度</w:t>
      </w:r>
      <w:r w:rsidR="00BB35DD">
        <w:rPr>
          <w:rFonts w:hAnsi="標楷體" w:hint="eastAsia"/>
        </w:rPr>
        <w:t>各稅</w:t>
      </w:r>
      <w:r w:rsidR="00CB101A" w:rsidRPr="00CB101A">
        <w:rPr>
          <w:rFonts w:hAnsi="標楷體" w:hint="eastAsia"/>
        </w:rPr>
        <w:t>預算</w:t>
      </w:r>
      <w:r w:rsidR="00BB35DD">
        <w:rPr>
          <w:rFonts w:hAnsi="標楷體" w:hint="eastAsia"/>
        </w:rPr>
        <w:t>資料設算</w:t>
      </w:r>
      <w:r w:rsidR="00A86ED9">
        <w:rPr>
          <w:rFonts w:hAnsi="標楷體" w:hint="eastAsia"/>
        </w:rPr>
        <w:t>修正後財劃法對中央財源影響</w:t>
      </w:r>
      <w:r w:rsidR="00EE533F">
        <w:rPr>
          <w:rFonts w:hAnsi="標楷體" w:hint="eastAsia"/>
        </w:rPr>
        <w:t>，</w:t>
      </w:r>
      <w:r w:rsidR="00A86ED9">
        <w:rPr>
          <w:rFonts w:hAnsi="標楷體" w:hint="eastAsia"/>
        </w:rPr>
        <w:t>初估中央政府</w:t>
      </w:r>
      <w:r w:rsidR="00EE533F">
        <w:rPr>
          <w:rFonts w:hAnsi="標楷體" w:hint="eastAsia"/>
        </w:rPr>
        <w:t>須</w:t>
      </w:r>
      <w:r w:rsidR="00CB101A" w:rsidRPr="00CB101A">
        <w:rPr>
          <w:rFonts w:hAnsi="標楷體" w:hint="eastAsia"/>
        </w:rPr>
        <w:t>增加釋出財源</w:t>
      </w:r>
      <w:r w:rsidR="00866573">
        <w:rPr>
          <w:rFonts w:hAnsi="標楷體" w:hint="eastAsia"/>
        </w:rPr>
        <w:t>計</w:t>
      </w:r>
      <w:r w:rsidR="00CB101A" w:rsidRPr="00CB101A">
        <w:rPr>
          <w:rFonts w:hAnsi="標楷體" w:hint="eastAsia"/>
        </w:rPr>
        <w:t>3,753億元</w:t>
      </w:r>
      <w:r w:rsidR="006446D8">
        <w:rPr>
          <w:rFonts w:hAnsi="標楷體" w:hint="eastAsia"/>
        </w:rPr>
        <w:t>，包含所得稅205億元及營業稅3</w:t>
      </w:r>
      <w:r w:rsidR="006446D8">
        <w:rPr>
          <w:rFonts w:hAnsi="標楷體"/>
        </w:rPr>
        <w:t>,548</w:t>
      </w:r>
      <w:r w:rsidR="006446D8">
        <w:rPr>
          <w:rFonts w:hAnsi="標楷體" w:hint="eastAsia"/>
        </w:rPr>
        <w:t>億元</w:t>
      </w:r>
      <w:r w:rsidR="006312D1">
        <w:rPr>
          <w:rFonts w:hAnsi="標楷體" w:hint="eastAsia"/>
        </w:rPr>
        <w:t>(詳表2-2)</w:t>
      </w:r>
      <w:r w:rsidR="00CB101A" w:rsidRPr="00CB101A">
        <w:rPr>
          <w:rFonts w:hAnsi="標楷體" w:hint="eastAsia"/>
        </w:rPr>
        <w:t>。</w:t>
      </w:r>
    </w:p>
    <w:p w:rsidR="0005140E" w:rsidRDefault="0005140E" w:rsidP="0005140E">
      <w:pPr>
        <w:pStyle w:val="20"/>
        <w:ind w:leftChars="29" w:left="1134" w:hangingChars="371" w:hanging="1052"/>
        <w:jc w:val="both"/>
        <w:rPr>
          <w:rFonts w:hAnsi="標楷體"/>
          <w:b/>
          <w:sz w:val="28"/>
        </w:rPr>
      </w:pPr>
      <w:r w:rsidRPr="00DC42CC">
        <w:rPr>
          <w:rFonts w:hint="eastAsia"/>
          <w:b/>
          <w:sz w:val="28"/>
        </w:rPr>
        <w:t>表2-</w:t>
      </w:r>
      <w:r>
        <w:rPr>
          <w:rFonts w:hint="eastAsia"/>
          <w:b/>
          <w:sz w:val="28"/>
        </w:rPr>
        <w:t>2</w:t>
      </w:r>
      <w:r w:rsidRPr="00DC42CC">
        <w:rPr>
          <w:rFonts w:hint="eastAsia"/>
          <w:b/>
          <w:sz w:val="28"/>
        </w:rPr>
        <w:t xml:space="preserve">  </w:t>
      </w:r>
      <w:r>
        <w:rPr>
          <w:rFonts w:hint="eastAsia"/>
          <w:b/>
          <w:sz w:val="28"/>
        </w:rPr>
        <w:t>修正後</w:t>
      </w:r>
      <w:r w:rsidRPr="0005140E">
        <w:rPr>
          <w:rFonts w:hAnsi="標楷體" w:hint="eastAsia"/>
          <w:b/>
          <w:sz w:val="28"/>
        </w:rPr>
        <w:t>財政收支劃分法對中央財源影響試算</w:t>
      </w:r>
      <w:r w:rsidRPr="00DC42CC">
        <w:rPr>
          <w:rFonts w:hAnsi="標楷體" w:hint="eastAsia"/>
          <w:b/>
          <w:sz w:val="28"/>
        </w:rPr>
        <w:t>表</w:t>
      </w:r>
    </w:p>
    <w:p w:rsidR="0005140E" w:rsidRPr="00DC42CC" w:rsidRDefault="0005140E" w:rsidP="0005140E">
      <w:pPr>
        <w:pStyle w:val="20"/>
        <w:ind w:leftChars="29" w:left="985" w:hangingChars="371" w:hanging="903"/>
        <w:jc w:val="right"/>
        <w:rPr>
          <w:rFonts w:hAnsi="標楷體"/>
          <w:szCs w:val="24"/>
        </w:rPr>
      </w:pPr>
      <w:r w:rsidRPr="00DC42CC">
        <w:rPr>
          <w:rFonts w:hAnsi="標楷體" w:hint="eastAsia"/>
          <w:b/>
        </w:rPr>
        <w:lastRenderedPageBreak/>
        <w:t xml:space="preserve">                                      </w:t>
      </w:r>
      <w:r w:rsidRPr="00DC42CC">
        <w:rPr>
          <w:rFonts w:hAnsi="標楷體" w:hint="eastAsia"/>
          <w:szCs w:val="24"/>
        </w:rPr>
        <w:t>單位：新臺幣</w:t>
      </w:r>
      <w:r>
        <w:rPr>
          <w:rFonts w:hAnsi="標楷體" w:hint="eastAsia"/>
          <w:szCs w:val="24"/>
        </w:rPr>
        <w:t>億</w:t>
      </w:r>
      <w:r w:rsidRPr="00DC42CC">
        <w:rPr>
          <w:rFonts w:hAnsi="標楷體" w:hint="eastAsia"/>
          <w:szCs w:val="24"/>
        </w:rPr>
        <w:t>元</w:t>
      </w:r>
      <w:r w:rsidR="006312D1">
        <w:rPr>
          <w:rFonts w:hAnsi="標楷體" w:hint="eastAsia"/>
          <w:szCs w:val="24"/>
        </w:rPr>
        <w:t>；%</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09"/>
        <w:gridCol w:w="850"/>
        <w:gridCol w:w="1134"/>
        <w:gridCol w:w="1116"/>
        <w:gridCol w:w="1018"/>
        <w:gridCol w:w="1130"/>
        <w:gridCol w:w="1090"/>
        <w:gridCol w:w="1281"/>
      </w:tblGrid>
      <w:tr w:rsidR="0005140E" w:rsidRPr="00587F54" w:rsidTr="00763F4F">
        <w:trPr>
          <w:trHeight w:val="475"/>
        </w:trPr>
        <w:tc>
          <w:tcPr>
            <w:tcW w:w="1759" w:type="dxa"/>
            <w:gridSpan w:val="2"/>
            <w:vMerge w:val="restart"/>
            <w:shd w:val="clear" w:color="auto" w:fill="auto"/>
            <w:vAlign w:val="center"/>
          </w:tcPr>
          <w:p w:rsidR="0005140E" w:rsidRPr="00DC42CC" w:rsidRDefault="0005140E" w:rsidP="00763F4F">
            <w:pPr>
              <w:pStyle w:val="142"/>
              <w:jc w:val="center"/>
              <w:rPr>
                <w:rFonts w:hAnsi="標楷體"/>
                <w:b/>
                <w:spacing w:val="-20"/>
                <w:szCs w:val="24"/>
              </w:rPr>
            </w:pPr>
            <w:r>
              <w:rPr>
                <w:rFonts w:hAnsi="標楷體" w:hint="eastAsia"/>
                <w:b/>
                <w:spacing w:val="-20"/>
                <w:szCs w:val="24"/>
              </w:rPr>
              <w:t>項</w:t>
            </w:r>
            <w:r w:rsidR="00763F4F">
              <w:rPr>
                <w:rFonts w:hAnsi="標楷體" w:hint="eastAsia"/>
                <w:b/>
                <w:spacing w:val="-20"/>
                <w:szCs w:val="24"/>
              </w:rPr>
              <w:t xml:space="preserve">    </w:t>
            </w:r>
            <w:r>
              <w:rPr>
                <w:rFonts w:hAnsi="標楷體" w:hint="eastAsia"/>
                <w:b/>
                <w:spacing w:val="-20"/>
                <w:szCs w:val="24"/>
              </w:rPr>
              <w:t>目</w:t>
            </w:r>
          </w:p>
        </w:tc>
        <w:tc>
          <w:tcPr>
            <w:tcW w:w="1134" w:type="dxa"/>
            <w:vMerge w:val="restart"/>
            <w:shd w:val="clear" w:color="auto" w:fill="auto"/>
            <w:vAlign w:val="center"/>
          </w:tcPr>
          <w:p w:rsidR="0005140E" w:rsidRDefault="0005140E" w:rsidP="00A9175F">
            <w:pPr>
              <w:pStyle w:val="142"/>
              <w:jc w:val="center"/>
              <w:rPr>
                <w:rFonts w:hAnsi="標楷體"/>
                <w:b/>
                <w:spacing w:val="-20"/>
                <w:szCs w:val="24"/>
              </w:rPr>
            </w:pPr>
            <w:r>
              <w:rPr>
                <w:rFonts w:hAnsi="標楷體" w:hint="eastAsia"/>
                <w:b/>
                <w:spacing w:val="-20"/>
                <w:szCs w:val="24"/>
              </w:rPr>
              <w:t>114年度</w:t>
            </w:r>
          </w:p>
          <w:p w:rsidR="0005140E" w:rsidRPr="00D03DF8" w:rsidRDefault="0005140E" w:rsidP="00A9175F">
            <w:pPr>
              <w:pStyle w:val="142"/>
              <w:jc w:val="center"/>
              <w:rPr>
                <w:rFonts w:hAnsi="標楷體"/>
                <w:b/>
                <w:spacing w:val="-20"/>
                <w:szCs w:val="24"/>
              </w:rPr>
            </w:pPr>
            <w:r>
              <w:rPr>
                <w:rFonts w:hAnsi="標楷體" w:hint="eastAsia"/>
                <w:b/>
                <w:spacing w:val="-20"/>
                <w:szCs w:val="24"/>
              </w:rPr>
              <w:t>預算數</w:t>
            </w:r>
            <w:r w:rsidR="00AC334F">
              <w:rPr>
                <w:rFonts w:hAnsi="標楷體" w:hint="eastAsia"/>
                <w:b/>
                <w:spacing w:val="-20"/>
                <w:szCs w:val="24"/>
              </w:rPr>
              <w:t>(1)</w:t>
            </w:r>
          </w:p>
        </w:tc>
        <w:tc>
          <w:tcPr>
            <w:tcW w:w="2134" w:type="dxa"/>
            <w:gridSpan w:val="2"/>
            <w:shd w:val="clear" w:color="auto" w:fill="auto"/>
            <w:vAlign w:val="center"/>
          </w:tcPr>
          <w:p w:rsidR="0005140E" w:rsidRPr="00D03DF8" w:rsidRDefault="0005140E" w:rsidP="00A9175F">
            <w:pPr>
              <w:pStyle w:val="142"/>
              <w:jc w:val="center"/>
              <w:rPr>
                <w:rFonts w:hAnsi="標楷體"/>
                <w:b/>
                <w:spacing w:val="-20"/>
                <w:szCs w:val="24"/>
              </w:rPr>
            </w:pPr>
            <w:r>
              <w:rPr>
                <w:rFonts w:hAnsi="標楷體" w:hint="eastAsia"/>
                <w:b/>
                <w:spacing w:val="-20"/>
                <w:szCs w:val="24"/>
              </w:rPr>
              <w:t>原規定</w:t>
            </w:r>
          </w:p>
        </w:tc>
        <w:tc>
          <w:tcPr>
            <w:tcW w:w="2220" w:type="dxa"/>
            <w:gridSpan w:val="2"/>
            <w:shd w:val="clear" w:color="auto" w:fill="auto"/>
            <w:vAlign w:val="center"/>
          </w:tcPr>
          <w:p w:rsidR="0005140E" w:rsidRPr="00D03DF8" w:rsidRDefault="0005140E" w:rsidP="00A9175F">
            <w:pPr>
              <w:pStyle w:val="142"/>
              <w:jc w:val="center"/>
              <w:rPr>
                <w:rFonts w:hAnsi="標楷體"/>
                <w:b/>
                <w:spacing w:val="-20"/>
                <w:szCs w:val="24"/>
              </w:rPr>
            </w:pPr>
            <w:r>
              <w:rPr>
                <w:rFonts w:hAnsi="標楷體" w:hint="eastAsia"/>
                <w:b/>
                <w:spacing w:val="-20"/>
                <w:szCs w:val="24"/>
              </w:rPr>
              <w:t>修正後</w:t>
            </w:r>
          </w:p>
        </w:tc>
        <w:tc>
          <w:tcPr>
            <w:tcW w:w="1281" w:type="dxa"/>
            <w:vMerge w:val="restart"/>
            <w:shd w:val="clear" w:color="auto" w:fill="auto"/>
            <w:vAlign w:val="center"/>
          </w:tcPr>
          <w:p w:rsidR="0005140E" w:rsidRDefault="0005140E" w:rsidP="00A9175F">
            <w:pPr>
              <w:pStyle w:val="142"/>
              <w:jc w:val="center"/>
              <w:rPr>
                <w:rFonts w:hAnsi="標楷體"/>
                <w:b/>
                <w:spacing w:val="-20"/>
                <w:szCs w:val="24"/>
              </w:rPr>
            </w:pPr>
            <w:r>
              <w:rPr>
                <w:rFonts w:hAnsi="標楷體" w:hint="eastAsia"/>
                <w:b/>
                <w:spacing w:val="-20"/>
                <w:szCs w:val="24"/>
              </w:rPr>
              <w:t>中央增加釋出財源金額</w:t>
            </w:r>
          </w:p>
          <w:p w:rsidR="00AC334F" w:rsidRPr="00D03DF8" w:rsidRDefault="00AC334F" w:rsidP="00A9175F">
            <w:pPr>
              <w:pStyle w:val="142"/>
              <w:jc w:val="center"/>
              <w:rPr>
                <w:rFonts w:hAnsi="標楷體"/>
                <w:b/>
                <w:spacing w:val="-20"/>
                <w:szCs w:val="24"/>
              </w:rPr>
            </w:pPr>
            <w:r>
              <w:rPr>
                <w:rFonts w:hAnsi="標楷體" w:hint="eastAsia"/>
                <w:b/>
                <w:spacing w:val="-20"/>
                <w:szCs w:val="24"/>
              </w:rPr>
              <w:t>=(5)-(3)</w:t>
            </w:r>
          </w:p>
        </w:tc>
      </w:tr>
      <w:tr w:rsidR="00763F4F" w:rsidRPr="00587F54" w:rsidTr="00763F4F">
        <w:trPr>
          <w:trHeight w:val="277"/>
        </w:trPr>
        <w:tc>
          <w:tcPr>
            <w:tcW w:w="1759" w:type="dxa"/>
            <w:gridSpan w:val="2"/>
            <w:vMerge/>
            <w:shd w:val="clear" w:color="auto" w:fill="auto"/>
            <w:vAlign w:val="center"/>
          </w:tcPr>
          <w:p w:rsidR="00AC334F" w:rsidRDefault="00AC334F" w:rsidP="00AC334F">
            <w:pPr>
              <w:pStyle w:val="142"/>
              <w:jc w:val="both"/>
              <w:rPr>
                <w:rFonts w:hAnsi="標楷體"/>
                <w:b/>
                <w:spacing w:val="-20"/>
                <w:szCs w:val="24"/>
              </w:rPr>
            </w:pPr>
          </w:p>
        </w:tc>
        <w:tc>
          <w:tcPr>
            <w:tcW w:w="1134" w:type="dxa"/>
            <w:vMerge/>
            <w:shd w:val="clear" w:color="auto" w:fill="auto"/>
            <w:vAlign w:val="center"/>
          </w:tcPr>
          <w:p w:rsidR="00AC334F" w:rsidRDefault="00AC334F" w:rsidP="00AC334F">
            <w:pPr>
              <w:pStyle w:val="142"/>
              <w:jc w:val="center"/>
              <w:rPr>
                <w:rFonts w:hAnsi="標楷體"/>
                <w:b/>
                <w:spacing w:val="-20"/>
                <w:szCs w:val="24"/>
              </w:rPr>
            </w:pPr>
          </w:p>
        </w:tc>
        <w:tc>
          <w:tcPr>
            <w:tcW w:w="1116" w:type="dxa"/>
            <w:shd w:val="clear" w:color="auto" w:fill="auto"/>
            <w:vAlign w:val="center"/>
          </w:tcPr>
          <w:p w:rsidR="00AC334F" w:rsidRPr="00D03DF8" w:rsidRDefault="00AC334F" w:rsidP="00AC334F">
            <w:pPr>
              <w:pStyle w:val="142"/>
              <w:jc w:val="center"/>
              <w:rPr>
                <w:rFonts w:hAnsi="標楷體"/>
                <w:b/>
                <w:spacing w:val="-20"/>
                <w:szCs w:val="24"/>
              </w:rPr>
            </w:pPr>
            <w:r>
              <w:rPr>
                <w:rFonts w:hAnsi="標楷體" w:hint="eastAsia"/>
                <w:b/>
                <w:spacing w:val="-20"/>
                <w:szCs w:val="24"/>
              </w:rPr>
              <w:t>分配地方比率(2)</w:t>
            </w:r>
          </w:p>
        </w:tc>
        <w:tc>
          <w:tcPr>
            <w:tcW w:w="1018" w:type="dxa"/>
            <w:shd w:val="clear" w:color="auto" w:fill="auto"/>
            <w:vAlign w:val="center"/>
          </w:tcPr>
          <w:p w:rsidR="00763F4F" w:rsidRDefault="00AC334F" w:rsidP="00763F4F">
            <w:pPr>
              <w:pStyle w:val="142"/>
              <w:jc w:val="center"/>
              <w:rPr>
                <w:rFonts w:hAnsi="標楷體"/>
                <w:b/>
                <w:spacing w:val="-20"/>
                <w:szCs w:val="24"/>
              </w:rPr>
            </w:pPr>
            <w:r>
              <w:rPr>
                <w:rFonts w:hAnsi="標楷體" w:hint="eastAsia"/>
                <w:b/>
                <w:spacing w:val="-20"/>
                <w:szCs w:val="24"/>
              </w:rPr>
              <w:t>金額(3)</w:t>
            </w:r>
          </w:p>
          <w:p w:rsidR="00AC334F" w:rsidRPr="00D03DF8" w:rsidRDefault="00AC334F" w:rsidP="00763F4F">
            <w:pPr>
              <w:pStyle w:val="142"/>
              <w:jc w:val="center"/>
              <w:rPr>
                <w:rFonts w:hAnsi="標楷體"/>
                <w:b/>
                <w:spacing w:val="-20"/>
                <w:szCs w:val="24"/>
              </w:rPr>
            </w:pPr>
            <w:r>
              <w:rPr>
                <w:rFonts w:hAnsi="標楷體" w:hint="eastAsia"/>
                <w:b/>
                <w:spacing w:val="-20"/>
                <w:szCs w:val="24"/>
              </w:rPr>
              <w:t>=(1)*(2)</w:t>
            </w:r>
          </w:p>
        </w:tc>
        <w:tc>
          <w:tcPr>
            <w:tcW w:w="1130" w:type="dxa"/>
            <w:shd w:val="clear" w:color="auto" w:fill="auto"/>
            <w:vAlign w:val="center"/>
          </w:tcPr>
          <w:p w:rsidR="00AC334F" w:rsidRPr="00D03DF8" w:rsidRDefault="00AC334F" w:rsidP="00AC334F">
            <w:pPr>
              <w:pStyle w:val="142"/>
              <w:jc w:val="center"/>
              <w:rPr>
                <w:rFonts w:hAnsi="標楷體"/>
                <w:b/>
                <w:spacing w:val="-20"/>
                <w:szCs w:val="24"/>
              </w:rPr>
            </w:pPr>
            <w:r>
              <w:rPr>
                <w:rFonts w:hAnsi="標楷體" w:hint="eastAsia"/>
                <w:b/>
                <w:spacing w:val="-20"/>
                <w:szCs w:val="24"/>
              </w:rPr>
              <w:t>分配地方比率(4)</w:t>
            </w:r>
          </w:p>
        </w:tc>
        <w:tc>
          <w:tcPr>
            <w:tcW w:w="1090" w:type="dxa"/>
            <w:shd w:val="clear" w:color="auto" w:fill="auto"/>
            <w:vAlign w:val="center"/>
          </w:tcPr>
          <w:p w:rsidR="00763F4F" w:rsidRDefault="00AC334F" w:rsidP="00763F4F">
            <w:pPr>
              <w:pStyle w:val="142"/>
              <w:jc w:val="center"/>
              <w:rPr>
                <w:rFonts w:hAnsi="標楷體"/>
                <w:b/>
                <w:spacing w:val="-20"/>
                <w:szCs w:val="24"/>
              </w:rPr>
            </w:pPr>
            <w:r>
              <w:rPr>
                <w:rFonts w:hAnsi="標楷體" w:hint="eastAsia"/>
                <w:b/>
                <w:spacing w:val="-20"/>
                <w:szCs w:val="24"/>
              </w:rPr>
              <w:t>金額(5)</w:t>
            </w:r>
          </w:p>
          <w:p w:rsidR="00AC334F" w:rsidRPr="00D03DF8" w:rsidRDefault="00AC334F" w:rsidP="00763F4F">
            <w:pPr>
              <w:pStyle w:val="142"/>
              <w:jc w:val="center"/>
              <w:rPr>
                <w:rFonts w:hAnsi="標楷體"/>
                <w:b/>
                <w:spacing w:val="-20"/>
                <w:szCs w:val="24"/>
              </w:rPr>
            </w:pPr>
            <w:r>
              <w:rPr>
                <w:rFonts w:hAnsi="標楷體" w:hint="eastAsia"/>
                <w:b/>
                <w:spacing w:val="-20"/>
                <w:szCs w:val="24"/>
              </w:rPr>
              <w:t>=(1)*(4)</w:t>
            </w:r>
          </w:p>
        </w:tc>
        <w:tc>
          <w:tcPr>
            <w:tcW w:w="1281" w:type="dxa"/>
            <w:vMerge/>
            <w:shd w:val="clear" w:color="auto" w:fill="auto"/>
            <w:vAlign w:val="center"/>
          </w:tcPr>
          <w:p w:rsidR="00AC334F" w:rsidRPr="00D03DF8" w:rsidRDefault="00AC334F" w:rsidP="00AC334F">
            <w:pPr>
              <w:pStyle w:val="142"/>
              <w:jc w:val="center"/>
              <w:rPr>
                <w:rFonts w:hAnsi="標楷體"/>
                <w:b/>
                <w:spacing w:val="-20"/>
                <w:szCs w:val="24"/>
              </w:rPr>
            </w:pPr>
          </w:p>
        </w:tc>
      </w:tr>
      <w:tr w:rsidR="00763F4F" w:rsidRPr="00587F54" w:rsidTr="00521E5E">
        <w:trPr>
          <w:trHeight w:val="397"/>
        </w:trPr>
        <w:tc>
          <w:tcPr>
            <w:tcW w:w="909" w:type="dxa"/>
            <w:vMerge w:val="restart"/>
            <w:shd w:val="clear" w:color="auto" w:fill="auto"/>
            <w:vAlign w:val="center"/>
          </w:tcPr>
          <w:p w:rsidR="00AC334F" w:rsidRPr="00D8223C" w:rsidRDefault="00AC334F" w:rsidP="00AC334F">
            <w:pPr>
              <w:pStyle w:val="142"/>
              <w:jc w:val="both"/>
              <w:rPr>
                <w:rFonts w:hAnsi="標楷體"/>
                <w:spacing w:val="-20"/>
                <w:szCs w:val="24"/>
              </w:rPr>
            </w:pPr>
            <w:r>
              <w:rPr>
                <w:rFonts w:hAnsi="標楷體" w:hint="eastAsia"/>
                <w:spacing w:val="-20"/>
                <w:szCs w:val="24"/>
              </w:rPr>
              <w:t>所得稅</w:t>
            </w:r>
          </w:p>
        </w:tc>
        <w:tc>
          <w:tcPr>
            <w:tcW w:w="850" w:type="dxa"/>
            <w:shd w:val="clear" w:color="auto" w:fill="auto"/>
            <w:vAlign w:val="center"/>
          </w:tcPr>
          <w:p w:rsidR="00AC334F" w:rsidRPr="00521E5E" w:rsidRDefault="00AC334F" w:rsidP="00D74F0B">
            <w:pPr>
              <w:pStyle w:val="142"/>
              <w:ind w:leftChars="-20" w:left="-57" w:rightChars="-23" w:right="-65"/>
              <w:jc w:val="both"/>
              <w:rPr>
                <w:rFonts w:hAnsi="標楷體"/>
                <w:spacing w:val="-34"/>
                <w:szCs w:val="24"/>
              </w:rPr>
            </w:pPr>
            <w:r w:rsidRPr="00521E5E">
              <w:rPr>
                <w:rFonts w:hAnsi="標楷體" w:hint="eastAsia"/>
                <w:spacing w:val="-26"/>
                <w:szCs w:val="24"/>
              </w:rPr>
              <w:t>綜</w:t>
            </w:r>
            <w:r w:rsidR="00D74F0B" w:rsidRPr="00521E5E">
              <w:rPr>
                <w:rFonts w:hAnsi="標楷體" w:hint="eastAsia"/>
                <w:spacing w:val="-26"/>
                <w:szCs w:val="24"/>
              </w:rPr>
              <w:t>合</w:t>
            </w:r>
            <w:r w:rsidRPr="00521E5E">
              <w:rPr>
                <w:rFonts w:hAnsi="標楷體" w:hint="eastAsia"/>
                <w:spacing w:val="-26"/>
                <w:szCs w:val="24"/>
              </w:rPr>
              <w:t>所</w:t>
            </w:r>
            <w:r w:rsidR="00D74F0B" w:rsidRPr="00521E5E">
              <w:rPr>
                <w:rFonts w:hAnsi="標楷體" w:hint="eastAsia"/>
                <w:spacing w:val="-26"/>
                <w:szCs w:val="24"/>
              </w:rPr>
              <w:t>得</w:t>
            </w:r>
            <w:r w:rsidRPr="00521E5E">
              <w:rPr>
                <w:rFonts w:hAnsi="標楷體" w:hint="eastAsia"/>
                <w:spacing w:val="-26"/>
                <w:szCs w:val="24"/>
              </w:rPr>
              <w:t>稅</w:t>
            </w:r>
          </w:p>
        </w:tc>
        <w:tc>
          <w:tcPr>
            <w:tcW w:w="1134"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8,673</w:t>
            </w:r>
          </w:p>
        </w:tc>
        <w:tc>
          <w:tcPr>
            <w:tcW w:w="1116" w:type="dxa"/>
            <w:shd w:val="clear" w:color="auto" w:fill="auto"/>
            <w:vAlign w:val="center"/>
          </w:tcPr>
          <w:p w:rsidR="00AC334F" w:rsidRPr="00AB5628" w:rsidRDefault="00AC334F" w:rsidP="006312D1">
            <w:pPr>
              <w:pStyle w:val="142"/>
              <w:jc w:val="right"/>
              <w:rPr>
                <w:rFonts w:hAnsi="標楷體"/>
                <w:szCs w:val="24"/>
              </w:rPr>
            </w:pPr>
            <w:r w:rsidRPr="00AB5628">
              <w:rPr>
                <w:rFonts w:hAnsi="標楷體" w:hint="eastAsia"/>
                <w:szCs w:val="24"/>
              </w:rPr>
              <w:t>10</w:t>
            </w:r>
          </w:p>
        </w:tc>
        <w:tc>
          <w:tcPr>
            <w:tcW w:w="1018"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867</w:t>
            </w:r>
          </w:p>
        </w:tc>
        <w:tc>
          <w:tcPr>
            <w:tcW w:w="1130" w:type="dxa"/>
            <w:shd w:val="clear" w:color="auto" w:fill="auto"/>
            <w:vAlign w:val="center"/>
          </w:tcPr>
          <w:p w:rsidR="00AC334F" w:rsidRPr="00AB5628" w:rsidRDefault="00AC334F" w:rsidP="006312D1">
            <w:pPr>
              <w:pStyle w:val="142"/>
              <w:jc w:val="right"/>
              <w:rPr>
                <w:rFonts w:hAnsi="標楷體"/>
                <w:szCs w:val="24"/>
              </w:rPr>
            </w:pPr>
            <w:r w:rsidRPr="00AB5628">
              <w:rPr>
                <w:rFonts w:hAnsi="標楷體" w:hint="eastAsia"/>
                <w:szCs w:val="24"/>
              </w:rPr>
              <w:t>11</w:t>
            </w:r>
          </w:p>
        </w:tc>
        <w:tc>
          <w:tcPr>
            <w:tcW w:w="1090"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954</w:t>
            </w:r>
          </w:p>
        </w:tc>
        <w:tc>
          <w:tcPr>
            <w:tcW w:w="1281"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87</w:t>
            </w:r>
          </w:p>
        </w:tc>
      </w:tr>
      <w:tr w:rsidR="00763F4F" w:rsidRPr="00587F54" w:rsidTr="00521E5E">
        <w:trPr>
          <w:trHeight w:val="397"/>
        </w:trPr>
        <w:tc>
          <w:tcPr>
            <w:tcW w:w="909" w:type="dxa"/>
            <w:vMerge/>
            <w:shd w:val="clear" w:color="auto" w:fill="auto"/>
            <w:vAlign w:val="center"/>
          </w:tcPr>
          <w:p w:rsidR="00AC334F" w:rsidRPr="00D8223C" w:rsidRDefault="00AC334F" w:rsidP="00AC334F">
            <w:pPr>
              <w:pStyle w:val="142"/>
              <w:jc w:val="both"/>
              <w:rPr>
                <w:rFonts w:hAnsi="標楷體"/>
                <w:spacing w:val="-20"/>
                <w:szCs w:val="24"/>
              </w:rPr>
            </w:pPr>
          </w:p>
        </w:tc>
        <w:tc>
          <w:tcPr>
            <w:tcW w:w="850" w:type="dxa"/>
            <w:shd w:val="clear" w:color="auto" w:fill="auto"/>
            <w:vAlign w:val="center"/>
          </w:tcPr>
          <w:p w:rsidR="00AC334F" w:rsidRPr="00D74F0B" w:rsidRDefault="00AC334F" w:rsidP="00D74F0B">
            <w:pPr>
              <w:pStyle w:val="142"/>
              <w:ind w:leftChars="-20" w:left="-57" w:rightChars="-23" w:right="-65"/>
              <w:jc w:val="both"/>
              <w:rPr>
                <w:rFonts w:hAnsi="標楷體"/>
                <w:spacing w:val="-26"/>
                <w:szCs w:val="24"/>
              </w:rPr>
            </w:pPr>
            <w:r w:rsidRPr="00D74F0B">
              <w:rPr>
                <w:rFonts w:hAnsi="標楷體" w:hint="eastAsia"/>
                <w:spacing w:val="-26"/>
                <w:szCs w:val="24"/>
              </w:rPr>
              <w:t>營</w:t>
            </w:r>
            <w:r w:rsidR="00D74F0B" w:rsidRPr="00D74F0B">
              <w:rPr>
                <w:rFonts w:hAnsi="標楷體" w:hint="eastAsia"/>
                <w:spacing w:val="-26"/>
                <w:szCs w:val="24"/>
              </w:rPr>
              <w:t>利事業所得</w:t>
            </w:r>
            <w:r w:rsidRPr="00D74F0B">
              <w:rPr>
                <w:rFonts w:hAnsi="標楷體" w:hint="eastAsia"/>
                <w:spacing w:val="-26"/>
                <w:szCs w:val="24"/>
              </w:rPr>
              <w:t>稅</w:t>
            </w:r>
          </w:p>
        </w:tc>
        <w:tc>
          <w:tcPr>
            <w:tcW w:w="1134"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11,800</w:t>
            </w:r>
          </w:p>
        </w:tc>
        <w:tc>
          <w:tcPr>
            <w:tcW w:w="1116" w:type="dxa"/>
            <w:shd w:val="clear" w:color="auto" w:fill="auto"/>
            <w:vAlign w:val="center"/>
          </w:tcPr>
          <w:p w:rsidR="00AC334F" w:rsidRPr="00AB5628" w:rsidRDefault="00AC334F" w:rsidP="006312D1">
            <w:pPr>
              <w:pStyle w:val="142"/>
              <w:jc w:val="right"/>
              <w:rPr>
                <w:rFonts w:hAnsi="標楷體"/>
                <w:szCs w:val="24"/>
              </w:rPr>
            </w:pPr>
            <w:r w:rsidRPr="00AB5628">
              <w:rPr>
                <w:rFonts w:hAnsi="標楷體" w:hint="eastAsia"/>
                <w:szCs w:val="24"/>
              </w:rPr>
              <w:t>10</w:t>
            </w:r>
          </w:p>
        </w:tc>
        <w:tc>
          <w:tcPr>
            <w:tcW w:w="1018"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1,180</w:t>
            </w:r>
          </w:p>
        </w:tc>
        <w:tc>
          <w:tcPr>
            <w:tcW w:w="1130" w:type="dxa"/>
            <w:shd w:val="clear" w:color="auto" w:fill="auto"/>
            <w:vAlign w:val="center"/>
          </w:tcPr>
          <w:p w:rsidR="00AC334F" w:rsidRPr="00AB5628" w:rsidRDefault="00AC334F" w:rsidP="006312D1">
            <w:pPr>
              <w:pStyle w:val="142"/>
              <w:jc w:val="right"/>
              <w:rPr>
                <w:rFonts w:hAnsi="標楷體"/>
                <w:szCs w:val="24"/>
              </w:rPr>
            </w:pPr>
            <w:r w:rsidRPr="00AB5628">
              <w:rPr>
                <w:rFonts w:hAnsi="標楷體" w:hint="eastAsia"/>
                <w:szCs w:val="24"/>
              </w:rPr>
              <w:t>11</w:t>
            </w:r>
          </w:p>
        </w:tc>
        <w:tc>
          <w:tcPr>
            <w:tcW w:w="1090"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1,298</w:t>
            </w:r>
          </w:p>
        </w:tc>
        <w:tc>
          <w:tcPr>
            <w:tcW w:w="1281"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118</w:t>
            </w:r>
          </w:p>
        </w:tc>
      </w:tr>
      <w:tr w:rsidR="00763F4F" w:rsidRPr="00587F54" w:rsidTr="00D74F0B">
        <w:trPr>
          <w:trHeight w:val="454"/>
        </w:trPr>
        <w:tc>
          <w:tcPr>
            <w:tcW w:w="1759" w:type="dxa"/>
            <w:gridSpan w:val="2"/>
            <w:shd w:val="clear" w:color="auto" w:fill="auto"/>
            <w:vAlign w:val="center"/>
          </w:tcPr>
          <w:p w:rsidR="00763F4F" w:rsidRPr="00763F4F" w:rsidRDefault="00763F4F" w:rsidP="00763F4F">
            <w:pPr>
              <w:pStyle w:val="142"/>
              <w:jc w:val="both"/>
              <w:rPr>
                <w:rFonts w:hAnsi="標楷體"/>
                <w:spacing w:val="-20"/>
                <w:szCs w:val="24"/>
              </w:rPr>
            </w:pPr>
            <w:r w:rsidRPr="00763F4F">
              <w:rPr>
                <w:rFonts w:hAnsi="標楷體" w:hint="eastAsia"/>
                <w:spacing w:val="-20"/>
                <w:szCs w:val="24"/>
              </w:rPr>
              <w:t xml:space="preserve"> 營業稅</w:t>
            </w:r>
          </w:p>
        </w:tc>
        <w:tc>
          <w:tcPr>
            <w:tcW w:w="1134"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6,258</w:t>
            </w:r>
          </w:p>
        </w:tc>
        <w:tc>
          <w:tcPr>
            <w:tcW w:w="1116"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38.8</w:t>
            </w:r>
            <w:r w:rsidRPr="00AB5628">
              <w:rPr>
                <w:rFonts w:hAnsi="標楷體" w:hint="eastAsia"/>
                <w:sz w:val="28"/>
                <w:vertAlign w:val="superscript"/>
              </w:rPr>
              <w:t>1</w:t>
            </w:r>
          </w:p>
        </w:tc>
        <w:tc>
          <w:tcPr>
            <w:tcW w:w="1018"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2,428</w:t>
            </w:r>
          </w:p>
        </w:tc>
        <w:tc>
          <w:tcPr>
            <w:tcW w:w="1130"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95.5</w:t>
            </w:r>
            <w:r w:rsidRPr="00AB5628">
              <w:rPr>
                <w:rFonts w:hAnsi="標楷體" w:hint="eastAsia"/>
                <w:sz w:val="28"/>
                <w:vertAlign w:val="superscript"/>
              </w:rPr>
              <w:t>2</w:t>
            </w:r>
          </w:p>
        </w:tc>
        <w:tc>
          <w:tcPr>
            <w:tcW w:w="1090"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5,977</w:t>
            </w:r>
          </w:p>
        </w:tc>
        <w:tc>
          <w:tcPr>
            <w:tcW w:w="1281"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3,548</w:t>
            </w:r>
          </w:p>
        </w:tc>
      </w:tr>
      <w:tr w:rsidR="00763F4F" w:rsidRPr="00587F54" w:rsidTr="00D74F0B">
        <w:trPr>
          <w:trHeight w:val="454"/>
        </w:trPr>
        <w:tc>
          <w:tcPr>
            <w:tcW w:w="1759" w:type="dxa"/>
            <w:gridSpan w:val="2"/>
            <w:shd w:val="clear" w:color="auto" w:fill="auto"/>
            <w:vAlign w:val="center"/>
          </w:tcPr>
          <w:p w:rsidR="00763F4F" w:rsidRPr="00763F4F" w:rsidRDefault="00763F4F" w:rsidP="00763F4F">
            <w:pPr>
              <w:pStyle w:val="142"/>
              <w:jc w:val="both"/>
              <w:rPr>
                <w:rFonts w:hAnsi="標楷體"/>
                <w:spacing w:val="-20"/>
                <w:szCs w:val="24"/>
              </w:rPr>
            </w:pPr>
            <w:r w:rsidRPr="00763F4F">
              <w:rPr>
                <w:rFonts w:hAnsi="標楷體" w:hint="eastAsia"/>
                <w:spacing w:val="-20"/>
                <w:szCs w:val="24"/>
              </w:rPr>
              <w:t xml:space="preserve"> 菸酒稅</w:t>
            </w:r>
          </w:p>
        </w:tc>
        <w:tc>
          <w:tcPr>
            <w:tcW w:w="1134"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415</w:t>
            </w:r>
          </w:p>
        </w:tc>
        <w:tc>
          <w:tcPr>
            <w:tcW w:w="1116"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20</w:t>
            </w:r>
          </w:p>
        </w:tc>
        <w:tc>
          <w:tcPr>
            <w:tcW w:w="1018"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83</w:t>
            </w:r>
          </w:p>
        </w:tc>
        <w:tc>
          <w:tcPr>
            <w:tcW w:w="1130"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20</w:t>
            </w:r>
          </w:p>
        </w:tc>
        <w:tc>
          <w:tcPr>
            <w:tcW w:w="1090"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83</w:t>
            </w:r>
          </w:p>
        </w:tc>
        <w:tc>
          <w:tcPr>
            <w:tcW w:w="1281"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0</w:t>
            </w:r>
          </w:p>
        </w:tc>
      </w:tr>
      <w:tr w:rsidR="00763F4F" w:rsidRPr="00587F54" w:rsidTr="00D74F0B">
        <w:trPr>
          <w:trHeight w:val="454"/>
        </w:trPr>
        <w:tc>
          <w:tcPr>
            <w:tcW w:w="1759" w:type="dxa"/>
            <w:gridSpan w:val="2"/>
            <w:shd w:val="clear" w:color="auto" w:fill="auto"/>
            <w:vAlign w:val="center"/>
          </w:tcPr>
          <w:p w:rsidR="00763F4F" w:rsidRPr="00763F4F" w:rsidRDefault="00763F4F" w:rsidP="00763F4F">
            <w:pPr>
              <w:pStyle w:val="142"/>
              <w:jc w:val="both"/>
              <w:rPr>
                <w:rFonts w:hAnsi="標楷體"/>
                <w:spacing w:val="-20"/>
                <w:szCs w:val="24"/>
              </w:rPr>
            </w:pPr>
            <w:r w:rsidRPr="00763F4F">
              <w:rPr>
                <w:rFonts w:hAnsi="標楷體" w:hint="eastAsia"/>
                <w:spacing w:val="-20"/>
                <w:szCs w:val="24"/>
              </w:rPr>
              <w:t xml:space="preserve"> 貨物稅</w:t>
            </w:r>
          </w:p>
        </w:tc>
        <w:tc>
          <w:tcPr>
            <w:tcW w:w="1134"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1,695</w:t>
            </w:r>
          </w:p>
        </w:tc>
        <w:tc>
          <w:tcPr>
            <w:tcW w:w="1116"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10</w:t>
            </w:r>
          </w:p>
        </w:tc>
        <w:tc>
          <w:tcPr>
            <w:tcW w:w="1018"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169</w:t>
            </w:r>
          </w:p>
        </w:tc>
        <w:tc>
          <w:tcPr>
            <w:tcW w:w="1130"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10</w:t>
            </w:r>
          </w:p>
        </w:tc>
        <w:tc>
          <w:tcPr>
            <w:tcW w:w="1090"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169</w:t>
            </w:r>
          </w:p>
        </w:tc>
        <w:tc>
          <w:tcPr>
            <w:tcW w:w="1281"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0</w:t>
            </w:r>
          </w:p>
        </w:tc>
      </w:tr>
      <w:tr w:rsidR="006E68C7" w:rsidRPr="00587F54" w:rsidTr="00521E5E">
        <w:trPr>
          <w:trHeight w:val="454"/>
        </w:trPr>
        <w:tc>
          <w:tcPr>
            <w:tcW w:w="909" w:type="dxa"/>
            <w:vMerge w:val="restart"/>
            <w:shd w:val="clear" w:color="auto" w:fill="auto"/>
            <w:vAlign w:val="center"/>
          </w:tcPr>
          <w:p w:rsidR="006E68C7" w:rsidRPr="00D8223C" w:rsidRDefault="006E68C7" w:rsidP="00AC334F">
            <w:pPr>
              <w:pStyle w:val="142"/>
              <w:jc w:val="both"/>
              <w:rPr>
                <w:rFonts w:hAnsi="標楷體"/>
                <w:spacing w:val="-20"/>
                <w:szCs w:val="24"/>
              </w:rPr>
            </w:pPr>
            <w:r w:rsidRPr="00763F4F">
              <w:rPr>
                <w:rFonts w:hAnsi="標楷體" w:hint="eastAsia"/>
                <w:spacing w:val="-20"/>
                <w:szCs w:val="24"/>
              </w:rPr>
              <w:t>遺產及贈與稅</w:t>
            </w:r>
          </w:p>
        </w:tc>
        <w:tc>
          <w:tcPr>
            <w:tcW w:w="850" w:type="dxa"/>
            <w:shd w:val="clear" w:color="auto" w:fill="auto"/>
            <w:vAlign w:val="center"/>
          </w:tcPr>
          <w:p w:rsidR="006E68C7" w:rsidRPr="00D74F0B" w:rsidRDefault="006E68C7" w:rsidP="00D74F0B">
            <w:pPr>
              <w:pStyle w:val="142"/>
              <w:ind w:leftChars="-20" w:left="-57" w:rightChars="-23" w:right="-65"/>
              <w:jc w:val="both"/>
              <w:rPr>
                <w:rFonts w:hAnsi="標楷體"/>
                <w:spacing w:val="-20"/>
                <w:szCs w:val="24"/>
              </w:rPr>
            </w:pPr>
            <w:r w:rsidRPr="00D74F0B">
              <w:rPr>
                <w:rFonts w:hAnsi="標楷體" w:hint="eastAsia"/>
                <w:spacing w:val="-20"/>
                <w:szCs w:val="24"/>
              </w:rPr>
              <w:t>直轄市</w:t>
            </w:r>
          </w:p>
        </w:tc>
        <w:tc>
          <w:tcPr>
            <w:tcW w:w="1134"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437</w:t>
            </w:r>
          </w:p>
        </w:tc>
        <w:tc>
          <w:tcPr>
            <w:tcW w:w="1116" w:type="dxa"/>
            <w:shd w:val="clear" w:color="auto" w:fill="auto"/>
            <w:vAlign w:val="center"/>
          </w:tcPr>
          <w:p w:rsidR="006E68C7" w:rsidRPr="00AB5628" w:rsidRDefault="006E68C7" w:rsidP="006312D1">
            <w:pPr>
              <w:pStyle w:val="142"/>
              <w:jc w:val="right"/>
              <w:rPr>
                <w:rFonts w:hAnsi="標楷體"/>
                <w:szCs w:val="24"/>
              </w:rPr>
            </w:pPr>
            <w:r w:rsidRPr="00AB5628">
              <w:rPr>
                <w:rFonts w:hAnsi="標楷體" w:hint="eastAsia"/>
                <w:szCs w:val="24"/>
              </w:rPr>
              <w:t>50</w:t>
            </w:r>
          </w:p>
        </w:tc>
        <w:tc>
          <w:tcPr>
            <w:tcW w:w="1018"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219</w:t>
            </w:r>
          </w:p>
        </w:tc>
        <w:tc>
          <w:tcPr>
            <w:tcW w:w="1130" w:type="dxa"/>
            <w:shd w:val="clear" w:color="auto" w:fill="auto"/>
            <w:vAlign w:val="center"/>
          </w:tcPr>
          <w:p w:rsidR="006E68C7" w:rsidRPr="00AB5628" w:rsidRDefault="006E68C7" w:rsidP="006312D1">
            <w:pPr>
              <w:pStyle w:val="142"/>
              <w:jc w:val="right"/>
              <w:rPr>
                <w:rFonts w:hAnsi="標楷體"/>
                <w:szCs w:val="24"/>
              </w:rPr>
            </w:pPr>
            <w:r w:rsidRPr="00AB5628">
              <w:rPr>
                <w:rFonts w:hAnsi="標楷體" w:hint="eastAsia"/>
                <w:szCs w:val="24"/>
              </w:rPr>
              <w:t>50</w:t>
            </w:r>
          </w:p>
        </w:tc>
        <w:tc>
          <w:tcPr>
            <w:tcW w:w="1090"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219</w:t>
            </w:r>
          </w:p>
        </w:tc>
        <w:tc>
          <w:tcPr>
            <w:tcW w:w="1281"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0</w:t>
            </w:r>
          </w:p>
        </w:tc>
      </w:tr>
      <w:tr w:rsidR="006E68C7" w:rsidRPr="00587F54" w:rsidTr="00521E5E">
        <w:trPr>
          <w:trHeight w:val="454"/>
        </w:trPr>
        <w:tc>
          <w:tcPr>
            <w:tcW w:w="909" w:type="dxa"/>
            <w:vMerge/>
            <w:shd w:val="clear" w:color="auto" w:fill="auto"/>
            <w:vAlign w:val="center"/>
          </w:tcPr>
          <w:p w:rsidR="006E68C7" w:rsidRPr="00D8223C" w:rsidRDefault="006E68C7" w:rsidP="00AC334F">
            <w:pPr>
              <w:pStyle w:val="142"/>
              <w:jc w:val="both"/>
              <w:rPr>
                <w:rFonts w:hAnsi="標楷體"/>
                <w:spacing w:val="-20"/>
                <w:szCs w:val="24"/>
              </w:rPr>
            </w:pPr>
          </w:p>
        </w:tc>
        <w:tc>
          <w:tcPr>
            <w:tcW w:w="850" w:type="dxa"/>
            <w:shd w:val="clear" w:color="auto" w:fill="auto"/>
            <w:vAlign w:val="center"/>
          </w:tcPr>
          <w:p w:rsidR="006E68C7" w:rsidRPr="00D74F0B" w:rsidRDefault="006E68C7" w:rsidP="00D74F0B">
            <w:pPr>
              <w:pStyle w:val="142"/>
              <w:ind w:leftChars="-20" w:left="-57" w:rightChars="-23" w:right="-65"/>
              <w:jc w:val="both"/>
              <w:rPr>
                <w:rFonts w:hAnsi="標楷體"/>
                <w:spacing w:val="-20"/>
                <w:szCs w:val="24"/>
              </w:rPr>
            </w:pPr>
            <w:r w:rsidRPr="00D74F0B">
              <w:rPr>
                <w:rFonts w:hAnsi="標楷體" w:hint="eastAsia"/>
                <w:spacing w:val="-20"/>
                <w:szCs w:val="24"/>
              </w:rPr>
              <w:t>縣市</w:t>
            </w:r>
          </w:p>
        </w:tc>
        <w:tc>
          <w:tcPr>
            <w:tcW w:w="1134"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4</w:t>
            </w:r>
          </w:p>
        </w:tc>
        <w:tc>
          <w:tcPr>
            <w:tcW w:w="1116" w:type="dxa"/>
            <w:shd w:val="clear" w:color="auto" w:fill="auto"/>
            <w:vAlign w:val="center"/>
          </w:tcPr>
          <w:p w:rsidR="006E68C7" w:rsidRPr="00AB5628" w:rsidRDefault="006E68C7" w:rsidP="006312D1">
            <w:pPr>
              <w:pStyle w:val="142"/>
              <w:jc w:val="right"/>
              <w:rPr>
                <w:rFonts w:hAnsi="標楷體"/>
                <w:szCs w:val="24"/>
              </w:rPr>
            </w:pPr>
            <w:r w:rsidRPr="00AB5628">
              <w:rPr>
                <w:rFonts w:hAnsi="標楷體" w:hint="eastAsia"/>
                <w:szCs w:val="24"/>
              </w:rPr>
              <w:t>80</w:t>
            </w:r>
          </w:p>
        </w:tc>
        <w:tc>
          <w:tcPr>
            <w:tcW w:w="1018"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37</w:t>
            </w:r>
          </w:p>
        </w:tc>
        <w:tc>
          <w:tcPr>
            <w:tcW w:w="1130" w:type="dxa"/>
            <w:shd w:val="clear" w:color="auto" w:fill="auto"/>
            <w:vAlign w:val="center"/>
          </w:tcPr>
          <w:p w:rsidR="006E68C7" w:rsidRPr="00AB5628" w:rsidRDefault="006E68C7" w:rsidP="006312D1">
            <w:pPr>
              <w:pStyle w:val="142"/>
              <w:jc w:val="right"/>
              <w:rPr>
                <w:rFonts w:hAnsi="標楷體"/>
                <w:szCs w:val="24"/>
              </w:rPr>
            </w:pPr>
            <w:r w:rsidRPr="00AB5628">
              <w:rPr>
                <w:rFonts w:hAnsi="標楷體" w:hint="eastAsia"/>
                <w:szCs w:val="24"/>
              </w:rPr>
              <w:t>80</w:t>
            </w:r>
          </w:p>
        </w:tc>
        <w:tc>
          <w:tcPr>
            <w:tcW w:w="1090"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37</w:t>
            </w:r>
          </w:p>
        </w:tc>
        <w:tc>
          <w:tcPr>
            <w:tcW w:w="1281"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0</w:t>
            </w:r>
          </w:p>
        </w:tc>
      </w:tr>
      <w:tr w:rsidR="00AC334F" w:rsidRPr="00587F54" w:rsidTr="00D74F0B">
        <w:trPr>
          <w:trHeight w:val="454"/>
        </w:trPr>
        <w:tc>
          <w:tcPr>
            <w:tcW w:w="1759" w:type="dxa"/>
            <w:gridSpan w:val="2"/>
            <w:shd w:val="clear" w:color="auto" w:fill="auto"/>
            <w:vAlign w:val="center"/>
          </w:tcPr>
          <w:p w:rsidR="00AC334F" w:rsidRPr="00D8223C" w:rsidRDefault="006E68C7" w:rsidP="006E68C7">
            <w:pPr>
              <w:pStyle w:val="142"/>
              <w:jc w:val="center"/>
              <w:rPr>
                <w:rFonts w:hAnsi="標楷體"/>
                <w:spacing w:val="-20"/>
                <w:szCs w:val="24"/>
              </w:rPr>
            </w:pPr>
            <w:r>
              <w:rPr>
                <w:rFonts w:hAnsi="標楷體" w:hint="eastAsia"/>
                <w:spacing w:val="-20"/>
                <w:szCs w:val="24"/>
              </w:rPr>
              <w:t>合  計</w:t>
            </w:r>
          </w:p>
        </w:tc>
        <w:tc>
          <w:tcPr>
            <w:tcW w:w="1134" w:type="dxa"/>
            <w:shd w:val="clear" w:color="auto" w:fill="auto"/>
            <w:vAlign w:val="center"/>
          </w:tcPr>
          <w:p w:rsidR="00AC334F" w:rsidRPr="00AB5628" w:rsidRDefault="00AC334F" w:rsidP="00AC334F">
            <w:pPr>
              <w:pStyle w:val="142"/>
              <w:jc w:val="right"/>
              <w:rPr>
                <w:rFonts w:hAnsi="標楷體"/>
                <w:szCs w:val="24"/>
              </w:rPr>
            </w:pPr>
            <w:r w:rsidRPr="00AB5628">
              <w:rPr>
                <w:rFonts w:hAnsi="標楷體" w:hint="eastAsia"/>
                <w:szCs w:val="24"/>
              </w:rPr>
              <w:t xml:space="preserve">      -   </w:t>
            </w:r>
          </w:p>
        </w:tc>
        <w:tc>
          <w:tcPr>
            <w:tcW w:w="1116" w:type="dxa"/>
            <w:shd w:val="clear" w:color="auto" w:fill="auto"/>
            <w:vAlign w:val="center"/>
          </w:tcPr>
          <w:p w:rsidR="00AC334F" w:rsidRPr="00AB5628" w:rsidRDefault="00AC334F" w:rsidP="00AC334F">
            <w:pPr>
              <w:pStyle w:val="142"/>
              <w:jc w:val="right"/>
              <w:rPr>
                <w:rFonts w:hAnsi="標楷體"/>
                <w:szCs w:val="24"/>
              </w:rPr>
            </w:pPr>
            <w:r w:rsidRPr="00AB5628">
              <w:rPr>
                <w:rFonts w:hAnsi="標楷體" w:hint="eastAsia"/>
                <w:szCs w:val="24"/>
              </w:rPr>
              <w:t xml:space="preserve">     -   </w:t>
            </w:r>
          </w:p>
        </w:tc>
        <w:tc>
          <w:tcPr>
            <w:tcW w:w="1018" w:type="dxa"/>
            <w:shd w:val="clear" w:color="auto" w:fill="auto"/>
            <w:vAlign w:val="center"/>
          </w:tcPr>
          <w:p w:rsidR="00AC334F" w:rsidRPr="00AB5628" w:rsidRDefault="00AC334F" w:rsidP="00AC334F">
            <w:pPr>
              <w:pStyle w:val="142"/>
              <w:jc w:val="right"/>
              <w:rPr>
                <w:rFonts w:hAnsi="標楷體"/>
                <w:szCs w:val="24"/>
              </w:rPr>
            </w:pPr>
            <w:r w:rsidRPr="00AB5628">
              <w:rPr>
                <w:rFonts w:hAnsi="標楷體" w:hint="eastAsia"/>
                <w:szCs w:val="24"/>
              </w:rPr>
              <w:t xml:space="preserve"> 4,984 </w:t>
            </w:r>
          </w:p>
        </w:tc>
        <w:tc>
          <w:tcPr>
            <w:tcW w:w="1130" w:type="dxa"/>
            <w:shd w:val="clear" w:color="auto" w:fill="auto"/>
            <w:vAlign w:val="center"/>
          </w:tcPr>
          <w:p w:rsidR="00AC334F" w:rsidRPr="00AB5628" w:rsidRDefault="00AC334F" w:rsidP="00AC334F">
            <w:pPr>
              <w:pStyle w:val="142"/>
              <w:jc w:val="right"/>
              <w:rPr>
                <w:rFonts w:hAnsi="標楷體"/>
                <w:szCs w:val="24"/>
              </w:rPr>
            </w:pPr>
            <w:r w:rsidRPr="00AB5628">
              <w:rPr>
                <w:rFonts w:hAnsi="標楷體" w:hint="eastAsia"/>
                <w:szCs w:val="24"/>
              </w:rPr>
              <w:t xml:space="preserve">      -   </w:t>
            </w:r>
          </w:p>
        </w:tc>
        <w:tc>
          <w:tcPr>
            <w:tcW w:w="1090"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8,737</w:t>
            </w:r>
          </w:p>
        </w:tc>
        <w:tc>
          <w:tcPr>
            <w:tcW w:w="1281"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3,753</w:t>
            </w:r>
          </w:p>
        </w:tc>
      </w:tr>
    </w:tbl>
    <w:p w:rsidR="00AC334F" w:rsidRPr="00B5190A" w:rsidRDefault="00AC334F" w:rsidP="006446D8">
      <w:pPr>
        <w:spacing w:line="280" w:lineRule="exact"/>
        <w:ind w:leftChars="15" w:left="1499" w:rightChars="-8" w:right="-23" w:hangingChars="599" w:hanging="1457"/>
        <w:rPr>
          <w:rFonts w:hAnsi="標楷體"/>
          <w:sz w:val="24"/>
        </w:rPr>
      </w:pPr>
      <w:r w:rsidRPr="003A6A2F">
        <w:rPr>
          <w:rFonts w:hint="eastAsia"/>
          <w:sz w:val="24"/>
        </w:rPr>
        <w:t>說    明</w:t>
      </w:r>
      <w:r w:rsidRPr="003A6A2F">
        <w:rPr>
          <w:rFonts w:hAnsi="標楷體" w:hint="eastAsia"/>
          <w:sz w:val="24"/>
        </w:rPr>
        <w:t>：1.</w:t>
      </w:r>
      <w:r w:rsidR="006446D8">
        <w:rPr>
          <w:rFonts w:hAnsi="標楷體" w:hint="eastAsia"/>
          <w:sz w:val="24"/>
        </w:rPr>
        <w:t>依修正前財劃法之規定，</w:t>
      </w:r>
      <w:r w:rsidR="006446D8" w:rsidRPr="006446D8">
        <w:rPr>
          <w:rFonts w:hAnsi="標楷體" w:hint="eastAsia"/>
          <w:sz w:val="24"/>
        </w:rPr>
        <w:t>營業稅總收入減除依法提撥之統一發票給獎獎金3%後之40%(即38.8%)由中央統籌分配。</w:t>
      </w:r>
    </w:p>
    <w:p w:rsidR="00AC334F" w:rsidRPr="003A6A2F" w:rsidRDefault="00AC334F" w:rsidP="00195ECB">
      <w:pPr>
        <w:spacing w:line="280" w:lineRule="exact"/>
        <w:ind w:leftChars="444" w:left="1498" w:rightChars="-8" w:right="-23" w:hangingChars="99" w:hanging="241"/>
        <w:rPr>
          <w:rFonts w:hAnsi="標楷體"/>
          <w:sz w:val="24"/>
        </w:rPr>
      </w:pPr>
      <w:r w:rsidRPr="003A6A2F">
        <w:rPr>
          <w:rFonts w:hAnsi="標楷體" w:hint="eastAsia"/>
          <w:sz w:val="24"/>
        </w:rPr>
        <w:lastRenderedPageBreak/>
        <w:t>2.</w:t>
      </w:r>
      <w:r w:rsidR="006446D8">
        <w:rPr>
          <w:rFonts w:hAnsi="標楷體" w:hint="eastAsia"/>
          <w:sz w:val="24"/>
        </w:rPr>
        <w:t>依修正後財劃法之規定，</w:t>
      </w:r>
      <w:r w:rsidR="006446D8" w:rsidRPr="006446D8">
        <w:rPr>
          <w:rFonts w:hAnsi="標楷體" w:hint="eastAsia"/>
          <w:sz w:val="24"/>
        </w:rPr>
        <w:t>營業稅總收入減除稽徵經費1.5%及依法提撥之統一發票給獎獎金3%後之100%(即95.5%)由中央統籌分配。</w:t>
      </w:r>
    </w:p>
    <w:p w:rsidR="0005140E" w:rsidRPr="00D8223C" w:rsidRDefault="0005140E" w:rsidP="0005140E">
      <w:pPr>
        <w:pStyle w:val="142"/>
        <w:ind w:firstLineChars="28" w:firstLine="68"/>
        <w:rPr>
          <w:rFonts w:hAnsi="標楷體"/>
          <w:szCs w:val="24"/>
        </w:rPr>
      </w:pPr>
      <w:r w:rsidRPr="00D8223C">
        <w:rPr>
          <w:rFonts w:hAnsi="標楷體" w:hint="eastAsia"/>
          <w:szCs w:val="24"/>
        </w:rPr>
        <w:t>資料來源：</w:t>
      </w:r>
      <w:r w:rsidRPr="00040887">
        <w:rPr>
          <w:rFonts w:hAnsi="標楷體" w:hint="eastAsia"/>
          <w:szCs w:val="24"/>
        </w:rPr>
        <w:t>財政部</w:t>
      </w:r>
      <w:r w:rsidR="00671C07">
        <w:rPr>
          <w:rFonts w:hAnsi="標楷體" w:hint="eastAsia"/>
          <w:szCs w:val="24"/>
        </w:rPr>
        <w:t>國庫署</w:t>
      </w:r>
      <w:r>
        <w:rPr>
          <w:rFonts w:hAnsi="標楷體" w:hint="eastAsia"/>
          <w:szCs w:val="24"/>
        </w:rPr>
        <w:t>提供</w:t>
      </w:r>
      <w:r w:rsidRPr="00D8223C">
        <w:rPr>
          <w:rFonts w:hAnsi="標楷體" w:hint="eastAsia"/>
          <w:szCs w:val="24"/>
        </w:rPr>
        <w:t>。</w:t>
      </w:r>
    </w:p>
    <w:bookmarkEnd w:id="0"/>
    <w:bookmarkEnd w:id="1"/>
    <w:sectPr w:rsidR="0005140E" w:rsidRPr="00D8223C" w:rsidSect="003237B0">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36257F" w:rsidRPr="0036257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 w:id="2">
    <w:p w:rsidR="00A82976" w:rsidRPr="00965751" w:rsidRDefault="00A82976" w:rsidP="008F09CA">
      <w:pPr>
        <w:pStyle w:val="142"/>
        <w:ind w:left="83" w:hangingChars="34" w:hanging="83"/>
        <w:jc w:val="both"/>
      </w:pPr>
      <w:r>
        <w:rPr>
          <w:rStyle w:val="af6"/>
        </w:rPr>
        <w:footnoteRef/>
      </w:r>
      <w:r w:rsidRPr="00965751">
        <w:rPr>
          <w:rFonts w:hint="eastAsia"/>
        </w:rPr>
        <w:t>財劃法第</w:t>
      </w:r>
      <w:r>
        <w:rPr>
          <w:rFonts w:hint="eastAsia"/>
        </w:rPr>
        <w:t>8</w:t>
      </w:r>
      <w:r w:rsidRPr="00965751">
        <w:rPr>
          <w:rFonts w:hint="eastAsia"/>
        </w:rPr>
        <w:t>條第</w:t>
      </w:r>
      <w:r>
        <w:rPr>
          <w:rFonts w:hint="eastAsia"/>
        </w:rPr>
        <w:t>1</w:t>
      </w:r>
      <w:r w:rsidRPr="00965751">
        <w:rPr>
          <w:rFonts w:hint="eastAsia"/>
        </w:rPr>
        <w:t>項</w:t>
      </w:r>
      <w:r>
        <w:rPr>
          <w:rFonts w:hint="eastAsia"/>
        </w:rPr>
        <w:t>規定</w:t>
      </w:r>
      <w:r w:rsidRPr="00965751">
        <w:rPr>
          <w:rFonts w:hint="eastAsia"/>
        </w:rPr>
        <w:t>：「</w:t>
      </w:r>
      <w:r>
        <w:rPr>
          <w:rFonts w:hint="eastAsia"/>
        </w:rPr>
        <w:t>下列各稅為國稅：一、所得稅。二、遺產及贈與稅。三、關稅。四、營業稅。五、貨物稅。六、菸酒稅。七、證券交易稅。八、期貨交易稅。</w:t>
      </w:r>
      <w:r w:rsidRPr="00965751">
        <w:rPr>
          <w:rFonts w:hint="eastAsia"/>
        </w:rPr>
        <w:t>」</w:t>
      </w:r>
    </w:p>
  </w:footnote>
  <w:footnote w:id="3">
    <w:p w:rsidR="00A82976" w:rsidRDefault="00A82976" w:rsidP="00016812">
      <w:pPr>
        <w:pStyle w:val="142"/>
        <w:ind w:left="83" w:hangingChars="34" w:hanging="83"/>
        <w:jc w:val="both"/>
      </w:pPr>
      <w:r>
        <w:rPr>
          <w:rStyle w:val="af6"/>
        </w:rPr>
        <w:footnoteRef/>
      </w:r>
      <w:r w:rsidRPr="003A69BB">
        <w:rPr>
          <w:rFonts w:hint="eastAsia"/>
        </w:rPr>
        <w:t>財劃法第8條第</w:t>
      </w:r>
      <w:r>
        <w:rPr>
          <w:rFonts w:hint="eastAsia"/>
        </w:rPr>
        <w:t>2</w:t>
      </w:r>
      <w:r w:rsidRPr="003A69BB">
        <w:rPr>
          <w:rFonts w:hint="eastAsia"/>
        </w:rPr>
        <w:t>項</w:t>
      </w:r>
      <w:r>
        <w:rPr>
          <w:rFonts w:hint="eastAsia"/>
        </w:rPr>
        <w:t>規定</w:t>
      </w:r>
      <w:r w:rsidRPr="003A69BB">
        <w:rPr>
          <w:rFonts w:hint="eastAsia"/>
        </w:rPr>
        <w:t>：「前項第</w:t>
      </w:r>
      <w:r>
        <w:rPr>
          <w:rFonts w:hint="eastAsia"/>
        </w:rPr>
        <w:t>1</w:t>
      </w:r>
      <w:r w:rsidRPr="003A69BB">
        <w:rPr>
          <w:rFonts w:hint="eastAsia"/>
        </w:rPr>
        <w:t>款之所得稅總收入</w:t>
      </w:r>
      <w:r w:rsidRPr="00725BE2">
        <w:rPr>
          <w:rFonts w:hint="eastAsia"/>
          <w:b/>
        </w:rPr>
        <w:t>百分之</w:t>
      </w:r>
      <w:r w:rsidRPr="00BB35DD">
        <w:rPr>
          <w:rFonts w:hint="eastAsia"/>
          <w:b/>
        </w:rPr>
        <w:t>十一</w:t>
      </w:r>
      <w:r w:rsidRPr="003A69BB">
        <w:rPr>
          <w:rFonts w:hint="eastAsia"/>
        </w:rPr>
        <w:t>、第</w:t>
      </w:r>
      <w:r>
        <w:rPr>
          <w:rFonts w:hint="eastAsia"/>
        </w:rPr>
        <w:t>4</w:t>
      </w:r>
      <w:r w:rsidRPr="003A69BB">
        <w:rPr>
          <w:rFonts w:hint="eastAsia"/>
        </w:rPr>
        <w:t>款之營業稅總收入減除</w:t>
      </w:r>
      <w:r w:rsidRPr="00BB35DD">
        <w:rPr>
          <w:rFonts w:hint="eastAsia"/>
          <w:b/>
        </w:rPr>
        <w:t>百分之一點五作為稽徵經費及</w:t>
      </w:r>
      <w:r w:rsidRPr="003A69BB">
        <w:rPr>
          <w:rFonts w:hint="eastAsia"/>
        </w:rPr>
        <w:t>依法提撥之統一發票給獎獎金後之</w:t>
      </w:r>
      <w:r w:rsidRPr="00BB35DD">
        <w:rPr>
          <w:rFonts w:hint="eastAsia"/>
          <w:b/>
        </w:rPr>
        <w:t>全部收入</w:t>
      </w:r>
      <w:r w:rsidRPr="003A69BB">
        <w:rPr>
          <w:rFonts w:hint="eastAsia"/>
        </w:rPr>
        <w:t>及第</w:t>
      </w:r>
      <w:r>
        <w:rPr>
          <w:rFonts w:hint="eastAsia"/>
        </w:rPr>
        <w:t>5</w:t>
      </w:r>
      <w:r w:rsidRPr="003A69BB">
        <w:rPr>
          <w:rFonts w:hint="eastAsia"/>
        </w:rPr>
        <w:t>款之貨物稅總收入百分之十，應由中央統籌分配直轄市、縣（市）及鄉（鎮、市）。」</w:t>
      </w:r>
    </w:p>
    <w:p w:rsidR="00A82976" w:rsidRPr="003A69BB" w:rsidRDefault="00A82976" w:rsidP="00016812">
      <w:pPr>
        <w:pStyle w:val="142"/>
        <w:ind w:left="55" w:hangingChars="34" w:hanging="55"/>
        <w:jc w:val="both"/>
      </w:pPr>
      <w:r w:rsidRPr="00016812">
        <w:rPr>
          <w:rFonts w:hint="eastAsia"/>
          <w:sz w:val="16"/>
          <w:szCs w:val="16"/>
        </w:rPr>
        <w:t xml:space="preserve"> </w:t>
      </w:r>
      <w:r>
        <w:rPr>
          <w:rFonts w:hint="eastAsia"/>
        </w:rPr>
        <w:t>修正前財劃法</w:t>
      </w:r>
      <w:r w:rsidRPr="00BB35DD">
        <w:rPr>
          <w:rFonts w:hint="eastAsia"/>
        </w:rPr>
        <w:t>第8條第2項</w:t>
      </w:r>
      <w:r>
        <w:rPr>
          <w:rFonts w:hint="eastAsia"/>
        </w:rPr>
        <w:t>規定</w:t>
      </w:r>
      <w:r w:rsidRPr="00BB35DD">
        <w:rPr>
          <w:rFonts w:hint="eastAsia"/>
        </w:rPr>
        <w:t>：「前項第</w:t>
      </w:r>
      <w:r>
        <w:rPr>
          <w:rFonts w:hint="eastAsia"/>
        </w:rPr>
        <w:t>1</w:t>
      </w:r>
      <w:r w:rsidRPr="00BB35DD">
        <w:rPr>
          <w:rFonts w:hint="eastAsia"/>
        </w:rPr>
        <w:t>款之所得稅總收入</w:t>
      </w:r>
      <w:r w:rsidRPr="00725BE2">
        <w:rPr>
          <w:rFonts w:hint="eastAsia"/>
          <w:b/>
        </w:rPr>
        <w:t>百分之</w:t>
      </w:r>
      <w:r w:rsidRPr="00BB35DD">
        <w:rPr>
          <w:rFonts w:hint="eastAsia"/>
          <w:b/>
        </w:rPr>
        <w:t>十</w:t>
      </w:r>
      <w:r w:rsidRPr="00BB35DD">
        <w:rPr>
          <w:rFonts w:hint="eastAsia"/>
        </w:rPr>
        <w:t>、第</w:t>
      </w:r>
      <w:r>
        <w:rPr>
          <w:rFonts w:hint="eastAsia"/>
        </w:rPr>
        <w:t>4</w:t>
      </w:r>
      <w:r w:rsidRPr="00BB35DD">
        <w:rPr>
          <w:rFonts w:hint="eastAsia"/>
        </w:rPr>
        <w:t>款之營業稅總收入減除依法提撥之統一發票給獎獎金後之</w:t>
      </w:r>
      <w:r w:rsidRPr="00BB35DD">
        <w:rPr>
          <w:rFonts w:hint="eastAsia"/>
          <w:b/>
        </w:rPr>
        <w:t>百分之四十</w:t>
      </w:r>
      <w:r w:rsidRPr="00BB35DD">
        <w:rPr>
          <w:rFonts w:hint="eastAsia"/>
        </w:rPr>
        <w:t>及第</w:t>
      </w:r>
      <w:r>
        <w:rPr>
          <w:rFonts w:hint="eastAsia"/>
        </w:rPr>
        <w:t>5</w:t>
      </w:r>
      <w:r w:rsidRPr="00BB35DD">
        <w:rPr>
          <w:rFonts w:hint="eastAsia"/>
        </w:rPr>
        <w:t>款之貨物稅總收入百分之十，應由中央統籌分配直轄市、縣（市）及鄉（鎮、市）。」</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257F"/>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DE1D7D1-AD39-4FAF-803B-187A05DAC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B7015-6533-43E0-89EB-04D6F3F74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Pages>
  <Words>394</Words>
  <Characters>2250</Characters>
  <Application>Microsoft Office Word</Application>
  <DocSecurity>0</DocSecurity>
  <Lines>18</Lines>
  <Paragraphs>5</Paragraphs>
  <ScaleCrop>false</ScaleCrop>
  <Company/>
  <LinksUpToDate>false</LinksUpToDate>
  <CharactersWithSpaces>2639</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