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9F5" w:rsidRPr="00B4286C" w:rsidRDefault="003271B0" w:rsidP="003271B0">
      <w:pPr>
        <w:pStyle w:val="aa"/>
        <w:ind w:leftChars="134" w:left="391" w:rightChars="49" w:right="139" w:hangingChars="3" w:hanging="11"/>
        <w:jc w:val="left"/>
        <w:rPr>
          <w:sz w:val="24"/>
          <w:szCs w:val="24"/>
        </w:rPr>
      </w:pPr>
      <w:bookmarkStart w:id="0" w:name="_GoBack"/>
      <w:bookmarkEnd w:id="0"/>
      <w:r w:rsidRPr="003271B0">
        <w:rPr>
          <w:rFonts w:hint="eastAsia"/>
        </w:rPr>
        <w:t>近年中央政府總預算歲入結構變動概況及歲計賸餘運用情形之相關問題探討</w:t>
      </w:r>
      <w:r w:rsidR="00CA0BC9" w:rsidRPr="00513718">
        <w:rPr>
          <w:rFonts w:hint="eastAsia"/>
        </w:rPr>
        <w:t>目錄</w:t>
      </w:r>
      <w:r w:rsidR="002A1BED">
        <w:rPr>
          <w:rFonts w:hint="eastAsia"/>
          <w:sz w:val="24"/>
          <w:szCs w:val="24"/>
        </w:rPr>
        <w:t xml:space="preserve"> </w:t>
      </w:r>
      <w:r w:rsidR="00506812">
        <w:rPr>
          <w:rFonts w:hint="eastAsia"/>
          <w:sz w:val="24"/>
          <w:szCs w:val="24"/>
        </w:rPr>
        <w:t xml:space="preserve"> </w:t>
      </w:r>
      <w:r w:rsidR="002A1BED">
        <w:rPr>
          <w:rFonts w:hint="eastAsia"/>
          <w:sz w:val="24"/>
          <w:szCs w:val="24"/>
        </w:rPr>
        <w:t xml:space="preserve"> </w:t>
      </w:r>
      <w:r w:rsidR="00DD0582">
        <w:rPr>
          <w:rFonts w:hint="eastAsia"/>
          <w:sz w:val="24"/>
          <w:szCs w:val="24"/>
        </w:rPr>
        <w:t xml:space="preserve"> </w:t>
      </w:r>
      <w:r w:rsidR="006C2436">
        <w:rPr>
          <w:rFonts w:hint="eastAsia"/>
          <w:sz w:val="24"/>
          <w:szCs w:val="24"/>
        </w:rPr>
        <w:t xml:space="preserve">         </w:t>
      </w:r>
      <w:r w:rsidR="002A1BED">
        <w:rPr>
          <w:rFonts w:hint="eastAsia"/>
          <w:sz w:val="24"/>
          <w:szCs w:val="24"/>
        </w:rPr>
        <w:t xml:space="preserve">     </w:t>
      </w:r>
      <w:r w:rsidR="00EC3EF3">
        <w:rPr>
          <w:rFonts w:hint="eastAsia"/>
          <w:sz w:val="24"/>
          <w:szCs w:val="24"/>
        </w:rPr>
        <w:t xml:space="preserve">   </w:t>
      </w:r>
      <w:r w:rsidR="002D31FE">
        <w:rPr>
          <w:rFonts w:hint="eastAsia"/>
          <w:sz w:val="24"/>
          <w:szCs w:val="24"/>
        </w:rPr>
        <w:t xml:space="preserve"> </w:t>
      </w:r>
      <w:r w:rsidR="002A1BED">
        <w:rPr>
          <w:rFonts w:hint="eastAsia"/>
          <w:sz w:val="24"/>
          <w:szCs w:val="24"/>
        </w:rPr>
        <w:t xml:space="preserve"> </w:t>
      </w:r>
      <w:r w:rsidR="005A06DA" w:rsidRPr="00B4286C">
        <w:rPr>
          <w:rFonts w:hint="eastAsia"/>
          <w:sz w:val="24"/>
          <w:szCs w:val="24"/>
        </w:rPr>
        <w:t>頁次</w:t>
      </w:r>
    </w:p>
    <w:p w:rsidR="00DD56AB" w:rsidRPr="00D70236" w:rsidRDefault="00667B39">
      <w:pPr>
        <w:pStyle w:val="10"/>
        <w:ind w:left="822" w:right="663" w:hanging="445"/>
        <w:rPr>
          <w:rFonts w:ascii="Calibri" w:eastAsia="新細明體" w:hAnsi="Calibri"/>
          <w:b/>
          <w:snapToGrid/>
          <w:szCs w:val="22"/>
        </w:rPr>
      </w:pPr>
      <w:r w:rsidRPr="00EB483D">
        <w:rPr>
          <w:rStyle w:val="af1"/>
        </w:rPr>
        <w:fldChar w:fldCharType="begin"/>
      </w:r>
      <w:r w:rsidRPr="00EB483D">
        <w:rPr>
          <w:rStyle w:val="af1"/>
        </w:rPr>
        <w:instrText xml:space="preserve"> TOC \o "1-1" \h \z \t "第二層(14號字),1" </w:instrText>
      </w:r>
      <w:r w:rsidRPr="00EB483D">
        <w:rPr>
          <w:rStyle w:val="af1"/>
        </w:rPr>
        <w:fldChar w:fldCharType="separate"/>
      </w:r>
      <w:hyperlink w:anchor="_Toc203481646" w:history="1">
        <w:r w:rsidR="00DD56AB" w:rsidRPr="00DD56AB">
          <w:rPr>
            <w:rStyle w:val="af1"/>
            <w:rFonts w:hint="eastAsia"/>
            <w:b/>
          </w:rPr>
          <w:t>壹、前言</w:t>
        </w:r>
        <w:r w:rsidR="00DD56AB" w:rsidRPr="00DD56AB">
          <w:rPr>
            <w:b/>
            <w:webHidden/>
          </w:rPr>
          <w:tab/>
        </w:r>
        <w:r w:rsidR="00DD56AB" w:rsidRPr="00DD56AB">
          <w:rPr>
            <w:b/>
            <w:webHidden/>
          </w:rPr>
          <w:fldChar w:fldCharType="begin"/>
        </w:r>
        <w:r w:rsidR="00DD56AB" w:rsidRPr="00DD56AB">
          <w:rPr>
            <w:b/>
            <w:webHidden/>
          </w:rPr>
          <w:instrText xml:space="preserve"> PAGEREF _Toc203481646 \h </w:instrText>
        </w:r>
        <w:r w:rsidR="00DD56AB" w:rsidRPr="00DD56AB">
          <w:rPr>
            <w:b/>
            <w:webHidden/>
          </w:rPr>
        </w:r>
        <w:r w:rsidR="00DD56AB" w:rsidRPr="00DD56AB">
          <w:rPr>
            <w:b/>
            <w:webHidden/>
          </w:rPr>
          <w:fldChar w:fldCharType="separate"/>
        </w:r>
        <w:r w:rsidR="00300C91">
          <w:rPr>
            <w:b/>
            <w:webHidden/>
          </w:rPr>
          <w:t>1</w:t>
        </w:r>
        <w:r w:rsidR="00DD56AB" w:rsidRPr="00DD56AB">
          <w:rPr>
            <w:b/>
            <w:webHidden/>
          </w:rPr>
          <w:fldChar w:fldCharType="end"/>
        </w:r>
      </w:hyperlink>
    </w:p>
    <w:p w:rsidR="00DD56AB" w:rsidRPr="00D70236" w:rsidRDefault="007F21A9">
      <w:pPr>
        <w:pStyle w:val="10"/>
        <w:ind w:left="822" w:right="663" w:hanging="445"/>
        <w:rPr>
          <w:rFonts w:ascii="Calibri" w:eastAsia="新細明體" w:hAnsi="Calibri"/>
          <w:b/>
          <w:snapToGrid/>
          <w:szCs w:val="22"/>
        </w:rPr>
      </w:pPr>
      <w:hyperlink w:anchor="_Toc203481647" w:history="1">
        <w:r w:rsidR="00DD56AB" w:rsidRPr="00DD56AB">
          <w:rPr>
            <w:rStyle w:val="af1"/>
            <w:rFonts w:hint="eastAsia"/>
            <w:b/>
          </w:rPr>
          <w:t>貳、近年中央政府總預算歲入結構、國民租稅負擔率之變化、稅課收入達成率及歲計賸餘概況</w:t>
        </w:r>
        <w:r w:rsidR="00DD56AB" w:rsidRPr="00DD56AB">
          <w:rPr>
            <w:b/>
            <w:webHidden/>
          </w:rPr>
          <w:tab/>
        </w:r>
        <w:r w:rsidR="00DD56AB" w:rsidRPr="00DD56AB">
          <w:rPr>
            <w:b/>
            <w:webHidden/>
          </w:rPr>
          <w:fldChar w:fldCharType="begin"/>
        </w:r>
        <w:r w:rsidR="00DD56AB" w:rsidRPr="00DD56AB">
          <w:rPr>
            <w:b/>
            <w:webHidden/>
          </w:rPr>
          <w:instrText xml:space="preserve"> PAGEREF _Toc203481647 \h </w:instrText>
        </w:r>
        <w:r w:rsidR="00DD56AB" w:rsidRPr="00DD56AB">
          <w:rPr>
            <w:b/>
            <w:webHidden/>
          </w:rPr>
        </w:r>
        <w:r w:rsidR="00DD56AB" w:rsidRPr="00DD56AB">
          <w:rPr>
            <w:b/>
            <w:webHidden/>
          </w:rPr>
          <w:fldChar w:fldCharType="separate"/>
        </w:r>
        <w:r w:rsidR="00300C91">
          <w:rPr>
            <w:b/>
            <w:webHidden/>
          </w:rPr>
          <w:t>1</w:t>
        </w:r>
        <w:r w:rsidR="00DD56AB" w:rsidRPr="00DD56AB">
          <w:rPr>
            <w:b/>
            <w:webHidden/>
          </w:rPr>
          <w:fldChar w:fldCharType="end"/>
        </w:r>
      </w:hyperlink>
    </w:p>
    <w:p w:rsidR="00DD56AB" w:rsidRPr="00D70236" w:rsidRDefault="007F21A9">
      <w:pPr>
        <w:pStyle w:val="10"/>
        <w:ind w:left="822" w:right="663" w:hanging="445"/>
        <w:rPr>
          <w:rFonts w:ascii="Calibri" w:eastAsia="新細明體" w:hAnsi="Calibri"/>
          <w:snapToGrid/>
          <w:szCs w:val="22"/>
        </w:rPr>
      </w:pPr>
      <w:hyperlink w:anchor="_Toc203481648" w:history="1">
        <w:r w:rsidR="00DD56AB" w:rsidRPr="0042776B">
          <w:rPr>
            <w:rStyle w:val="af1"/>
            <w:rFonts w:hint="eastAsia"/>
          </w:rPr>
          <w:t>一、近年中央政府總預算歲入結構變化概況、編列稅課收入之法源依據</w:t>
        </w:r>
        <w:r w:rsidR="00DD56AB" w:rsidRPr="0042776B">
          <w:rPr>
            <w:rStyle w:val="af1"/>
          </w:rPr>
          <w:t>-</w:t>
        </w:r>
        <w:r w:rsidR="00DD56AB" w:rsidRPr="0042776B">
          <w:rPr>
            <w:rStyle w:val="af1"/>
            <w:rFonts w:hint="eastAsia"/>
          </w:rPr>
          <w:t>財政收支劃分法修正後對歲入之影響</w:t>
        </w:r>
        <w:r w:rsidR="00DD56AB">
          <w:rPr>
            <w:webHidden/>
          </w:rPr>
          <w:tab/>
        </w:r>
        <w:r w:rsidR="00DD56AB">
          <w:rPr>
            <w:webHidden/>
          </w:rPr>
          <w:fldChar w:fldCharType="begin"/>
        </w:r>
        <w:r w:rsidR="00DD56AB">
          <w:rPr>
            <w:webHidden/>
          </w:rPr>
          <w:instrText xml:space="preserve"> PAGEREF _Toc203481648 \h </w:instrText>
        </w:r>
        <w:r w:rsidR="00DD56AB">
          <w:rPr>
            <w:webHidden/>
          </w:rPr>
        </w:r>
        <w:r w:rsidR="00DD56AB">
          <w:rPr>
            <w:webHidden/>
          </w:rPr>
          <w:fldChar w:fldCharType="separate"/>
        </w:r>
        <w:r w:rsidR="00300C91">
          <w:rPr>
            <w:webHidden/>
          </w:rPr>
          <w:t>1</w:t>
        </w:r>
        <w:r w:rsidR="00DD56AB">
          <w:rPr>
            <w:webHidden/>
          </w:rPr>
          <w:fldChar w:fldCharType="end"/>
        </w:r>
      </w:hyperlink>
    </w:p>
    <w:p w:rsidR="00DD56AB" w:rsidRPr="00D70236" w:rsidRDefault="007F21A9">
      <w:pPr>
        <w:pStyle w:val="10"/>
        <w:ind w:left="822" w:right="663" w:hanging="445"/>
        <w:rPr>
          <w:rFonts w:ascii="Calibri" w:eastAsia="新細明體" w:hAnsi="Calibri"/>
          <w:snapToGrid/>
          <w:szCs w:val="22"/>
        </w:rPr>
      </w:pPr>
      <w:hyperlink w:anchor="_Toc203481649" w:history="1">
        <w:r w:rsidR="00DD56AB" w:rsidRPr="0042776B">
          <w:rPr>
            <w:rStyle w:val="af1"/>
            <w:rFonts w:hint="eastAsia"/>
          </w:rPr>
          <w:t>二、近年全國及中央政府稅課收入之預、決算概況，及國民租稅負擔率之變化情形</w:t>
        </w:r>
        <w:r w:rsidR="00DD56AB">
          <w:rPr>
            <w:webHidden/>
          </w:rPr>
          <w:tab/>
        </w:r>
        <w:r w:rsidR="00DD56AB">
          <w:rPr>
            <w:webHidden/>
          </w:rPr>
          <w:fldChar w:fldCharType="begin"/>
        </w:r>
        <w:r w:rsidR="00DD56AB">
          <w:rPr>
            <w:webHidden/>
          </w:rPr>
          <w:instrText xml:space="preserve"> PAGEREF _Toc203481649 \h </w:instrText>
        </w:r>
        <w:r w:rsidR="00DD56AB">
          <w:rPr>
            <w:webHidden/>
          </w:rPr>
        </w:r>
        <w:r w:rsidR="00DD56AB">
          <w:rPr>
            <w:webHidden/>
          </w:rPr>
          <w:fldChar w:fldCharType="separate"/>
        </w:r>
        <w:r w:rsidR="00300C91">
          <w:rPr>
            <w:webHidden/>
          </w:rPr>
          <w:t>5</w:t>
        </w:r>
        <w:r w:rsidR="00DD56AB">
          <w:rPr>
            <w:webHidden/>
          </w:rPr>
          <w:fldChar w:fldCharType="end"/>
        </w:r>
      </w:hyperlink>
    </w:p>
    <w:p w:rsidR="00DD56AB" w:rsidRPr="00D70236" w:rsidRDefault="007F21A9">
      <w:pPr>
        <w:pStyle w:val="10"/>
        <w:ind w:left="822" w:right="663" w:hanging="445"/>
        <w:rPr>
          <w:rFonts w:ascii="Calibri" w:eastAsia="新細明體" w:hAnsi="Calibri"/>
          <w:snapToGrid/>
          <w:szCs w:val="22"/>
        </w:rPr>
      </w:pPr>
      <w:hyperlink w:anchor="_Toc203481650" w:history="1">
        <w:r w:rsidR="00DD56AB" w:rsidRPr="0042776B">
          <w:rPr>
            <w:rStyle w:val="af1"/>
            <w:rFonts w:hint="eastAsia"/>
          </w:rPr>
          <w:t>三、近年中央政府歲計賸餘之累計數及移用概況</w:t>
        </w:r>
        <w:r w:rsidR="00DD56AB">
          <w:rPr>
            <w:webHidden/>
          </w:rPr>
          <w:tab/>
        </w:r>
        <w:r w:rsidR="00DD56AB">
          <w:rPr>
            <w:webHidden/>
          </w:rPr>
          <w:fldChar w:fldCharType="begin"/>
        </w:r>
        <w:r w:rsidR="00DD56AB">
          <w:rPr>
            <w:webHidden/>
          </w:rPr>
          <w:instrText xml:space="preserve"> PAGEREF _Toc203481650 \h </w:instrText>
        </w:r>
        <w:r w:rsidR="00DD56AB">
          <w:rPr>
            <w:webHidden/>
          </w:rPr>
        </w:r>
        <w:r w:rsidR="00DD56AB">
          <w:rPr>
            <w:webHidden/>
          </w:rPr>
          <w:fldChar w:fldCharType="separate"/>
        </w:r>
        <w:r w:rsidR="00300C91">
          <w:rPr>
            <w:webHidden/>
          </w:rPr>
          <w:t>8</w:t>
        </w:r>
        <w:r w:rsidR="00DD56AB">
          <w:rPr>
            <w:webHidden/>
          </w:rPr>
          <w:fldChar w:fldCharType="end"/>
        </w:r>
      </w:hyperlink>
    </w:p>
    <w:p w:rsidR="00DD56AB" w:rsidRPr="00D70236" w:rsidRDefault="007F21A9">
      <w:pPr>
        <w:pStyle w:val="10"/>
        <w:ind w:left="822" w:right="663" w:hanging="445"/>
        <w:rPr>
          <w:rFonts w:ascii="Calibri" w:eastAsia="新細明體" w:hAnsi="Calibri"/>
          <w:b/>
          <w:snapToGrid/>
          <w:szCs w:val="22"/>
        </w:rPr>
      </w:pPr>
      <w:hyperlink w:anchor="_Toc203481651" w:history="1">
        <w:r w:rsidR="00DD56AB" w:rsidRPr="00DD56AB">
          <w:rPr>
            <w:rStyle w:val="af1"/>
            <w:rFonts w:hint="eastAsia"/>
            <w:b/>
          </w:rPr>
          <w:t>參、相關問題探討</w:t>
        </w:r>
        <w:r w:rsidR="00DD56AB" w:rsidRPr="00DD56AB">
          <w:rPr>
            <w:b/>
            <w:webHidden/>
          </w:rPr>
          <w:tab/>
        </w:r>
        <w:r w:rsidR="00DD56AB" w:rsidRPr="00DD56AB">
          <w:rPr>
            <w:b/>
            <w:webHidden/>
          </w:rPr>
          <w:fldChar w:fldCharType="begin"/>
        </w:r>
        <w:r w:rsidR="00DD56AB" w:rsidRPr="00DD56AB">
          <w:rPr>
            <w:b/>
            <w:webHidden/>
          </w:rPr>
          <w:instrText xml:space="preserve"> PAGEREF _Toc203481651 \h </w:instrText>
        </w:r>
        <w:r w:rsidR="00DD56AB" w:rsidRPr="00DD56AB">
          <w:rPr>
            <w:b/>
            <w:webHidden/>
          </w:rPr>
        </w:r>
        <w:r w:rsidR="00DD56AB" w:rsidRPr="00DD56AB">
          <w:rPr>
            <w:b/>
            <w:webHidden/>
          </w:rPr>
          <w:fldChar w:fldCharType="separate"/>
        </w:r>
        <w:r w:rsidR="00300C91">
          <w:rPr>
            <w:b/>
            <w:webHidden/>
          </w:rPr>
          <w:t>12</w:t>
        </w:r>
        <w:r w:rsidR="00DD56AB" w:rsidRPr="00DD56AB">
          <w:rPr>
            <w:b/>
            <w:webHidden/>
          </w:rPr>
          <w:fldChar w:fldCharType="end"/>
        </w:r>
      </w:hyperlink>
    </w:p>
    <w:p w:rsidR="00DD56AB" w:rsidRPr="00D70236" w:rsidRDefault="007F21A9">
      <w:pPr>
        <w:pStyle w:val="10"/>
        <w:ind w:left="822" w:right="663" w:hanging="445"/>
        <w:rPr>
          <w:rFonts w:ascii="Calibri" w:eastAsia="新細明體" w:hAnsi="Calibri"/>
          <w:snapToGrid/>
          <w:szCs w:val="22"/>
        </w:rPr>
      </w:pPr>
      <w:hyperlink w:anchor="_Toc203481652" w:history="1">
        <w:r w:rsidR="00DD56AB" w:rsidRPr="0042776B">
          <w:rPr>
            <w:rStyle w:val="af1"/>
            <w:rFonts w:hAnsi="標楷體" w:hint="eastAsia"/>
          </w:rPr>
          <w:t>一、依總統於</w:t>
        </w:r>
        <w:r w:rsidR="00DD56AB" w:rsidRPr="0042776B">
          <w:rPr>
            <w:rStyle w:val="af1"/>
            <w:rFonts w:hAnsi="標楷體"/>
          </w:rPr>
          <w:t>114</w:t>
        </w:r>
        <w:r w:rsidR="00DD56AB" w:rsidRPr="0042776B">
          <w:rPr>
            <w:rStyle w:val="af1"/>
            <w:rFonts w:hAnsi="標楷體" w:hint="eastAsia"/>
          </w:rPr>
          <w:t>年</w:t>
        </w:r>
        <w:r w:rsidR="00DD56AB" w:rsidRPr="0042776B">
          <w:rPr>
            <w:rStyle w:val="af1"/>
            <w:rFonts w:hAnsi="標楷體"/>
          </w:rPr>
          <w:t>3</w:t>
        </w:r>
        <w:r w:rsidR="00DD56AB" w:rsidRPr="0042776B">
          <w:rPr>
            <w:rStyle w:val="af1"/>
            <w:rFonts w:hAnsi="標楷體" w:hint="eastAsia"/>
          </w:rPr>
          <w:t>月</w:t>
        </w:r>
        <w:r w:rsidR="00DD56AB" w:rsidRPr="0042776B">
          <w:rPr>
            <w:rStyle w:val="af1"/>
            <w:rFonts w:hAnsi="標楷體"/>
          </w:rPr>
          <w:t>21</w:t>
        </w:r>
        <w:r w:rsidR="00DD56AB" w:rsidRPr="0042776B">
          <w:rPr>
            <w:rStyle w:val="af1"/>
            <w:rFonts w:hAnsi="標楷體" w:hint="eastAsia"/>
          </w:rPr>
          <w:t>日公布之財政收支劃分法修正條文，中央政府之稅課收入將大幅減少，允宜審慎規劃各項歲出計畫，並通盤檢視及研議與地方政府間之權責劃分相關事宜，以資因應</w:t>
        </w:r>
        <w:r w:rsidR="00DD56AB">
          <w:rPr>
            <w:webHidden/>
          </w:rPr>
          <w:tab/>
        </w:r>
        <w:r w:rsidR="00DD56AB">
          <w:rPr>
            <w:webHidden/>
          </w:rPr>
          <w:fldChar w:fldCharType="begin"/>
        </w:r>
        <w:r w:rsidR="00DD56AB">
          <w:rPr>
            <w:webHidden/>
          </w:rPr>
          <w:instrText xml:space="preserve"> PAGEREF _Toc203481652 \h </w:instrText>
        </w:r>
        <w:r w:rsidR="00DD56AB">
          <w:rPr>
            <w:webHidden/>
          </w:rPr>
        </w:r>
        <w:r w:rsidR="00DD56AB">
          <w:rPr>
            <w:webHidden/>
          </w:rPr>
          <w:fldChar w:fldCharType="separate"/>
        </w:r>
        <w:r w:rsidR="00300C91">
          <w:rPr>
            <w:webHidden/>
          </w:rPr>
          <w:t>12</w:t>
        </w:r>
        <w:r w:rsidR="00DD56AB">
          <w:rPr>
            <w:webHidden/>
          </w:rPr>
          <w:fldChar w:fldCharType="end"/>
        </w:r>
      </w:hyperlink>
    </w:p>
    <w:p w:rsidR="00DD56AB" w:rsidRPr="00D70236" w:rsidRDefault="007F21A9">
      <w:pPr>
        <w:pStyle w:val="10"/>
        <w:ind w:left="822" w:right="663" w:hanging="445"/>
        <w:rPr>
          <w:rFonts w:ascii="Calibri" w:eastAsia="新細明體" w:hAnsi="Calibri"/>
          <w:snapToGrid/>
          <w:szCs w:val="22"/>
        </w:rPr>
      </w:pPr>
      <w:hyperlink w:anchor="_Toc203481653" w:history="1">
        <w:r w:rsidR="00DD56AB" w:rsidRPr="0042776B">
          <w:rPr>
            <w:rStyle w:val="af1"/>
            <w:rFonts w:hAnsi="標楷體" w:hint="eastAsia"/>
          </w:rPr>
          <w:t>二、所得稅、證券交易稅，以及營業稅等</w:t>
        </w:r>
        <w:r w:rsidR="00DD56AB" w:rsidRPr="0042776B">
          <w:rPr>
            <w:rStyle w:val="af1"/>
            <w:rFonts w:hAnsi="標楷體"/>
          </w:rPr>
          <w:t>3</w:t>
        </w:r>
        <w:r w:rsidR="00DD56AB" w:rsidRPr="0042776B">
          <w:rPr>
            <w:rStyle w:val="af1"/>
            <w:rFonts w:hAnsi="標楷體" w:hint="eastAsia"/>
          </w:rPr>
          <w:t>項稅目屢為近年稅課收入預算低估數最鉅者，有待財金主管機關細究預估失準原因，並研謀精進估測模型，以縮減稅收誤差</w:t>
        </w:r>
        <w:r w:rsidR="00DD56AB">
          <w:rPr>
            <w:webHidden/>
          </w:rPr>
          <w:tab/>
        </w:r>
        <w:r w:rsidR="00DD56AB">
          <w:rPr>
            <w:webHidden/>
          </w:rPr>
          <w:fldChar w:fldCharType="begin"/>
        </w:r>
        <w:r w:rsidR="00DD56AB">
          <w:rPr>
            <w:webHidden/>
          </w:rPr>
          <w:instrText xml:space="preserve"> PAGEREF _Toc203481653 \h </w:instrText>
        </w:r>
        <w:r w:rsidR="00DD56AB">
          <w:rPr>
            <w:webHidden/>
          </w:rPr>
        </w:r>
        <w:r w:rsidR="00DD56AB">
          <w:rPr>
            <w:webHidden/>
          </w:rPr>
          <w:fldChar w:fldCharType="separate"/>
        </w:r>
        <w:r w:rsidR="00300C91">
          <w:rPr>
            <w:webHidden/>
          </w:rPr>
          <w:t>16</w:t>
        </w:r>
        <w:r w:rsidR="00DD56AB">
          <w:rPr>
            <w:webHidden/>
          </w:rPr>
          <w:fldChar w:fldCharType="end"/>
        </w:r>
      </w:hyperlink>
    </w:p>
    <w:p w:rsidR="00DD56AB" w:rsidRPr="00D70236" w:rsidRDefault="007F21A9">
      <w:pPr>
        <w:pStyle w:val="10"/>
        <w:ind w:left="822" w:right="663" w:hanging="445"/>
        <w:rPr>
          <w:rFonts w:ascii="Calibri" w:eastAsia="新細明體" w:hAnsi="Calibri"/>
          <w:snapToGrid/>
          <w:szCs w:val="22"/>
        </w:rPr>
      </w:pPr>
      <w:hyperlink w:anchor="_Toc203481654" w:history="1">
        <w:r w:rsidR="00DD56AB" w:rsidRPr="0042776B">
          <w:rPr>
            <w:rStyle w:val="af1"/>
            <w:rFonts w:hAnsi="標楷體" w:hint="eastAsia"/>
          </w:rPr>
          <w:t>三、近年因稅課收入預算低估而產生高額之歲計賸餘，雖財政狀況持續改善，且部分已用於減少當年度舉債、增加還債，惟迄</w:t>
        </w:r>
        <w:r w:rsidR="00DD56AB" w:rsidRPr="0042776B">
          <w:rPr>
            <w:rStyle w:val="af1"/>
            <w:rFonts w:hAnsi="標楷體"/>
          </w:rPr>
          <w:t>113</w:t>
        </w:r>
        <w:r w:rsidR="00DD56AB" w:rsidRPr="0042776B">
          <w:rPr>
            <w:rStyle w:val="af1"/>
            <w:rFonts w:hAnsi="標楷體" w:hint="eastAsia"/>
          </w:rPr>
          <w:t>年底累計債務餘額持續上升，允宜建立運用歲計賸餘償債機制，俾利健全財政</w:t>
        </w:r>
        <w:r w:rsidR="00DD56AB">
          <w:rPr>
            <w:webHidden/>
          </w:rPr>
          <w:tab/>
        </w:r>
        <w:r w:rsidR="00DD56AB">
          <w:rPr>
            <w:webHidden/>
          </w:rPr>
          <w:fldChar w:fldCharType="begin"/>
        </w:r>
        <w:r w:rsidR="00DD56AB">
          <w:rPr>
            <w:webHidden/>
          </w:rPr>
          <w:instrText xml:space="preserve"> PAGEREF _Toc203481654 \h </w:instrText>
        </w:r>
        <w:r w:rsidR="00DD56AB">
          <w:rPr>
            <w:webHidden/>
          </w:rPr>
        </w:r>
        <w:r w:rsidR="00DD56AB">
          <w:rPr>
            <w:webHidden/>
          </w:rPr>
          <w:fldChar w:fldCharType="separate"/>
        </w:r>
        <w:r w:rsidR="00300C91">
          <w:rPr>
            <w:webHidden/>
          </w:rPr>
          <w:t>20</w:t>
        </w:r>
        <w:r w:rsidR="00DD56AB">
          <w:rPr>
            <w:webHidden/>
          </w:rPr>
          <w:fldChar w:fldCharType="end"/>
        </w:r>
      </w:hyperlink>
    </w:p>
    <w:p w:rsidR="00DD56AB" w:rsidRPr="00D70236" w:rsidRDefault="007F21A9">
      <w:pPr>
        <w:pStyle w:val="10"/>
        <w:ind w:left="822" w:right="663" w:hanging="445"/>
        <w:rPr>
          <w:rFonts w:ascii="Calibri" w:eastAsia="新細明體" w:hAnsi="Calibri"/>
          <w:b/>
          <w:snapToGrid/>
          <w:szCs w:val="22"/>
        </w:rPr>
      </w:pPr>
      <w:hyperlink w:anchor="_Toc203481655" w:history="1">
        <w:r w:rsidR="00DD56AB" w:rsidRPr="00DD56AB">
          <w:rPr>
            <w:rStyle w:val="af1"/>
            <w:rFonts w:hint="eastAsia"/>
            <w:b/>
          </w:rPr>
          <w:t>肆、結論</w:t>
        </w:r>
        <w:r w:rsidR="00DD56AB" w:rsidRPr="00DD56AB">
          <w:rPr>
            <w:b/>
            <w:webHidden/>
          </w:rPr>
          <w:tab/>
        </w:r>
        <w:r w:rsidR="00DD56AB" w:rsidRPr="00DD56AB">
          <w:rPr>
            <w:b/>
            <w:webHidden/>
          </w:rPr>
          <w:fldChar w:fldCharType="begin"/>
        </w:r>
        <w:r w:rsidR="00DD56AB" w:rsidRPr="00DD56AB">
          <w:rPr>
            <w:b/>
            <w:webHidden/>
          </w:rPr>
          <w:instrText xml:space="preserve"> PAGEREF _Toc203481655 \h </w:instrText>
        </w:r>
        <w:r w:rsidR="00DD56AB" w:rsidRPr="00DD56AB">
          <w:rPr>
            <w:b/>
            <w:webHidden/>
          </w:rPr>
        </w:r>
        <w:r w:rsidR="00DD56AB" w:rsidRPr="00DD56AB">
          <w:rPr>
            <w:b/>
            <w:webHidden/>
          </w:rPr>
          <w:fldChar w:fldCharType="separate"/>
        </w:r>
        <w:r w:rsidR="00300C91">
          <w:rPr>
            <w:b/>
            <w:webHidden/>
          </w:rPr>
          <w:t>24</w:t>
        </w:r>
        <w:r w:rsidR="00DD56AB" w:rsidRPr="00DD56AB">
          <w:rPr>
            <w:b/>
            <w:webHidden/>
          </w:rPr>
          <w:fldChar w:fldCharType="end"/>
        </w:r>
      </w:hyperlink>
    </w:p>
    <w:p w:rsidR="00B279F5" w:rsidRPr="0078159E" w:rsidRDefault="00667B39" w:rsidP="00EB483D">
      <w:pPr>
        <w:pStyle w:val="10"/>
        <w:ind w:left="823" w:right="663" w:hanging="446"/>
        <w:rPr>
          <w:color w:val="0070C0"/>
          <w:szCs w:val="24"/>
        </w:rPr>
        <w:sectPr w:rsidR="00B279F5" w:rsidRPr="0078159E" w:rsidSect="00E06FD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EB483D">
        <w:rPr>
          <w:rStyle w:val="af1"/>
          <w:b/>
        </w:rPr>
        <w:fldChar w:fldCharType="end"/>
      </w:r>
    </w:p>
    <w:p w:rsidR="00F20039" w:rsidRPr="00A82976" w:rsidRDefault="003271B0" w:rsidP="00BB52D8">
      <w:pPr>
        <w:pStyle w:val="16"/>
        <w:ind w:left="2" w:firstLineChars="0" w:firstLine="0"/>
        <w:rPr>
          <w:w w:val="95"/>
        </w:rPr>
      </w:pPr>
      <w:bookmarkStart w:id="1" w:name="_Toc215475737"/>
      <w:bookmarkStart w:id="2" w:name="_Toc216756479"/>
      <w:r w:rsidRPr="00A82976">
        <w:rPr>
          <w:rFonts w:hint="eastAsia"/>
          <w:w w:val="95"/>
        </w:rPr>
        <w:lastRenderedPageBreak/>
        <w:t>近年中央政府總預算歲入結構變動概況及歲計賸餘運用情形之相關問題探討</w:t>
      </w:r>
    </w:p>
    <w:p w:rsidR="00C86FEE" w:rsidRPr="00823F4B" w:rsidRDefault="00C86FEE" w:rsidP="00C86FEE">
      <w:pPr>
        <w:pStyle w:val="14"/>
        <w:ind w:left="567" w:hanging="567"/>
      </w:pPr>
      <w:bookmarkStart w:id="3" w:name="_Toc203481646"/>
      <w:r w:rsidRPr="00823F4B">
        <w:rPr>
          <w:rFonts w:hint="eastAsia"/>
        </w:rPr>
        <w:t>壹、前言</w:t>
      </w:r>
      <w:bookmarkEnd w:id="3"/>
    </w:p>
    <w:p w:rsidR="003271B0" w:rsidRDefault="003271B0" w:rsidP="000B2CA4">
      <w:pPr>
        <w:pStyle w:val="a8"/>
        <w:ind w:firstLine="566"/>
      </w:pPr>
      <w:r w:rsidRPr="003271B0">
        <w:rPr>
          <w:rFonts w:hint="eastAsia"/>
        </w:rPr>
        <w:t>近10年我國稅課收入預算數連年估測失準，且低估數由covid-19疫情前之最高1,877.9億元(104年度)，擴大至113年度之5,282.9億元，10年間稅課收入實徵數逾預算數之累計金額達2兆</w:t>
      </w:r>
      <w:r w:rsidR="00671C07">
        <w:rPr>
          <w:rFonts w:hint="eastAsia"/>
        </w:rPr>
        <w:t>餘</w:t>
      </w:r>
      <w:r w:rsidRPr="003271B0">
        <w:rPr>
          <w:rFonts w:hint="eastAsia"/>
        </w:rPr>
        <w:t>元，金額頗鉅。</w:t>
      </w:r>
      <w:r w:rsidR="00D55159">
        <w:rPr>
          <w:rFonts w:hint="eastAsia"/>
        </w:rPr>
        <w:t>鑑於</w:t>
      </w:r>
      <w:r w:rsidRPr="003271B0">
        <w:rPr>
          <w:rFonts w:hint="eastAsia"/>
        </w:rPr>
        <w:t>稅課收入為中央政府施政之主要經費來源，然屢發生稅收鉅額低估情事，不僅不利於籌編年度預算時即能妥善規劃稅收用途，外界亦迭有「稅收超徵、還稅於民」之聲，爰探討近年中央政府總預算歲入結構變動概況及歲計賸餘運用情形，期進一步瞭解中央政府對稅課收入依賴度之變化、國民之租稅負擔率，以及近年因稅收預算低估而產生鉅額年度歲計賸餘之運用概況等。</w:t>
      </w:r>
    </w:p>
    <w:p w:rsidR="00482ED4" w:rsidRPr="00671C07" w:rsidRDefault="00482ED4" w:rsidP="00482ED4">
      <w:pPr>
        <w:ind w:left="566" w:firstLine="566"/>
      </w:pPr>
    </w:p>
    <w:p w:rsidR="003271B0" w:rsidRDefault="00C86FEE" w:rsidP="000B2CA4">
      <w:pPr>
        <w:pStyle w:val="14"/>
        <w:ind w:left="567" w:hanging="567"/>
      </w:pPr>
      <w:bookmarkStart w:id="4" w:name="_Toc203481647"/>
      <w:r w:rsidRPr="000E6A78">
        <w:rPr>
          <w:rFonts w:hint="eastAsia"/>
        </w:rPr>
        <w:t>貳、</w:t>
      </w:r>
      <w:r w:rsidR="003271B0" w:rsidRPr="003271B0">
        <w:rPr>
          <w:rFonts w:hint="eastAsia"/>
        </w:rPr>
        <w:t>近年中央政府總預算歲入結構、國民租稅負擔率之變化、稅課收入達成率及歲計賸餘概況</w:t>
      </w:r>
      <w:bookmarkEnd w:id="4"/>
    </w:p>
    <w:p w:rsidR="003271B0" w:rsidRDefault="003271B0" w:rsidP="003271B0">
      <w:pPr>
        <w:pStyle w:val="14"/>
        <w:ind w:left="567" w:hanging="567"/>
      </w:pPr>
      <w:bookmarkStart w:id="5" w:name="_Toc203481648"/>
      <w:r>
        <w:rPr>
          <w:rFonts w:hint="eastAsia"/>
        </w:rPr>
        <w:t>一、近年中央政府總預算歲入結構變化概況、編列稅課收入之法源依據-財政收支劃分法修正後對歲入之影響</w:t>
      </w:r>
      <w:bookmarkEnd w:id="5"/>
    </w:p>
    <w:p w:rsidR="0056311B" w:rsidRPr="0056311B" w:rsidRDefault="0056311B" w:rsidP="0056311B">
      <w:pPr>
        <w:pStyle w:val="a4"/>
        <w:ind w:left="849" w:hanging="283"/>
        <w:rPr>
          <w:b/>
        </w:rPr>
      </w:pPr>
      <w:r w:rsidRPr="0056311B">
        <w:rPr>
          <w:rFonts w:hint="eastAsia"/>
          <w:b/>
        </w:rPr>
        <w:t>(一)</w:t>
      </w:r>
      <w:r w:rsidR="00D802BF">
        <w:rPr>
          <w:rFonts w:hint="eastAsia"/>
          <w:b/>
        </w:rPr>
        <w:t>近年</w:t>
      </w:r>
      <w:r w:rsidRPr="0056311B">
        <w:rPr>
          <w:rFonts w:hint="eastAsia"/>
          <w:b/>
        </w:rPr>
        <w:t>中央政府</w:t>
      </w:r>
      <w:r>
        <w:rPr>
          <w:rFonts w:hint="eastAsia"/>
          <w:b/>
        </w:rPr>
        <w:t>總預算</w:t>
      </w:r>
      <w:r w:rsidRPr="0056311B">
        <w:rPr>
          <w:rFonts w:hint="eastAsia"/>
          <w:b/>
        </w:rPr>
        <w:t>歲入</w:t>
      </w:r>
      <w:r w:rsidR="008F7279">
        <w:rPr>
          <w:rFonts w:hint="eastAsia"/>
          <w:b/>
        </w:rPr>
        <w:t>來源</w:t>
      </w:r>
      <w:r w:rsidR="00D62FE3">
        <w:rPr>
          <w:rFonts w:hint="eastAsia"/>
          <w:b/>
        </w:rPr>
        <w:t>中</w:t>
      </w:r>
      <w:r w:rsidR="008F7279">
        <w:rPr>
          <w:rFonts w:hint="eastAsia"/>
          <w:b/>
        </w:rPr>
        <w:t>皆</w:t>
      </w:r>
      <w:r w:rsidRPr="0056311B">
        <w:rPr>
          <w:rFonts w:hint="eastAsia"/>
          <w:b/>
        </w:rPr>
        <w:t>以稅課收入</w:t>
      </w:r>
      <w:r w:rsidR="00D62FE3">
        <w:rPr>
          <w:rFonts w:hint="eastAsia"/>
          <w:b/>
        </w:rPr>
        <w:t>為</w:t>
      </w:r>
      <w:r>
        <w:rPr>
          <w:rFonts w:hint="eastAsia"/>
          <w:b/>
        </w:rPr>
        <w:t>最</w:t>
      </w:r>
      <w:r w:rsidR="00402B33">
        <w:rPr>
          <w:rFonts w:hint="eastAsia"/>
          <w:b/>
        </w:rPr>
        <w:t>大宗</w:t>
      </w:r>
      <w:r>
        <w:rPr>
          <w:rFonts w:hint="eastAsia"/>
          <w:b/>
        </w:rPr>
        <w:t>，</w:t>
      </w:r>
      <w:r w:rsidR="00D802BF" w:rsidRPr="00D802BF">
        <w:rPr>
          <w:rFonts w:hint="eastAsia"/>
          <w:b/>
        </w:rPr>
        <w:t>114年度</w:t>
      </w:r>
      <w:r w:rsidR="00D802BF">
        <w:rPr>
          <w:rFonts w:hint="eastAsia"/>
          <w:b/>
        </w:rPr>
        <w:t>占比攀升至87.98%</w:t>
      </w:r>
      <w:r w:rsidR="00402B33">
        <w:rPr>
          <w:rFonts w:hint="eastAsia"/>
          <w:b/>
        </w:rPr>
        <w:t>，且1</w:t>
      </w:r>
      <w:r w:rsidR="00693908">
        <w:rPr>
          <w:rFonts w:hint="eastAsia"/>
          <w:b/>
        </w:rPr>
        <w:t>1</w:t>
      </w:r>
      <w:r w:rsidR="00402B33">
        <w:rPr>
          <w:rFonts w:hint="eastAsia"/>
          <w:b/>
        </w:rPr>
        <w:t>年間</w:t>
      </w:r>
      <w:r w:rsidR="00926EFA">
        <w:rPr>
          <w:rFonts w:hint="eastAsia"/>
          <w:b/>
        </w:rPr>
        <w:t>所</w:t>
      </w:r>
      <w:r w:rsidR="00D62FE3">
        <w:rPr>
          <w:rFonts w:hint="eastAsia"/>
          <w:b/>
        </w:rPr>
        <w:t>占比</w:t>
      </w:r>
      <w:r w:rsidR="00926EFA">
        <w:rPr>
          <w:rFonts w:hint="eastAsia"/>
          <w:b/>
        </w:rPr>
        <w:t>重計</w:t>
      </w:r>
      <w:r w:rsidR="00402B33">
        <w:rPr>
          <w:rFonts w:hint="eastAsia"/>
          <w:b/>
        </w:rPr>
        <w:t>增加13.7</w:t>
      </w:r>
      <w:r w:rsidR="00D802BF">
        <w:rPr>
          <w:rFonts w:hint="eastAsia"/>
          <w:b/>
        </w:rPr>
        <w:t>2</w:t>
      </w:r>
      <w:r w:rsidR="00402B33">
        <w:rPr>
          <w:rFonts w:hint="eastAsia"/>
          <w:b/>
        </w:rPr>
        <w:t>個百分點</w:t>
      </w:r>
      <w:r w:rsidR="00926EFA">
        <w:rPr>
          <w:rFonts w:hint="eastAsia"/>
          <w:b/>
        </w:rPr>
        <w:t>，</w:t>
      </w:r>
      <w:r w:rsidR="00D802BF">
        <w:rPr>
          <w:rFonts w:hint="eastAsia"/>
          <w:b/>
        </w:rPr>
        <w:t>而</w:t>
      </w:r>
      <w:r w:rsidR="00926EFA">
        <w:rPr>
          <w:rFonts w:hint="eastAsia"/>
          <w:b/>
        </w:rPr>
        <w:t>其餘</w:t>
      </w:r>
      <w:r w:rsidR="00D802BF">
        <w:rPr>
          <w:rFonts w:hint="eastAsia"/>
          <w:b/>
        </w:rPr>
        <w:t>收入</w:t>
      </w:r>
      <w:r w:rsidR="00926EFA">
        <w:rPr>
          <w:rFonts w:hint="eastAsia"/>
          <w:b/>
        </w:rPr>
        <w:t>來源則均下滑</w:t>
      </w:r>
    </w:p>
    <w:p w:rsidR="008F7279" w:rsidRDefault="00416571" w:rsidP="00B92438">
      <w:pPr>
        <w:pStyle w:val="2"/>
        <w:ind w:left="850" w:firstLine="566"/>
        <w:rPr>
          <w:rFonts w:hAnsi="標楷體"/>
        </w:rPr>
      </w:pPr>
      <w:r>
        <w:rPr>
          <w:rFonts w:hAnsi="標楷體" w:hint="eastAsia"/>
        </w:rPr>
        <w:t>經彙整</w:t>
      </w:r>
      <w:r w:rsidR="008F7279">
        <w:rPr>
          <w:rFonts w:hAnsi="標楷體" w:hint="eastAsia"/>
        </w:rPr>
        <w:t>104至11</w:t>
      </w:r>
      <w:r>
        <w:rPr>
          <w:rFonts w:hAnsi="標楷體" w:hint="eastAsia"/>
        </w:rPr>
        <w:t>4</w:t>
      </w:r>
      <w:r w:rsidR="008F7279">
        <w:rPr>
          <w:rFonts w:hAnsi="標楷體" w:hint="eastAsia"/>
        </w:rPr>
        <w:t>年度</w:t>
      </w:r>
      <w:r w:rsidR="001D425B">
        <w:rPr>
          <w:rFonts w:hAnsi="標楷體" w:hint="eastAsia"/>
        </w:rPr>
        <w:t>中央政府歲入</w:t>
      </w:r>
      <w:r w:rsidR="001D425B" w:rsidRPr="001D425B">
        <w:rPr>
          <w:rFonts w:hAnsi="標楷體" w:hint="eastAsia"/>
        </w:rPr>
        <w:t>預算數</w:t>
      </w:r>
      <w:r>
        <w:rPr>
          <w:rFonts w:hAnsi="標楷體" w:hint="eastAsia"/>
        </w:rPr>
        <w:t>資料</w:t>
      </w:r>
      <w:r w:rsidR="001D425B" w:rsidRPr="001D425B">
        <w:rPr>
          <w:rFonts w:hAnsi="標楷體" w:hint="eastAsia"/>
        </w:rPr>
        <w:t>，</w:t>
      </w:r>
      <w:r w:rsidR="00693908">
        <w:rPr>
          <w:rFonts w:hAnsi="標楷體" w:hint="eastAsia"/>
        </w:rPr>
        <w:t>歲入淨額法定預算</w:t>
      </w:r>
      <w:r w:rsidR="001D425B" w:rsidRPr="001D425B">
        <w:rPr>
          <w:rFonts w:hAnsi="標楷體" w:hint="eastAsia"/>
        </w:rPr>
        <w:t>由10</w:t>
      </w:r>
      <w:r w:rsidR="001D425B">
        <w:rPr>
          <w:rFonts w:hAnsi="標楷體" w:hint="eastAsia"/>
        </w:rPr>
        <w:t>4</w:t>
      </w:r>
      <w:r w:rsidR="001D425B" w:rsidRPr="001D425B">
        <w:rPr>
          <w:rFonts w:hAnsi="標楷體" w:hint="eastAsia"/>
        </w:rPr>
        <w:t>年度之1兆</w:t>
      </w:r>
      <w:r w:rsidR="001D425B">
        <w:rPr>
          <w:rFonts w:hAnsi="標楷體" w:hint="eastAsia"/>
        </w:rPr>
        <w:t>7</w:t>
      </w:r>
      <w:r w:rsidR="001D425B">
        <w:rPr>
          <w:rFonts w:hAnsi="標楷體"/>
        </w:rPr>
        <w:t>,</w:t>
      </w:r>
      <w:r w:rsidR="001D425B">
        <w:rPr>
          <w:rFonts w:hAnsi="標楷體" w:hint="eastAsia"/>
        </w:rPr>
        <w:t>76</w:t>
      </w:r>
      <w:r w:rsidR="001D425B" w:rsidRPr="001D425B">
        <w:rPr>
          <w:rFonts w:hAnsi="標楷體" w:hint="eastAsia"/>
        </w:rPr>
        <w:t>7億</w:t>
      </w:r>
      <w:r w:rsidR="001D425B">
        <w:rPr>
          <w:rFonts w:hAnsi="標楷體" w:hint="eastAsia"/>
        </w:rPr>
        <w:t>餘</w:t>
      </w:r>
      <w:r w:rsidR="001D425B" w:rsidRPr="001D425B">
        <w:rPr>
          <w:rFonts w:hAnsi="標楷體" w:hint="eastAsia"/>
        </w:rPr>
        <w:t>元擴增至11</w:t>
      </w:r>
      <w:r w:rsidR="008F7279">
        <w:rPr>
          <w:rFonts w:hAnsi="標楷體" w:hint="eastAsia"/>
        </w:rPr>
        <w:t>3</w:t>
      </w:r>
      <w:r w:rsidR="001D425B" w:rsidRPr="001D425B">
        <w:rPr>
          <w:rFonts w:hAnsi="標楷體" w:hint="eastAsia"/>
        </w:rPr>
        <w:t>年度之</w:t>
      </w:r>
      <w:r w:rsidR="008F7279">
        <w:rPr>
          <w:rFonts w:hAnsi="標楷體" w:hint="eastAsia"/>
        </w:rPr>
        <w:t>2</w:t>
      </w:r>
      <w:r w:rsidR="001D425B" w:rsidRPr="001D425B">
        <w:rPr>
          <w:rFonts w:hAnsi="標楷體" w:hint="eastAsia"/>
        </w:rPr>
        <w:t>兆</w:t>
      </w:r>
      <w:r w:rsidR="008F7279">
        <w:rPr>
          <w:rFonts w:hAnsi="標楷體" w:hint="eastAsia"/>
        </w:rPr>
        <w:t>7</w:t>
      </w:r>
      <w:r w:rsidR="001D425B">
        <w:rPr>
          <w:rFonts w:hAnsi="標楷體"/>
        </w:rPr>
        <w:t>,</w:t>
      </w:r>
      <w:r w:rsidR="008F7279">
        <w:rPr>
          <w:rFonts w:hAnsi="標楷體" w:hint="eastAsia"/>
        </w:rPr>
        <w:t>251</w:t>
      </w:r>
      <w:r w:rsidR="001D425B" w:rsidRPr="001D425B">
        <w:rPr>
          <w:rFonts w:hAnsi="標楷體" w:hint="eastAsia"/>
        </w:rPr>
        <w:t>億</w:t>
      </w:r>
      <w:r w:rsidR="001D425B">
        <w:rPr>
          <w:rFonts w:hAnsi="標楷體" w:hint="eastAsia"/>
        </w:rPr>
        <w:t>餘</w:t>
      </w:r>
      <w:r w:rsidR="001D425B" w:rsidRPr="001D425B">
        <w:rPr>
          <w:rFonts w:hAnsi="標楷體" w:hint="eastAsia"/>
        </w:rPr>
        <w:t>元</w:t>
      </w:r>
      <w:r w:rsidR="00D802BF">
        <w:rPr>
          <w:rFonts w:hAnsi="標楷體" w:hint="eastAsia"/>
        </w:rPr>
        <w:t>，114年度增至3</w:t>
      </w:r>
      <w:r w:rsidR="00D802BF" w:rsidRPr="00D802BF">
        <w:rPr>
          <w:rFonts w:hAnsi="標楷體" w:hint="eastAsia"/>
        </w:rPr>
        <w:t>兆</w:t>
      </w:r>
      <w:r w:rsidR="00D802BF">
        <w:rPr>
          <w:rFonts w:hAnsi="標楷體" w:hint="eastAsia"/>
        </w:rPr>
        <w:t>1</w:t>
      </w:r>
      <w:r w:rsidR="00D802BF" w:rsidRPr="00D802BF">
        <w:rPr>
          <w:rFonts w:hAnsi="標楷體" w:hint="eastAsia"/>
        </w:rPr>
        <w:t>,</w:t>
      </w:r>
      <w:r w:rsidR="00D802BF">
        <w:rPr>
          <w:rFonts w:hAnsi="標楷體" w:hint="eastAsia"/>
        </w:rPr>
        <w:t>648</w:t>
      </w:r>
      <w:r w:rsidR="00D802BF" w:rsidRPr="00D802BF">
        <w:rPr>
          <w:rFonts w:hAnsi="標楷體" w:hint="eastAsia"/>
        </w:rPr>
        <w:t>億餘元</w:t>
      </w:r>
      <w:r w:rsidR="00D802BF">
        <w:rPr>
          <w:rFonts w:hAnsi="標楷體" w:hint="eastAsia"/>
        </w:rPr>
        <w:t>，首度突破3兆元</w:t>
      </w:r>
      <w:r w:rsidR="001D425B" w:rsidRPr="001D425B">
        <w:rPr>
          <w:rFonts w:hAnsi="標楷體" w:hint="eastAsia"/>
        </w:rPr>
        <w:t>(</w:t>
      </w:r>
      <w:r w:rsidR="00693908">
        <w:rPr>
          <w:rFonts w:hAnsi="標楷體" w:hint="eastAsia"/>
        </w:rPr>
        <w:t>11年間</w:t>
      </w:r>
      <w:r w:rsidR="001D425B" w:rsidRPr="001D425B">
        <w:rPr>
          <w:rFonts w:hAnsi="標楷體" w:hint="eastAsia"/>
        </w:rPr>
        <w:t>增幅</w:t>
      </w:r>
      <w:r w:rsidR="00693908">
        <w:rPr>
          <w:rFonts w:hAnsi="標楷體" w:hint="eastAsia"/>
        </w:rPr>
        <w:t>達</w:t>
      </w:r>
      <w:r w:rsidR="00D802BF">
        <w:rPr>
          <w:rFonts w:hAnsi="標楷體" w:hint="eastAsia"/>
        </w:rPr>
        <w:t>78.13</w:t>
      </w:r>
      <w:r w:rsidR="001D425B" w:rsidRPr="001D425B">
        <w:rPr>
          <w:rFonts w:hAnsi="標楷體" w:hint="eastAsia"/>
        </w:rPr>
        <w:t>%)，</w:t>
      </w:r>
      <w:r w:rsidR="00A56BE6">
        <w:rPr>
          <w:rFonts w:hAnsi="標楷體" w:hint="eastAsia"/>
        </w:rPr>
        <w:t>以</w:t>
      </w:r>
      <w:r w:rsidR="00D802BF">
        <w:rPr>
          <w:rFonts w:hAnsi="標楷體" w:hint="eastAsia"/>
        </w:rPr>
        <w:t>同期間</w:t>
      </w:r>
      <w:r w:rsidR="00B92438">
        <w:rPr>
          <w:rFonts w:hAnsi="標楷體" w:hint="eastAsia"/>
        </w:rPr>
        <w:t>歲入來源別觀之</w:t>
      </w:r>
      <w:r w:rsidR="001D425B" w:rsidRPr="001D425B">
        <w:rPr>
          <w:rFonts w:hAnsi="標楷體" w:hint="eastAsia"/>
        </w:rPr>
        <w:t>，</w:t>
      </w:r>
      <w:r w:rsidR="00AF0003">
        <w:rPr>
          <w:rFonts w:hAnsi="標楷體" w:hint="eastAsia"/>
        </w:rPr>
        <w:t>皆以稅課收入為最大宗</w:t>
      </w:r>
      <w:r w:rsidR="00693908" w:rsidRPr="00040887">
        <w:rPr>
          <w:rFonts w:hAnsi="標楷體" w:hint="eastAsia"/>
        </w:rPr>
        <w:t>(詳表2-1)</w:t>
      </w:r>
      <w:r w:rsidR="00AF0003">
        <w:rPr>
          <w:rFonts w:hAnsi="標楷體" w:hint="eastAsia"/>
        </w:rPr>
        <w:t>，</w:t>
      </w:r>
      <w:r w:rsidR="00116B3D">
        <w:rPr>
          <w:rFonts w:hAnsi="標楷體" w:hint="eastAsia"/>
        </w:rPr>
        <w:t>預算數</w:t>
      </w:r>
      <w:r w:rsidR="00116B3D" w:rsidRPr="001D425B">
        <w:rPr>
          <w:rFonts w:hAnsi="標楷體" w:hint="eastAsia"/>
        </w:rPr>
        <w:t>由1兆</w:t>
      </w:r>
      <w:r w:rsidR="00116B3D">
        <w:rPr>
          <w:rFonts w:hAnsi="標楷體" w:hint="eastAsia"/>
        </w:rPr>
        <w:t>3</w:t>
      </w:r>
      <w:r w:rsidR="00116B3D" w:rsidRPr="001D425B">
        <w:rPr>
          <w:rFonts w:hAnsi="標楷體" w:hint="eastAsia"/>
        </w:rPr>
        <w:t>,</w:t>
      </w:r>
      <w:r w:rsidR="00116B3D">
        <w:rPr>
          <w:rFonts w:hAnsi="標楷體" w:hint="eastAsia"/>
        </w:rPr>
        <w:t>194</w:t>
      </w:r>
      <w:r w:rsidR="00116B3D" w:rsidRPr="001D425B">
        <w:rPr>
          <w:rFonts w:hAnsi="標楷體" w:hint="eastAsia"/>
        </w:rPr>
        <w:t>億</w:t>
      </w:r>
      <w:r w:rsidR="00116B3D">
        <w:rPr>
          <w:rFonts w:hAnsi="標楷體" w:hint="eastAsia"/>
        </w:rPr>
        <w:t>餘</w:t>
      </w:r>
      <w:r w:rsidR="00116B3D" w:rsidRPr="001D425B">
        <w:rPr>
          <w:rFonts w:hAnsi="標楷體" w:hint="eastAsia"/>
        </w:rPr>
        <w:t>元，逐年增至</w:t>
      </w:r>
      <w:r w:rsidR="00116B3D">
        <w:rPr>
          <w:rFonts w:hAnsi="標楷體" w:hint="eastAsia"/>
        </w:rPr>
        <w:t>2</w:t>
      </w:r>
      <w:r w:rsidR="00116B3D" w:rsidRPr="001D425B">
        <w:rPr>
          <w:rFonts w:hAnsi="標楷體" w:hint="eastAsia"/>
        </w:rPr>
        <w:t>兆</w:t>
      </w:r>
      <w:r w:rsidR="00D802BF">
        <w:rPr>
          <w:rFonts w:hAnsi="標楷體" w:hint="eastAsia"/>
        </w:rPr>
        <w:t>7</w:t>
      </w:r>
      <w:r w:rsidR="00116B3D" w:rsidRPr="001D425B">
        <w:rPr>
          <w:rFonts w:hAnsi="標楷體" w:hint="eastAsia"/>
        </w:rPr>
        <w:t>,</w:t>
      </w:r>
      <w:r w:rsidR="00D802BF">
        <w:rPr>
          <w:rFonts w:hAnsi="標楷體" w:hint="eastAsia"/>
        </w:rPr>
        <w:t>844</w:t>
      </w:r>
      <w:r w:rsidR="00116B3D" w:rsidRPr="001D425B">
        <w:rPr>
          <w:rFonts w:hAnsi="標楷體" w:hint="eastAsia"/>
        </w:rPr>
        <w:t>億</w:t>
      </w:r>
      <w:r w:rsidR="00D62FE3">
        <w:rPr>
          <w:rFonts w:hAnsi="標楷體" w:hint="eastAsia"/>
        </w:rPr>
        <w:t>餘</w:t>
      </w:r>
      <w:r w:rsidR="00116B3D" w:rsidRPr="001D425B">
        <w:rPr>
          <w:rFonts w:hAnsi="標楷體" w:hint="eastAsia"/>
        </w:rPr>
        <w:t>元(增幅</w:t>
      </w:r>
      <w:r w:rsidR="00D802BF">
        <w:rPr>
          <w:rFonts w:hAnsi="標楷體" w:hint="eastAsia"/>
        </w:rPr>
        <w:t>高</w:t>
      </w:r>
      <w:r w:rsidR="00D62FE3">
        <w:rPr>
          <w:rFonts w:hAnsi="標楷體" w:hint="eastAsia"/>
        </w:rPr>
        <w:t>達</w:t>
      </w:r>
      <w:r w:rsidR="00D802BF">
        <w:rPr>
          <w:rFonts w:hAnsi="標楷體" w:hint="eastAsia"/>
        </w:rPr>
        <w:t>111.04</w:t>
      </w:r>
      <w:r w:rsidR="00116B3D" w:rsidRPr="001D425B">
        <w:rPr>
          <w:rFonts w:hAnsi="標楷體" w:hint="eastAsia"/>
        </w:rPr>
        <w:t>%)，</w:t>
      </w:r>
      <w:r w:rsidR="008F7279">
        <w:rPr>
          <w:rFonts w:hAnsi="標楷體" w:hint="eastAsia"/>
        </w:rPr>
        <w:t>其次為</w:t>
      </w:r>
      <w:r w:rsidR="00A56BE6" w:rsidRPr="00A56BE6">
        <w:rPr>
          <w:rFonts w:hAnsi="標楷體" w:hint="eastAsia"/>
        </w:rPr>
        <w:t>營業盈餘</w:t>
      </w:r>
      <w:r w:rsidR="00A56BE6" w:rsidRPr="00A56BE6">
        <w:rPr>
          <w:rFonts w:hAnsi="標楷體" w:hint="eastAsia"/>
        </w:rPr>
        <w:lastRenderedPageBreak/>
        <w:t>及事業收入</w:t>
      </w:r>
      <w:r w:rsidR="00A56BE6">
        <w:rPr>
          <w:rFonts w:hAnsi="標楷體" w:hint="eastAsia"/>
        </w:rPr>
        <w:t>，</w:t>
      </w:r>
      <w:r w:rsidR="00A56BE6" w:rsidRPr="00A56BE6">
        <w:rPr>
          <w:rFonts w:hAnsi="標楷體" w:hint="eastAsia"/>
        </w:rPr>
        <w:t>同期間由</w:t>
      </w:r>
      <w:r w:rsidR="00A56BE6">
        <w:rPr>
          <w:rFonts w:hAnsi="標楷體" w:hint="eastAsia"/>
        </w:rPr>
        <w:t>2</w:t>
      </w:r>
      <w:r w:rsidR="00A56BE6" w:rsidRPr="00A56BE6">
        <w:rPr>
          <w:rFonts w:hAnsi="標楷體" w:hint="eastAsia"/>
        </w:rPr>
        <w:t>,</w:t>
      </w:r>
      <w:r w:rsidR="00A56BE6">
        <w:rPr>
          <w:rFonts w:hAnsi="標楷體" w:hint="eastAsia"/>
        </w:rPr>
        <w:t>550</w:t>
      </w:r>
      <w:r w:rsidR="00A56BE6" w:rsidRPr="00A56BE6">
        <w:rPr>
          <w:rFonts w:hAnsi="標楷體" w:hint="eastAsia"/>
        </w:rPr>
        <w:t>億餘元</w:t>
      </w:r>
      <w:r w:rsidR="00D802BF">
        <w:rPr>
          <w:rFonts w:hAnsi="標楷體" w:hint="eastAsia"/>
        </w:rPr>
        <w:t>略</w:t>
      </w:r>
      <w:r w:rsidR="00A56BE6" w:rsidRPr="00A56BE6">
        <w:rPr>
          <w:rFonts w:hAnsi="標楷體" w:hint="eastAsia"/>
        </w:rPr>
        <w:t>增至</w:t>
      </w:r>
      <w:r w:rsidR="00A56BE6">
        <w:rPr>
          <w:rFonts w:hAnsi="標楷體" w:hint="eastAsia"/>
        </w:rPr>
        <w:t>2</w:t>
      </w:r>
      <w:r w:rsidR="00A56BE6" w:rsidRPr="00A56BE6">
        <w:rPr>
          <w:rFonts w:hAnsi="標楷體" w:hint="eastAsia"/>
        </w:rPr>
        <w:t>,</w:t>
      </w:r>
      <w:r w:rsidR="00D802BF">
        <w:rPr>
          <w:rFonts w:hAnsi="標楷體" w:hint="eastAsia"/>
        </w:rPr>
        <w:t>561</w:t>
      </w:r>
      <w:r w:rsidR="00A56BE6" w:rsidRPr="00A56BE6">
        <w:rPr>
          <w:rFonts w:hAnsi="標楷體" w:hint="eastAsia"/>
        </w:rPr>
        <w:t>億餘元(增幅</w:t>
      </w:r>
      <w:r w:rsidR="00D802BF">
        <w:rPr>
          <w:rFonts w:hAnsi="標楷體" w:hint="eastAsia"/>
        </w:rPr>
        <w:t>0.43</w:t>
      </w:r>
      <w:r w:rsidR="00A56BE6" w:rsidRPr="00A56BE6">
        <w:rPr>
          <w:rFonts w:hAnsi="標楷體" w:hint="eastAsia"/>
        </w:rPr>
        <w:t>%)</w:t>
      </w:r>
      <w:r w:rsidR="00A56BE6">
        <w:rPr>
          <w:rFonts w:hAnsi="標楷體" w:hint="eastAsia"/>
        </w:rPr>
        <w:t>，再次為規費及罰款收入，惟由104年度之1</w:t>
      </w:r>
      <w:r w:rsidR="00A56BE6" w:rsidRPr="00A56BE6">
        <w:rPr>
          <w:rFonts w:hAnsi="標楷體" w:hint="eastAsia"/>
        </w:rPr>
        <w:t>,0</w:t>
      </w:r>
      <w:r w:rsidR="00A56BE6">
        <w:rPr>
          <w:rFonts w:hAnsi="標楷體" w:hint="eastAsia"/>
        </w:rPr>
        <w:t>56</w:t>
      </w:r>
      <w:r w:rsidR="00A56BE6" w:rsidRPr="00A56BE6">
        <w:rPr>
          <w:rFonts w:hAnsi="標楷體" w:hint="eastAsia"/>
        </w:rPr>
        <w:t>億餘元</w:t>
      </w:r>
      <w:r w:rsidR="00A56BE6">
        <w:rPr>
          <w:rFonts w:hAnsi="標楷體" w:hint="eastAsia"/>
        </w:rPr>
        <w:t>減為11</w:t>
      </w:r>
      <w:r w:rsidR="00D802BF">
        <w:rPr>
          <w:rFonts w:hAnsi="標楷體" w:hint="eastAsia"/>
        </w:rPr>
        <w:t>4</w:t>
      </w:r>
      <w:r w:rsidR="00A56BE6">
        <w:rPr>
          <w:rFonts w:hAnsi="標楷體" w:hint="eastAsia"/>
        </w:rPr>
        <w:t>年度之8</w:t>
      </w:r>
      <w:r w:rsidR="00D802BF">
        <w:rPr>
          <w:rFonts w:hAnsi="標楷體" w:hint="eastAsia"/>
        </w:rPr>
        <w:t>18</w:t>
      </w:r>
      <w:r w:rsidR="00A56BE6" w:rsidRPr="00A56BE6">
        <w:rPr>
          <w:rFonts w:hAnsi="標楷體" w:hint="eastAsia"/>
        </w:rPr>
        <w:t>餘元(</w:t>
      </w:r>
      <w:r w:rsidR="00A56BE6">
        <w:rPr>
          <w:rFonts w:hAnsi="標楷體" w:hint="eastAsia"/>
        </w:rPr>
        <w:t>減</w:t>
      </w:r>
      <w:r w:rsidR="00A56BE6" w:rsidRPr="00A56BE6">
        <w:rPr>
          <w:rFonts w:hAnsi="標楷體" w:hint="eastAsia"/>
        </w:rPr>
        <w:t>幅</w:t>
      </w:r>
      <w:r w:rsidR="00AF0003">
        <w:rPr>
          <w:rFonts w:hAnsi="標楷體" w:hint="eastAsia"/>
        </w:rPr>
        <w:t>2</w:t>
      </w:r>
      <w:r w:rsidR="00D802BF">
        <w:rPr>
          <w:rFonts w:hAnsi="標楷體" w:hint="eastAsia"/>
        </w:rPr>
        <w:t>2.52</w:t>
      </w:r>
      <w:r w:rsidR="00A56BE6" w:rsidRPr="00A56BE6">
        <w:rPr>
          <w:rFonts w:hAnsi="標楷體" w:hint="eastAsia"/>
        </w:rPr>
        <w:t>%)</w:t>
      </w:r>
      <w:r w:rsidR="00AF0003">
        <w:rPr>
          <w:rFonts w:hAnsi="標楷體" w:hint="eastAsia"/>
        </w:rPr>
        <w:t>。</w:t>
      </w:r>
    </w:p>
    <w:p w:rsidR="001D425B" w:rsidRDefault="00671C07" w:rsidP="00B92438">
      <w:pPr>
        <w:pStyle w:val="2"/>
        <w:ind w:left="850" w:firstLine="566"/>
        <w:rPr>
          <w:rFonts w:hAnsi="標楷體"/>
        </w:rPr>
      </w:pPr>
      <w:r>
        <w:rPr>
          <w:rFonts w:hAnsi="標楷體" w:hint="eastAsia"/>
        </w:rPr>
        <w:t>復觀察</w:t>
      </w:r>
      <w:r w:rsidR="00AF0003">
        <w:rPr>
          <w:rFonts w:hAnsi="標楷體" w:hint="eastAsia"/>
        </w:rPr>
        <w:t>歲入結構比及變化，</w:t>
      </w:r>
      <w:r w:rsidR="00416571" w:rsidRPr="00416571">
        <w:rPr>
          <w:rFonts w:hAnsi="標楷體" w:hint="eastAsia"/>
        </w:rPr>
        <w:t>104至114年度</w:t>
      </w:r>
      <w:r w:rsidR="00AF0003" w:rsidRPr="00416571">
        <w:rPr>
          <w:rFonts w:hAnsi="標楷體" w:hint="eastAsia"/>
        </w:rPr>
        <w:t>稅課收</w:t>
      </w:r>
      <w:r w:rsidR="00AF0003">
        <w:rPr>
          <w:rFonts w:hAnsi="標楷體" w:hint="eastAsia"/>
        </w:rPr>
        <w:t>入</w:t>
      </w:r>
      <w:r w:rsidR="00D62FE3">
        <w:rPr>
          <w:rFonts w:hAnsi="標楷體" w:hint="eastAsia"/>
        </w:rPr>
        <w:t>占歲入比率</w:t>
      </w:r>
      <w:r w:rsidR="00402B33">
        <w:rPr>
          <w:rFonts w:hAnsi="標楷體" w:hint="eastAsia"/>
        </w:rPr>
        <w:t>概呈成長趨勢，</w:t>
      </w:r>
      <w:r w:rsidR="00D62FE3">
        <w:rPr>
          <w:rFonts w:hAnsi="標楷體" w:hint="eastAsia"/>
        </w:rPr>
        <w:t>由104年度之74.26%</w:t>
      </w:r>
      <w:r w:rsidR="00402B33">
        <w:rPr>
          <w:rFonts w:hAnsi="標楷體" w:hint="eastAsia"/>
        </w:rPr>
        <w:t>、</w:t>
      </w:r>
      <w:r w:rsidR="00D62FE3">
        <w:rPr>
          <w:rFonts w:hAnsi="標楷體" w:hint="eastAsia"/>
        </w:rPr>
        <w:t>107年度突破</w:t>
      </w:r>
      <w:r w:rsidR="00D802BF">
        <w:rPr>
          <w:rFonts w:hAnsi="標楷體" w:hint="eastAsia"/>
        </w:rPr>
        <w:t>八成增至81.36%</w:t>
      </w:r>
      <w:r w:rsidR="00D62FE3">
        <w:rPr>
          <w:rFonts w:hAnsi="標楷體" w:hint="eastAsia"/>
        </w:rPr>
        <w:t>，</w:t>
      </w:r>
      <w:r w:rsidR="00E02C0B">
        <w:rPr>
          <w:rFonts w:hAnsi="標楷體" w:hint="eastAsia"/>
        </w:rPr>
        <w:t>於</w:t>
      </w:r>
      <w:r w:rsidR="00D62FE3">
        <w:rPr>
          <w:rFonts w:hAnsi="標楷體" w:hint="eastAsia"/>
        </w:rPr>
        <w:t>11</w:t>
      </w:r>
      <w:r w:rsidR="00E02C0B">
        <w:rPr>
          <w:rFonts w:hAnsi="標楷體" w:hint="eastAsia"/>
        </w:rPr>
        <w:t>4</w:t>
      </w:r>
      <w:r w:rsidR="00D62FE3">
        <w:rPr>
          <w:rFonts w:hAnsi="標楷體" w:hint="eastAsia"/>
        </w:rPr>
        <w:t>年度占比</w:t>
      </w:r>
      <w:r>
        <w:rPr>
          <w:rFonts w:hAnsi="標楷體" w:hint="eastAsia"/>
        </w:rPr>
        <w:t>更</w:t>
      </w:r>
      <w:r w:rsidR="00D62FE3">
        <w:rPr>
          <w:rFonts w:hAnsi="標楷體" w:hint="eastAsia"/>
        </w:rPr>
        <w:t>攀升至8</w:t>
      </w:r>
      <w:r w:rsidR="00E02C0B">
        <w:rPr>
          <w:rFonts w:hAnsi="標楷體" w:hint="eastAsia"/>
        </w:rPr>
        <w:t>7.98</w:t>
      </w:r>
      <w:r w:rsidR="00D62FE3">
        <w:rPr>
          <w:rFonts w:hAnsi="標楷體" w:hint="eastAsia"/>
        </w:rPr>
        <w:t>%</w:t>
      </w:r>
      <w:r w:rsidR="00402B33">
        <w:rPr>
          <w:rFonts w:hAnsi="標楷體" w:hint="eastAsia"/>
        </w:rPr>
        <w:t>，10年間占比增加13.7</w:t>
      </w:r>
      <w:r w:rsidR="00E02C0B">
        <w:rPr>
          <w:rFonts w:hAnsi="標楷體" w:hint="eastAsia"/>
        </w:rPr>
        <w:t>2</w:t>
      </w:r>
      <w:r w:rsidR="00402B33">
        <w:rPr>
          <w:rFonts w:hAnsi="標楷體" w:hint="eastAsia"/>
        </w:rPr>
        <w:t>個百分點，而其餘之</w:t>
      </w:r>
      <w:r w:rsidR="00116B3D">
        <w:rPr>
          <w:rFonts w:hAnsi="標楷體" w:hint="eastAsia"/>
        </w:rPr>
        <w:t>營業盈餘及事業收入</w:t>
      </w:r>
      <w:r w:rsidR="00402B33">
        <w:rPr>
          <w:rFonts w:hAnsi="標楷體" w:hint="eastAsia"/>
        </w:rPr>
        <w:t>、</w:t>
      </w:r>
      <w:r w:rsidR="00402B33" w:rsidRPr="00402B33">
        <w:rPr>
          <w:rFonts w:hAnsi="標楷體" w:hint="eastAsia"/>
        </w:rPr>
        <w:t>規費及罰款收入</w:t>
      </w:r>
      <w:r w:rsidR="00402B33">
        <w:rPr>
          <w:rFonts w:hAnsi="標楷體" w:hint="eastAsia"/>
        </w:rPr>
        <w:t>、</w:t>
      </w:r>
      <w:r w:rsidR="00402B33" w:rsidRPr="00402B33">
        <w:rPr>
          <w:rFonts w:hAnsi="標楷體" w:hint="eastAsia"/>
        </w:rPr>
        <w:t>財產收入</w:t>
      </w:r>
      <w:r w:rsidR="00402B33">
        <w:rPr>
          <w:rFonts w:hAnsi="標楷體" w:hint="eastAsia"/>
        </w:rPr>
        <w:t>、</w:t>
      </w:r>
      <w:r w:rsidR="00402B33" w:rsidRPr="00402B33">
        <w:rPr>
          <w:rFonts w:hAnsi="標楷體" w:hint="eastAsia"/>
        </w:rPr>
        <w:t>其他收入</w:t>
      </w:r>
      <w:r w:rsidR="00116B3D">
        <w:rPr>
          <w:rFonts w:hAnsi="標楷體" w:hint="eastAsia"/>
        </w:rPr>
        <w:t>，</w:t>
      </w:r>
      <w:r w:rsidR="00116B3D" w:rsidRPr="001D425B">
        <w:rPr>
          <w:rFonts w:hAnsi="標楷體" w:hint="eastAsia"/>
        </w:rPr>
        <w:t>同期間</w:t>
      </w:r>
      <w:r w:rsidR="00402B33">
        <w:rPr>
          <w:rFonts w:hAnsi="標楷體" w:hint="eastAsia"/>
        </w:rPr>
        <w:t>占比均下滑，分別減少6.2</w:t>
      </w:r>
      <w:r w:rsidR="00693908">
        <w:rPr>
          <w:rFonts w:hAnsi="標楷體" w:hint="eastAsia"/>
        </w:rPr>
        <w:t>6</w:t>
      </w:r>
      <w:r w:rsidR="00402B33">
        <w:rPr>
          <w:rFonts w:hAnsi="標楷體" w:hint="eastAsia"/>
        </w:rPr>
        <w:t>、3.36、3.94、0.16個百分點</w:t>
      </w:r>
      <w:r w:rsidR="00763FC3" w:rsidRPr="00040887">
        <w:rPr>
          <w:rFonts w:hAnsi="標楷體" w:hint="eastAsia"/>
        </w:rPr>
        <w:t>(詳表2-1</w:t>
      </w:r>
      <w:r w:rsidR="00763FC3">
        <w:rPr>
          <w:rFonts w:hAnsi="標楷體" w:hint="eastAsia"/>
        </w:rPr>
        <w:t>、圖1</w:t>
      </w:r>
      <w:r w:rsidR="00763FC3" w:rsidRPr="00040887">
        <w:rPr>
          <w:rFonts w:hAnsi="標楷體" w:hint="eastAsia"/>
        </w:rPr>
        <w:t>)</w:t>
      </w:r>
      <w:r w:rsidR="00040887">
        <w:rPr>
          <w:rFonts w:hAnsi="標楷體" w:hint="eastAsia"/>
        </w:rPr>
        <w:t>。是以，</w:t>
      </w:r>
      <w:r w:rsidR="00116B3D">
        <w:rPr>
          <w:rFonts w:hAnsi="標楷體" w:hint="eastAsia"/>
        </w:rPr>
        <w:t>稅課收入</w:t>
      </w:r>
      <w:r w:rsidR="00353D54">
        <w:rPr>
          <w:rFonts w:hAnsi="標楷體" w:hint="eastAsia"/>
        </w:rPr>
        <w:t>乃中央政府</w:t>
      </w:r>
      <w:r w:rsidR="00116B3D">
        <w:rPr>
          <w:rFonts w:hAnsi="標楷體" w:hint="eastAsia"/>
        </w:rPr>
        <w:t>最</w:t>
      </w:r>
      <w:r w:rsidR="00E02C0B">
        <w:rPr>
          <w:rFonts w:hAnsi="標楷體" w:hint="eastAsia"/>
        </w:rPr>
        <w:t>重要</w:t>
      </w:r>
      <w:r w:rsidR="00116B3D">
        <w:rPr>
          <w:rFonts w:hAnsi="標楷體" w:hint="eastAsia"/>
        </w:rPr>
        <w:t>之歲入來源</w:t>
      </w:r>
      <w:r w:rsidR="00040887">
        <w:rPr>
          <w:rFonts w:hAnsi="標楷體" w:hint="eastAsia"/>
        </w:rPr>
        <w:t>。</w:t>
      </w:r>
    </w:p>
    <w:p w:rsidR="00040887" w:rsidRDefault="00040887" w:rsidP="00040887">
      <w:pPr>
        <w:pStyle w:val="20"/>
        <w:ind w:leftChars="29" w:left="1134" w:hangingChars="371" w:hanging="1052"/>
        <w:jc w:val="both"/>
        <w:rPr>
          <w:rFonts w:hAnsi="標楷體"/>
          <w:b/>
          <w:sz w:val="28"/>
        </w:rPr>
      </w:pPr>
      <w:r w:rsidRPr="00DC42CC">
        <w:rPr>
          <w:rFonts w:hint="eastAsia"/>
          <w:b/>
          <w:sz w:val="28"/>
        </w:rPr>
        <w:t>表2-</w:t>
      </w:r>
      <w:r>
        <w:rPr>
          <w:rFonts w:hint="eastAsia"/>
          <w:b/>
          <w:sz w:val="28"/>
        </w:rPr>
        <w:t>1</w:t>
      </w:r>
      <w:r w:rsidRPr="00DC42CC">
        <w:rPr>
          <w:rFonts w:hint="eastAsia"/>
          <w:b/>
          <w:sz w:val="28"/>
        </w:rPr>
        <w:t xml:space="preserve">  </w:t>
      </w:r>
      <w:r w:rsidRPr="00DC42CC">
        <w:rPr>
          <w:rFonts w:hAnsi="標楷體" w:hint="eastAsia"/>
          <w:b/>
          <w:sz w:val="28"/>
        </w:rPr>
        <w:t>10</w:t>
      </w:r>
      <w:r>
        <w:rPr>
          <w:rFonts w:hAnsi="標楷體" w:hint="eastAsia"/>
          <w:b/>
          <w:sz w:val="28"/>
        </w:rPr>
        <w:t>4</w:t>
      </w:r>
      <w:r w:rsidRPr="00DC42CC">
        <w:rPr>
          <w:rFonts w:hAnsi="標楷體" w:hint="eastAsia"/>
          <w:b/>
          <w:sz w:val="28"/>
        </w:rPr>
        <w:t>至11</w:t>
      </w:r>
      <w:r w:rsidR="00416571">
        <w:rPr>
          <w:rFonts w:hAnsi="標楷體" w:hint="eastAsia"/>
          <w:b/>
          <w:sz w:val="28"/>
        </w:rPr>
        <w:t>4</w:t>
      </w:r>
      <w:r w:rsidRPr="00DC42CC">
        <w:rPr>
          <w:rFonts w:hAnsi="標楷體" w:hint="eastAsia"/>
          <w:b/>
          <w:sz w:val="28"/>
        </w:rPr>
        <w:t>年度</w:t>
      </w:r>
      <w:r>
        <w:rPr>
          <w:rFonts w:hAnsi="標楷體" w:hint="eastAsia"/>
          <w:b/>
          <w:sz w:val="28"/>
        </w:rPr>
        <w:t>中央政府歲入淨額及來源別預算數</w:t>
      </w:r>
      <w:r w:rsidRPr="00DC42CC">
        <w:rPr>
          <w:rFonts w:hAnsi="標楷體" w:hint="eastAsia"/>
          <w:b/>
          <w:sz w:val="28"/>
        </w:rPr>
        <w:t>概況表</w:t>
      </w:r>
    </w:p>
    <w:p w:rsidR="00040887" w:rsidRPr="00DC42CC" w:rsidRDefault="00040887" w:rsidP="00040887">
      <w:pPr>
        <w:pStyle w:val="20"/>
        <w:ind w:leftChars="29" w:left="985" w:hangingChars="371" w:hanging="903"/>
        <w:jc w:val="right"/>
        <w:rPr>
          <w:rFonts w:hAnsi="標楷體"/>
          <w:szCs w:val="24"/>
        </w:rPr>
      </w:pPr>
      <w:r w:rsidRPr="00DC42CC">
        <w:rPr>
          <w:rFonts w:hAnsi="標楷體" w:hint="eastAsia"/>
          <w:b/>
        </w:rPr>
        <w:t xml:space="preserve">                                      </w:t>
      </w:r>
      <w:r w:rsidRPr="00DC42CC">
        <w:rPr>
          <w:rFonts w:hAnsi="標楷體" w:hint="eastAsia"/>
          <w:szCs w:val="24"/>
        </w:rPr>
        <w:t>單位：新臺幣</w:t>
      </w:r>
      <w:r>
        <w:rPr>
          <w:rFonts w:hAnsi="標楷體" w:hint="eastAsia"/>
          <w:szCs w:val="24"/>
        </w:rPr>
        <w:t>百萬</w:t>
      </w:r>
      <w:r w:rsidRPr="00DC42CC">
        <w:rPr>
          <w:rFonts w:hAnsi="標楷體" w:hint="eastAsia"/>
          <w:szCs w:val="24"/>
        </w:rPr>
        <w:t>元</w:t>
      </w:r>
    </w:p>
    <w:tbl>
      <w:tblPr>
        <w:tblW w:w="0" w:type="auto"/>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67"/>
        <w:gridCol w:w="1276"/>
        <w:gridCol w:w="1284"/>
        <w:gridCol w:w="1284"/>
        <w:gridCol w:w="1284"/>
        <w:gridCol w:w="1284"/>
        <w:gridCol w:w="1285"/>
      </w:tblGrid>
      <w:tr w:rsidR="00D03DF8" w:rsidRPr="00587F54" w:rsidTr="00C361CB">
        <w:trPr>
          <w:trHeight w:val="397"/>
        </w:trPr>
        <w:tc>
          <w:tcPr>
            <w:tcW w:w="767" w:type="dxa"/>
            <w:shd w:val="clear" w:color="auto" w:fill="auto"/>
            <w:vAlign w:val="center"/>
          </w:tcPr>
          <w:p w:rsidR="00D03DF8" w:rsidRPr="00DC42CC" w:rsidRDefault="00D03DF8" w:rsidP="00233A31">
            <w:pPr>
              <w:pStyle w:val="142"/>
              <w:jc w:val="both"/>
              <w:rPr>
                <w:rFonts w:hAnsi="標楷體"/>
                <w:b/>
                <w:spacing w:val="-20"/>
                <w:szCs w:val="24"/>
              </w:rPr>
            </w:pPr>
            <w:r w:rsidRPr="00DC42CC">
              <w:rPr>
                <w:rFonts w:hAnsi="標楷體" w:hint="eastAsia"/>
                <w:b/>
                <w:spacing w:val="-20"/>
                <w:szCs w:val="24"/>
              </w:rPr>
              <w:t>年度</w:t>
            </w:r>
          </w:p>
        </w:tc>
        <w:tc>
          <w:tcPr>
            <w:tcW w:w="1276" w:type="dxa"/>
            <w:shd w:val="clear" w:color="auto" w:fill="auto"/>
            <w:vAlign w:val="center"/>
          </w:tcPr>
          <w:p w:rsidR="00D03DF8" w:rsidRPr="00D03DF8" w:rsidRDefault="000138E6" w:rsidP="000138E6">
            <w:pPr>
              <w:pStyle w:val="142"/>
              <w:jc w:val="center"/>
              <w:rPr>
                <w:rFonts w:hAnsi="標楷體"/>
                <w:b/>
                <w:spacing w:val="-20"/>
                <w:szCs w:val="24"/>
              </w:rPr>
            </w:pPr>
            <w:r>
              <w:rPr>
                <w:rFonts w:hAnsi="標楷體" w:hint="eastAsia"/>
                <w:b/>
                <w:spacing w:val="-20"/>
                <w:szCs w:val="24"/>
              </w:rPr>
              <w:t>歲入淨額</w:t>
            </w:r>
          </w:p>
        </w:tc>
        <w:tc>
          <w:tcPr>
            <w:tcW w:w="1284" w:type="dxa"/>
            <w:shd w:val="clear" w:color="auto" w:fill="auto"/>
            <w:vAlign w:val="center"/>
          </w:tcPr>
          <w:p w:rsidR="00D03DF8" w:rsidRPr="00D03DF8" w:rsidRDefault="00D03DF8" w:rsidP="00233A31">
            <w:pPr>
              <w:pStyle w:val="142"/>
              <w:jc w:val="center"/>
              <w:rPr>
                <w:rFonts w:hAnsi="標楷體"/>
                <w:b/>
                <w:spacing w:val="-20"/>
                <w:szCs w:val="24"/>
              </w:rPr>
            </w:pPr>
            <w:r w:rsidRPr="00D03DF8">
              <w:rPr>
                <w:rFonts w:hAnsi="標楷體" w:hint="eastAsia"/>
                <w:b/>
                <w:spacing w:val="-20"/>
                <w:szCs w:val="24"/>
              </w:rPr>
              <w:t>稅課收入</w:t>
            </w:r>
          </w:p>
        </w:tc>
        <w:tc>
          <w:tcPr>
            <w:tcW w:w="1284" w:type="dxa"/>
            <w:shd w:val="clear" w:color="auto" w:fill="auto"/>
            <w:vAlign w:val="center"/>
          </w:tcPr>
          <w:p w:rsidR="00D03DF8" w:rsidRPr="00D03DF8" w:rsidRDefault="00D03DF8" w:rsidP="00233A31">
            <w:pPr>
              <w:pStyle w:val="142"/>
              <w:jc w:val="center"/>
              <w:rPr>
                <w:rFonts w:hAnsi="標楷體"/>
                <w:b/>
                <w:spacing w:val="-20"/>
                <w:szCs w:val="24"/>
              </w:rPr>
            </w:pPr>
            <w:r w:rsidRPr="00D03DF8">
              <w:rPr>
                <w:rFonts w:hAnsi="標楷體" w:hint="eastAsia"/>
                <w:b/>
                <w:spacing w:val="-20"/>
                <w:szCs w:val="24"/>
              </w:rPr>
              <w:t>營業盈餘及事業收入</w:t>
            </w:r>
          </w:p>
        </w:tc>
        <w:tc>
          <w:tcPr>
            <w:tcW w:w="1284" w:type="dxa"/>
            <w:shd w:val="clear" w:color="auto" w:fill="auto"/>
            <w:vAlign w:val="center"/>
          </w:tcPr>
          <w:p w:rsidR="00D03DF8" w:rsidRPr="00D03DF8" w:rsidRDefault="00D03DF8" w:rsidP="00233A31">
            <w:pPr>
              <w:pStyle w:val="142"/>
              <w:jc w:val="center"/>
              <w:rPr>
                <w:rFonts w:hAnsi="標楷體"/>
                <w:b/>
                <w:spacing w:val="-20"/>
                <w:szCs w:val="24"/>
              </w:rPr>
            </w:pPr>
            <w:r w:rsidRPr="00D03DF8">
              <w:rPr>
                <w:rFonts w:hAnsi="標楷體" w:hint="eastAsia"/>
                <w:b/>
                <w:spacing w:val="-20"/>
                <w:szCs w:val="24"/>
              </w:rPr>
              <w:t>規費及罰款收入</w:t>
            </w:r>
          </w:p>
        </w:tc>
        <w:tc>
          <w:tcPr>
            <w:tcW w:w="1284" w:type="dxa"/>
            <w:shd w:val="clear" w:color="auto" w:fill="auto"/>
            <w:vAlign w:val="center"/>
          </w:tcPr>
          <w:p w:rsidR="00D03DF8" w:rsidRPr="00D03DF8" w:rsidRDefault="00D03DF8" w:rsidP="00233A31">
            <w:pPr>
              <w:pStyle w:val="142"/>
              <w:jc w:val="center"/>
              <w:rPr>
                <w:rFonts w:hAnsi="標楷體"/>
                <w:b/>
                <w:spacing w:val="-20"/>
                <w:szCs w:val="24"/>
              </w:rPr>
            </w:pPr>
            <w:r w:rsidRPr="00D03DF8">
              <w:rPr>
                <w:rFonts w:hAnsi="標楷體" w:hint="eastAsia"/>
                <w:b/>
                <w:spacing w:val="-20"/>
                <w:szCs w:val="24"/>
              </w:rPr>
              <w:t>財產收入</w:t>
            </w:r>
          </w:p>
        </w:tc>
        <w:tc>
          <w:tcPr>
            <w:tcW w:w="1285" w:type="dxa"/>
            <w:shd w:val="clear" w:color="auto" w:fill="auto"/>
            <w:vAlign w:val="center"/>
          </w:tcPr>
          <w:p w:rsidR="00D03DF8" w:rsidRPr="00D03DF8" w:rsidRDefault="00D03DF8" w:rsidP="00233A31">
            <w:pPr>
              <w:pStyle w:val="142"/>
              <w:jc w:val="center"/>
              <w:rPr>
                <w:rFonts w:hAnsi="標楷體"/>
                <w:b/>
                <w:spacing w:val="-20"/>
                <w:szCs w:val="24"/>
              </w:rPr>
            </w:pPr>
            <w:r w:rsidRPr="00D03DF8">
              <w:rPr>
                <w:rFonts w:hAnsi="標楷體" w:hint="eastAsia"/>
                <w:b/>
                <w:spacing w:val="-20"/>
                <w:szCs w:val="24"/>
              </w:rPr>
              <w:t>其他收入</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104</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1,776,703</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1,319,405</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255,005</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105,674</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86,768</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9,851</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105</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1,826,507</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1,450,613</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237,897</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77,172</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49,786</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11,039</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106</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1,857,175</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1,485,316</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224,097</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98,998</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37,347</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11,417</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107</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1,923,689</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1,565,189</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186,591</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94,399</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34,663</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42,847</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108</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2,001,347</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1,656,079</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228,821</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79,853</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25,881</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10,713</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109</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2,107,028</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1,683,556</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242,744</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123,223</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47,658</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9,847</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110</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2,067,375</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1,685,289</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246,322</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79,582</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33,838</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22,344</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111</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2,280,412</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1,912,724</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251,522</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77,162</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25,773</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13,231</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112</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2,579,589</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2,194,910</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264,659</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79,355</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25,282</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15,383</w:t>
            </w:r>
          </w:p>
        </w:tc>
      </w:tr>
      <w:tr w:rsidR="00D03DF8" w:rsidRPr="00587F54" w:rsidTr="00C361CB">
        <w:trPr>
          <w:trHeight w:val="397"/>
        </w:trPr>
        <w:tc>
          <w:tcPr>
            <w:tcW w:w="767" w:type="dxa"/>
            <w:shd w:val="clear" w:color="auto" w:fill="auto"/>
            <w:vAlign w:val="center"/>
          </w:tcPr>
          <w:p w:rsidR="00D03DF8" w:rsidRPr="00D8223C" w:rsidRDefault="00D03DF8" w:rsidP="00233A31">
            <w:pPr>
              <w:pStyle w:val="142"/>
              <w:jc w:val="both"/>
              <w:rPr>
                <w:rFonts w:hAnsi="標楷體"/>
                <w:spacing w:val="-20"/>
                <w:szCs w:val="24"/>
              </w:rPr>
            </w:pPr>
            <w:r w:rsidRPr="00D8223C">
              <w:rPr>
                <w:rFonts w:hAnsi="標楷體" w:hint="eastAsia"/>
                <w:spacing w:val="-20"/>
                <w:szCs w:val="24"/>
              </w:rPr>
              <w:t>113</w:t>
            </w:r>
          </w:p>
        </w:tc>
        <w:tc>
          <w:tcPr>
            <w:tcW w:w="1276"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2,725,183</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2,314,020</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286,910</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80,297</w:t>
            </w:r>
          </w:p>
        </w:tc>
        <w:tc>
          <w:tcPr>
            <w:tcW w:w="1284"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31,496</w:t>
            </w:r>
          </w:p>
        </w:tc>
        <w:tc>
          <w:tcPr>
            <w:tcW w:w="1285" w:type="dxa"/>
            <w:shd w:val="clear" w:color="auto" w:fill="auto"/>
            <w:vAlign w:val="center"/>
          </w:tcPr>
          <w:p w:rsidR="00D03DF8" w:rsidRPr="00D03DF8" w:rsidRDefault="00D03DF8" w:rsidP="00233A31">
            <w:pPr>
              <w:pStyle w:val="142"/>
              <w:jc w:val="right"/>
              <w:rPr>
                <w:rFonts w:hAnsi="標楷體"/>
                <w:spacing w:val="-20"/>
                <w:szCs w:val="24"/>
              </w:rPr>
            </w:pPr>
            <w:r w:rsidRPr="00D03DF8">
              <w:rPr>
                <w:rFonts w:hAnsi="標楷體" w:hint="eastAsia"/>
                <w:spacing w:val="-20"/>
                <w:szCs w:val="24"/>
              </w:rPr>
              <w:t>12,460</w:t>
            </w:r>
          </w:p>
        </w:tc>
      </w:tr>
      <w:tr w:rsidR="00416571" w:rsidRPr="00587F54" w:rsidTr="00CF4247">
        <w:trPr>
          <w:trHeight w:val="397"/>
        </w:trPr>
        <w:tc>
          <w:tcPr>
            <w:tcW w:w="767" w:type="dxa"/>
            <w:shd w:val="clear" w:color="auto" w:fill="auto"/>
            <w:vAlign w:val="center"/>
          </w:tcPr>
          <w:p w:rsidR="00416571" w:rsidRPr="00D8223C" w:rsidRDefault="00416571" w:rsidP="00416571">
            <w:pPr>
              <w:pStyle w:val="142"/>
              <w:jc w:val="both"/>
              <w:rPr>
                <w:rFonts w:hAnsi="標楷體"/>
                <w:spacing w:val="-20"/>
                <w:szCs w:val="24"/>
              </w:rPr>
            </w:pPr>
            <w:r>
              <w:rPr>
                <w:rFonts w:hAnsi="標楷體" w:hint="eastAsia"/>
                <w:spacing w:val="-20"/>
                <w:szCs w:val="24"/>
              </w:rPr>
              <w:t>114</w:t>
            </w:r>
          </w:p>
        </w:tc>
        <w:tc>
          <w:tcPr>
            <w:tcW w:w="1276" w:type="dxa"/>
            <w:shd w:val="clear" w:color="auto" w:fill="auto"/>
          </w:tcPr>
          <w:p w:rsidR="00416571" w:rsidRPr="00416571" w:rsidRDefault="00416571" w:rsidP="00416571">
            <w:pPr>
              <w:pStyle w:val="142"/>
              <w:jc w:val="right"/>
              <w:rPr>
                <w:rFonts w:hAnsi="標楷體"/>
                <w:spacing w:val="-20"/>
                <w:szCs w:val="24"/>
              </w:rPr>
            </w:pPr>
            <w:r w:rsidRPr="00416571">
              <w:rPr>
                <w:rFonts w:hAnsi="標楷體"/>
                <w:spacing w:val="-20"/>
                <w:szCs w:val="24"/>
              </w:rPr>
              <w:t>3,164,804</w:t>
            </w:r>
          </w:p>
        </w:tc>
        <w:tc>
          <w:tcPr>
            <w:tcW w:w="1284" w:type="dxa"/>
            <w:shd w:val="clear" w:color="auto" w:fill="auto"/>
          </w:tcPr>
          <w:p w:rsidR="00416571" w:rsidRPr="00416571" w:rsidRDefault="00416571" w:rsidP="00416571">
            <w:pPr>
              <w:pStyle w:val="142"/>
              <w:jc w:val="right"/>
              <w:rPr>
                <w:rFonts w:hAnsi="標楷體"/>
                <w:spacing w:val="-20"/>
                <w:szCs w:val="24"/>
              </w:rPr>
            </w:pPr>
            <w:r w:rsidRPr="00416571">
              <w:rPr>
                <w:rFonts w:hAnsi="標楷體"/>
                <w:spacing w:val="-20"/>
                <w:szCs w:val="24"/>
              </w:rPr>
              <w:t>2,784,492</w:t>
            </w:r>
          </w:p>
        </w:tc>
        <w:tc>
          <w:tcPr>
            <w:tcW w:w="1284" w:type="dxa"/>
            <w:shd w:val="clear" w:color="auto" w:fill="auto"/>
          </w:tcPr>
          <w:p w:rsidR="00416571" w:rsidRPr="00416571" w:rsidRDefault="00416571" w:rsidP="00416571">
            <w:pPr>
              <w:pStyle w:val="142"/>
              <w:jc w:val="right"/>
              <w:rPr>
                <w:rFonts w:hAnsi="標楷體"/>
                <w:spacing w:val="-20"/>
                <w:szCs w:val="24"/>
              </w:rPr>
            </w:pPr>
            <w:r w:rsidRPr="00416571">
              <w:rPr>
                <w:rFonts w:hAnsi="標楷體"/>
                <w:spacing w:val="-20"/>
                <w:szCs w:val="24"/>
              </w:rPr>
              <w:t>256,107</w:t>
            </w:r>
          </w:p>
        </w:tc>
        <w:tc>
          <w:tcPr>
            <w:tcW w:w="1284" w:type="dxa"/>
            <w:shd w:val="clear" w:color="auto" w:fill="auto"/>
          </w:tcPr>
          <w:p w:rsidR="00416571" w:rsidRPr="00416571" w:rsidRDefault="00416571" w:rsidP="00416571">
            <w:pPr>
              <w:pStyle w:val="142"/>
              <w:jc w:val="right"/>
              <w:rPr>
                <w:rFonts w:hAnsi="標楷體"/>
                <w:spacing w:val="-20"/>
                <w:szCs w:val="24"/>
              </w:rPr>
            </w:pPr>
            <w:r w:rsidRPr="00416571">
              <w:rPr>
                <w:rFonts w:hAnsi="標楷體"/>
                <w:spacing w:val="-20"/>
                <w:szCs w:val="24"/>
              </w:rPr>
              <w:t>81,877</w:t>
            </w:r>
          </w:p>
        </w:tc>
        <w:tc>
          <w:tcPr>
            <w:tcW w:w="1284" w:type="dxa"/>
            <w:shd w:val="clear" w:color="auto" w:fill="auto"/>
          </w:tcPr>
          <w:p w:rsidR="00416571" w:rsidRPr="00416571" w:rsidRDefault="00416571" w:rsidP="00416571">
            <w:pPr>
              <w:pStyle w:val="142"/>
              <w:jc w:val="right"/>
              <w:rPr>
                <w:rFonts w:hAnsi="標楷體"/>
                <w:spacing w:val="-20"/>
                <w:szCs w:val="24"/>
              </w:rPr>
            </w:pPr>
            <w:r w:rsidRPr="00416571">
              <w:rPr>
                <w:rFonts w:hAnsi="標楷體"/>
                <w:spacing w:val="-20"/>
                <w:szCs w:val="24"/>
              </w:rPr>
              <w:t>29,839</w:t>
            </w:r>
          </w:p>
        </w:tc>
        <w:tc>
          <w:tcPr>
            <w:tcW w:w="1285" w:type="dxa"/>
            <w:shd w:val="clear" w:color="auto" w:fill="auto"/>
          </w:tcPr>
          <w:p w:rsidR="00416571" w:rsidRPr="00416571" w:rsidRDefault="00416571" w:rsidP="00416571">
            <w:pPr>
              <w:pStyle w:val="142"/>
              <w:jc w:val="right"/>
              <w:rPr>
                <w:rFonts w:hAnsi="標楷體"/>
                <w:spacing w:val="-20"/>
                <w:szCs w:val="24"/>
              </w:rPr>
            </w:pPr>
            <w:r w:rsidRPr="00416571">
              <w:rPr>
                <w:rFonts w:hAnsi="標楷體"/>
                <w:spacing w:val="-20"/>
                <w:szCs w:val="24"/>
              </w:rPr>
              <w:t>12,489</w:t>
            </w:r>
          </w:p>
        </w:tc>
      </w:tr>
      <w:tr w:rsidR="00416571" w:rsidRPr="00416571" w:rsidTr="00416571">
        <w:trPr>
          <w:trHeight w:val="397"/>
        </w:trPr>
        <w:tc>
          <w:tcPr>
            <w:tcW w:w="767" w:type="dxa"/>
            <w:shd w:val="clear" w:color="auto" w:fill="auto"/>
            <w:vAlign w:val="center"/>
          </w:tcPr>
          <w:p w:rsidR="00416571" w:rsidRPr="00D8223C" w:rsidRDefault="00416571" w:rsidP="00416571">
            <w:pPr>
              <w:pStyle w:val="142"/>
              <w:jc w:val="both"/>
              <w:rPr>
                <w:rFonts w:hAnsi="標楷體"/>
                <w:spacing w:val="-20"/>
                <w:szCs w:val="24"/>
              </w:rPr>
            </w:pPr>
            <w:r>
              <w:rPr>
                <w:rFonts w:hAnsi="標楷體" w:hint="eastAsia"/>
                <w:spacing w:val="-20"/>
                <w:szCs w:val="24"/>
              </w:rPr>
              <w:t>114較104增減幅</w:t>
            </w:r>
          </w:p>
        </w:tc>
        <w:tc>
          <w:tcPr>
            <w:tcW w:w="1276" w:type="dxa"/>
            <w:shd w:val="clear" w:color="auto" w:fill="auto"/>
            <w:vAlign w:val="center"/>
          </w:tcPr>
          <w:p w:rsidR="00416571" w:rsidRPr="00416571" w:rsidRDefault="00416571" w:rsidP="00416571">
            <w:pPr>
              <w:pStyle w:val="142"/>
              <w:jc w:val="right"/>
              <w:rPr>
                <w:rFonts w:hAnsi="標楷體"/>
                <w:spacing w:val="-20"/>
                <w:szCs w:val="24"/>
              </w:rPr>
            </w:pPr>
            <w:r w:rsidRPr="00416571">
              <w:rPr>
                <w:rFonts w:hAnsi="標楷體"/>
                <w:spacing w:val="-20"/>
                <w:szCs w:val="24"/>
              </w:rPr>
              <w:t>78.13%</w:t>
            </w:r>
          </w:p>
        </w:tc>
        <w:tc>
          <w:tcPr>
            <w:tcW w:w="1284" w:type="dxa"/>
            <w:shd w:val="clear" w:color="auto" w:fill="auto"/>
            <w:vAlign w:val="center"/>
          </w:tcPr>
          <w:p w:rsidR="00416571" w:rsidRPr="00416571" w:rsidRDefault="00416571" w:rsidP="00416571">
            <w:pPr>
              <w:pStyle w:val="142"/>
              <w:jc w:val="right"/>
              <w:rPr>
                <w:rFonts w:hAnsi="標楷體"/>
                <w:spacing w:val="-20"/>
                <w:szCs w:val="24"/>
              </w:rPr>
            </w:pPr>
            <w:r w:rsidRPr="00416571">
              <w:rPr>
                <w:rFonts w:hAnsi="標楷體"/>
                <w:spacing w:val="-20"/>
                <w:szCs w:val="24"/>
              </w:rPr>
              <w:t>111.04%</w:t>
            </w:r>
          </w:p>
        </w:tc>
        <w:tc>
          <w:tcPr>
            <w:tcW w:w="1284" w:type="dxa"/>
            <w:shd w:val="clear" w:color="auto" w:fill="auto"/>
            <w:vAlign w:val="center"/>
          </w:tcPr>
          <w:p w:rsidR="00416571" w:rsidRPr="00416571" w:rsidRDefault="00416571" w:rsidP="00416571">
            <w:pPr>
              <w:pStyle w:val="142"/>
              <w:jc w:val="right"/>
              <w:rPr>
                <w:rFonts w:hAnsi="標楷體"/>
                <w:spacing w:val="-20"/>
                <w:szCs w:val="24"/>
              </w:rPr>
            </w:pPr>
            <w:r w:rsidRPr="00416571">
              <w:rPr>
                <w:rFonts w:hAnsi="標楷體"/>
                <w:spacing w:val="-20"/>
                <w:szCs w:val="24"/>
              </w:rPr>
              <w:t>0.43%</w:t>
            </w:r>
          </w:p>
        </w:tc>
        <w:tc>
          <w:tcPr>
            <w:tcW w:w="1284" w:type="dxa"/>
            <w:shd w:val="clear" w:color="auto" w:fill="auto"/>
            <w:vAlign w:val="center"/>
          </w:tcPr>
          <w:p w:rsidR="00416571" w:rsidRPr="00416571" w:rsidRDefault="00416571" w:rsidP="00416571">
            <w:pPr>
              <w:pStyle w:val="142"/>
              <w:jc w:val="right"/>
              <w:rPr>
                <w:rFonts w:hAnsi="標楷體"/>
                <w:spacing w:val="-20"/>
                <w:szCs w:val="24"/>
              </w:rPr>
            </w:pPr>
            <w:r w:rsidRPr="00416571">
              <w:rPr>
                <w:rFonts w:hAnsi="標楷體"/>
                <w:spacing w:val="-20"/>
                <w:szCs w:val="24"/>
              </w:rPr>
              <w:t>-22.52%</w:t>
            </w:r>
          </w:p>
        </w:tc>
        <w:tc>
          <w:tcPr>
            <w:tcW w:w="1284" w:type="dxa"/>
            <w:shd w:val="clear" w:color="auto" w:fill="auto"/>
            <w:vAlign w:val="center"/>
          </w:tcPr>
          <w:p w:rsidR="00416571" w:rsidRPr="00416571" w:rsidRDefault="00416571" w:rsidP="00416571">
            <w:pPr>
              <w:pStyle w:val="142"/>
              <w:jc w:val="right"/>
              <w:rPr>
                <w:rFonts w:hAnsi="標楷體"/>
                <w:spacing w:val="-20"/>
                <w:szCs w:val="24"/>
              </w:rPr>
            </w:pPr>
            <w:r w:rsidRPr="00416571">
              <w:rPr>
                <w:rFonts w:hAnsi="標楷體"/>
                <w:spacing w:val="-20"/>
                <w:szCs w:val="24"/>
              </w:rPr>
              <w:t>-65.61%</w:t>
            </w:r>
          </w:p>
        </w:tc>
        <w:tc>
          <w:tcPr>
            <w:tcW w:w="1285" w:type="dxa"/>
            <w:shd w:val="clear" w:color="auto" w:fill="auto"/>
            <w:vAlign w:val="center"/>
          </w:tcPr>
          <w:p w:rsidR="00416571" w:rsidRPr="00416571" w:rsidRDefault="00416571" w:rsidP="00416571">
            <w:pPr>
              <w:pStyle w:val="142"/>
              <w:jc w:val="right"/>
              <w:rPr>
                <w:rFonts w:hAnsi="標楷體"/>
                <w:spacing w:val="-20"/>
                <w:szCs w:val="24"/>
              </w:rPr>
            </w:pPr>
            <w:r w:rsidRPr="00416571">
              <w:rPr>
                <w:rFonts w:hAnsi="標楷體"/>
                <w:spacing w:val="-20"/>
                <w:szCs w:val="24"/>
              </w:rPr>
              <w:t>26.78%</w:t>
            </w:r>
          </w:p>
        </w:tc>
      </w:tr>
    </w:tbl>
    <w:p w:rsidR="00A32865" w:rsidRPr="00B5190A" w:rsidRDefault="00A32865" w:rsidP="00A32865">
      <w:pPr>
        <w:spacing w:line="280" w:lineRule="exact"/>
        <w:ind w:leftChars="15" w:left="1455" w:rightChars="-8" w:right="-23" w:hangingChars="581" w:hanging="1413"/>
        <w:rPr>
          <w:rFonts w:hAnsi="標楷體"/>
          <w:sz w:val="24"/>
        </w:rPr>
      </w:pPr>
      <w:r w:rsidRPr="003A6A2F">
        <w:rPr>
          <w:rFonts w:hint="eastAsia"/>
          <w:sz w:val="24"/>
        </w:rPr>
        <w:t>說    明</w:t>
      </w:r>
      <w:r w:rsidRPr="003A6A2F">
        <w:rPr>
          <w:rFonts w:hAnsi="標楷體" w:hint="eastAsia"/>
          <w:sz w:val="24"/>
        </w:rPr>
        <w:t>：表列</w:t>
      </w:r>
      <w:r w:rsidR="00671C07">
        <w:rPr>
          <w:rFonts w:hAnsi="標楷體" w:hint="eastAsia"/>
          <w:sz w:val="24"/>
        </w:rPr>
        <w:t>數據</w:t>
      </w:r>
      <w:r w:rsidRPr="003A6A2F">
        <w:rPr>
          <w:rFonts w:hAnsi="標楷體" w:hint="eastAsia"/>
          <w:sz w:val="24"/>
        </w:rPr>
        <w:t>均為法定預算數</w:t>
      </w:r>
      <w:r w:rsidRPr="00B5190A">
        <w:rPr>
          <w:rFonts w:hAnsi="標楷體" w:hint="eastAsia"/>
          <w:sz w:val="24"/>
        </w:rPr>
        <w:t>。</w:t>
      </w:r>
    </w:p>
    <w:p w:rsidR="00040887" w:rsidRPr="00D8223C" w:rsidRDefault="00040887" w:rsidP="00040887">
      <w:pPr>
        <w:pStyle w:val="142"/>
        <w:ind w:firstLineChars="28" w:firstLine="68"/>
        <w:rPr>
          <w:rFonts w:hAnsi="標楷體"/>
          <w:szCs w:val="24"/>
        </w:rPr>
      </w:pPr>
      <w:r w:rsidRPr="00D8223C">
        <w:rPr>
          <w:rFonts w:hAnsi="標楷體" w:hint="eastAsia"/>
          <w:szCs w:val="24"/>
        </w:rPr>
        <w:t>資料來源：</w:t>
      </w:r>
      <w:r w:rsidRPr="00040887">
        <w:rPr>
          <w:rFonts w:hAnsi="標楷體" w:hint="eastAsia"/>
          <w:szCs w:val="24"/>
        </w:rPr>
        <w:t>財政部財政統計資料庫</w:t>
      </w:r>
      <w:r w:rsidRPr="00D8223C">
        <w:rPr>
          <w:rFonts w:hAnsi="標楷體" w:hint="eastAsia"/>
          <w:szCs w:val="24"/>
        </w:rPr>
        <w:t>。</w:t>
      </w:r>
    </w:p>
    <w:p w:rsidR="00040887" w:rsidRDefault="00040887" w:rsidP="008E68F6">
      <w:pPr>
        <w:pStyle w:val="2"/>
        <w:ind w:leftChars="0" w:left="850" w:hangingChars="300" w:hanging="850"/>
        <w:rPr>
          <w:rFonts w:hAnsi="標楷體"/>
          <w:noProof/>
        </w:rPr>
      </w:pPr>
    </w:p>
    <w:p w:rsidR="00E26D53" w:rsidRDefault="00E26D53" w:rsidP="008E68F6">
      <w:pPr>
        <w:pStyle w:val="2"/>
        <w:ind w:leftChars="0" w:left="850" w:hangingChars="300" w:hanging="850"/>
        <w:rPr>
          <w:rFonts w:hAnsi="標楷體"/>
          <w:noProof/>
        </w:rPr>
      </w:pPr>
    </w:p>
    <w:p w:rsidR="00F86ED1" w:rsidRPr="00BD3682" w:rsidRDefault="00F86ED1" w:rsidP="00BD3682">
      <w:pPr>
        <w:pStyle w:val="20"/>
        <w:ind w:leftChars="29" w:left="1134" w:hangingChars="371" w:hanging="1052"/>
        <w:jc w:val="both"/>
        <w:rPr>
          <w:rFonts w:hAnsi="標楷體"/>
          <w:noProof/>
          <w:sz w:val="28"/>
        </w:rPr>
      </w:pPr>
      <w:r w:rsidRPr="00BD3682">
        <w:rPr>
          <w:rFonts w:hAnsi="標楷體" w:hint="eastAsia"/>
          <w:b/>
          <w:bCs/>
          <w:noProof/>
          <w:sz w:val="28"/>
        </w:rPr>
        <w:t>圖1  104至114年度中央政府歲入結構變化概況</w:t>
      </w:r>
    </w:p>
    <w:p w:rsidR="00222B1D" w:rsidRDefault="005814D1" w:rsidP="008E68F6">
      <w:pPr>
        <w:pStyle w:val="2"/>
        <w:ind w:leftChars="0" w:left="850" w:hangingChars="300" w:hanging="850"/>
        <w:rPr>
          <w:rFonts w:hAnsi="標楷體"/>
          <w:noProof/>
        </w:rPr>
      </w:pPr>
      <w:r>
        <w:rPr>
          <w:noProof/>
        </w:rPr>
        <w:drawing>
          <wp:anchor distT="0" distB="0" distL="114300" distR="114300" simplePos="0" relativeHeight="251655168" behindDoc="0" locked="0" layoutInCell="1" allowOverlap="1">
            <wp:simplePos x="0" y="0"/>
            <wp:positionH relativeFrom="column">
              <wp:posOffset>64770</wp:posOffset>
            </wp:positionH>
            <wp:positionV relativeFrom="paragraph">
              <wp:posOffset>49530</wp:posOffset>
            </wp:positionV>
            <wp:extent cx="5446395" cy="3627755"/>
            <wp:effectExtent l="19050" t="19050" r="1905" b="0"/>
            <wp:wrapNone/>
            <wp:docPr id="16"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14">
                      <a:extLst>
                        <a:ext uri="{28A0092B-C50C-407E-A947-70E740481C1C}">
                          <a14:useLocalDpi xmlns:a14="http://schemas.microsoft.com/office/drawing/2010/main" val="0"/>
                        </a:ext>
                      </a:extLst>
                    </a:blip>
                    <a:srcRect t="6863"/>
                    <a:stretch>
                      <a:fillRect/>
                    </a:stretch>
                  </pic:blipFill>
                  <pic:spPr bwMode="auto">
                    <a:xfrm>
                      <a:off x="0" y="0"/>
                      <a:ext cx="5446395" cy="3627755"/>
                    </a:xfrm>
                    <a:prstGeom prst="rect">
                      <a:avLst/>
                    </a:prstGeom>
                    <a:noFill/>
                    <a:ln w="9525" algn="ctr">
                      <a:solidFill>
                        <a:srgbClr val="000000"/>
                      </a:solidFill>
                      <a:round/>
                      <a:headEnd/>
                      <a:tailEnd/>
                    </a:ln>
                  </pic:spPr>
                </pic:pic>
              </a:graphicData>
            </a:graphic>
            <wp14:sizeRelH relativeFrom="page">
              <wp14:pctWidth>0</wp14:pctWidth>
            </wp14:sizeRelH>
            <wp14:sizeRelV relativeFrom="page">
              <wp14:pctHeight>0</wp14:pctHeight>
            </wp14:sizeRelV>
          </wp:anchor>
        </w:drawing>
      </w:r>
    </w:p>
    <w:p w:rsidR="00222B1D" w:rsidRDefault="00222B1D" w:rsidP="008E68F6">
      <w:pPr>
        <w:pStyle w:val="2"/>
        <w:ind w:leftChars="0" w:left="850" w:hangingChars="300" w:hanging="850"/>
        <w:rPr>
          <w:rFonts w:hAnsi="標楷體"/>
          <w:noProof/>
        </w:rPr>
      </w:pPr>
    </w:p>
    <w:p w:rsidR="00222B1D" w:rsidRPr="00F86ED1" w:rsidRDefault="00222B1D" w:rsidP="008E68F6">
      <w:pPr>
        <w:pStyle w:val="2"/>
        <w:ind w:leftChars="0" w:left="850" w:hangingChars="300" w:hanging="850"/>
        <w:rPr>
          <w:rFonts w:hAnsi="標楷體"/>
          <w:noProof/>
        </w:rPr>
      </w:pPr>
    </w:p>
    <w:p w:rsidR="00E26D53" w:rsidRDefault="00E26D53" w:rsidP="008E68F6">
      <w:pPr>
        <w:pStyle w:val="2"/>
        <w:ind w:leftChars="0" w:left="850" w:hangingChars="300" w:hanging="850"/>
        <w:rPr>
          <w:rFonts w:hAnsi="標楷體"/>
          <w:noProof/>
        </w:rPr>
      </w:pPr>
    </w:p>
    <w:p w:rsidR="00E26D53" w:rsidRDefault="00E26D53" w:rsidP="008E68F6">
      <w:pPr>
        <w:pStyle w:val="2"/>
        <w:ind w:leftChars="0" w:left="850" w:hangingChars="300" w:hanging="850"/>
        <w:rPr>
          <w:rFonts w:hAnsi="標楷體"/>
          <w:noProof/>
        </w:rPr>
      </w:pPr>
    </w:p>
    <w:p w:rsidR="00E26D53" w:rsidRDefault="00E26D53" w:rsidP="008E68F6">
      <w:pPr>
        <w:pStyle w:val="2"/>
        <w:ind w:leftChars="0" w:left="850" w:hangingChars="300" w:hanging="850"/>
        <w:rPr>
          <w:rFonts w:hAnsi="標楷體"/>
          <w:noProof/>
        </w:rPr>
      </w:pPr>
    </w:p>
    <w:p w:rsidR="00E26D53" w:rsidRDefault="00E26D53" w:rsidP="008E68F6">
      <w:pPr>
        <w:pStyle w:val="2"/>
        <w:ind w:leftChars="0" w:left="850" w:hangingChars="300" w:hanging="850"/>
        <w:rPr>
          <w:rFonts w:hAnsi="標楷體"/>
          <w:noProof/>
        </w:rPr>
      </w:pPr>
    </w:p>
    <w:p w:rsidR="00E26D53" w:rsidRDefault="00E26D53" w:rsidP="008E68F6">
      <w:pPr>
        <w:pStyle w:val="2"/>
        <w:ind w:leftChars="0" w:left="850" w:hangingChars="300" w:hanging="850"/>
        <w:rPr>
          <w:rFonts w:hAnsi="標楷體"/>
          <w:noProof/>
        </w:rPr>
      </w:pPr>
    </w:p>
    <w:p w:rsidR="00E26D53" w:rsidRDefault="00E26D53" w:rsidP="008E68F6">
      <w:pPr>
        <w:pStyle w:val="2"/>
        <w:ind w:leftChars="0" w:left="850" w:hangingChars="300" w:hanging="850"/>
        <w:rPr>
          <w:rFonts w:hAnsi="標楷體"/>
        </w:rPr>
      </w:pPr>
    </w:p>
    <w:p w:rsidR="008E68F6" w:rsidRDefault="008E68F6" w:rsidP="008E68F6">
      <w:pPr>
        <w:pStyle w:val="2"/>
        <w:ind w:leftChars="0" w:left="850" w:hangingChars="300" w:hanging="850"/>
        <w:rPr>
          <w:rFonts w:hAnsi="標楷體"/>
        </w:rPr>
      </w:pPr>
    </w:p>
    <w:p w:rsidR="00C361CB" w:rsidRDefault="00C361CB" w:rsidP="008E68F6">
      <w:pPr>
        <w:pStyle w:val="2"/>
        <w:ind w:leftChars="0" w:left="850" w:hangingChars="300" w:hanging="850"/>
        <w:rPr>
          <w:rFonts w:hAnsi="標楷體"/>
        </w:rPr>
      </w:pPr>
    </w:p>
    <w:p w:rsidR="00093307" w:rsidRDefault="00093307" w:rsidP="00D0060A">
      <w:pPr>
        <w:pStyle w:val="142"/>
        <w:ind w:firstLineChars="28" w:firstLine="68"/>
        <w:rPr>
          <w:rFonts w:hAnsi="標楷體"/>
          <w:szCs w:val="24"/>
        </w:rPr>
      </w:pPr>
    </w:p>
    <w:p w:rsidR="00D0060A" w:rsidRPr="00D0060A" w:rsidRDefault="00D0060A" w:rsidP="00D0060A">
      <w:pPr>
        <w:pStyle w:val="142"/>
        <w:ind w:firstLineChars="28" w:firstLine="68"/>
        <w:rPr>
          <w:rFonts w:hAnsi="標楷體"/>
          <w:szCs w:val="24"/>
        </w:rPr>
      </w:pPr>
      <w:r w:rsidRPr="00D0060A">
        <w:rPr>
          <w:rFonts w:hAnsi="標楷體" w:hint="eastAsia"/>
          <w:szCs w:val="24"/>
        </w:rPr>
        <w:t>資料來源：</w:t>
      </w:r>
      <w:r>
        <w:rPr>
          <w:rFonts w:hAnsi="標楷體" w:hint="eastAsia"/>
          <w:szCs w:val="24"/>
        </w:rPr>
        <w:t>依表2-1計算</w:t>
      </w:r>
      <w:r w:rsidRPr="00D0060A">
        <w:rPr>
          <w:rFonts w:hAnsi="標楷體" w:hint="eastAsia"/>
          <w:szCs w:val="24"/>
        </w:rPr>
        <w:t>。</w:t>
      </w:r>
    </w:p>
    <w:p w:rsidR="008E68F6" w:rsidRDefault="008E68F6" w:rsidP="008E68F6">
      <w:pPr>
        <w:pStyle w:val="a4"/>
        <w:ind w:left="849" w:hanging="283"/>
        <w:rPr>
          <w:b/>
        </w:rPr>
      </w:pPr>
      <w:r w:rsidRPr="00BA156B">
        <w:rPr>
          <w:rFonts w:hint="eastAsia"/>
          <w:b/>
        </w:rPr>
        <w:t>(二)</w:t>
      </w:r>
      <w:r w:rsidR="00BA156B" w:rsidRPr="00BA156B">
        <w:rPr>
          <w:rFonts w:hint="eastAsia"/>
          <w:b/>
        </w:rPr>
        <w:t>經財政部以114年度各稅預算資料設算修正後財劃法對中央財源影響，初估中央政府須增加釋出財源3,753億元</w:t>
      </w:r>
    </w:p>
    <w:p w:rsidR="00A41E1D" w:rsidRDefault="006E4329" w:rsidP="006E4329">
      <w:pPr>
        <w:pStyle w:val="2"/>
        <w:ind w:left="850" w:firstLine="566"/>
        <w:rPr>
          <w:rFonts w:hAnsi="標楷體"/>
        </w:rPr>
      </w:pPr>
      <w:r w:rsidRPr="006E4329">
        <w:rPr>
          <w:rFonts w:hAnsi="標楷體" w:hint="eastAsia"/>
        </w:rPr>
        <w:t>稅課收入依財政收支劃分法</w:t>
      </w:r>
      <w:r w:rsidR="00C25E4E">
        <w:rPr>
          <w:rFonts w:hAnsi="標楷體" w:hint="eastAsia"/>
        </w:rPr>
        <w:t>(下稱財劃法)</w:t>
      </w:r>
      <w:r w:rsidRPr="006E4329">
        <w:rPr>
          <w:rFonts w:hAnsi="標楷體" w:hint="eastAsia"/>
        </w:rPr>
        <w:t>規定，劃歸中央政府財政之各項稅目，稱之為國稅</w:t>
      </w:r>
      <w:r w:rsidR="00965751">
        <w:rPr>
          <w:rFonts w:hAnsi="標楷體" w:hint="eastAsia"/>
        </w:rPr>
        <w:t>，</w:t>
      </w:r>
      <w:r w:rsidRPr="006E4329">
        <w:rPr>
          <w:rFonts w:hAnsi="標楷體" w:hint="eastAsia"/>
        </w:rPr>
        <w:t>包括所得稅、遺產及贈與稅、關稅、營業稅、貨物稅、菸酒稅、證券交易稅、期貨交易稅</w:t>
      </w:r>
      <w:r w:rsidR="00965751">
        <w:rPr>
          <w:rFonts w:hAnsi="標楷體" w:hint="eastAsia"/>
        </w:rPr>
        <w:t>等</w:t>
      </w:r>
      <w:r w:rsidR="00965751">
        <w:rPr>
          <w:rStyle w:val="af6"/>
          <w:rFonts w:hAnsi="標楷體"/>
        </w:rPr>
        <w:footnoteReference w:id="2"/>
      </w:r>
      <w:r w:rsidR="00B72630">
        <w:rPr>
          <w:rFonts w:hAnsi="標楷體" w:hint="eastAsia"/>
        </w:rPr>
        <w:t>，</w:t>
      </w:r>
      <w:r w:rsidR="008C7B49">
        <w:rPr>
          <w:rFonts w:hAnsi="標楷體" w:hint="eastAsia"/>
        </w:rPr>
        <w:t>且</w:t>
      </w:r>
      <w:r w:rsidR="00B72630">
        <w:rPr>
          <w:rFonts w:hAnsi="標楷體" w:hint="eastAsia"/>
        </w:rPr>
        <w:t>依</w:t>
      </w:r>
      <w:r w:rsidR="00B72630" w:rsidRPr="00B72630">
        <w:rPr>
          <w:rFonts w:hAnsi="標楷體" w:hint="eastAsia"/>
        </w:rPr>
        <w:t>財劃法</w:t>
      </w:r>
      <w:r w:rsidR="00B72630">
        <w:rPr>
          <w:rFonts w:hAnsi="標楷體" w:hint="eastAsia"/>
        </w:rPr>
        <w:t>之規定，</w:t>
      </w:r>
      <w:r w:rsidRPr="006E4329">
        <w:rPr>
          <w:rFonts w:hAnsi="標楷體" w:hint="eastAsia"/>
        </w:rPr>
        <w:t>國稅收入</w:t>
      </w:r>
      <w:r w:rsidR="00B72630">
        <w:rPr>
          <w:rFonts w:hAnsi="標楷體" w:hint="eastAsia"/>
        </w:rPr>
        <w:t>並</w:t>
      </w:r>
      <w:r w:rsidR="00763FC3">
        <w:rPr>
          <w:rFonts w:hAnsi="標楷體" w:hint="eastAsia"/>
        </w:rPr>
        <w:t>非</w:t>
      </w:r>
      <w:r w:rsidRPr="006E4329">
        <w:rPr>
          <w:rFonts w:hAnsi="標楷體" w:hint="eastAsia"/>
        </w:rPr>
        <w:t>全部列入中央政府歲入，</w:t>
      </w:r>
      <w:r w:rsidR="00C25E4E">
        <w:rPr>
          <w:rFonts w:hAnsi="標楷體" w:hint="eastAsia"/>
        </w:rPr>
        <w:t>如</w:t>
      </w:r>
      <w:r w:rsidRPr="006E4329">
        <w:rPr>
          <w:rFonts w:hAnsi="標楷體" w:hint="eastAsia"/>
        </w:rPr>
        <w:t>國稅中所得稅、</w:t>
      </w:r>
      <w:r w:rsidR="00C25E4E">
        <w:rPr>
          <w:rFonts w:hAnsi="標楷體" w:hint="eastAsia"/>
        </w:rPr>
        <w:t>營業稅、</w:t>
      </w:r>
      <w:r w:rsidRPr="006E4329">
        <w:rPr>
          <w:rFonts w:hAnsi="標楷體" w:hint="eastAsia"/>
        </w:rPr>
        <w:t>貨物稅</w:t>
      </w:r>
      <w:r w:rsidR="00C25E4E">
        <w:rPr>
          <w:rFonts w:hAnsi="標楷體" w:hint="eastAsia"/>
        </w:rPr>
        <w:t>須按比例提撥中央統籌分配，</w:t>
      </w:r>
      <w:r w:rsidRPr="006E4329">
        <w:rPr>
          <w:rFonts w:hAnsi="標楷體" w:hint="eastAsia"/>
        </w:rPr>
        <w:t>遺產及贈與稅和菸酒稅，</w:t>
      </w:r>
      <w:r w:rsidR="00C25E4E">
        <w:rPr>
          <w:rFonts w:hAnsi="標楷體" w:hint="eastAsia"/>
        </w:rPr>
        <w:t>亦</w:t>
      </w:r>
      <w:r w:rsidR="00A41E1D">
        <w:rPr>
          <w:rFonts w:hAnsi="標楷體" w:hint="eastAsia"/>
        </w:rPr>
        <w:t>應</w:t>
      </w:r>
      <w:r w:rsidRPr="006E4329">
        <w:rPr>
          <w:rFonts w:hAnsi="標楷體" w:hint="eastAsia"/>
        </w:rPr>
        <w:t>依</w:t>
      </w:r>
      <w:r w:rsidR="00A41E1D">
        <w:rPr>
          <w:rFonts w:hAnsi="標楷體" w:hint="eastAsia"/>
        </w:rPr>
        <w:t>財劃法</w:t>
      </w:r>
      <w:r w:rsidRPr="006E4329">
        <w:rPr>
          <w:rFonts w:hAnsi="標楷體" w:hint="eastAsia"/>
        </w:rPr>
        <w:t>規定</w:t>
      </w:r>
      <w:r w:rsidR="00C25E4E">
        <w:rPr>
          <w:rFonts w:hAnsi="標楷體" w:hint="eastAsia"/>
        </w:rPr>
        <w:t>比例</w:t>
      </w:r>
      <w:r w:rsidRPr="006E4329">
        <w:rPr>
          <w:rFonts w:hAnsi="標楷體" w:hint="eastAsia"/>
        </w:rPr>
        <w:t>分配給直轄市、縣(市)及鄉(鎮、市)。</w:t>
      </w:r>
    </w:p>
    <w:p w:rsidR="00CB101A" w:rsidRDefault="00816EEE" w:rsidP="006E4329">
      <w:pPr>
        <w:pStyle w:val="2"/>
        <w:ind w:left="850" w:firstLine="566"/>
        <w:rPr>
          <w:rFonts w:hAnsi="標楷體"/>
        </w:rPr>
      </w:pPr>
      <w:r>
        <w:rPr>
          <w:rFonts w:hAnsi="標楷體" w:hint="eastAsia"/>
        </w:rPr>
        <w:t>又按</w:t>
      </w:r>
      <w:r w:rsidR="00C25E4E">
        <w:rPr>
          <w:rFonts w:hAnsi="標楷體" w:hint="eastAsia"/>
        </w:rPr>
        <w:t>總統於114年3月21日公布</w:t>
      </w:r>
      <w:r w:rsidR="00CB101A" w:rsidRPr="00CB101A">
        <w:rPr>
          <w:rFonts w:hAnsi="標楷體" w:hint="eastAsia"/>
        </w:rPr>
        <w:t>財劃法</w:t>
      </w:r>
      <w:r>
        <w:rPr>
          <w:rFonts w:hAnsi="標楷體" w:hint="eastAsia"/>
        </w:rPr>
        <w:t>修正條文</w:t>
      </w:r>
      <w:r w:rsidR="003A69BB">
        <w:rPr>
          <w:rFonts w:hAnsi="標楷體" w:hint="eastAsia"/>
        </w:rPr>
        <w:t>，其中</w:t>
      </w:r>
      <w:r w:rsidR="00CB101A" w:rsidRPr="00CB101A">
        <w:rPr>
          <w:rFonts w:hAnsi="標楷體" w:hint="eastAsia"/>
        </w:rPr>
        <w:t>第</w:t>
      </w:r>
      <w:r>
        <w:rPr>
          <w:rFonts w:hAnsi="標楷體" w:hint="eastAsia"/>
        </w:rPr>
        <w:t>8</w:t>
      </w:r>
      <w:r w:rsidR="00CB101A" w:rsidRPr="00CB101A">
        <w:rPr>
          <w:rFonts w:hAnsi="標楷體" w:hint="eastAsia"/>
        </w:rPr>
        <w:t>條</w:t>
      </w:r>
      <w:r>
        <w:rPr>
          <w:rFonts w:hAnsi="標楷體" w:hint="eastAsia"/>
        </w:rPr>
        <w:t>第2項規定</w:t>
      </w:r>
      <w:r w:rsidR="003A69BB">
        <w:rPr>
          <w:rStyle w:val="af6"/>
          <w:rFonts w:hAnsi="標楷體"/>
        </w:rPr>
        <w:footnoteReference w:id="3"/>
      </w:r>
      <w:r w:rsidR="00953BE1">
        <w:rPr>
          <w:rFonts w:hAnsi="標楷體" w:hint="eastAsia"/>
        </w:rPr>
        <w:t>，修正調整各級政府稅收之劃分</w:t>
      </w:r>
      <w:r w:rsidR="00CB101A" w:rsidRPr="00CB101A">
        <w:rPr>
          <w:rFonts w:hAnsi="標楷體" w:hint="eastAsia"/>
        </w:rPr>
        <w:t>，</w:t>
      </w:r>
      <w:r w:rsidR="003A69BB" w:rsidRPr="003A69BB">
        <w:rPr>
          <w:rFonts w:hAnsi="標楷體" w:hint="eastAsia"/>
        </w:rPr>
        <w:t>將所得稅提撥中央統籌分配之比例由10%</w:t>
      </w:r>
      <w:r w:rsidR="003A69BB">
        <w:rPr>
          <w:rFonts w:hAnsi="標楷體" w:hint="eastAsia"/>
        </w:rPr>
        <w:t>修正</w:t>
      </w:r>
      <w:r w:rsidR="003A69BB" w:rsidRPr="003A69BB">
        <w:rPr>
          <w:rFonts w:hAnsi="標楷體" w:hint="eastAsia"/>
        </w:rPr>
        <w:t>提高為11%</w:t>
      </w:r>
      <w:r w:rsidR="003A69BB">
        <w:rPr>
          <w:rFonts w:hAnsi="標楷體" w:hint="eastAsia"/>
        </w:rPr>
        <w:t>、</w:t>
      </w:r>
      <w:r w:rsidR="003A69BB" w:rsidRPr="003A69BB">
        <w:rPr>
          <w:rFonts w:hAnsi="標楷體" w:hint="eastAsia"/>
        </w:rPr>
        <w:t>營業稅由扣除統一發票給獎獎金後之40%</w:t>
      </w:r>
      <w:r w:rsidR="003A69BB">
        <w:rPr>
          <w:rFonts w:hAnsi="標楷體" w:hint="eastAsia"/>
        </w:rPr>
        <w:t>，修正</w:t>
      </w:r>
      <w:r w:rsidR="003A69BB" w:rsidRPr="003A69BB">
        <w:rPr>
          <w:rFonts w:hAnsi="標楷體" w:hint="eastAsia"/>
        </w:rPr>
        <w:t>提高為扣除1.5%作為稽徵經費及統一發票給獎獎金後之全部收入，均應由中央統籌分配直轄市、縣</w:t>
      </w:r>
      <w:r w:rsidR="00BB35DD">
        <w:rPr>
          <w:rFonts w:hAnsi="標楷體" w:hint="eastAsia"/>
        </w:rPr>
        <w:t>(</w:t>
      </w:r>
      <w:r w:rsidR="003A69BB" w:rsidRPr="003A69BB">
        <w:rPr>
          <w:rFonts w:hAnsi="標楷體" w:hint="eastAsia"/>
        </w:rPr>
        <w:t>市</w:t>
      </w:r>
      <w:r w:rsidR="00BB35DD">
        <w:rPr>
          <w:rFonts w:hAnsi="標楷體" w:hint="eastAsia"/>
        </w:rPr>
        <w:t>)</w:t>
      </w:r>
      <w:r w:rsidR="003A69BB" w:rsidRPr="003A69BB">
        <w:rPr>
          <w:rFonts w:hAnsi="標楷體" w:hint="eastAsia"/>
        </w:rPr>
        <w:t>及鄉</w:t>
      </w:r>
      <w:r w:rsidR="00BB35DD">
        <w:rPr>
          <w:rFonts w:hAnsi="標楷體" w:hint="eastAsia"/>
        </w:rPr>
        <w:t>(</w:t>
      </w:r>
      <w:r w:rsidR="003A69BB" w:rsidRPr="003A69BB">
        <w:rPr>
          <w:rFonts w:hAnsi="標楷體" w:hint="eastAsia"/>
        </w:rPr>
        <w:t>鎮、市</w:t>
      </w:r>
      <w:r w:rsidR="00BB35DD">
        <w:rPr>
          <w:rFonts w:hAnsi="標楷體" w:hint="eastAsia"/>
        </w:rPr>
        <w:t>)</w:t>
      </w:r>
      <w:r w:rsidR="00CB101A" w:rsidRPr="00CB101A">
        <w:rPr>
          <w:rFonts w:hAnsi="標楷體" w:hint="eastAsia"/>
        </w:rPr>
        <w:t>。</w:t>
      </w:r>
      <w:r w:rsidR="00BB35DD">
        <w:rPr>
          <w:rFonts w:hAnsi="標楷體" w:hint="eastAsia"/>
        </w:rPr>
        <w:t>經</w:t>
      </w:r>
      <w:r w:rsidR="00EE533F">
        <w:rPr>
          <w:rFonts w:hAnsi="標楷體" w:hint="eastAsia"/>
        </w:rPr>
        <w:t>洽</w:t>
      </w:r>
      <w:r w:rsidR="00CB101A" w:rsidRPr="00CB101A">
        <w:rPr>
          <w:rFonts w:hAnsi="標楷體" w:hint="eastAsia"/>
        </w:rPr>
        <w:t>財政部</w:t>
      </w:r>
      <w:r w:rsidR="00EE533F">
        <w:rPr>
          <w:rFonts w:hAnsi="標楷體" w:hint="eastAsia"/>
        </w:rPr>
        <w:t>表示，該部</w:t>
      </w:r>
      <w:r w:rsidR="00BB35DD">
        <w:rPr>
          <w:rFonts w:hAnsi="標楷體" w:hint="eastAsia"/>
        </w:rPr>
        <w:t>以</w:t>
      </w:r>
      <w:r w:rsidR="00CB101A" w:rsidRPr="00CB101A">
        <w:rPr>
          <w:rFonts w:hAnsi="標楷體" w:hint="eastAsia"/>
        </w:rPr>
        <w:t>114年度</w:t>
      </w:r>
      <w:r w:rsidR="00BB35DD">
        <w:rPr>
          <w:rFonts w:hAnsi="標楷體" w:hint="eastAsia"/>
        </w:rPr>
        <w:t>各稅</w:t>
      </w:r>
      <w:r w:rsidR="00CB101A" w:rsidRPr="00CB101A">
        <w:rPr>
          <w:rFonts w:hAnsi="標楷體" w:hint="eastAsia"/>
        </w:rPr>
        <w:t>預算</w:t>
      </w:r>
      <w:r w:rsidR="00BB35DD">
        <w:rPr>
          <w:rFonts w:hAnsi="標楷體" w:hint="eastAsia"/>
        </w:rPr>
        <w:t>資料設算</w:t>
      </w:r>
      <w:r w:rsidR="00A86ED9">
        <w:rPr>
          <w:rFonts w:hAnsi="標楷體" w:hint="eastAsia"/>
        </w:rPr>
        <w:t>修正後財劃法對中央財源影響</w:t>
      </w:r>
      <w:r w:rsidR="00EE533F">
        <w:rPr>
          <w:rFonts w:hAnsi="標楷體" w:hint="eastAsia"/>
        </w:rPr>
        <w:t>，</w:t>
      </w:r>
      <w:r w:rsidR="00A86ED9">
        <w:rPr>
          <w:rFonts w:hAnsi="標楷體" w:hint="eastAsia"/>
        </w:rPr>
        <w:t>初估中央政府</w:t>
      </w:r>
      <w:r w:rsidR="00EE533F">
        <w:rPr>
          <w:rFonts w:hAnsi="標楷體" w:hint="eastAsia"/>
        </w:rPr>
        <w:t>須</w:t>
      </w:r>
      <w:r w:rsidR="00CB101A" w:rsidRPr="00CB101A">
        <w:rPr>
          <w:rFonts w:hAnsi="標楷體" w:hint="eastAsia"/>
        </w:rPr>
        <w:t>增加釋出財源</w:t>
      </w:r>
      <w:r w:rsidR="00866573">
        <w:rPr>
          <w:rFonts w:hAnsi="標楷體" w:hint="eastAsia"/>
        </w:rPr>
        <w:t>計</w:t>
      </w:r>
      <w:r w:rsidR="00CB101A" w:rsidRPr="00CB101A">
        <w:rPr>
          <w:rFonts w:hAnsi="標楷體" w:hint="eastAsia"/>
        </w:rPr>
        <w:t>3,753億元</w:t>
      </w:r>
      <w:r w:rsidR="006446D8">
        <w:rPr>
          <w:rFonts w:hAnsi="標楷體" w:hint="eastAsia"/>
        </w:rPr>
        <w:t>，包含所得稅205億元及營業稅3</w:t>
      </w:r>
      <w:r w:rsidR="006446D8">
        <w:rPr>
          <w:rFonts w:hAnsi="標楷體"/>
        </w:rPr>
        <w:t>,548</w:t>
      </w:r>
      <w:r w:rsidR="006446D8">
        <w:rPr>
          <w:rFonts w:hAnsi="標楷體" w:hint="eastAsia"/>
        </w:rPr>
        <w:t>億元</w:t>
      </w:r>
      <w:r w:rsidR="006312D1">
        <w:rPr>
          <w:rFonts w:hAnsi="標楷體" w:hint="eastAsia"/>
        </w:rPr>
        <w:t>(詳表2-2)</w:t>
      </w:r>
      <w:r w:rsidR="00CB101A" w:rsidRPr="00CB101A">
        <w:rPr>
          <w:rFonts w:hAnsi="標楷體" w:hint="eastAsia"/>
        </w:rPr>
        <w:t>。</w:t>
      </w:r>
    </w:p>
    <w:p w:rsidR="0005140E" w:rsidRDefault="0005140E" w:rsidP="0005140E">
      <w:pPr>
        <w:pStyle w:val="20"/>
        <w:ind w:leftChars="29" w:left="1134" w:hangingChars="371" w:hanging="1052"/>
        <w:jc w:val="both"/>
        <w:rPr>
          <w:rFonts w:hAnsi="標楷體"/>
          <w:b/>
          <w:sz w:val="28"/>
        </w:rPr>
      </w:pPr>
      <w:r w:rsidRPr="00DC42CC">
        <w:rPr>
          <w:rFonts w:hint="eastAsia"/>
          <w:b/>
          <w:sz w:val="28"/>
        </w:rPr>
        <w:t>表2-</w:t>
      </w:r>
      <w:r>
        <w:rPr>
          <w:rFonts w:hint="eastAsia"/>
          <w:b/>
          <w:sz w:val="28"/>
        </w:rPr>
        <w:t>2</w:t>
      </w:r>
      <w:r w:rsidRPr="00DC42CC">
        <w:rPr>
          <w:rFonts w:hint="eastAsia"/>
          <w:b/>
          <w:sz w:val="28"/>
        </w:rPr>
        <w:t xml:space="preserve">  </w:t>
      </w:r>
      <w:r>
        <w:rPr>
          <w:rFonts w:hint="eastAsia"/>
          <w:b/>
          <w:sz w:val="28"/>
        </w:rPr>
        <w:t>修正後</w:t>
      </w:r>
      <w:r w:rsidRPr="0005140E">
        <w:rPr>
          <w:rFonts w:hAnsi="標楷體" w:hint="eastAsia"/>
          <w:b/>
          <w:sz w:val="28"/>
        </w:rPr>
        <w:t>財政收支劃分法對中央財源影響試算</w:t>
      </w:r>
      <w:r w:rsidRPr="00DC42CC">
        <w:rPr>
          <w:rFonts w:hAnsi="標楷體" w:hint="eastAsia"/>
          <w:b/>
          <w:sz w:val="28"/>
        </w:rPr>
        <w:t>表</w:t>
      </w:r>
    </w:p>
    <w:p w:rsidR="0005140E" w:rsidRPr="00DC42CC" w:rsidRDefault="0005140E" w:rsidP="0005140E">
      <w:pPr>
        <w:pStyle w:val="20"/>
        <w:ind w:leftChars="29" w:left="985" w:hangingChars="371" w:hanging="903"/>
        <w:jc w:val="right"/>
        <w:rPr>
          <w:rFonts w:hAnsi="標楷體"/>
          <w:szCs w:val="24"/>
        </w:rPr>
      </w:pPr>
      <w:r w:rsidRPr="00DC42CC">
        <w:rPr>
          <w:rFonts w:hAnsi="標楷體" w:hint="eastAsia"/>
          <w:b/>
        </w:rPr>
        <w:t xml:space="preserve">                                      </w:t>
      </w:r>
      <w:r w:rsidRPr="00DC42CC">
        <w:rPr>
          <w:rFonts w:hAnsi="標楷體" w:hint="eastAsia"/>
          <w:szCs w:val="24"/>
        </w:rPr>
        <w:t>單位：新臺幣</w:t>
      </w:r>
      <w:r>
        <w:rPr>
          <w:rFonts w:hAnsi="標楷體" w:hint="eastAsia"/>
          <w:szCs w:val="24"/>
        </w:rPr>
        <w:t>億</w:t>
      </w:r>
      <w:r w:rsidRPr="00DC42CC">
        <w:rPr>
          <w:rFonts w:hAnsi="標楷體" w:hint="eastAsia"/>
          <w:szCs w:val="24"/>
        </w:rPr>
        <w:t>元</w:t>
      </w:r>
      <w:r w:rsidR="006312D1">
        <w:rPr>
          <w:rFonts w:hAnsi="標楷體" w:hint="eastAsia"/>
          <w:szCs w:val="24"/>
        </w:rPr>
        <w:t>；%</w:t>
      </w:r>
    </w:p>
    <w:tbl>
      <w:tblPr>
        <w:tblW w:w="0" w:type="auto"/>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09"/>
        <w:gridCol w:w="850"/>
        <w:gridCol w:w="1134"/>
        <w:gridCol w:w="1116"/>
        <w:gridCol w:w="1018"/>
        <w:gridCol w:w="1130"/>
        <w:gridCol w:w="1090"/>
        <w:gridCol w:w="1281"/>
      </w:tblGrid>
      <w:tr w:rsidR="0005140E" w:rsidRPr="00587F54" w:rsidTr="00763F4F">
        <w:trPr>
          <w:trHeight w:val="475"/>
        </w:trPr>
        <w:tc>
          <w:tcPr>
            <w:tcW w:w="1759" w:type="dxa"/>
            <w:gridSpan w:val="2"/>
            <w:vMerge w:val="restart"/>
            <w:shd w:val="clear" w:color="auto" w:fill="auto"/>
            <w:vAlign w:val="center"/>
          </w:tcPr>
          <w:p w:rsidR="0005140E" w:rsidRPr="00DC42CC" w:rsidRDefault="0005140E" w:rsidP="00763F4F">
            <w:pPr>
              <w:pStyle w:val="142"/>
              <w:jc w:val="center"/>
              <w:rPr>
                <w:rFonts w:hAnsi="標楷體"/>
                <w:b/>
                <w:spacing w:val="-20"/>
                <w:szCs w:val="24"/>
              </w:rPr>
            </w:pPr>
            <w:r>
              <w:rPr>
                <w:rFonts w:hAnsi="標楷體" w:hint="eastAsia"/>
                <w:b/>
                <w:spacing w:val="-20"/>
                <w:szCs w:val="24"/>
              </w:rPr>
              <w:t>項</w:t>
            </w:r>
            <w:r w:rsidR="00763F4F">
              <w:rPr>
                <w:rFonts w:hAnsi="標楷體" w:hint="eastAsia"/>
                <w:b/>
                <w:spacing w:val="-20"/>
                <w:szCs w:val="24"/>
              </w:rPr>
              <w:t xml:space="preserve">    </w:t>
            </w:r>
            <w:r>
              <w:rPr>
                <w:rFonts w:hAnsi="標楷體" w:hint="eastAsia"/>
                <w:b/>
                <w:spacing w:val="-20"/>
                <w:szCs w:val="24"/>
              </w:rPr>
              <w:t>目</w:t>
            </w:r>
          </w:p>
        </w:tc>
        <w:tc>
          <w:tcPr>
            <w:tcW w:w="1134" w:type="dxa"/>
            <w:vMerge w:val="restart"/>
            <w:shd w:val="clear" w:color="auto" w:fill="auto"/>
            <w:vAlign w:val="center"/>
          </w:tcPr>
          <w:p w:rsidR="0005140E" w:rsidRDefault="0005140E" w:rsidP="00A9175F">
            <w:pPr>
              <w:pStyle w:val="142"/>
              <w:jc w:val="center"/>
              <w:rPr>
                <w:rFonts w:hAnsi="標楷體"/>
                <w:b/>
                <w:spacing w:val="-20"/>
                <w:szCs w:val="24"/>
              </w:rPr>
            </w:pPr>
            <w:r>
              <w:rPr>
                <w:rFonts w:hAnsi="標楷體" w:hint="eastAsia"/>
                <w:b/>
                <w:spacing w:val="-20"/>
                <w:szCs w:val="24"/>
              </w:rPr>
              <w:t>114年度</w:t>
            </w:r>
          </w:p>
          <w:p w:rsidR="0005140E" w:rsidRPr="00D03DF8" w:rsidRDefault="0005140E" w:rsidP="00A9175F">
            <w:pPr>
              <w:pStyle w:val="142"/>
              <w:jc w:val="center"/>
              <w:rPr>
                <w:rFonts w:hAnsi="標楷體"/>
                <w:b/>
                <w:spacing w:val="-20"/>
                <w:szCs w:val="24"/>
              </w:rPr>
            </w:pPr>
            <w:r>
              <w:rPr>
                <w:rFonts w:hAnsi="標楷體" w:hint="eastAsia"/>
                <w:b/>
                <w:spacing w:val="-20"/>
                <w:szCs w:val="24"/>
              </w:rPr>
              <w:t>預算數</w:t>
            </w:r>
            <w:r w:rsidR="00AC334F">
              <w:rPr>
                <w:rFonts w:hAnsi="標楷體" w:hint="eastAsia"/>
                <w:b/>
                <w:spacing w:val="-20"/>
                <w:szCs w:val="24"/>
              </w:rPr>
              <w:t>(1)</w:t>
            </w:r>
          </w:p>
        </w:tc>
        <w:tc>
          <w:tcPr>
            <w:tcW w:w="2134" w:type="dxa"/>
            <w:gridSpan w:val="2"/>
            <w:shd w:val="clear" w:color="auto" w:fill="auto"/>
            <w:vAlign w:val="center"/>
          </w:tcPr>
          <w:p w:rsidR="0005140E" w:rsidRPr="00D03DF8" w:rsidRDefault="0005140E" w:rsidP="00A9175F">
            <w:pPr>
              <w:pStyle w:val="142"/>
              <w:jc w:val="center"/>
              <w:rPr>
                <w:rFonts w:hAnsi="標楷體"/>
                <w:b/>
                <w:spacing w:val="-20"/>
                <w:szCs w:val="24"/>
              </w:rPr>
            </w:pPr>
            <w:r>
              <w:rPr>
                <w:rFonts w:hAnsi="標楷體" w:hint="eastAsia"/>
                <w:b/>
                <w:spacing w:val="-20"/>
                <w:szCs w:val="24"/>
              </w:rPr>
              <w:t>原規定</w:t>
            </w:r>
          </w:p>
        </w:tc>
        <w:tc>
          <w:tcPr>
            <w:tcW w:w="2220" w:type="dxa"/>
            <w:gridSpan w:val="2"/>
            <w:shd w:val="clear" w:color="auto" w:fill="auto"/>
            <w:vAlign w:val="center"/>
          </w:tcPr>
          <w:p w:rsidR="0005140E" w:rsidRPr="00D03DF8" w:rsidRDefault="0005140E" w:rsidP="00A9175F">
            <w:pPr>
              <w:pStyle w:val="142"/>
              <w:jc w:val="center"/>
              <w:rPr>
                <w:rFonts w:hAnsi="標楷體"/>
                <w:b/>
                <w:spacing w:val="-20"/>
                <w:szCs w:val="24"/>
              </w:rPr>
            </w:pPr>
            <w:r>
              <w:rPr>
                <w:rFonts w:hAnsi="標楷體" w:hint="eastAsia"/>
                <w:b/>
                <w:spacing w:val="-20"/>
                <w:szCs w:val="24"/>
              </w:rPr>
              <w:t>修正後</w:t>
            </w:r>
          </w:p>
        </w:tc>
        <w:tc>
          <w:tcPr>
            <w:tcW w:w="1281" w:type="dxa"/>
            <w:vMerge w:val="restart"/>
            <w:shd w:val="clear" w:color="auto" w:fill="auto"/>
            <w:vAlign w:val="center"/>
          </w:tcPr>
          <w:p w:rsidR="0005140E" w:rsidRDefault="0005140E" w:rsidP="00A9175F">
            <w:pPr>
              <w:pStyle w:val="142"/>
              <w:jc w:val="center"/>
              <w:rPr>
                <w:rFonts w:hAnsi="標楷體"/>
                <w:b/>
                <w:spacing w:val="-20"/>
                <w:szCs w:val="24"/>
              </w:rPr>
            </w:pPr>
            <w:r>
              <w:rPr>
                <w:rFonts w:hAnsi="標楷體" w:hint="eastAsia"/>
                <w:b/>
                <w:spacing w:val="-20"/>
                <w:szCs w:val="24"/>
              </w:rPr>
              <w:t>中央增加釋出財源金額</w:t>
            </w:r>
          </w:p>
          <w:p w:rsidR="00AC334F" w:rsidRPr="00D03DF8" w:rsidRDefault="00AC334F" w:rsidP="00A9175F">
            <w:pPr>
              <w:pStyle w:val="142"/>
              <w:jc w:val="center"/>
              <w:rPr>
                <w:rFonts w:hAnsi="標楷體"/>
                <w:b/>
                <w:spacing w:val="-20"/>
                <w:szCs w:val="24"/>
              </w:rPr>
            </w:pPr>
            <w:r>
              <w:rPr>
                <w:rFonts w:hAnsi="標楷體" w:hint="eastAsia"/>
                <w:b/>
                <w:spacing w:val="-20"/>
                <w:szCs w:val="24"/>
              </w:rPr>
              <w:t>=(5)-(3)</w:t>
            </w:r>
          </w:p>
        </w:tc>
      </w:tr>
      <w:tr w:rsidR="00763F4F" w:rsidRPr="00587F54" w:rsidTr="00763F4F">
        <w:trPr>
          <w:trHeight w:val="277"/>
        </w:trPr>
        <w:tc>
          <w:tcPr>
            <w:tcW w:w="1759" w:type="dxa"/>
            <w:gridSpan w:val="2"/>
            <w:vMerge/>
            <w:shd w:val="clear" w:color="auto" w:fill="auto"/>
            <w:vAlign w:val="center"/>
          </w:tcPr>
          <w:p w:rsidR="00AC334F" w:rsidRDefault="00AC334F" w:rsidP="00AC334F">
            <w:pPr>
              <w:pStyle w:val="142"/>
              <w:jc w:val="both"/>
              <w:rPr>
                <w:rFonts w:hAnsi="標楷體"/>
                <w:b/>
                <w:spacing w:val="-20"/>
                <w:szCs w:val="24"/>
              </w:rPr>
            </w:pPr>
          </w:p>
        </w:tc>
        <w:tc>
          <w:tcPr>
            <w:tcW w:w="1134" w:type="dxa"/>
            <w:vMerge/>
            <w:shd w:val="clear" w:color="auto" w:fill="auto"/>
            <w:vAlign w:val="center"/>
          </w:tcPr>
          <w:p w:rsidR="00AC334F" w:rsidRDefault="00AC334F" w:rsidP="00AC334F">
            <w:pPr>
              <w:pStyle w:val="142"/>
              <w:jc w:val="center"/>
              <w:rPr>
                <w:rFonts w:hAnsi="標楷體"/>
                <w:b/>
                <w:spacing w:val="-20"/>
                <w:szCs w:val="24"/>
              </w:rPr>
            </w:pPr>
          </w:p>
        </w:tc>
        <w:tc>
          <w:tcPr>
            <w:tcW w:w="1116" w:type="dxa"/>
            <w:shd w:val="clear" w:color="auto" w:fill="auto"/>
            <w:vAlign w:val="center"/>
          </w:tcPr>
          <w:p w:rsidR="00AC334F" w:rsidRPr="00D03DF8" w:rsidRDefault="00AC334F" w:rsidP="00AC334F">
            <w:pPr>
              <w:pStyle w:val="142"/>
              <w:jc w:val="center"/>
              <w:rPr>
                <w:rFonts w:hAnsi="標楷體"/>
                <w:b/>
                <w:spacing w:val="-20"/>
                <w:szCs w:val="24"/>
              </w:rPr>
            </w:pPr>
            <w:r>
              <w:rPr>
                <w:rFonts w:hAnsi="標楷體" w:hint="eastAsia"/>
                <w:b/>
                <w:spacing w:val="-20"/>
                <w:szCs w:val="24"/>
              </w:rPr>
              <w:t>分配地方比率(2)</w:t>
            </w:r>
          </w:p>
        </w:tc>
        <w:tc>
          <w:tcPr>
            <w:tcW w:w="1018" w:type="dxa"/>
            <w:shd w:val="clear" w:color="auto" w:fill="auto"/>
            <w:vAlign w:val="center"/>
          </w:tcPr>
          <w:p w:rsidR="00763F4F" w:rsidRDefault="00AC334F" w:rsidP="00763F4F">
            <w:pPr>
              <w:pStyle w:val="142"/>
              <w:jc w:val="center"/>
              <w:rPr>
                <w:rFonts w:hAnsi="標楷體"/>
                <w:b/>
                <w:spacing w:val="-20"/>
                <w:szCs w:val="24"/>
              </w:rPr>
            </w:pPr>
            <w:r>
              <w:rPr>
                <w:rFonts w:hAnsi="標楷體" w:hint="eastAsia"/>
                <w:b/>
                <w:spacing w:val="-20"/>
                <w:szCs w:val="24"/>
              </w:rPr>
              <w:t>金額(3)</w:t>
            </w:r>
          </w:p>
          <w:p w:rsidR="00AC334F" w:rsidRPr="00D03DF8" w:rsidRDefault="00AC334F" w:rsidP="00763F4F">
            <w:pPr>
              <w:pStyle w:val="142"/>
              <w:jc w:val="center"/>
              <w:rPr>
                <w:rFonts w:hAnsi="標楷體"/>
                <w:b/>
                <w:spacing w:val="-20"/>
                <w:szCs w:val="24"/>
              </w:rPr>
            </w:pPr>
            <w:r>
              <w:rPr>
                <w:rFonts w:hAnsi="標楷體" w:hint="eastAsia"/>
                <w:b/>
                <w:spacing w:val="-20"/>
                <w:szCs w:val="24"/>
              </w:rPr>
              <w:t>=(1)*(2)</w:t>
            </w:r>
          </w:p>
        </w:tc>
        <w:tc>
          <w:tcPr>
            <w:tcW w:w="1130" w:type="dxa"/>
            <w:shd w:val="clear" w:color="auto" w:fill="auto"/>
            <w:vAlign w:val="center"/>
          </w:tcPr>
          <w:p w:rsidR="00AC334F" w:rsidRPr="00D03DF8" w:rsidRDefault="00AC334F" w:rsidP="00AC334F">
            <w:pPr>
              <w:pStyle w:val="142"/>
              <w:jc w:val="center"/>
              <w:rPr>
                <w:rFonts w:hAnsi="標楷體"/>
                <w:b/>
                <w:spacing w:val="-20"/>
                <w:szCs w:val="24"/>
              </w:rPr>
            </w:pPr>
            <w:r>
              <w:rPr>
                <w:rFonts w:hAnsi="標楷體" w:hint="eastAsia"/>
                <w:b/>
                <w:spacing w:val="-20"/>
                <w:szCs w:val="24"/>
              </w:rPr>
              <w:t>分配地方比率(4)</w:t>
            </w:r>
          </w:p>
        </w:tc>
        <w:tc>
          <w:tcPr>
            <w:tcW w:w="1090" w:type="dxa"/>
            <w:shd w:val="clear" w:color="auto" w:fill="auto"/>
            <w:vAlign w:val="center"/>
          </w:tcPr>
          <w:p w:rsidR="00763F4F" w:rsidRDefault="00AC334F" w:rsidP="00763F4F">
            <w:pPr>
              <w:pStyle w:val="142"/>
              <w:jc w:val="center"/>
              <w:rPr>
                <w:rFonts w:hAnsi="標楷體"/>
                <w:b/>
                <w:spacing w:val="-20"/>
                <w:szCs w:val="24"/>
              </w:rPr>
            </w:pPr>
            <w:r>
              <w:rPr>
                <w:rFonts w:hAnsi="標楷體" w:hint="eastAsia"/>
                <w:b/>
                <w:spacing w:val="-20"/>
                <w:szCs w:val="24"/>
              </w:rPr>
              <w:t>金額(5)</w:t>
            </w:r>
          </w:p>
          <w:p w:rsidR="00AC334F" w:rsidRPr="00D03DF8" w:rsidRDefault="00AC334F" w:rsidP="00763F4F">
            <w:pPr>
              <w:pStyle w:val="142"/>
              <w:jc w:val="center"/>
              <w:rPr>
                <w:rFonts w:hAnsi="標楷體"/>
                <w:b/>
                <w:spacing w:val="-20"/>
                <w:szCs w:val="24"/>
              </w:rPr>
            </w:pPr>
            <w:r>
              <w:rPr>
                <w:rFonts w:hAnsi="標楷體" w:hint="eastAsia"/>
                <w:b/>
                <w:spacing w:val="-20"/>
                <w:szCs w:val="24"/>
              </w:rPr>
              <w:t>=(1)*(4)</w:t>
            </w:r>
          </w:p>
        </w:tc>
        <w:tc>
          <w:tcPr>
            <w:tcW w:w="1281" w:type="dxa"/>
            <w:vMerge/>
            <w:shd w:val="clear" w:color="auto" w:fill="auto"/>
            <w:vAlign w:val="center"/>
          </w:tcPr>
          <w:p w:rsidR="00AC334F" w:rsidRPr="00D03DF8" w:rsidRDefault="00AC334F" w:rsidP="00AC334F">
            <w:pPr>
              <w:pStyle w:val="142"/>
              <w:jc w:val="center"/>
              <w:rPr>
                <w:rFonts w:hAnsi="標楷體"/>
                <w:b/>
                <w:spacing w:val="-20"/>
                <w:szCs w:val="24"/>
              </w:rPr>
            </w:pPr>
          </w:p>
        </w:tc>
      </w:tr>
      <w:tr w:rsidR="00763F4F" w:rsidRPr="00587F54" w:rsidTr="00521E5E">
        <w:trPr>
          <w:trHeight w:val="397"/>
        </w:trPr>
        <w:tc>
          <w:tcPr>
            <w:tcW w:w="909" w:type="dxa"/>
            <w:vMerge w:val="restart"/>
            <w:shd w:val="clear" w:color="auto" w:fill="auto"/>
            <w:vAlign w:val="center"/>
          </w:tcPr>
          <w:p w:rsidR="00AC334F" w:rsidRPr="00D8223C" w:rsidRDefault="00AC334F" w:rsidP="00AC334F">
            <w:pPr>
              <w:pStyle w:val="142"/>
              <w:jc w:val="both"/>
              <w:rPr>
                <w:rFonts w:hAnsi="標楷體"/>
                <w:spacing w:val="-20"/>
                <w:szCs w:val="24"/>
              </w:rPr>
            </w:pPr>
            <w:r>
              <w:rPr>
                <w:rFonts w:hAnsi="標楷體" w:hint="eastAsia"/>
                <w:spacing w:val="-20"/>
                <w:szCs w:val="24"/>
              </w:rPr>
              <w:t>所得稅</w:t>
            </w:r>
          </w:p>
        </w:tc>
        <w:tc>
          <w:tcPr>
            <w:tcW w:w="850" w:type="dxa"/>
            <w:shd w:val="clear" w:color="auto" w:fill="auto"/>
            <w:vAlign w:val="center"/>
          </w:tcPr>
          <w:p w:rsidR="00AC334F" w:rsidRPr="00521E5E" w:rsidRDefault="00AC334F" w:rsidP="00D74F0B">
            <w:pPr>
              <w:pStyle w:val="142"/>
              <w:ind w:leftChars="-20" w:left="-57" w:rightChars="-23" w:right="-65"/>
              <w:jc w:val="both"/>
              <w:rPr>
                <w:rFonts w:hAnsi="標楷體"/>
                <w:spacing w:val="-34"/>
                <w:szCs w:val="24"/>
              </w:rPr>
            </w:pPr>
            <w:r w:rsidRPr="00521E5E">
              <w:rPr>
                <w:rFonts w:hAnsi="標楷體" w:hint="eastAsia"/>
                <w:spacing w:val="-26"/>
                <w:szCs w:val="24"/>
              </w:rPr>
              <w:t>綜</w:t>
            </w:r>
            <w:r w:rsidR="00D74F0B" w:rsidRPr="00521E5E">
              <w:rPr>
                <w:rFonts w:hAnsi="標楷體" w:hint="eastAsia"/>
                <w:spacing w:val="-26"/>
                <w:szCs w:val="24"/>
              </w:rPr>
              <w:t>合</w:t>
            </w:r>
            <w:r w:rsidRPr="00521E5E">
              <w:rPr>
                <w:rFonts w:hAnsi="標楷體" w:hint="eastAsia"/>
                <w:spacing w:val="-26"/>
                <w:szCs w:val="24"/>
              </w:rPr>
              <w:t>所</w:t>
            </w:r>
            <w:r w:rsidR="00D74F0B" w:rsidRPr="00521E5E">
              <w:rPr>
                <w:rFonts w:hAnsi="標楷體" w:hint="eastAsia"/>
                <w:spacing w:val="-26"/>
                <w:szCs w:val="24"/>
              </w:rPr>
              <w:t>得</w:t>
            </w:r>
            <w:r w:rsidRPr="00521E5E">
              <w:rPr>
                <w:rFonts w:hAnsi="標楷體" w:hint="eastAsia"/>
                <w:spacing w:val="-26"/>
                <w:szCs w:val="24"/>
              </w:rPr>
              <w:t>稅</w:t>
            </w:r>
          </w:p>
        </w:tc>
        <w:tc>
          <w:tcPr>
            <w:tcW w:w="1134"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 xml:space="preserve"> 8,673</w:t>
            </w:r>
          </w:p>
        </w:tc>
        <w:tc>
          <w:tcPr>
            <w:tcW w:w="1116" w:type="dxa"/>
            <w:shd w:val="clear" w:color="auto" w:fill="auto"/>
            <w:vAlign w:val="center"/>
          </w:tcPr>
          <w:p w:rsidR="00AC334F" w:rsidRPr="00AB5628" w:rsidRDefault="00AC334F" w:rsidP="006312D1">
            <w:pPr>
              <w:pStyle w:val="142"/>
              <w:jc w:val="right"/>
              <w:rPr>
                <w:rFonts w:hAnsi="標楷體"/>
                <w:szCs w:val="24"/>
              </w:rPr>
            </w:pPr>
            <w:r w:rsidRPr="00AB5628">
              <w:rPr>
                <w:rFonts w:hAnsi="標楷體" w:hint="eastAsia"/>
                <w:szCs w:val="24"/>
              </w:rPr>
              <w:t>10</w:t>
            </w:r>
          </w:p>
        </w:tc>
        <w:tc>
          <w:tcPr>
            <w:tcW w:w="1018"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 xml:space="preserve">   867</w:t>
            </w:r>
          </w:p>
        </w:tc>
        <w:tc>
          <w:tcPr>
            <w:tcW w:w="1130" w:type="dxa"/>
            <w:shd w:val="clear" w:color="auto" w:fill="auto"/>
            <w:vAlign w:val="center"/>
          </w:tcPr>
          <w:p w:rsidR="00AC334F" w:rsidRPr="00AB5628" w:rsidRDefault="00AC334F" w:rsidP="006312D1">
            <w:pPr>
              <w:pStyle w:val="142"/>
              <w:jc w:val="right"/>
              <w:rPr>
                <w:rFonts w:hAnsi="標楷體"/>
                <w:szCs w:val="24"/>
              </w:rPr>
            </w:pPr>
            <w:r w:rsidRPr="00AB5628">
              <w:rPr>
                <w:rFonts w:hAnsi="標楷體" w:hint="eastAsia"/>
                <w:szCs w:val="24"/>
              </w:rPr>
              <w:t>11</w:t>
            </w:r>
          </w:p>
        </w:tc>
        <w:tc>
          <w:tcPr>
            <w:tcW w:w="1090"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954</w:t>
            </w:r>
          </w:p>
        </w:tc>
        <w:tc>
          <w:tcPr>
            <w:tcW w:w="1281"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87</w:t>
            </w:r>
          </w:p>
        </w:tc>
      </w:tr>
      <w:tr w:rsidR="00763F4F" w:rsidRPr="00587F54" w:rsidTr="00521E5E">
        <w:trPr>
          <w:trHeight w:val="397"/>
        </w:trPr>
        <w:tc>
          <w:tcPr>
            <w:tcW w:w="909" w:type="dxa"/>
            <w:vMerge/>
            <w:shd w:val="clear" w:color="auto" w:fill="auto"/>
            <w:vAlign w:val="center"/>
          </w:tcPr>
          <w:p w:rsidR="00AC334F" w:rsidRPr="00D8223C" w:rsidRDefault="00AC334F" w:rsidP="00AC334F">
            <w:pPr>
              <w:pStyle w:val="142"/>
              <w:jc w:val="both"/>
              <w:rPr>
                <w:rFonts w:hAnsi="標楷體"/>
                <w:spacing w:val="-20"/>
                <w:szCs w:val="24"/>
              </w:rPr>
            </w:pPr>
          </w:p>
        </w:tc>
        <w:tc>
          <w:tcPr>
            <w:tcW w:w="850" w:type="dxa"/>
            <w:shd w:val="clear" w:color="auto" w:fill="auto"/>
            <w:vAlign w:val="center"/>
          </w:tcPr>
          <w:p w:rsidR="00AC334F" w:rsidRPr="00D74F0B" w:rsidRDefault="00AC334F" w:rsidP="00D74F0B">
            <w:pPr>
              <w:pStyle w:val="142"/>
              <w:ind w:leftChars="-20" w:left="-57" w:rightChars="-23" w:right="-65"/>
              <w:jc w:val="both"/>
              <w:rPr>
                <w:rFonts w:hAnsi="標楷體"/>
                <w:spacing w:val="-26"/>
                <w:szCs w:val="24"/>
              </w:rPr>
            </w:pPr>
            <w:r w:rsidRPr="00D74F0B">
              <w:rPr>
                <w:rFonts w:hAnsi="標楷體" w:hint="eastAsia"/>
                <w:spacing w:val="-26"/>
                <w:szCs w:val="24"/>
              </w:rPr>
              <w:t>營</w:t>
            </w:r>
            <w:r w:rsidR="00D74F0B" w:rsidRPr="00D74F0B">
              <w:rPr>
                <w:rFonts w:hAnsi="標楷體" w:hint="eastAsia"/>
                <w:spacing w:val="-26"/>
                <w:szCs w:val="24"/>
              </w:rPr>
              <w:t>利事業所得</w:t>
            </w:r>
            <w:r w:rsidRPr="00D74F0B">
              <w:rPr>
                <w:rFonts w:hAnsi="標楷體" w:hint="eastAsia"/>
                <w:spacing w:val="-26"/>
                <w:szCs w:val="24"/>
              </w:rPr>
              <w:t>稅</w:t>
            </w:r>
          </w:p>
        </w:tc>
        <w:tc>
          <w:tcPr>
            <w:tcW w:w="1134"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11,800</w:t>
            </w:r>
          </w:p>
        </w:tc>
        <w:tc>
          <w:tcPr>
            <w:tcW w:w="1116" w:type="dxa"/>
            <w:shd w:val="clear" w:color="auto" w:fill="auto"/>
            <w:vAlign w:val="center"/>
          </w:tcPr>
          <w:p w:rsidR="00AC334F" w:rsidRPr="00AB5628" w:rsidRDefault="00AC334F" w:rsidP="006312D1">
            <w:pPr>
              <w:pStyle w:val="142"/>
              <w:jc w:val="right"/>
              <w:rPr>
                <w:rFonts w:hAnsi="標楷體"/>
                <w:szCs w:val="24"/>
              </w:rPr>
            </w:pPr>
            <w:r w:rsidRPr="00AB5628">
              <w:rPr>
                <w:rFonts w:hAnsi="標楷體" w:hint="eastAsia"/>
                <w:szCs w:val="24"/>
              </w:rPr>
              <w:t>10</w:t>
            </w:r>
          </w:p>
        </w:tc>
        <w:tc>
          <w:tcPr>
            <w:tcW w:w="1018"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 xml:space="preserve"> 1,180</w:t>
            </w:r>
          </w:p>
        </w:tc>
        <w:tc>
          <w:tcPr>
            <w:tcW w:w="1130" w:type="dxa"/>
            <w:shd w:val="clear" w:color="auto" w:fill="auto"/>
            <w:vAlign w:val="center"/>
          </w:tcPr>
          <w:p w:rsidR="00AC334F" w:rsidRPr="00AB5628" w:rsidRDefault="00AC334F" w:rsidP="006312D1">
            <w:pPr>
              <w:pStyle w:val="142"/>
              <w:jc w:val="right"/>
              <w:rPr>
                <w:rFonts w:hAnsi="標楷體"/>
                <w:szCs w:val="24"/>
              </w:rPr>
            </w:pPr>
            <w:r w:rsidRPr="00AB5628">
              <w:rPr>
                <w:rFonts w:hAnsi="標楷體" w:hint="eastAsia"/>
                <w:szCs w:val="24"/>
              </w:rPr>
              <w:t>11</w:t>
            </w:r>
          </w:p>
        </w:tc>
        <w:tc>
          <w:tcPr>
            <w:tcW w:w="1090"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1,298</w:t>
            </w:r>
          </w:p>
        </w:tc>
        <w:tc>
          <w:tcPr>
            <w:tcW w:w="1281"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118</w:t>
            </w:r>
          </w:p>
        </w:tc>
      </w:tr>
      <w:tr w:rsidR="00763F4F" w:rsidRPr="00587F54" w:rsidTr="00D74F0B">
        <w:trPr>
          <w:trHeight w:val="454"/>
        </w:trPr>
        <w:tc>
          <w:tcPr>
            <w:tcW w:w="1759" w:type="dxa"/>
            <w:gridSpan w:val="2"/>
            <w:shd w:val="clear" w:color="auto" w:fill="auto"/>
            <w:vAlign w:val="center"/>
          </w:tcPr>
          <w:p w:rsidR="00763F4F" w:rsidRPr="00763F4F" w:rsidRDefault="00763F4F" w:rsidP="00763F4F">
            <w:pPr>
              <w:pStyle w:val="142"/>
              <w:jc w:val="both"/>
              <w:rPr>
                <w:rFonts w:hAnsi="標楷體"/>
                <w:spacing w:val="-20"/>
                <w:szCs w:val="24"/>
              </w:rPr>
            </w:pPr>
            <w:r w:rsidRPr="00763F4F">
              <w:rPr>
                <w:rFonts w:hAnsi="標楷體" w:hint="eastAsia"/>
                <w:spacing w:val="-20"/>
                <w:szCs w:val="24"/>
              </w:rPr>
              <w:t xml:space="preserve"> 營業稅</w:t>
            </w:r>
          </w:p>
        </w:tc>
        <w:tc>
          <w:tcPr>
            <w:tcW w:w="1134"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 xml:space="preserve">  6,258</w:t>
            </w:r>
          </w:p>
        </w:tc>
        <w:tc>
          <w:tcPr>
            <w:tcW w:w="1116" w:type="dxa"/>
            <w:shd w:val="clear" w:color="auto" w:fill="auto"/>
            <w:vAlign w:val="center"/>
          </w:tcPr>
          <w:p w:rsidR="00763F4F" w:rsidRPr="00AB5628" w:rsidRDefault="00763F4F" w:rsidP="006312D1">
            <w:pPr>
              <w:pStyle w:val="142"/>
              <w:jc w:val="right"/>
              <w:rPr>
                <w:rFonts w:hAnsi="標楷體"/>
                <w:szCs w:val="24"/>
              </w:rPr>
            </w:pPr>
            <w:r w:rsidRPr="00AB5628">
              <w:rPr>
                <w:rFonts w:hAnsi="標楷體" w:hint="eastAsia"/>
                <w:szCs w:val="24"/>
              </w:rPr>
              <w:t>38.8</w:t>
            </w:r>
            <w:r w:rsidRPr="00AB5628">
              <w:rPr>
                <w:rFonts w:hAnsi="標楷體" w:hint="eastAsia"/>
                <w:sz w:val="28"/>
                <w:vertAlign w:val="superscript"/>
              </w:rPr>
              <w:t>1</w:t>
            </w:r>
          </w:p>
        </w:tc>
        <w:tc>
          <w:tcPr>
            <w:tcW w:w="1018"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 xml:space="preserve"> 2,428</w:t>
            </w:r>
          </w:p>
        </w:tc>
        <w:tc>
          <w:tcPr>
            <w:tcW w:w="1130" w:type="dxa"/>
            <w:shd w:val="clear" w:color="auto" w:fill="auto"/>
            <w:vAlign w:val="center"/>
          </w:tcPr>
          <w:p w:rsidR="00763F4F" w:rsidRPr="00AB5628" w:rsidRDefault="00763F4F" w:rsidP="006312D1">
            <w:pPr>
              <w:pStyle w:val="142"/>
              <w:jc w:val="right"/>
              <w:rPr>
                <w:rFonts w:hAnsi="標楷體"/>
                <w:szCs w:val="24"/>
              </w:rPr>
            </w:pPr>
            <w:r w:rsidRPr="00AB5628">
              <w:rPr>
                <w:rFonts w:hAnsi="標楷體" w:hint="eastAsia"/>
                <w:szCs w:val="24"/>
              </w:rPr>
              <w:t>95.5</w:t>
            </w:r>
            <w:r w:rsidRPr="00AB5628">
              <w:rPr>
                <w:rFonts w:hAnsi="標楷體" w:hint="eastAsia"/>
                <w:sz w:val="28"/>
                <w:vertAlign w:val="superscript"/>
              </w:rPr>
              <w:t>2</w:t>
            </w:r>
          </w:p>
        </w:tc>
        <w:tc>
          <w:tcPr>
            <w:tcW w:w="1090"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5,977</w:t>
            </w:r>
          </w:p>
        </w:tc>
        <w:tc>
          <w:tcPr>
            <w:tcW w:w="1281"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3,548</w:t>
            </w:r>
          </w:p>
        </w:tc>
      </w:tr>
      <w:tr w:rsidR="00763F4F" w:rsidRPr="00587F54" w:rsidTr="00D74F0B">
        <w:trPr>
          <w:trHeight w:val="454"/>
        </w:trPr>
        <w:tc>
          <w:tcPr>
            <w:tcW w:w="1759" w:type="dxa"/>
            <w:gridSpan w:val="2"/>
            <w:shd w:val="clear" w:color="auto" w:fill="auto"/>
            <w:vAlign w:val="center"/>
          </w:tcPr>
          <w:p w:rsidR="00763F4F" w:rsidRPr="00763F4F" w:rsidRDefault="00763F4F" w:rsidP="00763F4F">
            <w:pPr>
              <w:pStyle w:val="142"/>
              <w:jc w:val="both"/>
              <w:rPr>
                <w:rFonts w:hAnsi="標楷體"/>
                <w:spacing w:val="-20"/>
                <w:szCs w:val="24"/>
              </w:rPr>
            </w:pPr>
            <w:r w:rsidRPr="00763F4F">
              <w:rPr>
                <w:rFonts w:hAnsi="標楷體" w:hint="eastAsia"/>
                <w:spacing w:val="-20"/>
                <w:szCs w:val="24"/>
              </w:rPr>
              <w:t xml:space="preserve"> 菸酒稅</w:t>
            </w:r>
          </w:p>
        </w:tc>
        <w:tc>
          <w:tcPr>
            <w:tcW w:w="1134"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 xml:space="preserve"> 415</w:t>
            </w:r>
          </w:p>
        </w:tc>
        <w:tc>
          <w:tcPr>
            <w:tcW w:w="1116" w:type="dxa"/>
            <w:shd w:val="clear" w:color="auto" w:fill="auto"/>
            <w:vAlign w:val="center"/>
          </w:tcPr>
          <w:p w:rsidR="00763F4F" w:rsidRPr="00AB5628" w:rsidRDefault="00763F4F" w:rsidP="006312D1">
            <w:pPr>
              <w:pStyle w:val="142"/>
              <w:jc w:val="right"/>
              <w:rPr>
                <w:rFonts w:hAnsi="標楷體"/>
                <w:szCs w:val="24"/>
              </w:rPr>
            </w:pPr>
            <w:r w:rsidRPr="00AB5628">
              <w:rPr>
                <w:rFonts w:hAnsi="標楷體" w:hint="eastAsia"/>
                <w:szCs w:val="24"/>
              </w:rPr>
              <w:t>20</w:t>
            </w:r>
          </w:p>
        </w:tc>
        <w:tc>
          <w:tcPr>
            <w:tcW w:w="1018"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 xml:space="preserve">    83</w:t>
            </w:r>
          </w:p>
        </w:tc>
        <w:tc>
          <w:tcPr>
            <w:tcW w:w="1130" w:type="dxa"/>
            <w:shd w:val="clear" w:color="auto" w:fill="auto"/>
            <w:vAlign w:val="center"/>
          </w:tcPr>
          <w:p w:rsidR="00763F4F" w:rsidRPr="00AB5628" w:rsidRDefault="00763F4F" w:rsidP="006312D1">
            <w:pPr>
              <w:pStyle w:val="142"/>
              <w:jc w:val="right"/>
              <w:rPr>
                <w:rFonts w:hAnsi="標楷體"/>
                <w:szCs w:val="24"/>
              </w:rPr>
            </w:pPr>
            <w:r w:rsidRPr="00AB5628">
              <w:rPr>
                <w:rFonts w:hAnsi="標楷體" w:hint="eastAsia"/>
                <w:szCs w:val="24"/>
              </w:rPr>
              <w:t>20</w:t>
            </w:r>
          </w:p>
        </w:tc>
        <w:tc>
          <w:tcPr>
            <w:tcW w:w="1090"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83</w:t>
            </w:r>
          </w:p>
        </w:tc>
        <w:tc>
          <w:tcPr>
            <w:tcW w:w="1281"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0</w:t>
            </w:r>
          </w:p>
        </w:tc>
      </w:tr>
      <w:tr w:rsidR="00763F4F" w:rsidRPr="00587F54" w:rsidTr="00D74F0B">
        <w:trPr>
          <w:trHeight w:val="454"/>
        </w:trPr>
        <w:tc>
          <w:tcPr>
            <w:tcW w:w="1759" w:type="dxa"/>
            <w:gridSpan w:val="2"/>
            <w:shd w:val="clear" w:color="auto" w:fill="auto"/>
            <w:vAlign w:val="center"/>
          </w:tcPr>
          <w:p w:rsidR="00763F4F" w:rsidRPr="00763F4F" w:rsidRDefault="00763F4F" w:rsidP="00763F4F">
            <w:pPr>
              <w:pStyle w:val="142"/>
              <w:jc w:val="both"/>
              <w:rPr>
                <w:rFonts w:hAnsi="標楷體"/>
                <w:spacing w:val="-20"/>
                <w:szCs w:val="24"/>
              </w:rPr>
            </w:pPr>
            <w:r w:rsidRPr="00763F4F">
              <w:rPr>
                <w:rFonts w:hAnsi="標楷體" w:hint="eastAsia"/>
                <w:spacing w:val="-20"/>
                <w:szCs w:val="24"/>
              </w:rPr>
              <w:t xml:space="preserve"> 貨物稅</w:t>
            </w:r>
          </w:p>
        </w:tc>
        <w:tc>
          <w:tcPr>
            <w:tcW w:w="1134"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 xml:space="preserve"> 1,695</w:t>
            </w:r>
          </w:p>
        </w:tc>
        <w:tc>
          <w:tcPr>
            <w:tcW w:w="1116" w:type="dxa"/>
            <w:shd w:val="clear" w:color="auto" w:fill="auto"/>
            <w:vAlign w:val="center"/>
          </w:tcPr>
          <w:p w:rsidR="00763F4F" w:rsidRPr="00AB5628" w:rsidRDefault="00763F4F" w:rsidP="006312D1">
            <w:pPr>
              <w:pStyle w:val="142"/>
              <w:jc w:val="right"/>
              <w:rPr>
                <w:rFonts w:hAnsi="標楷體"/>
                <w:szCs w:val="24"/>
              </w:rPr>
            </w:pPr>
            <w:r w:rsidRPr="00AB5628">
              <w:rPr>
                <w:rFonts w:hAnsi="標楷體" w:hint="eastAsia"/>
                <w:szCs w:val="24"/>
              </w:rPr>
              <w:t>10</w:t>
            </w:r>
          </w:p>
        </w:tc>
        <w:tc>
          <w:tcPr>
            <w:tcW w:w="1018"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 xml:space="preserve">   169</w:t>
            </w:r>
          </w:p>
        </w:tc>
        <w:tc>
          <w:tcPr>
            <w:tcW w:w="1130" w:type="dxa"/>
            <w:shd w:val="clear" w:color="auto" w:fill="auto"/>
            <w:vAlign w:val="center"/>
          </w:tcPr>
          <w:p w:rsidR="00763F4F" w:rsidRPr="00AB5628" w:rsidRDefault="00763F4F" w:rsidP="006312D1">
            <w:pPr>
              <w:pStyle w:val="142"/>
              <w:jc w:val="right"/>
              <w:rPr>
                <w:rFonts w:hAnsi="標楷體"/>
                <w:szCs w:val="24"/>
              </w:rPr>
            </w:pPr>
            <w:r w:rsidRPr="00AB5628">
              <w:rPr>
                <w:rFonts w:hAnsi="標楷體" w:hint="eastAsia"/>
                <w:szCs w:val="24"/>
              </w:rPr>
              <w:t>10</w:t>
            </w:r>
          </w:p>
        </w:tc>
        <w:tc>
          <w:tcPr>
            <w:tcW w:w="1090"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169</w:t>
            </w:r>
          </w:p>
        </w:tc>
        <w:tc>
          <w:tcPr>
            <w:tcW w:w="1281" w:type="dxa"/>
            <w:shd w:val="clear" w:color="auto" w:fill="auto"/>
            <w:vAlign w:val="center"/>
          </w:tcPr>
          <w:p w:rsidR="00763F4F" w:rsidRPr="00AB5628" w:rsidRDefault="00763F4F" w:rsidP="00763F4F">
            <w:pPr>
              <w:pStyle w:val="142"/>
              <w:jc w:val="right"/>
              <w:rPr>
                <w:rFonts w:hAnsi="標楷體"/>
                <w:szCs w:val="24"/>
              </w:rPr>
            </w:pPr>
            <w:r w:rsidRPr="00AB5628">
              <w:rPr>
                <w:rFonts w:hAnsi="標楷體" w:hint="eastAsia"/>
                <w:szCs w:val="24"/>
              </w:rPr>
              <w:t>0</w:t>
            </w:r>
          </w:p>
        </w:tc>
      </w:tr>
      <w:tr w:rsidR="006E68C7" w:rsidRPr="00587F54" w:rsidTr="00521E5E">
        <w:trPr>
          <w:trHeight w:val="454"/>
        </w:trPr>
        <w:tc>
          <w:tcPr>
            <w:tcW w:w="909" w:type="dxa"/>
            <w:vMerge w:val="restart"/>
            <w:shd w:val="clear" w:color="auto" w:fill="auto"/>
            <w:vAlign w:val="center"/>
          </w:tcPr>
          <w:p w:rsidR="006E68C7" w:rsidRPr="00D8223C" w:rsidRDefault="006E68C7" w:rsidP="00AC334F">
            <w:pPr>
              <w:pStyle w:val="142"/>
              <w:jc w:val="both"/>
              <w:rPr>
                <w:rFonts w:hAnsi="標楷體"/>
                <w:spacing w:val="-20"/>
                <w:szCs w:val="24"/>
              </w:rPr>
            </w:pPr>
            <w:r w:rsidRPr="00763F4F">
              <w:rPr>
                <w:rFonts w:hAnsi="標楷體" w:hint="eastAsia"/>
                <w:spacing w:val="-20"/>
                <w:szCs w:val="24"/>
              </w:rPr>
              <w:t>遺產及贈與稅</w:t>
            </w:r>
          </w:p>
        </w:tc>
        <w:tc>
          <w:tcPr>
            <w:tcW w:w="850" w:type="dxa"/>
            <w:shd w:val="clear" w:color="auto" w:fill="auto"/>
            <w:vAlign w:val="center"/>
          </w:tcPr>
          <w:p w:rsidR="006E68C7" w:rsidRPr="00D74F0B" w:rsidRDefault="006E68C7" w:rsidP="00D74F0B">
            <w:pPr>
              <w:pStyle w:val="142"/>
              <w:ind w:leftChars="-20" w:left="-57" w:rightChars="-23" w:right="-65"/>
              <w:jc w:val="both"/>
              <w:rPr>
                <w:rFonts w:hAnsi="標楷體"/>
                <w:spacing w:val="-20"/>
                <w:szCs w:val="24"/>
              </w:rPr>
            </w:pPr>
            <w:r w:rsidRPr="00D74F0B">
              <w:rPr>
                <w:rFonts w:hAnsi="標楷體" w:hint="eastAsia"/>
                <w:spacing w:val="-20"/>
                <w:szCs w:val="24"/>
              </w:rPr>
              <w:t>直轄市</w:t>
            </w:r>
          </w:p>
        </w:tc>
        <w:tc>
          <w:tcPr>
            <w:tcW w:w="1134"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 xml:space="preserve">   437</w:t>
            </w:r>
          </w:p>
        </w:tc>
        <w:tc>
          <w:tcPr>
            <w:tcW w:w="1116" w:type="dxa"/>
            <w:shd w:val="clear" w:color="auto" w:fill="auto"/>
            <w:vAlign w:val="center"/>
          </w:tcPr>
          <w:p w:rsidR="006E68C7" w:rsidRPr="00AB5628" w:rsidRDefault="006E68C7" w:rsidP="006312D1">
            <w:pPr>
              <w:pStyle w:val="142"/>
              <w:jc w:val="right"/>
              <w:rPr>
                <w:rFonts w:hAnsi="標楷體"/>
                <w:szCs w:val="24"/>
              </w:rPr>
            </w:pPr>
            <w:r w:rsidRPr="00AB5628">
              <w:rPr>
                <w:rFonts w:hAnsi="標楷體" w:hint="eastAsia"/>
                <w:szCs w:val="24"/>
              </w:rPr>
              <w:t>50</w:t>
            </w:r>
          </w:p>
        </w:tc>
        <w:tc>
          <w:tcPr>
            <w:tcW w:w="1018"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 xml:space="preserve">   219</w:t>
            </w:r>
          </w:p>
        </w:tc>
        <w:tc>
          <w:tcPr>
            <w:tcW w:w="1130" w:type="dxa"/>
            <w:shd w:val="clear" w:color="auto" w:fill="auto"/>
            <w:vAlign w:val="center"/>
          </w:tcPr>
          <w:p w:rsidR="006E68C7" w:rsidRPr="00AB5628" w:rsidRDefault="006E68C7" w:rsidP="006312D1">
            <w:pPr>
              <w:pStyle w:val="142"/>
              <w:jc w:val="right"/>
              <w:rPr>
                <w:rFonts w:hAnsi="標楷體"/>
                <w:szCs w:val="24"/>
              </w:rPr>
            </w:pPr>
            <w:r w:rsidRPr="00AB5628">
              <w:rPr>
                <w:rFonts w:hAnsi="標楷體" w:hint="eastAsia"/>
                <w:szCs w:val="24"/>
              </w:rPr>
              <w:t>50</w:t>
            </w:r>
          </w:p>
        </w:tc>
        <w:tc>
          <w:tcPr>
            <w:tcW w:w="1090"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219</w:t>
            </w:r>
          </w:p>
        </w:tc>
        <w:tc>
          <w:tcPr>
            <w:tcW w:w="1281"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0</w:t>
            </w:r>
          </w:p>
        </w:tc>
      </w:tr>
      <w:tr w:rsidR="006E68C7" w:rsidRPr="00587F54" w:rsidTr="00521E5E">
        <w:trPr>
          <w:trHeight w:val="454"/>
        </w:trPr>
        <w:tc>
          <w:tcPr>
            <w:tcW w:w="909" w:type="dxa"/>
            <w:vMerge/>
            <w:shd w:val="clear" w:color="auto" w:fill="auto"/>
            <w:vAlign w:val="center"/>
          </w:tcPr>
          <w:p w:rsidR="006E68C7" w:rsidRPr="00D8223C" w:rsidRDefault="006E68C7" w:rsidP="00AC334F">
            <w:pPr>
              <w:pStyle w:val="142"/>
              <w:jc w:val="both"/>
              <w:rPr>
                <w:rFonts w:hAnsi="標楷體"/>
                <w:spacing w:val="-20"/>
                <w:szCs w:val="24"/>
              </w:rPr>
            </w:pPr>
          </w:p>
        </w:tc>
        <w:tc>
          <w:tcPr>
            <w:tcW w:w="850" w:type="dxa"/>
            <w:shd w:val="clear" w:color="auto" w:fill="auto"/>
            <w:vAlign w:val="center"/>
          </w:tcPr>
          <w:p w:rsidR="006E68C7" w:rsidRPr="00D74F0B" w:rsidRDefault="006E68C7" w:rsidP="00D74F0B">
            <w:pPr>
              <w:pStyle w:val="142"/>
              <w:ind w:leftChars="-20" w:left="-57" w:rightChars="-23" w:right="-65"/>
              <w:jc w:val="both"/>
              <w:rPr>
                <w:rFonts w:hAnsi="標楷體"/>
                <w:spacing w:val="-20"/>
                <w:szCs w:val="24"/>
              </w:rPr>
            </w:pPr>
            <w:r w:rsidRPr="00D74F0B">
              <w:rPr>
                <w:rFonts w:hAnsi="標楷體" w:hint="eastAsia"/>
                <w:spacing w:val="-20"/>
                <w:szCs w:val="24"/>
              </w:rPr>
              <w:t>縣市</w:t>
            </w:r>
          </w:p>
        </w:tc>
        <w:tc>
          <w:tcPr>
            <w:tcW w:w="1134"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 xml:space="preserve">     4</w:t>
            </w:r>
          </w:p>
        </w:tc>
        <w:tc>
          <w:tcPr>
            <w:tcW w:w="1116" w:type="dxa"/>
            <w:shd w:val="clear" w:color="auto" w:fill="auto"/>
            <w:vAlign w:val="center"/>
          </w:tcPr>
          <w:p w:rsidR="006E68C7" w:rsidRPr="00AB5628" w:rsidRDefault="006E68C7" w:rsidP="006312D1">
            <w:pPr>
              <w:pStyle w:val="142"/>
              <w:jc w:val="right"/>
              <w:rPr>
                <w:rFonts w:hAnsi="標楷體"/>
                <w:szCs w:val="24"/>
              </w:rPr>
            </w:pPr>
            <w:r w:rsidRPr="00AB5628">
              <w:rPr>
                <w:rFonts w:hAnsi="標楷體" w:hint="eastAsia"/>
                <w:szCs w:val="24"/>
              </w:rPr>
              <w:t>80</w:t>
            </w:r>
          </w:p>
        </w:tc>
        <w:tc>
          <w:tcPr>
            <w:tcW w:w="1018"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 xml:space="preserve">    37</w:t>
            </w:r>
          </w:p>
        </w:tc>
        <w:tc>
          <w:tcPr>
            <w:tcW w:w="1130" w:type="dxa"/>
            <w:shd w:val="clear" w:color="auto" w:fill="auto"/>
            <w:vAlign w:val="center"/>
          </w:tcPr>
          <w:p w:rsidR="006E68C7" w:rsidRPr="00AB5628" w:rsidRDefault="006E68C7" w:rsidP="006312D1">
            <w:pPr>
              <w:pStyle w:val="142"/>
              <w:jc w:val="right"/>
              <w:rPr>
                <w:rFonts w:hAnsi="標楷體"/>
                <w:szCs w:val="24"/>
              </w:rPr>
            </w:pPr>
            <w:r w:rsidRPr="00AB5628">
              <w:rPr>
                <w:rFonts w:hAnsi="標楷體" w:hint="eastAsia"/>
                <w:szCs w:val="24"/>
              </w:rPr>
              <w:t>80</w:t>
            </w:r>
          </w:p>
        </w:tc>
        <w:tc>
          <w:tcPr>
            <w:tcW w:w="1090"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 xml:space="preserve">     37</w:t>
            </w:r>
          </w:p>
        </w:tc>
        <w:tc>
          <w:tcPr>
            <w:tcW w:w="1281" w:type="dxa"/>
            <w:shd w:val="clear" w:color="auto" w:fill="auto"/>
            <w:vAlign w:val="center"/>
          </w:tcPr>
          <w:p w:rsidR="006E68C7" w:rsidRPr="00AB5628" w:rsidRDefault="006E68C7" w:rsidP="00763F4F">
            <w:pPr>
              <w:pStyle w:val="142"/>
              <w:jc w:val="right"/>
              <w:rPr>
                <w:rFonts w:hAnsi="標楷體"/>
                <w:szCs w:val="24"/>
              </w:rPr>
            </w:pPr>
            <w:r w:rsidRPr="00AB5628">
              <w:rPr>
                <w:rFonts w:hAnsi="標楷體" w:hint="eastAsia"/>
                <w:szCs w:val="24"/>
              </w:rPr>
              <w:t>0</w:t>
            </w:r>
          </w:p>
        </w:tc>
      </w:tr>
      <w:tr w:rsidR="00AC334F" w:rsidRPr="00587F54" w:rsidTr="00D74F0B">
        <w:trPr>
          <w:trHeight w:val="454"/>
        </w:trPr>
        <w:tc>
          <w:tcPr>
            <w:tcW w:w="1759" w:type="dxa"/>
            <w:gridSpan w:val="2"/>
            <w:shd w:val="clear" w:color="auto" w:fill="auto"/>
            <w:vAlign w:val="center"/>
          </w:tcPr>
          <w:p w:rsidR="00AC334F" w:rsidRPr="00D8223C" w:rsidRDefault="006E68C7" w:rsidP="006E68C7">
            <w:pPr>
              <w:pStyle w:val="142"/>
              <w:jc w:val="center"/>
              <w:rPr>
                <w:rFonts w:hAnsi="標楷體"/>
                <w:spacing w:val="-20"/>
                <w:szCs w:val="24"/>
              </w:rPr>
            </w:pPr>
            <w:r>
              <w:rPr>
                <w:rFonts w:hAnsi="標楷體" w:hint="eastAsia"/>
                <w:spacing w:val="-20"/>
                <w:szCs w:val="24"/>
              </w:rPr>
              <w:t>合  計</w:t>
            </w:r>
          </w:p>
        </w:tc>
        <w:tc>
          <w:tcPr>
            <w:tcW w:w="1134" w:type="dxa"/>
            <w:shd w:val="clear" w:color="auto" w:fill="auto"/>
            <w:vAlign w:val="center"/>
          </w:tcPr>
          <w:p w:rsidR="00AC334F" w:rsidRPr="00AB5628" w:rsidRDefault="00AC334F" w:rsidP="00AC334F">
            <w:pPr>
              <w:pStyle w:val="142"/>
              <w:jc w:val="right"/>
              <w:rPr>
                <w:rFonts w:hAnsi="標楷體"/>
                <w:szCs w:val="24"/>
              </w:rPr>
            </w:pPr>
            <w:r w:rsidRPr="00AB5628">
              <w:rPr>
                <w:rFonts w:hAnsi="標楷體" w:hint="eastAsia"/>
                <w:szCs w:val="24"/>
              </w:rPr>
              <w:t xml:space="preserve">      -   </w:t>
            </w:r>
          </w:p>
        </w:tc>
        <w:tc>
          <w:tcPr>
            <w:tcW w:w="1116" w:type="dxa"/>
            <w:shd w:val="clear" w:color="auto" w:fill="auto"/>
            <w:vAlign w:val="center"/>
          </w:tcPr>
          <w:p w:rsidR="00AC334F" w:rsidRPr="00AB5628" w:rsidRDefault="00AC334F" w:rsidP="00AC334F">
            <w:pPr>
              <w:pStyle w:val="142"/>
              <w:jc w:val="right"/>
              <w:rPr>
                <w:rFonts w:hAnsi="標楷體"/>
                <w:szCs w:val="24"/>
              </w:rPr>
            </w:pPr>
            <w:r w:rsidRPr="00AB5628">
              <w:rPr>
                <w:rFonts w:hAnsi="標楷體" w:hint="eastAsia"/>
                <w:szCs w:val="24"/>
              </w:rPr>
              <w:t xml:space="preserve">     -   </w:t>
            </w:r>
          </w:p>
        </w:tc>
        <w:tc>
          <w:tcPr>
            <w:tcW w:w="1018" w:type="dxa"/>
            <w:shd w:val="clear" w:color="auto" w:fill="auto"/>
            <w:vAlign w:val="center"/>
          </w:tcPr>
          <w:p w:rsidR="00AC334F" w:rsidRPr="00AB5628" w:rsidRDefault="00AC334F" w:rsidP="00AC334F">
            <w:pPr>
              <w:pStyle w:val="142"/>
              <w:jc w:val="right"/>
              <w:rPr>
                <w:rFonts w:hAnsi="標楷體"/>
                <w:szCs w:val="24"/>
              </w:rPr>
            </w:pPr>
            <w:r w:rsidRPr="00AB5628">
              <w:rPr>
                <w:rFonts w:hAnsi="標楷體" w:hint="eastAsia"/>
                <w:szCs w:val="24"/>
              </w:rPr>
              <w:t xml:space="preserve"> 4,984 </w:t>
            </w:r>
          </w:p>
        </w:tc>
        <w:tc>
          <w:tcPr>
            <w:tcW w:w="1130" w:type="dxa"/>
            <w:shd w:val="clear" w:color="auto" w:fill="auto"/>
            <w:vAlign w:val="center"/>
          </w:tcPr>
          <w:p w:rsidR="00AC334F" w:rsidRPr="00AB5628" w:rsidRDefault="00AC334F" w:rsidP="00AC334F">
            <w:pPr>
              <w:pStyle w:val="142"/>
              <w:jc w:val="right"/>
              <w:rPr>
                <w:rFonts w:hAnsi="標楷體"/>
                <w:szCs w:val="24"/>
              </w:rPr>
            </w:pPr>
            <w:r w:rsidRPr="00AB5628">
              <w:rPr>
                <w:rFonts w:hAnsi="標楷體" w:hint="eastAsia"/>
                <w:szCs w:val="24"/>
              </w:rPr>
              <w:t xml:space="preserve">      -   </w:t>
            </w:r>
          </w:p>
        </w:tc>
        <w:tc>
          <w:tcPr>
            <w:tcW w:w="1090"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 xml:space="preserve">  8,737</w:t>
            </w:r>
          </w:p>
        </w:tc>
        <w:tc>
          <w:tcPr>
            <w:tcW w:w="1281" w:type="dxa"/>
            <w:shd w:val="clear" w:color="auto" w:fill="auto"/>
            <w:vAlign w:val="center"/>
          </w:tcPr>
          <w:p w:rsidR="00AC334F" w:rsidRPr="00AB5628" w:rsidRDefault="00AC334F" w:rsidP="00763F4F">
            <w:pPr>
              <w:pStyle w:val="142"/>
              <w:jc w:val="right"/>
              <w:rPr>
                <w:rFonts w:hAnsi="標楷體"/>
                <w:szCs w:val="24"/>
              </w:rPr>
            </w:pPr>
            <w:r w:rsidRPr="00AB5628">
              <w:rPr>
                <w:rFonts w:hAnsi="標楷體" w:hint="eastAsia"/>
                <w:szCs w:val="24"/>
              </w:rPr>
              <w:t xml:space="preserve">   3,753</w:t>
            </w:r>
          </w:p>
        </w:tc>
      </w:tr>
    </w:tbl>
    <w:p w:rsidR="00AC334F" w:rsidRPr="00B5190A" w:rsidRDefault="00AC334F" w:rsidP="006446D8">
      <w:pPr>
        <w:spacing w:line="280" w:lineRule="exact"/>
        <w:ind w:leftChars="15" w:left="1499" w:rightChars="-8" w:right="-23" w:hangingChars="599" w:hanging="1457"/>
        <w:rPr>
          <w:rFonts w:hAnsi="標楷體"/>
          <w:sz w:val="24"/>
        </w:rPr>
      </w:pPr>
      <w:r w:rsidRPr="003A6A2F">
        <w:rPr>
          <w:rFonts w:hint="eastAsia"/>
          <w:sz w:val="24"/>
        </w:rPr>
        <w:t>說    明</w:t>
      </w:r>
      <w:r w:rsidRPr="003A6A2F">
        <w:rPr>
          <w:rFonts w:hAnsi="標楷體" w:hint="eastAsia"/>
          <w:sz w:val="24"/>
        </w:rPr>
        <w:t>：1.</w:t>
      </w:r>
      <w:r w:rsidR="006446D8">
        <w:rPr>
          <w:rFonts w:hAnsi="標楷體" w:hint="eastAsia"/>
          <w:sz w:val="24"/>
        </w:rPr>
        <w:t>依修正前財劃法之規定，</w:t>
      </w:r>
      <w:r w:rsidR="006446D8" w:rsidRPr="006446D8">
        <w:rPr>
          <w:rFonts w:hAnsi="標楷體" w:hint="eastAsia"/>
          <w:sz w:val="24"/>
        </w:rPr>
        <w:t>營業稅總收入減除依法提撥之統一發票給獎獎金3%後之40%(即38.8%)由中央統籌分配。</w:t>
      </w:r>
    </w:p>
    <w:p w:rsidR="00AC334F" w:rsidRPr="003A6A2F" w:rsidRDefault="00AC334F" w:rsidP="00195ECB">
      <w:pPr>
        <w:spacing w:line="280" w:lineRule="exact"/>
        <w:ind w:leftChars="444" w:left="1498" w:rightChars="-8" w:right="-23" w:hangingChars="99" w:hanging="241"/>
        <w:rPr>
          <w:rFonts w:hAnsi="標楷體"/>
          <w:sz w:val="24"/>
        </w:rPr>
      </w:pPr>
      <w:r w:rsidRPr="003A6A2F">
        <w:rPr>
          <w:rFonts w:hAnsi="標楷體" w:hint="eastAsia"/>
          <w:sz w:val="24"/>
        </w:rPr>
        <w:t>2.</w:t>
      </w:r>
      <w:r w:rsidR="006446D8">
        <w:rPr>
          <w:rFonts w:hAnsi="標楷體" w:hint="eastAsia"/>
          <w:sz w:val="24"/>
        </w:rPr>
        <w:t>依修正後財劃法之規定，</w:t>
      </w:r>
      <w:r w:rsidR="006446D8" w:rsidRPr="006446D8">
        <w:rPr>
          <w:rFonts w:hAnsi="標楷體" w:hint="eastAsia"/>
          <w:sz w:val="24"/>
        </w:rPr>
        <w:t>營業稅總收入減除稽徵經費1.5%及依法提撥之統一發票給獎獎金3%後之100%(即95.5%)由中央統籌分配。</w:t>
      </w:r>
    </w:p>
    <w:p w:rsidR="0005140E" w:rsidRPr="00D8223C" w:rsidRDefault="0005140E" w:rsidP="0005140E">
      <w:pPr>
        <w:pStyle w:val="142"/>
        <w:ind w:firstLineChars="28" w:firstLine="68"/>
        <w:rPr>
          <w:rFonts w:hAnsi="標楷體"/>
          <w:szCs w:val="24"/>
        </w:rPr>
      </w:pPr>
      <w:r w:rsidRPr="00D8223C">
        <w:rPr>
          <w:rFonts w:hAnsi="標楷體" w:hint="eastAsia"/>
          <w:szCs w:val="24"/>
        </w:rPr>
        <w:t>資料來源：</w:t>
      </w:r>
      <w:r w:rsidRPr="00040887">
        <w:rPr>
          <w:rFonts w:hAnsi="標楷體" w:hint="eastAsia"/>
          <w:szCs w:val="24"/>
        </w:rPr>
        <w:t>財政部</w:t>
      </w:r>
      <w:r w:rsidR="00671C07">
        <w:rPr>
          <w:rFonts w:hAnsi="標楷體" w:hint="eastAsia"/>
          <w:szCs w:val="24"/>
        </w:rPr>
        <w:t>國庫署</w:t>
      </w:r>
      <w:r>
        <w:rPr>
          <w:rFonts w:hAnsi="標楷體" w:hint="eastAsia"/>
          <w:szCs w:val="24"/>
        </w:rPr>
        <w:t>提供</w:t>
      </w:r>
      <w:r w:rsidRPr="00D8223C">
        <w:rPr>
          <w:rFonts w:hAnsi="標楷體" w:hint="eastAsia"/>
          <w:szCs w:val="24"/>
        </w:rPr>
        <w:t>。</w:t>
      </w:r>
    </w:p>
    <w:p w:rsidR="006312D1" w:rsidRDefault="006312D1" w:rsidP="003271B0">
      <w:pPr>
        <w:pStyle w:val="14"/>
        <w:ind w:left="567" w:hanging="567"/>
      </w:pPr>
    </w:p>
    <w:p w:rsidR="003271B0" w:rsidRDefault="003271B0" w:rsidP="003271B0">
      <w:pPr>
        <w:pStyle w:val="14"/>
        <w:ind w:left="567" w:hanging="567"/>
      </w:pPr>
      <w:bookmarkStart w:id="6" w:name="_Toc203481649"/>
      <w:r>
        <w:rPr>
          <w:rFonts w:hint="eastAsia"/>
        </w:rPr>
        <w:t>二、近年全國及中央政府稅課收入之預、決算概況，及國民租稅負擔率之變化情形</w:t>
      </w:r>
      <w:bookmarkEnd w:id="6"/>
    </w:p>
    <w:p w:rsidR="005D5D03" w:rsidRPr="008865B3" w:rsidRDefault="008865B3" w:rsidP="008865B3">
      <w:pPr>
        <w:pStyle w:val="a4"/>
        <w:ind w:left="849" w:hanging="283"/>
        <w:rPr>
          <w:b/>
        </w:rPr>
      </w:pPr>
      <w:r w:rsidRPr="008865B3">
        <w:rPr>
          <w:rFonts w:hint="eastAsia"/>
          <w:b/>
        </w:rPr>
        <w:t xml:space="preserve"> (一)</w:t>
      </w:r>
      <w:r w:rsidR="000E2390" w:rsidRPr="000E2390">
        <w:rPr>
          <w:rFonts w:hint="eastAsia"/>
          <w:b/>
        </w:rPr>
        <w:t>104至113年度</w:t>
      </w:r>
      <w:r w:rsidR="005D5D03" w:rsidRPr="008865B3">
        <w:rPr>
          <w:rFonts w:hint="eastAsia"/>
          <w:b/>
        </w:rPr>
        <w:t>除109年度受COVID-19疫情</w:t>
      </w:r>
      <w:r w:rsidR="00344806">
        <w:rPr>
          <w:rFonts w:hint="eastAsia"/>
          <w:b/>
        </w:rPr>
        <w:t>等因素</w:t>
      </w:r>
      <w:r w:rsidR="00344806" w:rsidRPr="008865B3">
        <w:rPr>
          <w:rFonts w:hint="eastAsia"/>
          <w:b/>
        </w:rPr>
        <w:t>影響</w:t>
      </w:r>
      <w:r w:rsidR="005D5D03" w:rsidRPr="008865B3">
        <w:rPr>
          <w:rFonts w:hint="eastAsia"/>
          <w:b/>
        </w:rPr>
        <w:t>外，全國及中央政府賦稅收入實徵</w:t>
      </w:r>
      <w:r w:rsidR="0027668F">
        <w:rPr>
          <w:rFonts w:hint="eastAsia"/>
          <w:b/>
        </w:rPr>
        <w:t>數</w:t>
      </w:r>
      <w:r w:rsidR="005D5D03" w:rsidRPr="008865B3">
        <w:rPr>
          <w:rFonts w:hint="eastAsia"/>
          <w:b/>
        </w:rPr>
        <w:t>皆高於預算</w:t>
      </w:r>
      <w:r w:rsidRPr="008865B3">
        <w:rPr>
          <w:rFonts w:hint="eastAsia"/>
          <w:b/>
        </w:rPr>
        <w:t>數</w:t>
      </w:r>
      <w:r w:rsidR="0027668F">
        <w:rPr>
          <w:rFonts w:hint="eastAsia"/>
          <w:b/>
        </w:rPr>
        <w:t>，</w:t>
      </w:r>
      <w:r w:rsidR="00344806">
        <w:rPr>
          <w:rFonts w:hint="eastAsia"/>
          <w:b/>
        </w:rPr>
        <w:t>且屢創新高，10年間</w:t>
      </w:r>
      <w:r w:rsidR="00366A3A">
        <w:rPr>
          <w:rFonts w:hint="eastAsia"/>
          <w:b/>
        </w:rPr>
        <w:t>增幅</w:t>
      </w:r>
      <w:r w:rsidR="00344806">
        <w:rPr>
          <w:rFonts w:hint="eastAsia"/>
          <w:b/>
        </w:rPr>
        <w:t>分別</w:t>
      </w:r>
      <w:r w:rsidR="00366A3A">
        <w:rPr>
          <w:rFonts w:hint="eastAsia"/>
          <w:b/>
        </w:rPr>
        <w:t>達</w:t>
      </w:r>
      <w:r w:rsidR="00344806" w:rsidRPr="00344806">
        <w:rPr>
          <w:rFonts w:hint="eastAsia"/>
          <w:b/>
        </w:rPr>
        <w:t>76.21%及83.59%</w:t>
      </w:r>
    </w:p>
    <w:p w:rsidR="00E92CBD" w:rsidRDefault="00A9175F" w:rsidP="00344806">
      <w:pPr>
        <w:pStyle w:val="2"/>
        <w:ind w:leftChars="340" w:left="963" w:firstLine="566"/>
        <w:rPr>
          <w:snapToGrid/>
        </w:rPr>
      </w:pPr>
      <w:r w:rsidRPr="00A9175F">
        <w:rPr>
          <w:rFonts w:hint="eastAsia"/>
          <w:snapToGrid/>
        </w:rPr>
        <w:t>隨經濟成長，近10年</w:t>
      </w:r>
      <w:r w:rsidR="00416571">
        <w:rPr>
          <w:rFonts w:hAnsi="標楷體" w:hint="eastAsia"/>
        </w:rPr>
        <w:t>(104至113年度，以下同)</w:t>
      </w:r>
      <w:r w:rsidRPr="00A9175F">
        <w:rPr>
          <w:rFonts w:hint="eastAsia"/>
          <w:snapToGrid/>
        </w:rPr>
        <w:t>全國賦稅收入預算數，由10</w:t>
      </w:r>
      <w:r>
        <w:rPr>
          <w:rFonts w:hint="eastAsia"/>
          <w:snapToGrid/>
        </w:rPr>
        <w:t>4</w:t>
      </w:r>
      <w:r w:rsidRPr="00A9175F">
        <w:rPr>
          <w:rFonts w:hint="eastAsia"/>
          <w:snapToGrid/>
        </w:rPr>
        <w:t>年度之1兆</w:t>
      </w:r>
      <w:r>
        <w:rPr>
          <w:rFonts w:hint="eastAsia"/>
          <w:snapToGrid/>
        </w:rPr>
        <w:t>9</w:t>
      </w:r>
      <w:r w:rsidRPr="00A9175F">
        <w:rPr>
          <w:rFonts w:hint="eastAsia"/>
          <w:snapToGrid/>
        </w:rPr>
        <w:t>,</w:t>
      </w:r>
      <w:r>
        <w:rPr>
          <w:rFonts w:hint="eastAsia"/>
          <w:snapToGrid/>
        </w:rPr>
        <w:t>47</w:t>
      </w:r>
      <w:r w:rsidR="000F332F">
        <w:rPr>
          <w:rFonts w:hint="eastAsia"/>
          <w:snapToGrid/>
        </w:rPr>
        <w:t>1</w:t>
      </w:r>
      <w:r w:rsidRPr="00A9175F">
        <w:rPr>
          <w:rFonts w:hint="eastAsia"/>
          <w:snapToGrid/>
        </w:rPr>
        <w:t>億元增至11</w:t>
      </w:r>
      <w:r>
        <w:rPr>
          <w:rFonts w:hint="eastAsia"/>
          <w:snapToGrid/>
        </w:rPr>
        <w:t>3</w:t>
      </w:r>
      <w:r w:rsidRPr="00A9175F">
        <w:rPr>
          <w:rFonts w:hint="eastAsia"/>
          <w:snapToGrid/>
        </w:rPr>
        <w:t>年度之3兆</w:t>
      </w:r>
      <w:r>
        <w:rPr>
          <w:rFonts w:hint="eastAsia"/>
          <w:snapToGrid/>
        </w:rPr>
        <w:t>2</w:t>
      </w:r>
      <w:r>
        <w:rPr>
          <w:snapToGrid/>
        </w:rPr>
        <w:t>,33</w:t>
      </w:r>
      <w:r w:rsidR="000F332F">
        <w:rPr>
          <w:rFonts w:hint="eastAsia"/>
          <w:snapToGrid/>
        </w:rPr>
        <w:t>6</w:t>
      </w:r>
      <w:r w:rsidRPr="00A9175F">
        <w:rPr>
          <w:rFonts w:hint="eastAsia"/>
          <w:snapToGrid/>
        </w:rPr>
        <w:t>億元</w:t>
      </w:r>
      <w:r>
        <w:rPr>
          <w:rFonts w:hint="eastAsia"/>
          <w:snapToGrid/>
        </w:rPr>
        <w:t>(增幅66.07</w:t>
      </w:r>
      <w:r>
        <w:rPr>
          <w:snapToGrid/>
        </w:rPr>
        <w:t>%</w:t>
      </w:r>
      <w:r>
        <w:rPr>
          <w:rFonts w:hint="eastAsia"/>
          <w:snapToGrid/>
        </w:rPr>
        <w:t>)</w:t>
      </w:r>
      <w:r w:rsidRPr="00A9175F">
        <w:rPr>
          <w:rFonts w:hint="eastAsia"/>
          <w:snapToGrid/>
        </w:rPr>
        <w:t>，</w:t>
      </w:r>
      <w:r>
        <w:rPr>
          <w:rFonts w:hint="eastAsia"/>
          <w:snapToGrid/>
        </w:rPr>
        <w:t>同期間中央政府</w:t>
      </w:r>
      <w:r w:rsidRPr="00A9175F">
        <w:rPr>
          <w:rFonts w:hint="eastAsia"/>
          <w:snapToGrid/>
        </w:rPr>
        <w:t>賦稅收入預算數，</w:t>
      </w:r>
      <w:r>
        <w:rPr>
          <w:rFonts w:hint="eastAsia"/>
          <w:snapToGrid/>
        </w:rPr>
        <w:t>亦</w:t>
      </w:r>
      <w:r w:rsidRPr="00A9175F">
        <w:rPr>
          <w:rFonts w:hint="eastAsia"/>
          <w:snapToGrid/>
        </w:rPr>
        <w:t>由1兆</w:t>
      </w:r>
      <w:r>
        <w:rPr>
          <w:rFonts w:hint="eastAsia"/>
          <w:snapToGrid/>
        </w:rPr>
        <w:t>3</w:t>
      </w:r>
      <w:r w:rsidRPr="00A9175F">
        <w:rPr>
          <w:rFonts w:hint="eastAsia"/>
          <w:snapToGrid/>
        </w:rPr>
        <w:t>,</w:t>
      </w:r>
      <w:r>
        <w:rPr>
          <w:rFonts w:hint="eastAsia"/>
          <w:snapToGrid/>
        </w:rPr>
        <w:t>194</w:t>
      </w:r>
      <w:r w:rsidRPr="00A9175F">
        <w:rPr>
          <w:rFonts w:hint="eastAsia"/>
          <w:snapToGrid/>
        </w:rPr>
        <w:t>億元增至</w:t>
      </w:r>
      <w:r>
        <w:rPr>
          <w:rFonts w:hint="eastAsia"/>
          <w:snapToGrid/>
        </w:rPr>
        <w:t>2</w:t>
      </w:r>
      <w:r w:rsidRPr="00A9175F">
        <w:rPr>
          <w:rFonts w:hint="eastAsia"/>
          <w:snapToGrid/>
        </w:rPr>
        <w:t>兆</w:t>
      </w:r>
      <w:r>
        <w:rPr>
          <w:rFonts w:hint="eastAsia"/>
          <w:snapToGrid/>
        </w:rPr>
        <w:t>3</w:t>
      </w:r>
      <w:r w:rsidRPr="00A9175F">
        <w:rPr>
          <w:rFonts w:hint="eastAsia"/>
          <w:snapToGrid/>
        </w:rPr>
        <w:t>,</w:t>
      </w:r>
      <w:r>
        <w:rPr>
          <w:rFonts w:hint="eastAsia"/>
          <w:snapToGrid/>
        </w:rPr>
        <w:t>140</w:t>
      </w:r>
      <w:r w:rsidRPr="00A9175F">
        <w:rPr>
          <w:rFonts w:hint="eastAsia"/>
          <w:snapToGrid/>
        </w:rPr>
        <w:t>億元(增幅</w:t>
      </w:r>
      <w:r>
        <w:rPr>
          <w:rFonts w:hint="eastAsia"/>
          <w:snapToGrid/>
        </w:rPr>
        <w:t>75.38</w:t>
      </w:r>
      <w:r w:rsidRPr="00A9175F">
        <w:rPr>
          <w:rFonts w:hint="eastAsia"/>
          <w:snapToGrid/>
        </w:rPr>
        <w:t>%)</w:t>
      </w:r>
      <w:r>
        <w:rPr>
          <w:rFonts w:hint="eastAsia"/>
          <w:snapToGrid/>
        </w:rPr>
        <w:t>；</w:t>
      </w:r>
      <w:r w:rsidRPr="00A9175F">
        <w:rPr>
          <w:rFonts w:hint="eastAsia"/>
          <w:snapToGrid/>
        </w:rPr>
        <w:t>執行結果，</w:t>
      </w:r>
      <w:r w:rsidR="00422FC0">
        <w:rPr>
          <w:rFonts w:hint="eastAsia"/>
          <w:snapToGrid/>
        </w:rPr>
        <w:t>104年度全國</w:t>
      </w:r>
      <w:r w:rsidRPr="00A9175F">
        <w:rPr>
          <w:rFonts w:hint="eastAsia"/>
          <w:snapToGrid/>
        </w:rPr>
        <w:t>賦稅實徵數</w:t>
      </w:r>
      <w:r w:rsidR="00E31C6C">
        <w:rPr>
          <w:rFonts w:hint="eastAsia"/>
          <w:snapToGrid/>
        </w:rPr>
        <w:t>為</w:t>
      </w:r>
      <w:r>
        <w:rPr>
          <w:rFonts w:hint="eastAsia"/>
          <w:snapToGrid/>
        </w:rPr>
        <w:t>2</w:t>
      </w:r>
      <w:r w:rsidRPr="00A9175F">
        <w:rPr>
          <w:rFonts w:hint="eastAsia"/>
          <w:snapToGrid/>
        </w:rPr>
        <w:t>兆</w:t>
      </w:r>
      <w:r>
        <w:rPr>
          <w:rFonts w:hint="eastAsia"/>
          <w:snapToGrid/>
        </w:rPr>
        <w:t>1</w:t>
      </w:r>
      <w:r w:rsidRPr="00A9175F">
        <w:rPr>
          <w:rFonts w:hint="eastAsia"/>
          <w:snapToGrid/>
        </w:rPr>
        <w:t>,</w:t>
      </w:r>
      <w:r>
        <w:rPr>
          <w:snapToGrid/>
        </w:rPr>
        <w:t>34</w:t>
      </w:r>
      <w:r w:rsidR="000F332F">
        <w:rPr>
          <w:rFonts w:hint="eastAsia"/>
          <w:snapToGrid/>
        </w:rPr>
        <w:t>9</w:t>
      </w:r>
      <w:r w:rsidRPr="00A9175F">
        <w:rPr>
          <w:rFonts w:hint="eastAsia"/>
          <w:snapToGrid/>
        </w:rPr>
        <w:t>億元</w:t>
      </w:r>
      <w:r w:rsidR="00422FC0">
        <w:rPr>
          <w:rFonts w:hint="eastAsia"/>
          <w:snapToGrid/>
        </w:rPr>
        <w:t>，</w:t>
      </w:r>
      <w:r w:rsidR="006312D1">
        <w:rPr>
          <w:rFonts w:hint="eastAsia"/>
          <w:snapToGrid/>
        </w:rPr>
        <w:t>並</w:t>
      </w:r>
      <w:r w:rsidR="00422FC0">
        <w:rPr>
          <w:rFonts w:hint="eastAsia"/>
          <w:snapToGrid/>
        </w:rPr>
        <w:t>於111年度突破3兆元，113年度</w:t>
      </w:r>
      <w:r w:rsidR="000F332F">
        <w:rPr>
          <w:rFonts w:hint="eastAsia"/>
          <w:snapToGrid/>
        </w:rPr>
        <w:t>再</w:t>
      </w:r>
      <w:r w:rsidR="00344806">
        <w:rPr>
          <w:rFonts w:hint="eastAsia"/>
          <w:snapToGrid/>
        </w:rPr>
        <w:t>增至</w:t>
      </w:r>
      <w:r w:rsidRPr="00A9175F">
        <w:rPr>
          <w:rFonts w:hint="eastAsia"/>
          <w:snapToGrid/>
        </w:rPr>
        <w:t>3兆</w:t>
      </w:r>
      <w:r>
        <w:rPr>
          <w:rFonts w:hint="eastAsia"/>
          <w:snapToGrid/>
        </w:rPr>
        <w:t>7</w:t>
      </w:r>
      <w:r w:rsidRPr="00A9175F">
        <w:rPr>
          <w:rFonts w:hint="eastAsia"/>
          <w:snapToGrid/>
        </w:rPr>
        <w:t>,</w:t>
      </w:r>
      <w:r>
        <w:rPr>
          <w:rFonts w:hint="eastAsia"/>
          <w:snapToGrid/>
        </w:rPr>
        <w:t>6</w:t>
      </w:r>
      <w:r w:rsidRPr="00A9175F">
        <w:rPr>
          <w:rFonts w:hint="eastAsia"/>
          <w:snapToGrid/>
        </w:rPr>
        <w:t>1</w:t>
      </w:r>
      <w:r w:rsidR="000F332F">
        <w:rPr>
          <w:rFonts w:hint="eastAsia"/>
          <w:snapToGrid/>
        </w:rPr>
        <w:t>9</w:t>
      </w:r>
      <w:r w:rsidRPr="00A9175F">
        <w:rPr>
          <w:rFonts w:hint="eastAsia"/>
          <w:snapToGrid/>
        </w:rPr>
        <w:t>億元，</w:t>
      </w:r>
      <w:r w:rsidR="00344806">
        <w:rPr>
          <w:rFonts w:hint="eastAsia"/>
          <w:snapToGrid/>
        </w:rPr>
        <w:t>而中央政府賦稅實徵數部分，104年度為1</w:t>
      </w:r>
      <w:r w:rsidR="00344806" w:rsidRPr="00A9175F">
        <w:rPr>
          <w:rFonts w:hint="eastAsia"/>
          <w:snapToGrid/>
        </w:rPr>
        <w:t>兆</w:t>
      </w:r>
      <w:r w:rsidR="00344806">
        <w:rPr>
          <w:rFonts w:hint="eastAsia"/>
          <w:snapToGrid/>
        </w:rPr>
        <w:t>4</w:t>
      </w:r>
      <w:r w:rsidR="00344806" w:rsidRPr="00A9175F">
        <w:rPr>
          <w:rFonts w:hint="eastAsia"/>
          <w:snapToGrid/>
        </w:rPr>
        <w:t>,</w:t>
      </w:r>
      <w:r w:rsidR="00344806">
        <w:rPr>
          <w:rFonts w:hint="eastAsia"/>
          <w:snapToGrid/>
        </w:rPr>
        <w:t>651</w:t>
      </w:r>
      <w:r w:rsidR="00344806" w:rsidRPr="00A9175F">
        <w:rPr>
          <w:rFonts w:hint="eastAsia"/>
          <w:snapToGrid/>
        </w:rPr>
        <w:t>億元</w:t>
      </w:r>
      <w:r w:rsidR="00344806">
        <w:rPr>
          <w:rFonts w:hint="eastAsia"/>
          <w:snapToGrid/>
        </w:rPr>
        <w:t>，於110年度突破2兆元，113年度攀升至2</w:t>
      </w:r>
      <w:r w:rsidR="00344806" w:rsidRPr="00A9175F">
        <w:rPr>
          <w:rFonts w:hint="eastAsia"/>
          <w:snapToGrid/>
        </w:rPr>
        <w:t>兆</w:t>
      </w:r>
      <w:r w:rsidR="00344806">
        <w:rPr>
          <w:rFonts w:hint="eastAsia"/>
          <w:snapToGrid/>
        </w:rPr>
        <w:t>6</w:t>
      </w:r>
      <w:r w:rsidR="00344806" w:rsidRPr="00A9175F">
        <w:rPr>
          <w:rFonts w:hint="eastAsia"/>
          <w:snapToGrid/>
        </w:rPr>
        <w:t>,</w:t>
      </w:r>
      <w:r w:rsidR="00344806">
        <w:rPr>
          <w:rFonts w:hint="eastAsia"/>
          <w:snapToGrid/>
        </w:rPr>
        <w:t>89</w:t>
      </w:r>
      <w:r w:rsidR="000F332F">
        <w:rPr>
          <w:rFonts w:hint="eastAsia"/>
          <w:snapToGrid/>
        </w:rPr>
        <w:t>8</w:t>
      </w:r>
      <w:r w:rsidR="00344806" w:rsidRPr="00A9175F">
        <w:rPr>
          <w:rFonts w:hint="eastAsia"/>
          <w:snapToGrid/>
        </w:rPr>
        <w:t>億元</w:t>
      </w:r>
      <w:r w:rsidR="00C45A77">
        <w:rPr>
          <w:rFonts w:hint="eastAsia"/>
          <w:snapToGrid/>
        </w:rPr>
        <w:t>，顯示全國及中央政府賦稅實徵數屢創新高，10年間</w:t>
      </w:r>
      <w:r w:rsidR="00C45A77" w:rsidRPr="00A9175F">
        <w:rPr>
          <w:rFonts w:hint="eastAsia"/>
          <w:snapToGrid/>
        </w:rPr>
        <w:t>賦稅實徵數</w:t>
      </w:r>
      <w:r w:rsidR="00C45A77">
        <w:rPr>
          <w:rFonts w:hint="eastAsia"/>
          <w:snapToGrid/>
        </w:rPr>
        <w:t>分別成長76.21%及83.59%</w:t>
      </w:r>
      <w:r w:rsidR="006312D1">
        <w:rPr>
          <w:rFonts w:hint="eastAsia"/>
          <w:snapToGrid/>
        </w:rPr>
        <w:t>(詳附表2-3)</w:t>
      </w:r>
      <w:r w:rsidR="00344806">
        <w:rPr>
          <w:rFonts w:hint="eastAsia"/>
          <w:snapToGrid/>
        </w:rPr>
        <w:t>。</w:t>
      </w:r>
    </w:p>
    <w:p w:rsidR="00422FC0" w:rsidRDefault="00366A3A" w:rsidP="00344806">
      <w:pPr>
        <w:pStyle w:val="2"/>
        <w:ind w:leftChars="340" w:left="963" w:firstLine="566"/>
        <w:rPr>
          <w:snapToGrid/>
        </w:rPr>
      </w:pPr>
      <w:r>
        <w:rPr>
          <w:rFonts w:hint="eastAsia"/>
          <w:snapToGrid/>
        </w:rPr>
        <w:t>又</w:t>
      </w:r>
      <w:r w:rsidR="000F332F">
        <w:rPr>
          <w:rFonts w:hint="eastAsia"/>
          <w:snapToGrid/>
        </w:rPr>
        <w:t>觀察</w:t>
      </w:r>
      <w:r w:rsidR="00344806">
        <w:rPr>
          <w:rFonts w:hint="eastAsia"/>
          <w:snapToGrid/>
        </w:rPr>
        <w:t>近10年</w:t>
      </w:r>
      <w:r w:rsidR="000F332F">
        <w:rPr>
          <w:rFonts w:hint="eastAsia"/>
          <w:snapToGrid/>
        </w:rPr>
        <w:t>賦稅收入預算達成情形</w:t>
      </w:r>
      <w:r w:rsidR="00344806">
        <w:rPr>
          <w:rFonts w:hint="eastAsia"/>
          <w:snapToGrid/>
        </w:rPr>
        <w:t>，</w:t>
      </w:r>
      <w:r w:rsidR="00A9175F" w:rsidRPr="00A9175F">
        <w:rPr>
          <w:rFonts w:hint="eastAsia"/>
          <w:snapToGrid/>
        </w:rPr>
        <w:t>除109年度</w:t>
      </w:r>
      <w:r w:rsidR="004D6C74">
        <w:rPr>
          <w:rFonts w:hint="eastAsia"/>
          <w:snapToGrid/>
        </w:rPr>
        <w:t>因</w:t>
      </w:r>
      <w:r w:rsidR="003644A0">
        <w:rPr>
          <w:rFonts w:hint="eastAsia"/>
          <w:snapToGrid/>
        </w:rPr>
        <w:t>部分</w:t>
      </w:r>
      <w:r w:rsidR="00A9175F" w:rsidRPr="00A9175F">
        <w:rPr>
          <w:rFonts w:hint="eastAsia"/>
          <w:snapToGrid/>
        </w:rPr>
        <w:t>上市(櫃)公司108年度</w:t>
      </w:r>
      <w:r w:rsidR="004D6C74" w:rsidRPr="004D6C74">
        <w:rPr>
          <w:rFonts w:hint="eastAsia"/>
          <w:snapToGrid/>
        </w:rPr>
        <w:t>受美中貿易戰拖累而</w:t>
      </w:r>
      <w:r w:rsidR="00A9175F" w:rsidRPr="00A9175F">
        <w:rPr>
          <w:rFonts w:hint="eastAsia"/>
          <w:snapToGrid/>
        </w:rPr>
        <w:t>獲利衰退，及</w:t>
      </w:r>
      <w:r w:rsidR="003644A0" w:rsidRPr="003644A0">
        <w:rPr>
          <w:rFonts w:hint="eastAsia"/>
          <w:snapToGrid/>
        </w:rPr>
        <w:t>政府因應</w:t>
      </w:r>
      <w:r w:rsidR="003644A0" w:rsidRPr="00A9175F">
        <w:rPr>
          <w:rFonts w:hint="eastAsia"/>
          <w:snapToGrid/>
        </w:rPr>
        <w:t>COVID-19</w:t>
      </w:r>
      <w:r w:rsidR="003644A0" w:rsidRPr="003644A0">
        <w:rPr>
          <w:rFonts w:hint="eastAsia"/>
          <w:snapToGrid/>
        </w:rPr>
        <w:t>疫情提供延</w:t>
      </w:r>
      <w:r w:rsidR="003644A0" w:rsidRPr="00A9175F">
        <w:rPr>
          <w:rFonts w:hint="eastAsia"/>
          <w:snapToGrid/>
        </w:rPr>
        <w:t>緩、分期繳納稅款及符合一定條件之企業免辦暫繳等</w:t>
      </w:r>
      <w:r w:rsidR="003644A0" w:rsidRPr="003644A0">
        <w:rPr>
          <w:rFonts w:hint="eastAsia"/>
          <w:snapToGrid/>
        </w:rPr>
        <w:t>租稅協助措施</w:t>
      </w:r>
      <w:r w:rsidR="004D6C74">
        <w:rPr>
          <w:rStyle w:val="af6"/>
          <w:snapToGrid/>
        </w:rPr>
        <w:footnoteReference w:id="4"/>
      </w:r>
      <w:r w:rsidR="003644A0" w:rsidRPr="003644A0">
        <w:rPr>
          <w:rFonts w:hint="eastAsia"/>
          <w:snapToGrid/>
        </w:rPr>
        <w:t>，</w:t>
      </w:r>
      <w:r w:rsidR="00A9175F" w:rsidRPr="00A9175F">
        <w:rPr>
          <w:rFonts w:hint="eastAsia"/>
          <w:snapToGrid/>
        </w:rPr>
        <w:t>致</w:t>
      </w:r>
      <w:r w:rsidR="004D6C74">
        <w:rPr>
          <w:rFonts w:hint="eastAsia"/>
          <w:snapToGrid/>
        </w:rPr>
        <w:t>該年度</w:t>
      </w:r>
      <w:r w:rsidR="00344806">
        <w:rPr>
          <w:rFonts w:hint="eastAsia"/>
          <w:snapToGrid/>
        </w:rPr>
        <w:t>全國及中央政府</w:t>
      </w:r>
      <w:r w:rsidR="00A9175F" w:rsidRPr="00A9175F">
        <w:rPr>
          <w:rFonts w:hint="eastAsia"/>
          <w:snapToGrid/>
        </w:rPr>
        <w:t>賦稅實徵數低於</w:t>
      </w:r>
      <w:r w:rsidR="007578FA">
        <w:rPr>
          <w:rFonts w:hint="eastAsia"/>
          <w:snapToGrid/>
        </w:rPr>
        <w:t>預算數(達成率分別為99.08%及95.58%)</w:t>
      </w:r>
      <w:r w:rsidR="00422FC0">
        <w:rPr>
          <w:rFonts w:hint="eastAsia"/>
          <w:snapToGrid/>
        </w:rPr>
        <w:t>外</w:t>
      </w:r>
      <w:r w:rsidR="00A9175F" w:rsidRPr="00A9175F">
        <w:rPr>
          <w:rFonts w:hint="eastAsia"/>
          <w:snapToGrid/>
        </w:rPr>
        <w:t>，</w:t>
      </w:r>
      <w:r w:rsidR="00422FC0">
        <w:rPr>
          <w:rFonts w:hint="eastAsia"/>
          <w:snapToGrid/>
        </w:rPr>
        <w:t>其餘各年度</w:t>
      </w:r>
      <w:r w:rsidR="007578FA">
        <w:rPr>
          <w:rFonts w:hint="eastAsia"/>
          <w:snapToGrid/>
        </w:rPr>
        <w:t>均達預算目標，</w:t>
      </w:r>
      <w:r w:rsidR="004D6C74">
        <w:rPr>
          <w:rFonts w:hint="eastAsia"/>
          <w:snapToGrid/>
        </w:rPr>
        <w:t>達成率</w:t>
      </w:r>
      <w:r w:rsidR="00C45A77">
        <w:rPr>
          <w:rFonts w:hint="eastAsia"/>
          <w:snapToGrid/>
        </w:rPr>
        <w:t>分別介於103.</w:t>
      </w:r>
      <w:r w:rsidR="000F332F">
        <w:rPr>
          <w:rFonts w:hint="eastAsia"/>
          <w:snapToGrid/>
        </w:rPr>
        <w:t>48%至119.22%、102.37%至121.02%間</w:t>
      </w:r>
      <w:r w:rsidR="00344806">
        <w:rPr>
          <w:rFonts w:hint="eastAsia"/>
          <w:snapToGrid/>
        </w:rPr>
        <w:t>。</w:t>
      </w:r>
    </w:p>
    <w:p w:rsidR="00CF4E8C" w:rsidRDefault="0027668F" w:rsidP="0027668F">
      <w:pPr>
        <w:pStyle w:val="20"/>
        <w:ind w:leftChars="29" w:left="1134" w:hangingChars="371" w:hanging="1052"/>
        <w:jc w:val="both"/>
        <w:rPr>
          <w:rFonts w:hAnsi="標楷體"/>
          <w:b/>
          <w:sz w:val="28"/>
        </w:rPr>
      </w:pPr>
      <w:r w:rsidRPr="00DC42CC">
        <w:rPr>
          <w:rFonts w:hint="eastAsia"/>
          <w:b/>
          <w:sz w:val="28"/>
        </w:rPr>
        <w:t>表2-</w:t>
      </w:r>
      <w:r>
        <w:rPr>
          <w:rFonts w:hint="eastAsia"/>
          <w:b/>
          <w:sz w:val="28"/>
        </w:rPr>
        <w:t>3</w:t>
      </w:r>
      <w:r w:rsidRPr="00DC42CC">
        <w:rPr>
          <w:rFonts w:hint="eastAsia"/>
          <w:b/>
          <w:sz w:val="28"/>
        </w:rPr>
        <w:t xml:space="preserve">  </w:t>
      </w:r>
      <w:r w:rsidRPr="00DC42CC">
        <w:rPr>
          <w:rFonts w:hAnsi="標楷體" w:hint="eastAsia"/>
          <w:b/>
          <w:sz w:val="28"/>
        </w:rPr>
        <w:t>10</w:t>
      </w:r>
      <w:r>
        <w:rPr>
          <w:rFonts w:hAnsi="標楷體" w:hint="eastAsia"/>
          <w:b/>
          <w:sz w:val="28"/>
        </w:rPr>
        <w:t>4</w:t>
      </w:r>
      <w:r w:rsidRPr="00DC42CC">
        <w:rPr>
          <w:rFonts w:hAnsi="標楷體" w:hint="eastAsia"/>
          <w:b/>
          <w:sz w:val="28"/>
        </w:rPr>
        <w:t>至113年度</w:t>
      </w:r>
      <w:r w:rsidR="00CF4E8C">
        <w:rPr>
          <w:rFonts w:hAnsi="標楷體" w:hint="eastAsia"/>
          <w:b/>
          <w:sz w:val="28"/>
        </w:rPr>
        <w:t>全國及中央政府賦稅收入預、決算</w:t>
      </w:r>
      <w:r w:rsidRPr="00DC42CC">
        <w:rPr>
          <w:rFonts w:hAnsi="標楷體" w:hint="eastAsia"/>
          <w:b/>
          <w:sz w:val="28"/>
        </w:rPr>
        <w:t>概況表</w:t>
      </w:r>
    </w:p>
    <w:p w:rsidR="0027668F" w:rsidRPr="00DC42CC" w:rsidRDefault="0027668F" w:rsidP="00CF4E8C">
      <w:pPr>
        <w:pStyle w:val="20"/>
        <w:ind w:leftChars="29" w:left="985" w:hangingChars="371" w:hanging="903"/>
        <w:jc w:val="right"/>
        <w:rPr>
          <w:rFonts w:hAnsi="標楷體"/>
          <w:szCs w:val="24"/>
        </w:rPr>
      </w:pPr>
      <w:r w:rsidRPr="00DC42CC">
        <w:rPr>
          <w:rFonts w:hAnsi="標楷體" w:hint="eastAsia"/>
          <w:b/>
        </w:rPr>
        <w:t xml:space="preserve">                                      </w:t>
      </w:r>
      <w:r w:rsidRPr="00DC42CC">
        <w:rPr>
          <w:rFonts w:hAnsi="標楷體" w:hint="eastAsia"/>
          <w:szCs w:val="24"/>
        </w:rPr>
        <w:t>單位：新臺幣</w:t>
      </w:r>
      <w:r w:rsidR="00166FB5">
        <w:rPr>
          <w:rFonts w:hAnsi="標楷體" w:hint="eastAsia"/>
          <w:szCs w:val="24"/>
        </w:rPr>
        <w:t>億</w:t>
      </w:r>
      <w:r w:rsidRPr="00DC42CC">
        <w:rPr>
          <w:rFonts w:hAnsi="標楷體" w:hint="eastAsia"/>
          <w:szCs w:val="24"/>
        </w:rPr>
        <w:t>元</w:t>
      </w:r>
      <w:r w:rsidR="006312D1">
        <w:rPr>
          <w:rFonts w:hAnsi="標楷體" w:hint="eastAsia"/>
          <w:szCs w:val="24"/>
        </w:rPr>
        <w:t>；%</w:t>
      </w:r>
    </w:p>
    <w:tbl>
      <w:tblPr>
        <w:tblW w:w="8563" w:type="dxa"/>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17"/>
        <w:gridCol w:w="1288"/>
        <w:gridCol w:w="1289"/>
        <w:gridCol w:w="1443"/>
        <w:gridCol w:w="1329"/>
        <w:gridCol w:w="1329"/>
        <w:gridCol w:w="1368"/>
      </w:tblGrid>
      <w:tr w:rsidR="0027668F" w:rsidRPr="00587F54" w:rsidTr="003E7CCE">
        <w:trPr>
          <w:trHeight w:val="397"/>
          <w:tblHeader/>
        </w:trPr>
        <w:tc>
          <w:tcPr>
            <w:tcW w:w="517" w:type="dxa"/>
            <w:vMerge w:val="restart"/>
            <w:shd w:val="clear" w:color="auto" w:fill="auto"/>
            <w:vAlign w:val="center"/>
          </w:tcPr>
          <w:p w:rsidR="0027668F" w:rsidRPr="00DC42CC" w:rsidRDefault="0027668F" w:rsidP="00A22A1A">
            <w:pPr>
              <w:pStyle w:val="142"/>
              <w:ind w:rightChars="-9" w:right="-25"/>
              <w:jc w:val="center"/>
              <w:rPr>
                <w:rFonts w:hAnsi="標楷體"/>
                <w:b/>
                <w:spacing w:val="-20"/>
                <w:szCs w:val="24"/>
              </w:rPr>
            </w:pPr>
            <w:r w:rsidRPr="00DC42CC">
              <w:rPr>
                <w:rFonts w:hAnsi="標楷體" w:hint="eastAsia"/>
                <w:b/>
                <w:spacing w:val="-20"/>
                <w:szCs w:val="24"/>
              </w:rPr>
              <w:t>年度</w:t>
            </w:r>
          </w:p>
        </w:tc>
        <w:tc>
          <w:tcPr>
            <w:tcW w:w="4020" w:type="dxa"/>
            <w:gridSpan w:val="3"/>
            <w:shd w:val="clear" w:color="auto" w:fill="auto"/>
            <w:vAlign w:val="center"/>
          </w:tcPr>
          <w:p w:rsidR="0027668F" w:rsidRPr="00071C2C" w:rsidRDefault="00CF4E8C" w:rsidP="00A22A1A">
            <w:pPr>
              <w:pStyle w:val="142"/>
              <w:jc w:val="center"/>
              <w:rPr>
                <w:rFonts w:hAnsi="標楷體"/>
                <w:b/>
                <w:szCs w:val="24"/>
              </w:rPr>
            </w:pPr>
            <w:r w:rsidRPr="00071C2C">
              <w:rPr>
                <w:rFonts w:hAnsi="標楷體" w:hint="eastAsia"/>
                <w:b/>
                <w:szCs w:val="24"/>
              </w:rPr>
              <w:t>全國</w:t>
            </w:r>
            <w:r w:rsidR="00071C2C" w:rsidRPr="00071C2C">
              <w:rPr>
                <w:rFonts w:hAnsi="標楷體" w:hint="eastAsia"/>
                <w:b/>
                <w:szCs w:val="24"/>
              </w:rPr>
              <w:t>賦稅收入</w:t>
            </w:r>
          </w:p>
        </w:tc>
        <w:tc>
          <w:tcPr>
            <w:tcW w:w="4026" w:type="dxa"/>
            <w:gridSpan w:val="3"/>
            <w:shd w:val="clear" w:color="auto" w:fill="auto"/>
            <w:vAlign w:val="center"/>
          </w:tcPr>
          <w:p w:rsidR="0027668F" w:rsidRPr="00071C2C" w:rsidRDefault="00CF4E8C" w:rsidP="00A22A1A">
            <w:pPr>
              <w:pStyle w:val="142"/>
              <w:jc w:val="center"/>
              <w:rPr>
                <w:rFonts w:hAnsi="標楷體"/>
                <w:b/>
                <w:szCs w:val="24"/>
              </w:rPr>
            </w:pPr>
            <w:r w:rsidRPr="00071C2C">
              <w:rPr>
                <w:rFonts w:hAnsi="標楷體" w:hint="eastAsia"/>
                <w:b/>
                <w:szCs w:val="24"/>
              </w:rPr>
              <w:t>中央政府</w:t>
            </w:r>
            <w:r w:rsidR="00071C2C" w:rsidRPr="00071C2C">
              <w:rPr>
                <w:rFonts w:hAnsi="標楷體" w:hint="eastAsia"/>
                <w:b/>
                <w:szCs w:val="24"/>
              </w:rPr>
              <w:t>賦稅收入</w:t>
            </w:r>
          </w:p>
        </w:tc>
      </w:tr>
      <w:tr w:rsidR="00BB2CA5" w:rsidRPr="00587F54" w:rsidTr="00816150">
        <w:trPr>
          <w:trHeight w:val="397"/>
          <w:tblHeader/>
        </w:trPr>
        <w:tc>
          <w:tcPr>
            <w:tcW w:w="517" w:type="dxa"/>
            <w:vMerge/>
            <w:shd w:val="clear" w:color="auto" w:fill="auto"/>
            <w:vAlign w:val="center"/>
          </w:tcPr>
          <w:p w:rsidR="00A22A1A" w:rsidRPr="00DC42CC" w:rsidRDefault="00A22A1A" w:rsidP="00A22A1A">
            <w:pPr>
              <w:pStyle w:val="142"/>
              <w:jc w:val="center"/>
              <w:rPr>
                <w:rFonts w:hAnsi="標楷體"/>
                <w:b/>
                <w:spacing w:val="-20"/>
                <w:szCs w:val="24"/>
              </w:rPr>
            </w:pPr>
          </w:p>
        </w:tc>
        <w:tc>
          <w:tcPr>
            <w:tcW w:w="1288" w:type="dxa"/>
            <w:shd w:val="clear" w:color="auto" w:fill="auto"/>
            <w:vAlign w:val="center"/>
          </w:tcPr>
          <w:p w:rsidR="00A22A1A" w:rsidRPr="00071C2C" w:rsidRDefault="00A22A1A" w:rsidP="00366A3A">
            <w:pPr>
              <w:pStyle w:val="142"/>
              <w:jc w:val="center"/>
              <w:rPr>
                <w:rFonts w:hAnsi="標楷體"/>
                <w:b/>
                <w:szCs w:val="24"/>
              </w:rPr>
            </w:pPr>
            <w:r w:rsidRPr="00071C2C">
              <w:rPr>
                <w:rFonts w:hAnsi="標楷體" w:hint="eastAsia"/>
                <w:b/>
                <w:szCs w:val="24"/>
              </w:rPr>
              <w:t>預算數</w:t>
            </w:r>
          </w:p>
        </w:tc>
        <w:tc>
          <w:tcPr>
            <w:tcW w:w="1289" w:type="dxa"/>
            <w:shd w:val="clear" w:color="auto" w:fill="auto"/>
            <w:vAlign w:val="center"/>
          </w:tcPr>
          <w:p w:rsidR="00A22A1A" w:rsidRPr="00071C2C" w:rsidRDefault="00A22A1A" w:rsidP="00366A3A">
            <w:pPr>
              <w:pStyle w:val="142"/>
              <w:jc w:val="center"/>
              <w:rPr>
                <w:rFonts w:hAnsi="標楷體"/>
                <w:b/>
                <w:szCs w:val="24"/>
              </w:rPr>
            </w:pPr>
            <w:r w:rsidRPr="00071C2C">
              <w:rPr>
                <w:rFonts w:hAnsi="標楷體" w:hint="eastAsia"/>
                <w:b/>
                <w:szCs w:val="24"/>
              </w:rPr>
              <w:t>實徵數</w:t>
            </w:r>
          </w:p>
        </w:tc>
        <w:tc>
          <w:tcPr>
            <w:tcW w:w="1443" w:type="dxa"/>
            <w:shd w:val="clear" w:color="auto" w:fill="auto"/>
            <w:vAlign w:val="center"/>
          </w:tcPr>
          <w:p w:rsidR="00366A3A" w:rsidRPr="00071C2C" w:rsidRDefault="00974457" w:rsidP="00974457">
            <w:pPr>
              <w:pStyle w:val="142"/>
              <w:jc w:val="center"/>
              <w:rPr>
                <w:rFonts w:hAnsi="標楷體"/>
                <w:b/>
                <w:szCs w:val="24"/>
              </w:rPr>
            </w:pPr>
            <w:r>
              <w:rPr>
                <w:rFonts w:hAnsi="標楷體" w:hint="eastAsia"/>
                <w:b/>
                <w:spacing w:val="-6"/>
                <w:szCs w:val="24"/>
              </w:rPr>
              <w:t>預算達成率</w:t>
            </w:r>
          </w:p>
        </w:tc>
        <w:tc>
          <w:tcPr>
            <w:tcW w:w="1329" w:type="dxa"/>
            <w:shd w:val="clear" w:color="auto" w:fill="auto"/>
            <w:vAlign w:val="center"/>
          </w:tcPr>
          <w:p w:rsidR="00A22A1A" w:rsidRPr="00071C2C" w:rsidRDefault="00A22A1A" w:rsidP="00A22A1A">
            <w:pPr>
              <w:pStyle w:val="142"/>
              <w:jc w:val="center"/>
              <w:rPr>
                <w:rFonts w:hAnsi="標楷體"/>
                <w:b/>
                <w:szCs w:val="24"/>
              </w:rPr>
            </w:pPr>
            <w:r w:rsidRPr="00071C2C">
              <w:rPr>
                <w:rFonts w:hAnsi="標楷體" w:hint="eastAsia"/>
                <w:b/>
                <w:szCs w:val="24"/>
              </w:rPr>
              <w:t>預算數</w:t>
            </w:r>
          </w:p>
        </w:tc>
        <w:tc>
          <w:tcPr>
            <w:tcW w:w="1329" w:type="dxa"/>
            <w:shd w:val="clear" w:color="auto" w:fill="auto"/>
            <w:vAlign w:val="center"/>
          </w:tcPr>
          <w:p w:rsidR="00A22A1A" w:rsidRPr="00071C2C" w:rsidRDefault="00A22A1A" w:rsidP="00A22A1A">
            <w:pPr>
              <w:pStyle w:val="142"/>
              <w:jc w:val="center"/>
              <w:rPr>
                <w:rFonts w:hAnsi="標楷體"/>
                <w:b/>
                <w:szCs w:val="24"/>
              </w:rPr>
            </w:pPr>
            <w:r w:rsidRPr="00071C2C">
              <w:rPr>
                <w:rFonts w:hAnsi="標楷體" w:hint="eastAsia"/>
                <w:b/>
                <w:szCs w:val="24"/>
              </w:rPr>
              <w:t>實徵數</w:t>
            </w:r>
          </w:p>
        </w:tc>
        <w:tc>
          <w:tcPr>
            <w:tcW w:w="1368" w:type="dxa"/>
            <w:shd w:val="clear" w:color="auto" w:fill="auto"/>
            <w:vAlign w:val="center"/>
          </w:tcPr>
          <w:p w:rsidR="00A22A1A" w:rsidRPr="00071C2C" w:rsidRDefault="00974457" w:rsidP="00816150">
            <w:pPr>
              <w:pStyle w:val="142"/>
              <w:jc w:val="center"/>
              <w:rPr>
                <w:rFonts w:hAnsi="標楷體"/>
                <w:b/>
                <w:szCs w:val="24"/>
              </w:rPr>
            </w:pPr>
            <w:r>
              <w:rPr>
                <w:rFonts w:hAnsi="標楷體" w:hint="eastAsia"/>
                <w:b/>
                <w:spacing w:val="-6"/>
                <w:szCs w:val="24"/>
              </w:rPr>
              <w:t>預算達成率</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104</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19,471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21,349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109.64</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13,194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14,651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111.04</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105</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20,963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22,241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106.10</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14,400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15,338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106.52</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106</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21,552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22,512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104.45</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14,693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15,229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103.65</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107</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22,973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23,869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103.90</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15,775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16,392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103.91</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108</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23,875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24,705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103.48</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16,471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16,861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102.37</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109</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24,209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23,987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99.08</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16,796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16,054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95.58</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110</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24,415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28,742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117.72</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16,785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20,038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119.38</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111</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27,242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32,479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119.22</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19,038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23,040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121.02</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112</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30,701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34,562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112.57</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21,949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24,883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113.37</w:t>
            </w:r>
          </w:p>
        </w:tc>
      </w:tr>
      <w:tr w:rsidR="00974457" w:rsidRPr="00587F54" w:rsidTr="00974457">
        <w:trPr>
          <w:trHeight w:val="397"/>
        </w:trPr>
        <w:tc>
          <w:tcPr>
            <w:tcW w:w="517" w:type="dxa"/>
            <w:shd w:val="clear" w:color="auto" w:fill="auto"/>
            <w:vAlign w:val="center"/>
          </w:tcPr>
          <w:p w:rsidR="00974457" w:rsidRPr="00D8223C" w:rsidRDefault="00974457" w:rsidP="00974457">
            <w:pPr>
              <w:pStyle w:val="142"/>
              <w:jc w:val="center"/>
              <w:rPr>
                <w:rFonts w:hAnsi="標楷體"/>
                <w:spacing w:val="-20"/>
                <w:szCs w:val="24"/>
              </w:rPr>
            </w:pPr>
            <w:r w:rsidRPr="00D8223C">
              <w:rPr>
                <w:rFonts w:hAnsi="標楷體" w:hint="eastAsia"/>
                <w:spacing w:val="-20"/>
                <w:szCs w:val="24"/>
              </w:rPr>
              <w:t>113</w:t>
            </w:r>
          </w:p>
        </w:tc>
        <w:tc>
          <w:tcPr>
            <w:tcW w:w="1288"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32,336 </w:t>
            </w:r>
          </w:p>
        </w:tc>
        <w:tc>
          <w:tcPr>
            <w:tcW w:w="1289" w:type="dxa"/>
            <w:shd w:val="clear" w:color="auto" w:fill="auto"/>
            <w:vAlign w:val="center"/>
          </w:tcPr>
          <w:p w:rsidR="00974457" w:rsidRPr="00034761" w:rsidRDefault="00974457" w:rsidP="00974457">
            <w:pPr>
              <w:pStyle w:val="142"/>
              <w:jc w:val="right"/>
              <w:rPr>
                <w:rFonts w:hAnsi="標楷體"/>
                <w:spacing w:val="-20"/>
                <w:szCs w:val="24"/>
              </w:rPr>
            </w:pPr>
            <w:r w:rsidRPr="00034761">
              <w:rPr>
                <w:rFonts w:hAnsi="標楷體"/>
                <w:spacing w:val="-20"/>
                <w:szCs w:val="24"/>
              </w:rPr>
              <w:t xml:space="preserve"> 37,619 </w:t>
            </w:r>
          </w:p>
        </w:tc>
        <w:tc>
          <w:tcPr>
            <w:tcW w:w="1443"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116.34</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23,140 </w:t>
            </w:r>
          </w:p>
        </w:tc>
        <w:tc>
          <w:tcPr>
            <w:tcW w:w="1329" w:type="dxa"/>
            <w:shd w:val="clear" w:color="auto" w:fill="auto"/>
            <w:vAlign w:val="center"/>
          </w:tcPr>
          <w:p w:rsidR="00974457" w:rsidRPr="00816150" w:rsidRDefault="00974457" w:rsidP="00974457">
            <w:pPr>
              <w:pStyle w:val="142"/>
              <w:jc w:val="right"/>
              <w:rPr>
                <w:rFonts w:hAnsi="標楷體"/>
                <w:spacing w:val="-20"/>
                <w:szCs w:val="24"/>
              </w:rPr>
            </w:pPr>
            <w:r w:rsidRPr="00816150">
              <w:rPr>
                <w:rFonts w:hAnsi="標楷體"/>
                <w:spacing w:val="-20"/>
                <w:szCs w:val="24"/>
              </w:rPr>
              <w:t xml:space="preserve"> 26,898 </w:t>
            </w:r>
          </w:p>
        </w:tc>
        <w:tc>
          <w:tcPr>
            <w:tcW w:w="1368" w:type="dxa"/>
            <w:shd w:val="clear" w:color="auto" w:fill="auto"/>
            <w:vAlign w:val="center"/>
          </w:tcPr>
          <w:p w:rsidR="00974457" w:rsidRPr="00974457" w:rsidRDefault="00974457" w:rsidP="006312D1">
            <w:pPr>
              <w:pStyle w:val="142"/>
              <w:jc w:val="right"/>
              <w:rPr>
                <w:rFonts w:hAnsi="標楷體"/>
                <w:spacing w:val="-20"/>
                <w:szCs w:val="24"/>
              </w:rPr>
            </w:pPr>
            <w:r w:rsidRPr="00974457">
              <w:rPr>
                <w:rFonts w:hAnsi="標楷體"/>
                <w:spacing w:val="-20"/>
                <w:szCs w:val="24"/>
              </w:rPr>
              <w:t>116.24</w:t>
            </w:r>
          </w:p>
        </w:tc>
      </w:tr>
    </w:tbl>
    <w:p w:rsidR="0027668F" w:rsidRPr="00D8223C" w:rsidRDefault="0027668F" w:rsidP="0027668F">
      <w:pPr>
        <w:pStyle w:val="142"/>
        <w:ind w:firstLineChars="28" w:firstLine="68"/>
        <w:rPr>
          <w:rFonts w:hAnsi="標楷體"/>
          <w:szCs w:val="24"/>
        </w:rPr>
      </w:pPr>
      <w:r w:rsidRPr="00D8223C">
        <w:rPr>
          <w:rFonts w:hAnsi="標楷體" w:hint="eastAsia"/>
          <w:szCs w:val="24"/>
        </w:rPr>
        <w:t>資料來源：</w:t>
      </w:r>
      <w:r w:rsidR="00BB2CA5" w:rsidRPr="00BB2CA5">
        <w:rPr>
          <w:rFonts w:hAnsi="標楷體" w:hint="eastAsia"/>
          <w:szCs w:val="24"/>
        </w:rPr>
        <w:t>財政部財政統計資料庫。</w:t>
      </w:r>
    </w:p>
    <w:p w:rsidR="00D01DAD" w:rsidRPr="00366A3A" w:rsidRDefault="00D01DAD" w:rsidP="00D01DAD">
      <w:pPr>
        <w:pStyle w:val="a4"/>
        <w:ind w:left="849" w:hanging="283"/>
        <w:rPr>
          <w:b/>
        </w:rPr>
      </w:pPr>
      <w:r>
        <w:rPr>
          <w:rFonts w:hint="eastAsia"/>
          <w:b/>
        </w:rPr>
        <w:t>(二)</w:t>
      </w:r>
      <w:r w:rsidR="00B62D7F" w:rsidRPr="00B62D7F">
        <w:rPr>
          <w:rFonts w:hint="eastAsia"/>
          <w:b/>
        </w:rPr>
        <w:t>近年全國及中央政府賦稅估測誤差率未減反增，</w:t>
      </w:r>
      <w:r>
        <w:rPr>
          <w:rFonts w:hint="eastAsia"/>
          <w:b/>
        </w:rPr>
        <w:t>全國賦稅收入自</w:t>
      </w:r>
      <w:r w:rsidRPr="00366A3A">
        <w:rPr>
          <w:rFonts w:hint="eastAsia"/>
          <w:b/>
        </w:rPr>
        <w:t>110</w:t>
      </w:r>
      <w:r>
        <w:rPr>
          <w:rFonts w:hint="eastAsia"/>
          <w:b/>
        </w:rPr>
        <w:t>年</w:t>
      </w:r>
      <w:r w:rsidR="002A5958">
        <w:rPr>
          <w:rFonts w:hint="eastAsia"/>
          <w:b/>
        </w:rPr>
        <w:t>度</w:t>
      </w:r>
      <w:r w:rsidR="00E31C6C">
        <w:rPr>
          <w:rFonts w:hint="eastAsia"/>
          <w:b/>
        </w:rPr>
        <w:t>起</w:t>
      </w:r>
      <w:r>
        <w:rPr>
          <w:rFonts w:hint="eastAsia"/>
          <w:b/>
        </w:rPr>
        <w:t>已</w:t>
      </w:r>
      <w:r w:rsidRPr="00366A3A">
        <w:rPr>
          <w:rFonts w:hint="eastAsia"/>
          <w:b/>
        </w:rPr>
        <w:t>連續</w:t>
      </w:r>
      <w:r>
        <w:rPr>
          <w:rFonts w:hint="eastAsia"/>
          <w:b/>
        </w:rPr>
        <w:t>4</w:t>
      </w:r>
      <w:r w:rsidRPr="00366A3A">
        <w:rPr>
          <w:rFonts w:hint="eastAsia"/>
          <w:b/>
        </w:rPr>
        <w:t>年實徵數</w:t>
      </w:r>
      <w:r>
        <w:rPr>
          <w:rFonts w:hint="eastAsia"/>
          <w:b/>
        </w:rPr>
        <w:t>大幅超</w:t>
      </w:r>
      <w:r w:rsidRPr="00366A3A">
        <w:rPr>
          <w:rFonts w:hint="eastAsia"/>
          <w:b/>
        </w:rPr>
        <w:t>逾預算數</w:t>
      </w:r>
      <w:r>
        <w:rPr>
          <w:rFonts w:hint="eastAsia"/>
          <w:b/>
        </w:rPr>
        <w:t>，113年度</w:t>
      </w:r>
      <w:r w:rsidRPr="00366A3A">
        <w:rPr>
          <w:rFonts w:hint="eastAsia"/>
          <w:b/>
        </w:rPr>
        <w:t>金額高達</w:t>
      </w:r>
      <w:r>
        <w:rPr>
          <w:rFonts w:hint="eastAsia"/>
          <w:b/>
        </w:rPr>
        <w:t>5</w:t>
      </w:r>
      <w:r w:rsidRPr="00366A3A">
        <w:rPr>
          <w:rFonts w:hint="eastAsia"/>
          <w:b/>
        </w:rPr>
        <w:t>,</w:t>
      </w:r>
      <w:r>
        <w:rPr>
          <w:rFonts w:hint="eastAsia"/>
          <w:b/>
        </w:rPr>
        <w:t>28</w:t>
      </w:r>
      <w:r w:rsidR="008A3A5D">
        <w:rPr>
          <w:rFonts w:hint="eastAsia"/>
          <w:b/>
        </w:rPr>
        <w:t>3</w:t>
      </w:r>
      <w:r w:rsidRPr="00366A3A">
        <w:rPr>
          <w:rFonts w:hint="eastAsia"/>
          <w:b/>
        </w:rPr>
        <w:t>億元</w:t>
      </w:r>
      <w:r>
        <w:rPr>
          <w:rFonts w:hint="eastAsia"/>
          <w:b/>
        </w:rPr>
        <w:t>，為歷年之最，其中中央政府部分高出3</w:t>
      </w:r>
      <w:r w:rsidRPr="00D263DD">
        <w:rPr>
          <w:rFonts w:hint="eastAsia"/>
          <w:b/>
        </w:rPr>
        <w:t>,</w:t>
      </w:r>
      <w:r>
        <w:rPr>
          <w:rFonts w:hint="eastAsia"/>
          <w:b/>
        </w:rPr>
        <w:t>757</w:t>
      </w:r>
      <w:r w:rsidRPr="00D263DD">
        <w:rPr>
          <w:rFonts w:hint="eastAsia"/>
          <w:b/>
        </w:rPr>
        <w:t>億元</w:t>
      </w:r>
    </w:p>
    <w:p w:rsidR="00E31C6C" w:rsidRDefault="00D01DAD" w:rsidP="00977886">
      <w:pPr>
        <w:pStyle w:val="2"/>
        <w:ind w:left="850" w:firstLine="566"/>
        <w:rPr>
          <w:snapToGrid/>
        </w:rPr>
      </w:pPr>
      <w:r w:rsidRPr="00203898">
        <w:rPr>
          <w:rFonts w:hint="eastAsia"/>
          <w:snapToGrid/>
        </w:rPr>
        <w:t>觀察近10年</w:t>
      </w:r>
      <w:r w:rsidR="00F41803">
        <w:rPr>
          <w:rFonts w:hint="eastAsia"/>
          <w:snapToGrid/>
        </w:rPr>
        <w:t>全國賦稅</w:t>
      </w:r>
      <w:r w:rsidRPr="00203898">
        <w:rPr>
          <w:rFonts w:hint="eastAsia"/>
          <w:snapToGrid/>
        </w:rPr>
        <w:t>實徵</w:t>
      </w:r>
      <w:r w:rsidR="00F41803">
        <w:rPr>
          <w:rFonts w:hint="eastAsia"/>
          <w:snapToGrid/>
        </w:rPr>
        <w:t>數</w:t>
      </w:r>
      <w:r w:rsidRPr="00203898">
        <w:rPr>
          <w:rFonts w:hint="eastAsia"/>
          <w:snapToGrid/>
        </w:rPr>
        <w:t>與預算</w:t>
      </w:r>
      <w:r w:rsidR="00977886">
        <w:rPr>
          <w:rFonts w:hint="eastAsia"/>
          <w:snapToGrid/>
        </w:rPr>
        <w:t>數</w:t>
      </w:r>
      <w:r w:rsidRPr="00203898">
        <w:rPr>
          <w:rFonts w:hint="eastAsia"/>
          <w:snapToGrid/>
        </w:rPr>
        <w:t>之差</w:t>
      </w:r>
      <w:r w:rsidR="005F58E9">
        <w:rPr>
          <w:rFonts w:hint="eastAsia"/>
          <w:snapToGrid/>
        </w:rPr>
        <w:t>距</w:t>
      </w:r>
      <w:r w:rsidRPr="00203898">
        <w:rPr>
          <w:rFonts w:hint="eastAsia"/>
          <w:snapToGrid/>
        </w:rPr>
        <w:t>(</w:t>
      </w:r>
      <w:r w:rsidR="00E6629B">
        <w:rPr>
          <w:rFonts w:hint="eastAsia"/>
          <w:snapToGrid/>
        </w:rPr>
        <w:t>詳</w:t>
      </w:r>
      <w:r w:rsidRPr="00203898">
        <w:rPr>
          <w:rFonts w:hint="eastAsia"/>
          <w:snapToGrid/>
        </w:rPr>
        <w:t>圖</w:t>
      </w:r>
      <w:r w:rsidR="00E6629B">
        <w:rPr>
          <w:rFonts w:hint="eastAsia"/>
          <w:snapToGrid/>
        </w:rPr>
        <w:t>2</w:t>
      </w:r>
      <w:r w:rsidRPr="00203898">
        <w:rPr>
          <w:rFonts w:hint="eastAsia"/>
          <w:snapToGrid/>
        </w:rPr>
        <w:t>)，除</w:t>
      </w:r>
      <w:r w:rsidR="00E6629B">
        <w:rPr>
          <w:rFonts w:hint="eastAsia"/>
          <w:snapToGrid/>
        </w:rPr>
        <w:t>109</w:t>
      </w:r>
      <w:r w:rsidRPr="00203898">
        <w:rPr>
          <w:rFonts w:hint="eastAsia"/>
          <w:snapToGrid/>
        </w:rPr>
        <w:t>年</w:t>
      </w:r>
      <w:r w:rsidR="00E6629B">
        <w:rPr>
          <w:rFonts w:hint="eastAsia"/>
          <w:snapToGrid/>
        </w:rPr>
        <w:t>度</w:t>
      </w:r>
      <w:r w:rsidRPr="00203898">
        <w:rPr>
          <w:rFonts w:hint="eastAsia"/>
          <w:snapToGrid/>
        </w:rPr>
        <w:t>稅收</w:t>
      </w:r>
      <w:r w:rsidR="002A5958">
        <w:rPr>
          <w:rFonts w:hint="eastAsia"/>
          <w:snapToGrid/>
        </w:rPr>
        <w:t>未</w:t>
      </w:r>
      <w:r w:rsidRPr="00203898">
        <w:rPr>
          <w:rFonts w:hint="eastAsia"/>
          <w:snapToGrid/>
        </w:rPr>
        <w:t>如</w:t>
      </w:r>
      <w:r w:rsidRPr="00661586">
        <w:rPr>
          <w:rFonts w:hAnsi="標楷體" w:hint="eastAsia"/>
        </w:rPr>
        <w:t>預期</w:t>
      </w:r>
      <w:r w:rsidRPr="00203898">
        <w:rPr>
          <w:rFonts w:hint="eastAsia"/>
          <w:snapToGrid/>
        </w:rPr>
        <w:t>，</w:t>
      </w:r>
      <w:r w:rsidR="002A5958">
        <w:rPr>
          <w:rFonts w:hint="eastAsia"/>
          <w:snapToGrid/>
        </w:rPr>
        <w:t>估</w:t>
      </w:r>
      <w:r w:rsidRPr="00203898">
        <w:rPr>
          <w:rFonts w:hint="eastAsia"/>
          <w:snapToGrid/>
        </w:rPr>
        <w:t>測誤差為負</w:t>
      </w:r>
      <w:r w:rsidR="002A5958">
        <w:rPr>
          <w:rFonts w:hint="eastAsia"/>
          <w:snapToGrid/>
        </w:rPr>
        <w:t>223億元(估測誤差率-0.92%)</w:t>
      </w:r>
      <w:r w:rsidRPr="00203898">
        <w:rPr>
          <w:rFonts w:hint="eastAsia"/>
          <w:snapToGrid/>
        </w:rPr>
        <w:t>外，其餘各年度</w:t>
      </w:r>
      <w:r w:rsidR="002A5958">
        <w:rPr>
          <w:rFonts w:hint="eastAsia"/>
          <w:snapToGrid/>
        </w:rPr>
        <w:t>均</w:t>
      </w:r>
      <w:r w:rsidRPr="00203898">
        <w:rPr>
          <w:rFonts w:hint="eastAsia"/>
          <w:snapToGrid/>
        </w:rPr>
        <w:t>為正數</w:t>
      </w:r>
      <w:r w:rsidR="00E6629B">
        <w:rPr>
          <w:rFonts w:hint="eastAsia"/>
          <w:snapToGrid/>
        </w:rPr>
        <w:t>，</w:t>
      </w:r>
      <w:r w:rsidR="002A5958">
        <w:rPr>
          <w:rFonts w:hint="eastAsia"/>
          <w:snapToGrid/>
        </w:rPr>
        <w:t>104至108年度估測誤差率皆低於10%</w:t>
      </w:r>
      <w:r w:rsidR="00D373F9">
        <w:rPr>
          <w:rFonts w:hint="eastAsia"/>
          <w:snapToGrid/>
        </w:rPr>
        <w:t>，</w:t>
      </w:r>
      <w:r w:rsidR="00977EC4">
        <w:rPr>
          <w:rFonts w:hint="eastAsia"/>
          <w:snapToGrid/>
        </w:rPr>
        <w:t>雖</w:t>
      </w:r>
      <w:r w:rsidR="00D373F9">
        <w:rPr>
          <w:rFonts w:hint="eastAsia"/>
          <w:snapToGrid/>
        </w:rPr>
        <w:t>呈</w:t>
      </w:r>
      <w:r w:rsidR="002A5958">
        <w:rPr>
          <w:rFonts w:hint="eastAsia"/>
          <w:snapToGrid/>
        </w:rPr>
        <w:t>逐年下降</w:t>
      </w:r>
      <w:r w:rsidR="00D373F9">
        <w:rPr>
          <w:rFonts w:hint="eastAsia"/>
          <w:snapToGrid/>
        </w:rPr>
        <w:t>趨勢</w:t>
      </w:r>
      <w:r w:rsidR="002A5958">
        <w:rPr>
          <w:rFonts w:hint="eastAsia"/>
          <w:snapToGrid/>
        </w:rPr>
        <w:t>，</w:t>
      </w:r>
      <w:r w:rsidR="00D373F9">
        <w:rPr>
          <w:rFonts w:hint="eastAsia"/>
          <w:snapToGrid/>
        </w:rPr>
        <w:t>然</w:t>
      </w:r>
      <w:r w:rsidR="002A5958">
        <w:rPr>
          <w:rFonts w:hint="eastAsia"/>
          <w:snapToGrid/>
        </w:rPr>
        <w:t>110</w:t>
      </w:r>
      <w:r w:rsidR="00D373F9">
        <w:rPr>
          <w:rFonts w:hint="eastAsia"/>
          <w:snapToGrid/>
        </w:rPr>
        <w:t>至113</w:t>
      </w:r>
      <w:r w:rsidR="002A5958">
        <w:rPr>
          <w:rFonts w:hint="eastAsia"/>
          <w:snapToGrid/>
        </w:rPr>
        <w:t>年度</w:t>
      </w:r>
      <w:r w:rsidR="002A5958" w:rsidRPr="002A5958">
        <w:rPr>
          <w:rFonts w:hint="eastAsia"/>
          <w:snapToGrid/>
        </w:rPr>
        <w:t>估測誤差率</w:t>
      </w:r>
      <w:r w:rsidR="00B62D7F">
        <w:rPr>
          <w:rFonts w:hint="eastAsia"/>
          <w:snapToGrid/>
        </w:rPr>
        <w:t>未減反增，</w:t>
      </w:r>
      <w:r w:rsidR="00D373F9">
        <w:rPr>
          <w:rFonts w:hint="eastAsia"/>
          <w:snapToGrid/>
        </w:rPr>
        <w:t>分別</w:t>
      </w:r>
      <w:r w:rsidR="00B62D7F">
        <w:rPr>
          <w:rFonts w:hint="eastAsia"/>
          <w:snapToGrid/>
        </w:rPr>
        <w:t>為</w:t>
      </w:r>
      <w:r w:rsidR="00D373F9">
        <w:rPr>
          <w:rFonts w:hint="eastAsia"/>
          <w:snapToGrid/>
        </w:rPr>
        <w:t>17.72%、19.22%、12.57%及16.34%，</w:t>
      </w:r>
      <w:r w:rsidR="00B62D7F">
        <w:rPr>
          <w:rFonts w:hint="eastAsia"/>
          <w:snapToGrid/>
        </w:rPr>
        <w:t>同期間</w:t>
      </w:r>
      <w:r w:rsidR="002A5958" w:rsidRPr="002A5958">
        <w:rPr>
          <w:rFonts w:hint="eastAsia"/>
          <w:snapToGrid/>
        </w:rPr>
        <w:t>實徵數</w:t>
      </w:r>
      <w:r w:rsidR="00977886">
        <w:rPr>
          <w:rFonts w:hint="eastAsia"/>
          <w:snapToGrid/>
        </w:rPr>
        <w:t>超逾</w:t>
      </w:r>
      <w:r w:rsidR="002A5958" w:rsidRPr="002A5958">
        <w:rPr>
          <w:rFonts w:hint="eastAsia"/>
          <w:snapToGrid/>
        </w:rPr>
        <w:t>預算數</w:t>
      </w:r>
      <w:r w:rsidR="00D373F9">
        <w:rPr>
          <w:rFonts w:hint="eastAsia"/>
          <w:snapToGrid/>
        </w:rPr>
        <w:t>金額</w:t>
      </w:r>
      <w:r w:rsidR="00093307">
        <w:rPr>
          <w:rStyle w:val="af6"/>
          <w:snapToGrid/>
        </w:rPr>
        <w:footnoteReference w:id="5"/>
      </w:r>
      <w:r w:rsidR="00D373F9">
        <w:rPr>
          <w:rFonts w:hint="eastAsia"/>
          <w:snapToGrid/>
        </w:rPr>
        <w:t>分別達</w:t>
      </w:r>
      <w:r w:rsidR="00D373F9" w:rsidRPr="00D373F9">
        <w:rPr>
          <w:snapToGrid/>
        </w:rPr>
        <w:t>4,327</w:t>
      </w:r>
      <w:r w:rsidR="00D373F9">
        <w:rPr>
          <w:rFonts w:hint="eastAsia"/>
          <w:snapToGrid/>
        </w:rPr>
        <w:t>億元、</w:t>
      </w:r>
      <w:r w:rsidR="00D373F9" w:rsidRPr="00D373F9">
        <w:rPr>
          <w:snapToGrid/>
        </w:rPr>
        <w:t>5,237</w:t>
      </w:r>
      <w:r w:rsidR="00D373F9">
        <w:rPr>
          <w:rFonts w:hint="eastAsia"/>
          <w:snapToGrid/>
        </w:rPr>
        <w:t>億元、</w:t>
      </w:r>
      <w:r w:rsidR="00D373F9" w:rsidRPr="00D373F9">
        <w:rPr>
          <w:snapToGrid/>
        </w:rPr>
        <w:t>3,860</w:t>
      </w:r>
      <w:r w:rsidR="00D373F9">
        <w:rPr>
          <w:rFonts w:hint="eastAsia"/>
          <w:snapToGrid/>
        </w:rPr>
        <w:t>億元及</w:t>
      </w:r>
      <w:r w:rsidR="00D373F9" w:rsidRPr="00D373F9">
        <w:rPr>
          <w:snapToGrid/>
        </w:rPr>
        <w:t xml:space="preserve"> 5,283</w:t>
      </w:r>
      <w:r w:rsidR="00D373F9">
        <w:rPr>
          <w:rFonts w:hint="eastAsia"/>
          <w:snapToGrid/>
        </w:rPr>
        <w:t>億元</w:t>
      </w:r>
      <w:r w:rsidR="00977886">
        <w:rPr>
          <w:rFonts w:hint="eastAsia"/>
          <w:snapToGrid/>
        </w:rPr>
        <w:t>；而中央政府</w:t>
      </w:r>
      <w:r w:rsidR="00977886" w:rsidRPr="00977886">
        <w:rPr>
          <w:rFonts w:hint="eastAsia"/>
          <w:snapToGrid/>
        </w:rPr>
        <w:t>賦稅實徵數與預算</w:t>
      </w:r>
      <w:r w:rsidR="00977886">
        <w:rPr>
          <w:rFonts w:hint="eastAsia"/>
          <w:snapToGrid/>
        </w:rPr>
        <w:t>數差距部分大致同全國之變化</w:t>
      </w:r>
      <w:r w:rsidR="00977886" w:rsidRPr="00977886">
        <w:rPr>
          <w:rFonts w:hint="eastAsia"/>
          <w:snapToGrid/>
        </w:rPr>
        <w:t>(詳圖</w:t>
      </w:r>
      <w:r w:rsidR="00B62D7F">
        <w:rPr>
          <w:rFonts w:hint="eastAsia"/>
          <w:snapToGrid/>
        </w:rPr>
        <w:t>3</w:t>
      </w:r>
      <w:r w:rsidR="00977886" w:rsidRPr="00977886">
        <w:rPr>
          <w:rFonts w:hint="eastAsia"/>
          <w:snapToGrid/>
        </w:rPr>
        <w:t>)</w:t>
      </w:r>
      <w:r w:rsidR="00977886">
        <w:rPr>
          <w:rFonts w:hint="eastAsia"/>
          <w:snapToGrid/>
        </w:rPr>
        <w:t>，</w:t>
      </w:r>
      <w:r w:rsidR="00977886" w:rsidRPr="00977886">
        <w:rPr>
          <w:rFonts w:hint="eastAsia"/>
          <w:snapToGrid/>
        </w:rPr>
        <w:t>110至113年度</w:t>
      </w:r>
      <w:r w:rsidRPr="00DD5A00">
        <w:rPr>
          <w:rFonts w:hint="eastAsia"/>
          <w:snapToGrid/>
        </w:rPr>
        <w:t>實徵數</w:t>
      </w:r>
      <w:r w:rsidR="00977886">
        <w:rPr>
          <w:rFonts w:hint="eastAsia"/>
          <w:snapToGrid/>
        </w:rPr>
        <w:t>超</w:t>
      </w:r>
      <w:r w:rsidRPr="00DD5A00">
        <w:rPr>
          <w:rFonts w:hint="eastAsia"/>
          <w:snapToGrid/>
        </w:rPr>
        <w:t>逾預算數之金額分別為</w:t>
      </w:r>
      <w:r w:rsidR="00977886" w:rsidRPr="00977886">
        <w:rPr>
          <w:snapToGrid/>
        </w:rPr>
        <w:t>3,252</w:t>
      </w:r>
      <w:r w:rsidR="00977886">
        <w:rPr>
          <w:rFonts w:hint="eastAsia"/>
          <w:snapToGrid/>
        </w:rPr>
        <w:t>億元、</w:t>
      </w:r>
      <w:r w:rsidR="00977886" w:rsidRPr="00977886">
        <w:rPr>
          <w:snapToGrid/>
        </w:rPr>
        <w:t>4,002</w:t>
      </w:r>
      <w:r w:rsidR="00977886">
        <w:rPr>
          <w:rFonts w:hint="eastAsia"/>
          <w:snapToGrid/>
        </w:rPr>
        <w:t>億元、</w:t>
      </w:r>
      <w:r w:rsidR="00977886" w:rsidRPr="00977886">
        <w:rPr>
          <w:snapToGrid/>
        </w:rPr>
        <w:t>2,934</w:t>
      </w:r>
      <w:r w:rsidR="00977886">
        <w:rPr>
          <w:rFonts w:hint="eastAsia"/>
          <w:snapToGrid/>
        </w:rPr>
        <w:t>億元及</w:t>
      </w:r>
      <w:r w:rsidR="00977886" w:rsidRPr="00977886">
        <w:rPr>
          <w:snapToGrid/>
        </w:rPr>
        <w:t>3,757</w:t>
      </w:r>
      <w:r w:rsidRPr="00DD5A00">
        <w:rPr>
          <w:rFonts w:hint="eastAsia"/>
          <w:snapToGrid/>
        </w:rPr>
        <w:t>億元。</w:t>
      </w:r>
    </w:p>
    <w:p w:rsidR="00B4608D" w:rsidRDefault="00977886" w:rsidP="00977886">
      <w:pPr>
        <w:pStyle w:val="2"/>
        <w:ind w:left="850" w:firstLine="566"/>
        <w:rPr>
          <w:snapToGrid/>
        </w:rPr>
      </w:pPr>
      <w:r>
        <w:rPr>
          <w:rFonts w:hint="eastAsia"/>
          <w:snapToGrid/>
        </w:rPr>
        <w:t>整體而言，</w:t>
      </w:r>
      <w:r w:rsidR="00B62D7F">
        <w:rPr>
          <w:rFonts w:hint="eastAsia"/>
          <w:snapToGrid/>
        </w:rPr>
        <w:t>近年全國及中央政府賦稅估測誤差率未減反增，</w:t>
      </w:r>
      <w:r w:rsidRPr="00977886">
        <w:rPr>
          <w:rFonts w:hint="eastAsia"/>
          <w:snapToGrid/>
        </w:rPr>
        <w:t>全國賦稅收入自110年度以來已連續4年實徵數大幅超逾預算數，113年度金額高達5,28</w:t>
      </w:r>
      <w:r w:rsidR="00D95BEA">
        <w:rPr>
          <w:rFonts w:hint="eastAsia"/>
          <w:snapToGrid/>
        </w:rPr>
        <w:t>3</w:t>
      </w:r>
      <w:r w:rsidRPr="00977886">
        <w:rPr>
          <w:rFonts w:hint="eastAsia"/>
          <w:snapToGrid/>
        </w:rPr>
        <w:t>億元，為歷年之最，其中中央政府部分高出3,757億元</w:t>
      </w:r>
      <w:r>
        <w:rPr>
          <w:rFonts w:hint="eastAsia"/>
          <w:snapToGrid/>
        </w:rPr>
        <w:t>。</w:t>
      </w:r>
    </w:p>
    <w:p w:rsidR="00D16FEB" w:rsidRPr="00D16FEB" w:rsidRDefault="00D16FEB" w:rsidP="00D16FEB">
      <w:pPr>
        <w:pStyle w:val="20"/>
        <w:ind w:leftChars="29" w:left="1134" w:hangingChars="371" w:hanging="1052"/>
        <w:jc w:val="both"/>
        <w:rPr>
          <w:snapToGrid/>
          <w:sz w:val="28"/>
        </w:rPr>
      </w:pPr>
      <w:r w:rsidRPr="00D16FEB">
        <w:rPr>
          <w:b/>
          <w:bCs/>
          <w:snapToGrid/>
          <w:sz w:val="28"/>
        </w:rPr>
        <w:t xml:space="preserve">圖2  </w:t>
      </w:r>
      <w:r w:rsidRPr="00D16FEB">
        <w:rPr>
          <w:rFonts w:hAnsi="標楷體"/>
          <w:b/>
          <w:bCs/>
          <w:noProof/>
          <w:sz w:val="28"/>
        </w:rPr>
        <w:t>104</w:t>
      </w:r>
      <w:r w:rsidRPr="00D16FEB">
        <w:rPr>
          <w:b/>
          <w:bCs/>
          <w:snapToGrid/>
          <w:sz w:val="28"/>
        </w:rPr>
        <w:t>至113年度全國賦稅實徵數與預算數差距</w:t>
      </w:r>
    </w:p>
    <w:p w:rsidR="00D16FEB" w:rsidRPr="00D16FEB" w:rsidRDefault="005814D1" w:rsidP="00977886">
      <w:pPr>
        <w:pStyle w:val="2"/>
        <w:ind w:left="850" w:firstLine="566"/>
        <w:rPr>
          <w:snapToGrid/>
        </w:rPr>
      </w:pPr>
      <w:r>
        <w:rPr>
          <w:noProof/>
        </w:rPr>
        <w:drawing>
          <wp:anchor distT="6096" distB="5334" distL="120396" distR="118872" simplePos="0" relativeHeight="251660288" behindDoc="1" locked="0" layoutInCell="1" allowOverlap="1">
            <wp:simplePos x="0" y="0"/>
            <wp:positionH relativeFrom="column">
              <wp:posOffset>62611</wp:posOffset>
            </wp:positionH>
            <wp:positionV relativeFrom="paragraph">
              <wp:posOffset>30861</wp:posOffset>
            </wp:positionV>
            <wp:extent cx="5372100" cy="2609850"/>
            <wp:effectExtent l="0" t="0" r="0" b="0"/>
            <wp:wrapNone/>
            <wp:docPr id="15" name="圖表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rsidR="00B4608D" w:rsidRDefault="00B4608D" w:rsidP="00977886">
      <w:pPr>
        <w:pStyle w:val="2"/>
        <w:ind w:left="850" w:firstLine="566"/>
        <w:rPr>
          <w:snapToGrid/>
        </w:rPr>
      </w:pPr>
    </w:p>
    <w:p w:rsidR="00B4608D" w:rsidRDefault="00B4608D" w:rsidP="00977886">
      <w:pPr>
        <w:pStyle w:val="2"/>
        <w:ind w:left="850" w:firstLine="566"/>
        <w:rPr>
          <w:snapToGrid/>
        </w:rPr>
      </w:pPr>
    </w:p>
    <w:p w:rsidR="00B4608D" w:rsidRDefault="00B4608D" w:rsidP="00977886">
      <w:pPr>
        <w:pStyle w:val="2"/>
        <w:ind w:left="850" w:firstLine="566"/>
        <w:rPr>
          <w:snapToGrid/>
        </w:rPr>
      </w:pPr>
    </w:p>
    <w:p w:rsidR="00B4608D" w:rsidRDefault="007F21A9" w:rsidP="00977886">
      <w:pPr>
        <w:pStyle w:val="2"/>
        <w:ind w:left="850" w:firstLine="566"/>
        <w:rPr>
          <w:snapToGrid/>
        </w:rPr>
      </w:pPr>
      <w:r>
        <w:rPr>
          <w:noProof/>
        </w:rPr>
        <w:pict>
          <v:shapetype id="_x0000_t202" coordsize="21600,21600" o:spt="202" path="m,l,21600r21600,l21600,xe">
            <v:stroke joinstyle="miter"/>
            <v:path gradientshapeok="t" o:connecttype="rect"/>
          </v:shapetype>
          <v:shape id="文字方塊 2" o:spid="_x0000_s1028" type="#_x0000_t202" style="position:absolute;left:0;text-align:left;margin-left:12.45pt;margin-top:48.7pt;width:34.55pt;height:19.05pt;z-index:251657216;visibility:visible;mso-wrap-distance-top:3.6pt;mso-wrap-distance-bottom:3.6pt;mso-width-relative:margin;mso-height-relative:margin" stroked="f">
            <v:textbox style="mso-next-textbox:#文字方塊 2">
              <w:txbxContent>
                <w:p w:rsidR="00A82976" w:rsidRPr="00723BF5" w:rsidRDefault="00A82976" w:rsidP="00E76EFB">
                  <w:pPr>
                    <w:spacing w:line="200" w:lineRule="exact"/>
                    <w:ind w:leftChars="-1" w:left="-3" w:firstLineChars="0" w:firstLine="0"/>
                    <w:jc w:val="left"/>
                    <w:rPr>
                      <w:sz w:val="20"/>
                      <w:szCs w:val="20"/>
                    </w:rPr>
                  </w:pPr>
                  <w:r w:rsidRPr="00723BF5">
                    <w:rPr>
                      <w:rFonts w:hint="eastAsia"/>
                      <w:sz w:val="20"/>
                      <w:szCs w:val="20"/>
                    </w:rPr>
                    <w:t>億元</w:t>
                  </w:r>
                </w:p>
              </w:txbxContent>
            </v:textbox>
            <w10:wrap type="topAndBottom"/>
          </v:shape>
        </w:pict>
      </w:r>
    </w:p>
    <w:p w:rsidR="00723BF5" w:rsidRDefault="00723BF5" w:rsidP="00B62D7F">
      <w:pPr>
        <w:pStyle w:val="2"/>
        <w:ind w:left="850" w:firstLine="566"/>
        <w:rPr>
          <w:snapToGrid/>
        </w:rPr>
      </w:pPr>
    </w:p>
    <w:p w:rsidR="00D01DAD" w:rsidRDefault="00D16FEB" w:rsidP="00294BDF">
      <w:pPr>
        <w:pStyle w:val="20"/>
        <w:spacing w:beforeLines="50" w:before="250"/>
        <w:ind w:leftChars="29" w:left="1134" w:hangingChars="371" w:hanging="1052"/>
        <w:jc w:val="both"/>
        <w:rPr>
          <w:snapToGrid/>
        </w:rPr>
      </w:pPr>
      <w:r w:rsidRPr="00D16FEB">
        <w:rPr>
          <w:b/>
          <w:bCs/>
          <w:snapToGrid/>
          <w:sz w:val="28"/>
        </w:rPr>
        <w:t>圖</w:t>
      </w:r>
      <w:r>
        <w:rPr>
          <w:rFonts w:hint="eastAsia"/>
          <w:b/>
          <w:bCs/>
          <w:snapToGrid/>
          <w:sz w:val="28"/>
        </w:rPr>
        <w:t>3</w:t>
      </w:r>
      <w:r w:rsidRPr="00D16FEB">
        <w:rPr>
          <w:b/>
          <w:bCs/>
          <w:snapToGrid/>
          <w:sz w:val="28"/>
        </w:rPr>
        <w:t xml:space="preserve">  </w:t>
      </w:r>
      <w:r w:rsidRPr="00D16FEB">
        <w:rPr>
          <w:rFonts w:hAnsi="標楷體"/>
          <w:b/>
          <w:bCs/>
          <w:noProof/>
          <w:sz w:val="28"/>
        </w:rPr>
        <w:t>104</w:t>
      </w:r>
      <w:r w:rsidRPr="00D16FEB">
        <w:rPr>
          <w:b/>
          <w:bCs/>
          <w:snapToGrid/>
          <w:sz w:val="28"/>
        </w:rPr>
        <w:t>至113年度</w:t>
      </w:r>
      <w:r>
        <w:rPr>
          <w:rFonts w:hint="eastAsia"/>
          <w:b/>
          <w:bCs/>
          <w:snapToGrid/>
          <w:sz w:val="28"/>
        </w:rPr>
        <w:t>中央政府</w:t>
      </w:r>
      <w:r w:rsidRPr="00D16FEB">
        <w:rPr>
          <w:b/>
          <w:bCs/>
          <w:snapToGrid/>
          <w:sz w:val="28"/>
        </w:rPr>
        <w:t>賦稅實徵數與預算數差距</w:t>
      </w:r>
    </w:p>
    <w:p w:rsidR="00E31C6C" w:rsidRDefault="005814D1" w:rsidP="00D01DAD">
      <w:pPr>
        <w:ind w:left="566" w:firstLine="566"/>
        <w:rPr>
          <w:snapToGrid/>
        </w:rPr>
      </w:pPr>
      <w:r>
        <w:rPr>
          <w:noProof/>
        </w:rPr>
        <w:drawing>
          <wp:anchor distT="6096" distB="7239" distL="120396" distR="122682" simplePos="0" relativeHeight="251654144" behindDoc="0" locked="0" layoutInCell="1" allowOverlap="1">
            <wp:simplePos x="0" y="0"/>
            <wp:positionH relativeFrom="column">
              <wp:posOffset>62611</wp:posOffset>
            </wp:positionH>
            <wp:positionV relativeFrom="paragraph">
              <wp:posOffset>65151</wp:posOffset>
            </wp:positionV>
            <wp:extent cx="5368290" cy="2790825"/>
            <wp:effectExtent l="0" t="0" r="0" b="0"/>
            <wp:wrapNone/>
            <wp:docPr id="14" name="圖表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rsidR="00E31C6C" w:rsidRDefault="00E31C6C" w:rsidP="00D01DAD">
      <w:pPr>
        <w:ind w:left="566" w:firstLine="566"/>
        <w:rPr>
          <w:snapToGrid/>
        </w:rPr>
      </w:pPr>
    </w:p>
    <w:p w:rsidR="00E31C6C" w:rsidRDefault="00E31C6C" w:rsidP="00D01DAD">
      <w:pPr>
        <w:ind w:left="566" w:firstLine="566"/>
        <w:rPr>
          <w:snapToGrid/>
        </w:rPr>
      </w:pPr>
    </w:p>
    <w:p w:rsidR="00E31C6C" w:rsidRDefault="00E31C6C" w:rsidP="00D01DAD">
      <w:pPr>
        <w:ind w:left="566" w:firstLine="566"/>
        <w:rPr>
          <w:snapToGrid/>
        </w:rPr>
      </w:pPr>
    </w:p>
    <w:p w:rsidR="00E31C6C" w:rsidRDefault="007F21A9" w:rsidP="00D01DAD">
      <w:pPr>
        <w:ind w:left="566" w:firstLine="567"/>
        <w:rPr>
          <w:snapToGrid/>
        </w:rPr>
      </w:pPr>
      <w:r>
        <w:rPr>
          <w:b/>
          <w:bCs/>
          <w:noProof/>
          <w:snapToGrid/>
        </w:rPr>
        <w:pict>
          <v:shape id="_x0000_s1034" type="#_x0000_t202" style="position:absolute;left:0;text-align:left;margin-left:12.45pt;margin-top:101.1pt;width:34.55pt;height:19.05pt;z-index:251661312;visibility:visible;mso-wrap-distance-top:3.6pt;mso-wrap-distance-bottom:3.6pt;mso-width-relative:margin;mso-height-relative:margin" stroked="f">
            <v:textbox style="mso-next-textbox:#_x0000_s1034">
              <w:txbxContent>
                <w:p w:rsidR="00A82976" w:rsidRPr="00723BF5" w:rsidRDefault="00A82976" w:rsidP="004D2DCC">
                  <w:pPr>
                    <w:spacing w:line="200" w:lineRule="exact"/>
                    <w:ind w:leftChars="-1" w:left="-3" w:firstLineChars="0" w:firstLine="0"/>
                    <w:jc w:val="left"/>
                    <w:rPr>
                      <w:sz w:val="20"/>
                      <w:szCs w:val="20"/>
                    </w:rPr>
                  </w:pPr>
                  <w:r w:rsidRPr="00723BF5">
                    <w:rPr>
                      <w:rFonts w:hint="eastAsia"/>
                      <w:sz w:val="20"/>
                      <w:szCs w:val="20"/>
                    </w:rPr>
                    <w:t>億元</w:t>
                  </w:r>
                </w:p>
              </w:txbxContent>
            </v:textbox>
            <w10:wrap type="topAndBottom"/>
          </v:shape>
        </w:pict>
      </w:r>
    </w:p>
    <w:p w:rsidR="00E31C6C" w:rsidRDefault="00E31C6C" w:rsidP="00723BF5">
      <w:pPr>
        <w:pStyle w:val="142"/>
        <w:ind w:firstLineChars="28" w:firstLine="68"/>
        <w:rPr>
          <w:rFonts w:hAnsi="標楷體"/>
          <w:szCs w:val="24"/>
        </w:rPr>
      </w:pPr>
    </w:p>
    <w:p w:rsidR="000F332F" w:rsidRDefault="000F332F" w:rsidP="00723BF5">
      <w:pPr>
        <w:pStyle w:val="142"/>
        <w:ind w:firstLineChars="28" w:firstLine="68"/>
        <w:rPr>
          <w:rFonts w:hAnsi="標楷體"/>
          <w:szCs w:val="24"/>
        </w:rPr>
      </w:pPr>
      <w:r w:rsidRPr="000F332F">
        <w:rPr>
          <w:rFonts w:hAnsi="標楷體" w:hint="eastAsia"/>
          <w:szCs w:val="24"/>
        </w:rPr>
        <w:t>說    明：</w:t>
      </w:r>
      <w:r>
        <w:rPr>
          <w:rFonts w:hAnsi="標楷體" w:hint="eastAsia"/>
          <w:szCs w:val="24"/>
        </w:rPr>
        <w:t>估測誤差率=</w:t>
      </w:r>
      <w:r w:rsidR="00E303D9">
        <w:rPr>
          <w:rFonts w:hAnsi="標楷體" w:hint="eastAsia"/>
          <w:szCs w:val="24"/>
        </w:rPr>
        <w:t>(實徵數-預算數)/預算數。</w:t>
      </w:r>
    </w:p>
    <w:p w:rsidR="00723BF5" w:rsidRPr="00D0060A" w:rsidRDefault="00723BF5" w:rsidP="00723BF5">
      <w:pPr>
        <w:pStyle w:val="142"/>
        <w:ind w:firstLineChars="28" w:firstLine="68"/>
        <w:rPr>
          <w:rFonts w:hAnsi="標楷體"/>
          <w:szCs w:val="24"/>
        </w:rPr>
      </w:pPr>
      <w:r w:rsidRPr="00D0060A">
        <w:rPr>
          <w:rFonts w:hAnsi="標楷體" w:hint="eastAsia"/>
          <w:szCs w:val="24"/>
        </w:rPr>
        <w:t>資料來源：</w:t>
      </w:r>
      <w:r>
        <w:rPr>
          <w:rFonts w:hAnsi="標楷體" w:hint="eastAsia"/>
          <w:szCs w:val="24"/>
        </w:rPr>
        <w:t>依表2-3計算</w:t>
      </w:r>
      <w:r w:rsidRPr="00D0060A">
        <w:rPr>
          <w:rFonts w:hAnsi="標楷體" w:hint="eastAsia"/>
          <w:szCs w:val="24"/>
        </w:rPr>
        <w:t>。</w:t>
      </w:r>
    </w:p>
    <w:p w:rsidR="00D01DAD" w:rsidRPr="008A3A5D" w:rsidRDefault="008A3A5D" w:rsidP="008A3A5D">
      <w:pPr>
        <w:pStyle w:val="a4"/>
        <w:ind w:left="849" w:hanging="283"/>
        <w:rPr>
          <w:b/>
        </w:rPr>
      </w:pPr>
      <w:r w:rsidRPr="008A3A5D">
        <w:rPr>
          <w:rFonts w:hint="eastAsia"/>
          <w:b/>
        </w:rPr>
        <w:t>(三)</w:t>
      </w:r>
      <w:r w:rsidR="00A669C4">
        <w:rPr>
          <w:rFonts w:hint="eastAsia"/>
          <w:b/>
        </w:rPr>
        <w:t>近10年我國</w:t>
      </w:r>
      <w:r w:rsidR="00A669C4" w:rsidRPr="00044769">
        <w:rPr>
          <w:rFonts w:hint="eastAsia"/>
          <w:b/>
        </w:rPr>
        <w:t>租稅負擔率</w:t>
      </w:r>
      <w:r w:rsidR="00A669C4">
        <w:rPr>
          <w:rFonts w:hint="eastAsia"/>
          <w:b/>
        </w:rPr>
        <w:t>介於12%至1</w:t>
      </w:r>
      <w:r w:rsidR="004D0FA5">
        <w:rPr>
          <w:rFonts w:hint="eastAsia"/>
          <w:b/>
        </w:rPr>
        <w:t>5</w:t>
      </w:r>
      <w:r w:rsidR="00A669C4">
        <w:rPr>
          <w:rFonts w:hint="eastAsia"/>
          <w:b/>
        </w:rPr>
        <w:t>%間，113年</w:t>
      </w:r>
      <w:r w:rsidR="00C40E91">
        <w:rPr>
          <w:rFonts w:hint="eastAsia"/>
          <w:b/>
        </w:rPr>
        <w:t>伴隨賦稅收入大幅成長而增至</w:t>
      </w:r>
      <w:r w:rsidR="00A669C4">
        <w:rPr>
          <w:rFonts w:hint="eastAsia"/>
          <w:b/>
        </w:rPr>
        <w:t>14.7%，</w:t>
      </w:r>
      <w:r w:rsidR="004D0FA5">
        <w:rPr>
          <w:rFonts w:hint="eastAsia"/>
          <w:b/>
        </w:rPr>
        <w:t>乃</w:t>
      </w:r>
      <w:r w:rsidR="00A669C4">
        <w:rPr>
          <w:rFonts w:hint="eastAsia"/>
          <w:b/>
        </w:rPr>
        <w:t>近年新高紀錄</w:t>
      </w:r>
    </w:p>
    <w:p w:rsidR="00723BF5" w:rsidRDefault="00E77600" w:rsidP="00E77600">
      <w:pPr>
        <w:pStyle w:val="2"/>
        <w:ind w:left="850" w:firstLine="566"/>
      </w:pPr>
      <w:r>
        <w:rPr>
          <w:rFonts w:hint="eastAsia"/>
        </w:rPr>
        <w:t>租稅負擔</w:t>
      </w:r>
      <w:r w:rsidR="00A669C4">
        <w:rPr>
          <w:rFonts w:hint="eastAsia"/>
        </w:rPr>
        <w:t>率</w:t>
      </w:r>
      <w:r>
        <w:rPr>
          <w:rFonts w:hint="eastAsia"/>
        </w:rPr>
        <w:t>係指政府賦稅收入占國民生產毛額</w:t>
      </w:r>
      <w:r w:rsidR="00A669C4" w:rsidRPr="00A669C4">
        <w:rPr>
          <w:rFonts w:hint="eastAsia"/>
        </w:rPr>
        <w:t>(GDP)之比</w:t>
      </w:r>
      <w:r w:rsidR="004C607C">
        <w:rPr>
          <w:rFonts w:hint="eastAsia"/>
        </w:rPr>
        <w:t>率</w:t>
      </w:r>
      <w:r w:rsidR="00A669C4" w:rsidRPr="00A669C4">
        <w:rPr>
          <w:rFonts w:hint="eastAsia"/>
        </w:rPr>
        <w:t>，</w:t>
      </w:r>
      <w:r w:rsidR="00A669C4">
        <w:rPr>
          <w:rFonts w:hint="eastAsia"/>
        </w:rPr>
        <w:t>用以衡量</w:t>
      </w:r>
      <w:r w:rsidR="00A669C4" w:rsidRPr="00A669C4">
        <w:rPr>
          <w:rFonts w:hint="eastAsia"/>
        </w:rPr>
        <w:t>一國國民</w:t>
      </w:r>
      <w:r w:rsidR="00A669C4">
        <w:rPr>
          <w:rFonts w:hint="eastAsia"/>
        </w:rPr>
        <w:t>租稅</w:t>
      </w:r>
      <w:r w:rsidR="00A669C4" w:rsidRPr="00A669C4">
        <w:rPr>
          <w:rFonts w:hint="eastAsia"/>
        </w:rPr>
        <w:t>負擔</w:t>
      </w:r>
      <w:r w:rsidR="00A669C4">
        <w:rPr>
          <w:rFonts w:hint="eastAsia"/>
        </w:rPr>
        <w:t>輕重之程度</w:t>
      </w:r>
      <w:r w:rsidR="004D0FA5">
        <w:rPr>
          <w:rFonts w:hint="eastAsia"/>
        </w:rPr>
        <w:t>；依財政部</w:t>
      </w:r>
      <w:r w:rsidR="004D0FA5" w:rsidRPr="004D0FA5">
        <w:rPr>
          <w:rFonts w:hint="eastAsia"/>
        </w:rPr>
        <w:t>113年財政統計年報</w:t>
      </w:r>
      <w:r w:rsidR="004D0FA5">
        <w:rPr>
          <w:rFonts w:hint="eastAsia"/>
        </w:rPr>
        <w:t>資料，</w:t>
      </w:r>
      <w:r w:rsidR="00BB4988">
        <w:rPr>
          <w:rFonts w:hint="eastAsia"/>
        </w:rPr>
        <w:t>近10年我國租稅負擔率由104年之12.5%增至</w:t>
      </w:r>
      <w:r w:rsidR="004C607C">
        <w:rPr>
          <w:rFonts w:hint="eastAsia"/>
        </w:rPr>
        <w:t>105至</w:t>
      </w:r>
      <w:r w:rsidR="00BB4988">
        <w:rPr>
          <w:rFonts w:hint="eastAsia"/>
        </w:rPr>
        <w:t>10</w:t>
      </w:r>
      <w:r w:rsidR="004C607C">
        <w:rPr>
          <w:rFonts w:hint="eastAsia"/>
        </w:rPr>
        <w:t>8</w:t>
      </w:r>
      <w:r w:rsidR="00BB4988">
        <w:rPr>
          <w:rFonts w:hint="eastAsia"/>
        </w:rPr>
        <w:t>年之</w:t>
      </w:r>
      <w:r w:rsidR="004C607C" w:rsidRPr="004C607C">
        <w:t>12.7%</w:t>
      </w:r>
      <w:r w:rsidR="004C607C">
        <w:rPr>
          <w:rFonts w:hint="eastAsia"/>
        </w:rPr>
        <w:t>、</w:t>
      </w:r>
      <w:r w:rsidR="004C607C" w:rsidRPr="004C607C">
        <w:t>12.5%</w:t>
      </w:r>
      <w:r w:rsidR="004C607C">
        <w:rPr>
          <w:rFonts w:hint="eastAsia"/>
        </w:rPr>
        <w:t>、</w:t>
      </w:r>
      <w:r w:rsidR="004C607C" w:rsidRPr="004C607C">
        <w:t>13.0%</w:t>
      </w:r>
      <w:r w:rsidR="004C607C">
        <w:rPr>
          <w:rFonts w:hint="eastAsia"/>
        </w:rPr>
        <w:t>、</w:t>
      </w:r>
      <w:r w:rsidR="00BB4988">
        <w:rPr>
          <w:rFonts w:hint="eastAsia"/>
        </w:rPr>
        <w:t>13.0%，雖於109年降</w:t>
      </w:r>
      <w:r w:rsidR="004C607C">
        <w:rPr>
          <w:rFonts w:hint="eastAsia"/>
        </w:rPr>
        <w:t>為</w:t>
      </w:r>
      <w:r w:rsidR="00BB4988">
        <w:rPr>
          <w:rFonts w:hint="eastAsia"/>
        </w:rPr>
        <w:t>12.0%，其後於11</w:t>
      </w:r>
      <w:r w:rsidR="009E612B">
        <w:rPr>
          <w:rFonts w:hint="eastAsia"/>
        </w:rPr>
        <w:t>0</w:t>
      </w:r>
      <w:r w:rsidR="00BB4988">
        <w:rPr>
          <w:rFonts w:hint="eastAsia"/>
        </w:rPr>
        <w:t>至11</w:t>
      </w:r>
      <w:r w:rsidR="00C40E91">
        <w:rPr>
          <w:rFonts w:hint="eastAsia"/>
        </w:rPr>
        <w:t>2</w:t>
      </w:r>
      <w:r w:rsidR="00BB4988">
        <w:rPr>
          <w:rFonts w:hint="eastAsia"/>
        </w:rPr>
        <w:t>年分別</w:t>
      </w:r>
      <w:r w:rsidR="004C607C">
        <w:rPr>
          <w:rFonts w:hint="eastAsia"/>
        </w:rPr>
        <w:t>回升至</w:t>
      </w:r>
      <w:r w:rsidR="00BB4988">
        <w:t>13.2%</w:t>
      </w:r>
      <w:r w:rsidR="00BB4988">
        <w:rPr>
          <w:rFonts w:hint="eastAsia"/>
        </w:rPr>
        <w:t>、</w:t>
      </w:r>
      <w:r w:rsidR="00BB4988">
        <w:t>14.2%</w:t>
      </w:r>
      <w:r w:rsidR="00BB4988">
        <w:rPr>
          <w:rFonts w:hint="eastAsia"/>
        </w:rPr>
        <w:t>、</w:t>
      </w:r>
      <w:r w:rsidR="00BB4988">
        <w:t>14.6%</w:t>
      </w:r>
      <w:r w:rsidR="00BB4988">
        <w:rPr>
          <w:rFonts w:hint="eastAsia"/>
        </w:rPr>
        <w:t>，</w:t>
      </w:r>
      <w:r w:rsidR="00C40E91">
        <w:rPr>
          <w:rFonts w:hint="eastAsia"/>
        </w:rPr>
        <w:t>逐年增加，</w:t>
      </w:r>
      <w:r w:rsidR="00C40E91" w:rsidRPr="00C40E91">
        <w:rPr>
          <w:rFonts w:hint="eastAsia"/>
        </w:rPr>
        <w:t>113年伴隨賦稅收入大幅成長而增至14.7%</w:t>
      </w:r>
      <w:r w:rsidR="00C40E91">
        <w:rPr>
          <w:rStyle w:val="af6"/>
        </w:rPr>
        <w:footnoteReference w:id="6"/>
      </w:r>
      <w:r w:rsidR="00C40E91">
        <w:rPr>
          <w:rFonts w:hint="eastAsia"/>
        </w:rPr>
        <w:t>，</w:t>
      </w:r>
      <w:r w:rsidR="004D0FA5">
        <w:rPr>
          <w:rFonts w:hint="eastAsia"/>
        </w:rPr>
        <w:t>租稅負擔率</w:t>
      </w:r>
      <w:r w:rsidR="00A42997">
        <w:rPr>
          <w:rFonts w:hint="eastAsia"/>
        </w:rPr>
        <w:t>為近年新高紀錄。</w:t>
      </w:r>
      <w:r w:rsidR="004C607C">
        <w:rPr>
          <w:rFonts w:hint="eastAsia"/>
        </w:rPr>
        <w:t>又</w:t>
      </w:r>
      <w:r w:rsidR="002D36CB">
        <w:rPr>
          <w:rFonts w:hint="eastAsia"/>
        </w:rPr>
        <w:t>與國際相較，</w:t>
      </w:r>
      <w:r>
        <w:rPr>
          <w:rFonts w:hint="eastAsia"/>
        </w:rPr>
        <w:t>據財政部</w:t>
      </w:r>
      <w:r w:rsidR="004C607C">
        <w:rPr>
          <w:rFonts w:hint="eastAsia"/>
        </w:rPr>
        <w:t>財政統計</w:t>
      </w:r>
      <w:r>
        <w:rPr>
          <w:rFonts w:hint="eastAsia"/>
        </w:rPr>
        <w:t>年報資料</w:t>
      </w:r>
      <w:r w:rsidR="004C607C">
        <w:rPr>
          <w:rFonts w:hint="eastAsia"/>
        </w:rPr>
        <w:t>，我</w:t>
      </w:r>
      <w:r>
        <w:rPr>
          <w:rFonts w:hint="eastAsia"/>
        </w:rPr>
        <w:t>國國民租稅負擔率</w:t>
      </w:r>
      <w:r w:rsidR="004C607C">
        <w:rPr>
          <w:rFonts w:hint="eastAsia"/>
        </w:rPr>
        <w:t>(</w:t>
      </w:r>
      <w:r w:rsidR="00C40E91">
        <w:rPr>
          <w:rFonts w:hint="eastAsia"/>
        </w:rPr>
        <w:t>2023年</w:t>
      </w:r>
      <w:r w:rsidR="004C607C">
        <w:rPr>
          <w:rFonts w:hint="eastAsia"/>
        </w:rPr>
        <w:t>加計社會安全捐</w:t>
      </w:r>
      <w:r w:rsidR="00C40E91">
        <w:rPr>
          <w:rFonts w:hint="eastAsia"/>
        </w:rPr>
        <w:t>占比</w:t>
      </w:r>
      <w:r w:rsidR="00C40E91" w:rsidRPr="00C40E91">
        <w:rPr>
          <w:rFonts w:hint="eastAsia"/>
        </w:rPr>
        <w:t>5.9%</w:t>
      </w:r>
      <w:r w:rsidR="004C607C">
        <w:rPr>
          <w:rFonts w:hint="eastAsia"/>
        </w:rPr>
        <w:t>後為20.5%)</w:t>
      </w:r>
      <w:r w:rsidR="00C40E91">
        <w:rPr>
          <w:rFonts w:hint="eastAsia"/>
        </w:rPr>
        <w:t>，</w:t>
      </w:r>
      <w:r w:rsidR="004C607C">
        <w:rPr>
          <w:rFonts w:hint="eastAsia"/>
        </w:rPr>
        <w:t>低於鄰近</w:t>
      </w:r>
      <w:r w:rsidR="002D36CB">
        <w:rPr>
          <w:rFonts w:hint="eastAsia"/>
        </w:rPr>
        <w:t>之</w:t>
      </w:r>
      <w:r w:rsidR="004C607C">
        <w:rPr>
          <w:rFonts w:hint="eastAsia"/>
        </w:rPr>
        <w:t>日本(2022年34.4%)、</w:t>
      </w:r>
      <w:r w:rsidR="002D36CB">
        <w:rPr>
          <w:rFonts w:hint="eastAsia"/>
        </w:rPr>
        <w:t>南</w:t>
      </w:r>
      <w:r w:rsidR="004C607C">
        <w:rPr>
          <w:rFonts w:hint="eastAsia"/>
        </w:rPr>
        <w:t>韓(2023年28.9%)及多數</w:t>
      </w:r>
      <w:r>
        <w:rPr>
          <w:rFonts w:hint="eastAsia"/>
        </w:rPr>
        <w:t>歐美國家</w:t>
      </w:r>
      <w:r w:rsidR="00C40E91">
        <w:rPr>
          <w:rStyle w:val="af6"/>
        </w:rPr>
        <w:footnoteReference w:id="7"/>
      </w:r>
      <w:r>
        <w:rPr>
          <w:rFonts w:hint="eastAsia"/>
        </w:rPr>
        <w:t>。</w:t>
      </w:r>
    </w:p>
    <w:p w:rsidR="009E612B" w:rsidRDefault="009E612B" w:rsidP="00A00A3F">
      <w:pPr>
        <w:pStyle w:val="14"/>
        <w:ind w:left="567" w:hanging="567"/>
      </w:pPr>
    </w:p>
    <w:p w:rsidR="00A00A3F" w:rsidRDefault="00A00A3F" w:rsidP="00A00A3F">
      <w:pPr>
        <w:pStyle w:val="14"/>
        <w:ind w:left="567" w:hanging="567"/>
      </w:pPr>
      <w:bookmarkStart w:id="7" w:name="_Toc203481650"/>
      <w:r w:rsidRPr="00BE389D">
        <w:rPr>
          <w:rFonts w:hint="eastAsia"/>
        </w:rPr>
        <w:t>三、近年中央政府歲計賸餘之累計數及移用概況</w:t>
      </w:r>
      <w:bookmarkEnd w:id="7"/>
    </w:p>
    <w:p w:rsidR="00166FB5" w:rsidRPr="00373E6E" w:rsidRDefault="00166FB5" w:rsidP="00166FB5">
      <w:pPr>
        <w:pStyle w:val="a4"/>
        <w:ind w:left="849" w:hanging="283"/>
        <w:rPr>
          <w:b/>
          <w:color w:val="000000"/>
        </w:rPr>
      </w:pPr>
      <w:r>
        <w:rPr>
          <w:rFonts w:hint="eastAsia"/>
          <w:b/>
        </w:rPr>
        <w:t>(一)</w:t>
      </w:r>
      <w:r w:rsidR="002E1E9B" w:rsidRPr="002E1E9B">
        <w:rPr>
          <w:rFonts w:hint="eastAsia"/>
          <w:b/>
        </w:rPr>
        <w:t>近10年中央政府累計賸餘，除105年度略低於104年度外，其餘各年度均逐年成長，由104年度之27億元，</w:t>
      </w:r>
      <w:r w:rsidR="002E1E9B">
        <w:rPr>
          <w:rFonts w:hint="eastAsia"/>
          <w:b/>
        </w:rPr>
        <w:t>大幅攀升至</w:t>
      </w:r>
      <w:r w:rsidR="002E1E9B" w:rsidRPr="002E1E9B">
        <w:rPr>
          <w:rFonts w:hint="eastAsia"/>
          <w:b/>
        </w:rPr>
        <w:t>112及113年度</w:t>
      </w:r>
      <w:r w:rsidR="002E1E9B">
        <w:rPr>
          <w:rFonts w:hint="eastAsia"/>
          <w:b/>
        </w:rPr>
        <w:t>之</w:t>
      </w:r>
      <w:r w:rsidR="002E1E9B" w:rsidRPr="002E1E9B">
        <w:rPr>
          <w:rFonts w:hint="eastAsia"/>
          <w:b/>
        </w:rPr>
        <w:t>7,044億元及8,385億元</w:t>
      </w:r>
    </w:p>
    <w:p w:rsidR="00940CCE" w:rsidRDefault="00940CCE" w:rsidP="00940CCE">
      <w:pPr>
        <w:pStyle w:val="2"/>
        <w:ind w:left="850" w:firstLine="566"/>
        <w:rPr>
          <w:color w:val="000000"/>
        </w:rPr>
      </w:pPr>
      <w:r>
        <w:rPr>
          <w:rFonts w:hint="eastAsia"/>
        </w:rPr>
        <w:t>依據行政院</w:t>
      </w:r>
      <w:r w:rsidRPr="00EC3DF8">
        <w:rPr>
          <w:rFonts w:hint="eastAsia"/>
        </w:rPr>
        <w:t>編11</w:t>
      </w:r>
      <w:r>
        <w:t>3</w:t>
      </w:r>
      <w:r w:rsidRPr="00EC3DF8">
        <w:rPr>
          <w:rFonts w:hint="eastAsia"/>
        </w:rPr>
        <w:t>年度中央政府總決算</w:t>
      </w:r>
      <w:r>
        <w:rPr>
          <w:rFonts w:hint="eastAsia"/>
        </w:rPr>
        <w:t>，中央政府自39年度至11</w:t>
      </w:r>
      <w:r>
        <w:t>3</w:t>
      </w:r>
      <w:r>
        <w:rPr>
          <w:rFonts w:hint="eastAsia"/>
        </w:rPr>
        <w:t>年度共編製決算7</w:t>
      </w:r>
      <w:r>
        <w:t>5</w:t>
      </w:r>
      <w:r>
        <w:rPr>
          <w:rFonts w:hint="eastAsia"/>
        </w:rPr>
        <w:t>次</w:t>
      </w:r>
      <w:r w:rsidR="00E31C6C">
        <w:rPr>
          <w:rStyle w:val="af6"/>
        </w:rPr>
        <w:footnoteReference w:id="8"/>
      </w:r>
      <w:r>
        <w:rPr>
          <w:rFonts w:hint="eastAsia"/>
        </w:rPr>
        <w:t>，其中歲計賸餘者計40個年度</w:t>
      </w:r>
      <w:r>
        <w:rPr>
          <w:rStyle w:val="af6"/>
        </w:rPr>
        <w:footnoteReference w:id="9"/>
      </w:r>
      <w:r>
        <w:rPr>
          <w:rFonts w:hint="eastAsia"/>
        </w:rPr>
        <w:t>。</w:t>
      </w:r>
      <w:r w:rsidR="00AC201D">
        <w:rPr>
          <w:rFonts w:hint="eastAsia"/>
        </w:rPr>
        <w:t>如前</w:t>
      </w:r>
      <w:r w:rsidR="008C2216">
        <w:rPr>
          <w:rFonts w:hint="eastAsia"/>
        </w:rPr>
        <w:t>開</w:t>
      </w:r>
      <w:r w:rsidR="009E612B">
        <w:rPr>
          <w:rFonts w:hint="eastAsia"/>
        </w:rPr>
        <w:t>財政部各年度稅收徵起情形分析</w:t>
      </w:r>
      <w:r w:rsidR="00AC201D">
        <w:rPr>
          <w:rFonts w:hint="eastAsia"/>
        </w:rPr>
        <w:t>，</w:t>
      </w:r>
      <w:r>
        <w:rPr>
          <w:rFonts w:hint="eastAsia"/>
        </w:rPr>
        <w:t>近年</w:t>
      </w:r>
      <w:r w:rsidR="00AC201D" w:rsidRPr="00AC201D">
        <w:rPr>
          <w:rFonts w:hint="eastAsia"/>
        </w:rPr>
        <w:t>上市櫃公司獲利成長及股利、薪資與利息所得同步走升、推升所</w:t>
      </w:r>
      <w:r w:rsidR="0055079A">
        <w:rPr>
          <w:rFonts w:hint="eastAsia"/>
        </w:rPr>
        <w:t>得</w:t>
      </w:r>
      <w:r w:rsidR="00AC201D" w:rsidRPr="00AC201D">
        <w:rPr>
          <w:rFonts w:hint="eastAsia"/>
        </w:rPr>
        <w:t>稅，加以AI相關類股引領臺股價量齊揚</w:t>
      </w:r>
      <w:r>
        <w:rPr>
          <w:rFonts w:hint="eastAsia"/>
        </w:rPr>
        <w:t>等因素，</w:t>
      </w:r>
      <w:r w:rsidR="0055079A">
        <w:rPr>
          <w:rFonts w:hint="eastAsia"/>
        </w:rPr>
        <w:t>賦稅</w:t>
      </w:r>
      <w:r>
        <w:rPr>
          <w:rFonts w:hint="eastAsia"/>
        </w:rPr>
        <w:t>收入決算數</w:t>
      </w:r>
      <w:r w:rsidR="0055079A">
        <w:rPr>
          <w:rFonts w:hint="eastAsia"/>
        </w:rPr>
        <w:t>屢</w:t>
      </w:r>
      <w:r>
        <w:rPr>
          <w:rFonts w:hint="eastAsia"/>
        </w:rPr>
        <w:t>高於預算數，</w:t>
      </w:r>
      <w:r w:rsidR="0055079A" w:rsidRPr="0055079A">
        <w:rPr>
          <w:rFonts w:hint="eastAsia"/>
        </w:rPr>
        <w:t>自106年度起連續8年總決算歲入歲出均有賸餘</w:t>
      </w:r>
      <w:r w:rsidR="00671C07">
        <w:rPr>
          <w:rFonts w:hint="eastAsia"/>
        </w:rPr>
        <w:t>(詳圖4)</w:t>
      </w:r>
      <w:r w:rsidR="0055079A" w:rsidRPr="0055079A">
        <w:rPr>
          <w:rFonts w:hint="eastAsia"/>
        </w:rPr>
        <w:t>，</w:t>
      </w:r>
      <w:r w:rsidR="009E612B">
        <w:rPr>
          <w:rFonts w:hint="eastAsia"/>
        </w:rPr>
        <w:t>賸餘數</w:t>
      </w:r>
      <w:r>
        <w:rPr>
          <w:rFonts w:hint="eastAsia"/>
        </w:rPr>
        <w:t>自10</w:t>
      </w:r>
      <w:r w:rsidR="0055079A">
        <w:rPr>
          <w:rFonts w:hint="eastAsia"/>
        </w:rPr>
        <w:t>6</w:t>
      </w:r>
      <w:r>
        <w:rPr>
          <w:rFonts w:hint="eastAsia"/>
        </w:rPr>
        <w:t>年度之</w:t>
      </w:r>
      <w:r w:rsidR="0055079A">
        <w:rPr>
          <w:rFonts w:hint="eastAsia"/>
        </w:rPr>
        <w:t>25</w:t>
      </w:r>
      <w:r>
        <w:rPr>
          <w:rFonts w:hint="eastAsia"/>
        </w:rPr>
        <w:t>億元</w:t>
      </w:r>
      <w:r w:rsidR="00523EAD">
        <w:rPr>
          <w:rFonts w:hint="eastAsia"/>
        </w:rPr>
        <w:t>攀升</w:t>
      </w:r>
      <w:r>
        <w:rPr>
          <w:rFonts w:hint="eastAsia"/>
        </w:rPr>
        <w:t>至11</w:t>
      </w:r>
      <w:r w:rsidR="0055079A">
        <w:rPr>
          <w:rFonts w:hint="eastAsia"/>
        </w:rPr>
        <w:t>3</w:t>
      </w:r>
      <w:r>
        <w:rPr>
          <w:rFonts w:hint="eastAsia"/>
        </w:rPr>
        <w:t>年度之</w:t>
      </w:r>
      <w:r w:rsidR="0055079A">
        <w:rPr>
          <w:rFonts w:hint="eastAsia"/>
        </w:rPr>
        <w:t>3</w:t>
      </w:r>
      <w:r>
        <w:t>,</w:t>
      </w:r>
      <w:r w:rsidR="0055079A">
        <w:rPr>
          <w:rFonts w:hint="eastAsia"/>
        </w:rPr>
        <w:t>589</w:t>
      </w:r>
      <w:r w:rsidRPr="00D27BD3">
        <w:rPr>
          <w:rFonts w:hint="eastAsia"/>
          <w:color w:val="000000"/>
        </w:rPr>
        <w:t>億元</w:t>
      </w:r>
      <w:r w:rsidR="00671C07">
        <w:rPr>
          <w:rFonts w:hint="eastAsia"/>
          <w:color w:val="000000"/>
        </w:rPr>
        <w:t>，</w:t>
      </w:r>
      <w:r w:rsidR="00367726">
        <w:rPr>
          <w:rFonts w:hint="eastAsia"/>
          <w:color w:val="000000"/>
        </w:rPr>
        <w:t>持續</w:t>
      </w:r>
      <w:r w:rsidR="00671C07">
        <w:rPr>
          <w:rFonts w:hint="eastAsia"/>
          <w:color w:val="000000"/>
        </w:rPr>
        <w:t>蓄積財政能量</w:t>
      </w:r>
      <w:r w:rsidRPr="00D27BD3">
        <w:rPr>
          <w:rFonts w:hint="eastAsia"/>
          <w:color w:val="000000"/>
        </w:rPr>
        <w:t>。</w:t>
      </w:r>
    </w:p>
    <w:p w:rsidR="0055079A" w:rsidRDefault="00523EAD" w:rsidP="00523EAD">
      <w:pPr>
        <w:pStyle w:val="20"/>
        <w:ind w:leftChars="29" w:left="1134" w:hangingChars="371" w:hanging="1052"/>
        <w:jc w:val="both"/>
        <w:rPr>
          <w:color w:val="000000"/>
        </w:rPr>
      </w:pPr>
      <w:r w:rsidRPr="00523EAD">
        <w:rPr>
          <w:rFonts w:hAnsi="標楷體" w:hint="eastAsia"/>
          <w:b/>
          <w:sz w:val="28"/>
        </w:rPr>
        <w:t xml:space="preserve">圖4 </w:t>
      </w:r>
      <w:r>
        <w:rPr>
          <w:rFonts w:hAnsi="標楷體" w:hint="eastAsia"/>
          <w:b/>
          <w:sz w:val="28"/>
        </w:rPr>
        <w:t xml:space="preserve"> </w:t>
      </w:r>
      <w:r w:rsidRPr="00523EAD">
        <w:rPr>
          <w:rFonts w:hAnsi="標楷體" w:hint="eastAsia"/>
          <w:b/>
          <w:sz w:val="28"/>
        </w:rPr>
        <w:t>106至113年度中央政府</w:t>
      </w:r>
      <w:r>
        <w:rPr>
          <w:rFonts w:hAnsi="標楷體" w:hint="eastAsia"/>
          <w:b/>
          <w:sz w:val="28"/>
        </w:rPr>
        <w:t>總決算歲入、歲出及賸餘情形</w:t>
      </w:r>
    </w:p>
    <w:p w:rsidR="0055079A" w:rsidRDefault="005814D1" w:rsidP="00940CCE">
      <w:pPr>
        <w:pStyle w:val="2"/>
        <w:ind w:left="850" w:firstLine="566"/>
        <w:rPr>
          <w:color w:val="000000"/>
        </w:rPr>
      </w:pPr>
      <w:r>
        <w:rPr>
          <w:noProof/>
        </w:rPr>
        <w:drawing>
          <wp:anchor distT="0" distB="0" distL="114300" distR="114300" simplePos="0" relativeHeight="251658240" behindDoc="0" locked="0" layoutInCell="1" allowOverlap="1">
            <wp:simplePos x="0" y="0"/>
            <wp:positionH relativeFrom="column">
              <wp:posOffset>33020</wp:posOffset>
            </wp:positionH>
            <wp:positionV relativeFrom="paragraph">
              <wp:posOffset>5080</wp:posOffset>
            </wp:positionV>
            <wp:extent cx="5394325" cy="2194560"/>
            <wp:effectExtent l="19050" t="19050" r="0" b="0"/>
            <wp:wrapNone/>
            <wp:docPr id="13"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4325" cy="219456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55079A" w:rsidRDefault="0055079A" w:rsidP="00940CCE">
      <w:pPr>
        <w:pStyle w:val="2"/>
        <w:ind w:left="850" w:firstLine="566"/>
        <w:rPr>
          <w:color w:val="000000"/>
        </w:rPr>
      </w:pPr>
    </w:p>
    <w:p w:rsidR="0055079A" w:rsidRDefault="0055079A" w:rsidP="00940CCE">
      <w:pPr>
        <w:pStyle w:val="2"/>
        <w:ind w:left="850" w:firstLine="566"/>
        <w:rPr>
          <w:color w:val="000000"/>
        </w:rPr>
      </w:pPr>
    </w:p>
    <w:p w:rsidR="0055079A" w:rsidRDefault="0055079A" w:rsidP="00940CCE">
      <w:pPr>
        <w:pStyle w:val="2"/>
        <w:ind w:left="850" w:firstLine="566"/>
        <w:rPr>
          <w:color w:val="000000"/>
        </w:rPr>
      </w:pPr>
    </w:p>
    <w:p w:rsidR="0055079A" w:rsidRDefault="0055079A" w:rsidP="00940CCE">
      <w:pPr>
        <w:pStyle w:val="2"/>
        <w:ind w:left="850" w:firstLine="566"/>
        <w:rPr>
          <w:color w:val="000000"/>
        </w:rPr>
      </w:pPr>
    </w:p>
    <w:p w:rsidR="0055079A" w:rsidRDefault="0055079A" w:rsidP="00940CCE">
      <w:pPr>
        <w:pStyle w:val="2"/>
        <w:ind w:left="850" w:firstLine="566"/>
        <w:rPr>
          <w:color w:val="000000"/>
        </w:rPr>
      </w:pPr>
    </w:p>
    <w:p w:rsidR="0055079A" w:rsidRDefault="0055079A" w:rsidP="00940CCE">
      <w:pPr>
        <w:pStyle w:val="2"/>
        <w:ind w:left="850" w:firstLine="566"/>
        <w:rPr>
          <w:color w:val="000000"/>
        </w:rPr>
      </w:pPr>
    </w:p>
    <w:p w:rsidR="00523EAD" w:rsidRDefault="00523EAD" w:rsidP="007336C0">
      <w:pPr>
        <w:pStyle w:val="142"/>
        <w:ind w:left="1189" w:hangingChars="489" w:hanging="1189"/>
        <w:rPr>
          <w:rFonts w:hAnsi="標楷體"/>
          <w:szCs w:val="24"/>
        </w:rPr>
      </w:pPr>
      <w:r w:rsidRPr="00523EAD">
        <w:rPr>
          <w:rFonts w:hAnsi="標楷體" w:hint="eastAsia"/>
          <w:szCs w:val="24"/>
        </w:rPr>
        <w:t>說    明：</w:t>
      </w:r>
      <w:r>
        <w:rPr>
          <w:rFonts w:hAnsi="標楷體" w:hint="eastAsia"/>
          <w:szCs w:val="24"/>
        </w:rPr>
        <w:t>除</w:t>
      </w:r>
      <w:r w:rsidRPr="00523EAD">
        <w:rPr>
          <w:rFonts w:hAnsi="標楷體" w:hint="eastAsia"/>
          <w:szCs w:val="24"/>
        </w:rPr>
        <w:t>11</w:t>
      </w:r>
      <w:r>
        <w:rPr>
          <w:rFonts w:hAnsi="標楷體" w:hint="eastAsia"/>
          <w:szCs w:val="24"/>
        </w:rPr>
        <w:t>3</w:t>
      </w:r>
      <w:r w:rsidRPr="00523EAD">
        <w:rPr>
          <w:rFonts w:hAnsi="標楷體" w:hint="eastAsia"/>
          <w:szCs w:val="24"/>
        </w:rPr>
        <w:t>年度為院編決算數</w:t>
      </w:r>
      <w:r>
        <w:rPr>
          <w:rFonts w:hAnsi="標楷體" w:hint="eastAsia"/>
          <w:szCs w:val="24"/>
        </w:rPr>
        <w:t>外，其餘</w:t>
      </w:r>
      <w:r w:rsidRPr="00523EAD">
        <w:rPr>
          <w:rFonts w:hAnsi="標楷體" w:hint="eastAsia"/>
          <w:szCs w:val="24"/>
        </w:rPr>
        <w:t>為決算審定數</w:t>
      </w:r>
      <w:r>
        <w:rPr>
          <w:rFonts w:hAnsi="標楷體" w:hint="eastAsia"/>
          <w:szCs w:val="24"/>
        </w:rPr>
        <w:t>。</w:t>
      </w:r>
    </w:p>
    <w:p w:rsidR="0055079A" w:rsidRPr="00D0060A" w:rsidRDefault="0055079A" w:rsidP="007336C0">
      <w:pPr>
        <w:pStyle w:val="142"/>
        <w:ind w:left="1189" w:hangingChars="489" w:hanging="1189"/>
        <w:rPr>
          <w:rFonts w:hAnsi="標楷體"/>
          <w:szCs w:val="24"/>
        </w:rPr>
      </w:pPr>
      <w:r w:rsidRPr="00D0060A">
        <w:rPr>
          <w:rFonts w:hAnsi="標楷體" w:hint="eastAsia"/>
          <w:szCs w:val="24"/>
        </w:rPr>
        <w:t>資料來源：</w:t>
      </w:r>
      <w:r w:rsidR="007336C0" w:rsidRPr="007336C0">
        <w:rPr>
          <w:rFonts w:hAnsi="標楷體" w:hint="eastAsia"/>
          <w:szCs w:val="24"/>
        </w:rPr>
        <w:t>行政院院會於114年4月24日通過「113年度中央政府總決算暨附屬單位決算及綜計表(營業及非營業部分)」</w:t>
      </w:r>
      <w:r w:rsidR="007336C0">
        <w:rPr>
          <w:rFonts w:hAnsi="標楷體" w:hint="eastAsia"/>
          <w:szCs w:val="24"/>
        </w:rPr>
        <w:t>之說明資料</w:t>
      </w:r>
      <w:r w:rsidRPr="00D0060A">
        <w:rPr>
          <w:rFonts w:hAnsi="標楷體" w:hint="eastAsia"/>
          <w:szCs w:val="24"/>
        </w:rPr>
        <w:t>。</w:t>
      </w:r>
    </w:p>
    <w:p w:rsidR="001D791B" w:rsidRDefault="00B959D5" w:rsidP="001D791B">
      <w:pPr>
        <w:pStyle w:val="2"/>
        <w:ind w:left="850" w:firstLine="566"/>
        <w:rPr>
          <w:color w:val="000000"/>
        </w:rPr>
      </w:pPr>
      <w:r>
        <w:rPr>
          <w:rFonts w:hint="eastAsia"/>
          <w:color w:val="000000"/>
        </w:rPr>
        <w:t>中央政府於</w:t>
      </w:r>
      <w:r w:rsidRPr="00B959D5">
        <w:rPr>
          <w:rFonts w:hint="eastAsia"/>
          <w:color w:val="000000"/>
        </w:rPr>
        <w:t>年度歲入歲出賸餘扣除債務還本後之收支賸餘，均累計至歲計賸餘，</w:t>
      </w:r>
      <w:r>
        <w:rPr>
          <w:rFonts w:hint="eastAsia"/>
          <w:color w:val="000000"/>
        </w:rPr>
        <w:t>以</w:t>
      </w:r>
      <w:r w:rsidRPr="00B959D5">
        <w:rPr>
          <w:rFonts w:hint="eastAsia"/>
          <w:color w:val="000000"/>
        </w:rPr>
        <w:t>供後續年度施政融資財源</w:t>
      </w:r>
      <w:r>
        <w:rPr>
          <w:rFonts w:hint="eastAsia"/>
          <w:color w:val="000000"/>
        </w:rPr>
        <w:t>；</w:t>
      </w:r>
      <w:r w:rsidR="007064D7">
        <w:rPr>
          <w:rFonts w:hint="eastAsia"/>
          <w:color w:val="000000"/>
        </w:rPr>
        <w:t>經彙整近10年中央政府累計賸餘(詳圖5)，除105年度略低於104年度外，其餘各年度均逐年成長，由104年度之27億元，於109年度突破千億、111年度增至近6千億元、112及113年度更分別上升至7</w:t>
      </w:r>
      <w:r w:rsidR="007064D7">
        <w:rPr>
          <w:color w:val="000000"/>
        </w:rPr>
        <w:t>,044</w:t>
      </w:r>
      <w:r w:rsidR="007064D7">
        <w:rPr>
          <w:rFonts w:hint="eastAsia"/>
          <w:color w:val="000000"/>
        </w:rPr>
        <w:t>億元及8</w:t>
      </w:r>
      <w:r w:rsidR="007064D7">
        <w:rPr>
          <w:color w:val="000000"/>
        </w:rPr>
        <w:t>,385</w:t>
      </w:r>
      <w:r w:rsidR="007064D7">
        <w:rPr>
          <w:rFonts w:hint="eastAsia"/>
          <w:color w:val="000000"/>
        </w:rPr>
        <w:t>億元。</w:t>
      </w:r>
      <w:r w:rsidR="002E1E9B">
        <w:rPr>
          <w:rFonts w:hint="eastAsia"/>
          <w:color w:val="000000"/>
        </w:rPr>
        <w:t>又</w:t>
      </w:r>
      <w:r w:rsidR="001D791B">
        <w:rPr>
          <w:rFonts w:hint="eastAsia"/>
          <w:color w:val="000000"/>
        </w:rPr>
        <w:t>依行政院編</w:t>
      </w:r>
      <w:r w:rsidR="001D791B" w:rsidRPr="00B22D07">
        <w:rPr>
          <w:rFonts w:hint="eastAsia"/>
          <w:color w:val="000000"/>
        </w:rPr>
        <w:t>11</w:t>
      </w:r>
      <w:r w:rsidR="001D791B">
        <w:rPr>
          <w:rFonts w:hint="eastAsia"/>
          <w:color w:val="000000"/>
        </w:rPr>
        <w:t>3</w:t>
      </w:r>
      <w:r w:rsidR="001D791B" w:rsidRPr="001D791B">
        <w:rPr>
          <w:rFonts w:hint="eastAsia"/>
        </w:rPr>
        <w:t>年度</w:t>
      </w:r>
      <w:r w:rsidR="001D791B" w:rsidRPr="00B22D07">
        <w:rPr>
          <w:rFonts w:hint="eastAsia"/>
          <w:color w:val="000000"/>
        </w:rPr>
        <w:t>中央政府總</w:t>
      </w:r>
      <w:r w:rsidR="001D791B">
        <w:rPr>
          <w:rFonts w:hint="eastAsia"/>
          <w:color w:val="000000"/>
        </w:rPr>
        <w:t>決算累計賸餘表</w:t>
      </w:r>
      <w:r w:rsidR="001D791B" w:rsidRPr="00B22D07">
        <w:rPr>
          <w:rFonts w:hint="eastAsia"/>
          <w:color w:val="000000"/>
        </w:rPr>
        <w:t>(詳表2</w:t>
      </w:r>
      <w:r w:rsidR="001D791B">
        <w:rPr>
          <w:rFonts w:hint="eastAsia"/>
          <w:color w:val="000000"/>
        </w:rPr>
        <w:t>-4</w:t>
      </w:r>
      <w:r w:rsidR="001D791B" w:rsidRPr="00B22D07">
        <w:rPr>
          <w:rFonts w:hint="eastAsia"/>
          <w:color w:val="000000"/>
        </w:rPr>
        <w:t>)，截至</w:t>
      </w:r>
      <w:r w:rsidR="001D791B">
        <w:rPr>
          <w:rFonts w:hint="eastAsia"/>
          <w:color w:val="000000"/>
        </w:rPr>
        <w:t>112年底</w:t>
      </w:r>
      <w:r w:rsidR="001D791B" w:rsidRPr="001D791B">
        <w:rPr>
          <w:rFonts w:hint="eastAsia"/>
          <w:color w:val="000000"/>
        </w:rPr>
        <w:t>以前年度累計賸餘</w:t>
      </w:r>
      <w:r w:rsidR="001D791B">
        <w:rPr>
          <w:rFonts w:hint="eastAsia"/>
          <w:color w:val="000000"/>
        </w:rPr>
        <w:t>7</w:t>
      </w:r>
      <w:r w:rsidR="001D791B">
        <w:rPr>
          <w:color w:val="000000"/>
        </w:rPr>
        <w:t>,044</w:t>
      </w:r>
      <w:r w:rsidR="001D791B">
        <w:rPr>
          <w:rFonts w:hint="eastAsia"/>
          <w:color w:val="000000"/>
        </w:rPr>
        <w:t>億元</w:t>
      </w:r>
      <w:r w:rsidR="001D791B" w:rsidRPr="00B22D07">
        <w:rPr>
          <w:rFonts w:hint="eastAsia"/>
          <w:color w:val="000000"/>
        </w:rPr>
        <w:t>，</w:t>
      </w:r>
      <w:r w:rsidR="001D791B">
        <w:rPr>
          <w:rFonts w:hint="eastAsia"/>
          <w:color w:val="000000"/>
        </w:rPr>
        <w:t>113年度</w:t>
      </w:r>
      <w:r w:rsidR="00DE3A13">
        <w:rPr>
          <w:rFonts w:hint="eastAsia"/>
          <w:color w:val="000000"/>
        </w:rPr>
        <w:t>經</w:t>
      </w:r>
      <w:r w:rsidR="00BE328F" w:rsidRPr="00BE328F">
        <w:rPr>
          <w:rFonts w:hint="eastAsia"/>
          <w:color w:val="000000"/>
        </w:rPr>
        <w:t>調整</w:t>
      </w:r>
      <w:r w:rsidR="00C0499A">
        <w:rPr>
          <w:rStyle w:val="af6"/>
          <w:color w:val="000000"/>
        </w:rPr>
        <w:footnoteReference w:id="10"/>
      </w:r>
      <w:r w:rsidR="00BE328F" w:rsidRPr="00BE328F">
        <w:rPr>
          <w:rFonts w:hint="eastAsia"/>
          <w:color w:val="000000"/>
        </w:rPr>
        <w:t>註銷以前年度歲入、歲出及債務舉借保留</w:t>
      </w:r>
      <w:r w:rsidR="00DE3A13">
        <w:rPr>
          <w:rFonts w:hint="eastAsia"/>
          <w:color w:val="000000"/>
        </w:rPr>
        <w:t>、退還以前年度歲入</w:t>
      </w:r>
      <w:r w:rsidR="00BE328F" w:rsidRPr="00BE328F">
        <w:rPr>
          <w:rFonts w:hint="eastAsia"/>
          <w:color w:val="000000"/>
        </w:rPr>
        <w:t>等計減少</w:t>
      </w:r>
      <w:r w:rsidR="00DE3A13">
        <w:rPr>
          <w:rFonts w:hint="eastAsia"/>
          <w:color w:val="000000"/>
        </w:rPr>
        <w:t>300</w:t>
      </w:r>
      <w:r w:rsidR="00BE328F" w:rsidRPr="00BE328F">
        <w:rPr>
          <w:rFonts w:hint="eastAsia"/>
          <w:color w:val="000000"/>
        </w:rPr>
        <w:t>億元後，以前年度累計賸餘為</w:t>
      </w:r>
      <w:r w:rsidR="00DE3A13">
        <w:rPr>
          <w:rFonts w:hint="eastAsia"/>
          <w:color w:val="000000"/>
        </w:rPr>
        <w:t>6</w:t>
      </w:r>
      <w:r w:rsidR="00DE3A13">
        <w:rPr>
          <w:color w:val="000000"/>
        </w:rPr>
        <w:t>,744</w:t>
      </w:r>
      <w:r w:rsidR="00BE328F" w:rsidRPr="00BE328F">
        <w:rPr>
          <w:rFonts w:hint="eastAsia"/>
          <w:color w:val="000000"/>
        </w:rPr>
        <w:t>億元，加計1</w:t>
      </w:r>
      <w:r w:rsidR="00DE3A13">
        <w:rPr>
          <w:rFonts w:hint="eastAsia"/>
          <w:color w:val="000000"/>
        </w:rPr>
        <w:t>13</w:t>
      </w:r>
      <w:r w:rsidR="00BE328F" w:rsidRPr="00BE328F">
        <w:rPr>
          <w:rFonts w:hint="eastAsia"/>
          <w:color w:val="000000"/>
        </w:rPr>
        <w:t xml:space="preserve"> 年度收支賸</w:t>
      </w:r>
      <w:r w:rsidR="00DE3A13">
        <w:rPr>
          <w:rFonts w:hint="eastAsia"/>
          <w:color w:val="000000"/>
        </w:rPr>
        <w:t>餘1</w:t>
      </w:r>
      <w:r w:rsidR="00DE3A13" w:rsidRPr="00DE3A13">
        <w:rPr>
          <w:rFonts w:hint="eastAsia"/>
          <w:color w:val="000000"/>
        </w:rPr>
        <w:t>,</w:t>
      </w:r>
      <w:r w:rsidR="00DE3A13">
        <w:rPr>
          <w:rFonts w:hint="eastAsia"/>
          <w:color w:val="000000"/>
        </w:rPr>
        <w:t>6</w:t>
      </w:r>
      <w:r w:rsidR="00DE3A13" w:rsidRPr="00DE3A13">
        <w:rPr>
          <w:rFonts w:hint="eastAsia"/>
          <w:color w:val="000000"/>
        </w:rPr>
        <w:t>4</w:t>
      </w:r>
      <w:r w:rsidR="00DE3A13">
        <w:rPr>
          <w:rFonts w:hint="eastAsia"/>
          <w:color w:val="000000"/>
        </w:rPr>
        <w:t>1</w:t>
      </w:r>
      <w:r w:rsidR="00DE3A13" w:rsidRPr="00DE3A13">
        <w:rPr>
          <w:rFonts w:hint="eastAsia"/>
          <w:color w:val="000000"/>
        </w:rPr>
        <w:t>億元</w:t>
      </w:r>
      <w:r w:rsidR="00DE3A13">
        <w:rPr>
          <w:rFonts w:hint="eastAsia"/>
          <w:color w:val="000000"/>
        </w:rPr>
        <w:t>後，截至113年底</w:t>
      </w:r>
      <w:r w:rsidR="001D791B" w:rsidRPr="00B22D07">
        <w:rPr>
          <w:rFonts w:hint="eastAsia"/>
          <w:color w:val="000000"/>
        </w:rPr>
        <w:t>中央政府累計賸餘為</w:t>
      </w:r>
      <w:r w:rsidR="001D791B">
        <w:rPr>
          <w:rFonts w:hint="eastAsia"/>
          <w:color w:val="000000"/>
        </w:rPr>
        <w:t>8</w:t>
      </w:r>
      <w:r w:rsidR="001D791B" w:rsidRPr="00B22D07">
        <w:rPr>
          <w:color w:val="000000"/>
        </w:rPr>
        <w:t>,</w:t>
      </w:r>
      <w:r w:rsidR="001D791B">
        <w:rPr>
          <w:rFonts w:hint="eastAsia"/>
          <w:color w:val="000000"/>
        </w:rPr>
        <w:t>385</w:t>
      </w:r>
      <w:r w:rsidR="001D791B" w:rsidRPr="00B22D07">
        <w:rPr>
          <w:rFonts w:hint="eastAsia"/>
          <w:color w:val="000000"/>
        </w:rPr>
        <w:t>億元</w:t>
      </w:r>
      <w:r w:rsidR="001D791B">
        <w:rPr>
          <w:rFonts w:hint="eastAsia"/>
          <w:color w:val="000000"/>
        </w:rPr>
        <w:t>。</w:t>
      </w:r>
      <w:r w:rsidR="00D03AA6" w:rsidRPr="00686561">
        <w:rPr>
          <w:rFonts w:hint="eastAsia"/>
          <w:color w:val="000000"/>
        </w:rPr>
        <w:t>復參照114年度中央政府總預算「中央政府累計餘絀分析表」，</w:t>
      </w:r>
      <w:r w:rsidR="00367726">
        <w:rPr>
          <w:rFonts w:hint="eastAsia"/>
          <w:color w:val="000000"/>
        </w:rPr>
        <w:t>縱</w:t>
      </w:r>
      <w:r w:rsidR="00D03AA6" w:rsidRPr="00686561">
        <w:rPr>
          <w:rFonts w:hint="eastAsia"/>
          <w:color w:val="000000"/>
        </w:rPr>
        <w:t>扣除特別預算預計移用數約3,949億元</w:t>
      </w:r>
      <w:r w:rsidR="00D03AA6" w:rsidRPr="00686561">
        <w:rPr>
          <w:rStyle w:val="af6"/>
          <w:color w:val="000000"/>
        </w:rPr>
        <w:footnoteReference w:id="11"/>
      </w:r>
      <w:r w:rsidR="00D03AA6" w:rsidRPr="00686561">
        <w:rPr>
          <w:rFonts w:hint="eastAsia"/>
          <w:color w:val="000000"/>
        </w:rPr>
        <w:t>後，歲計賸餘帳上尚餘約4,436億元</w:t>
      </w:r>
      <w:r w:rsidR="00686561">
        <w:rPr>
          <w:rFonts w:hint="eastAsia"/>
          <w:color w:val="000000"/>
        </w:rPr>
        <w:t>。</w:t>
      </w:r>
    </w:p>
    <w:p w:rsidR="009E612B" w:rsidRPr="009E612B" w:rsidRDefault="005814D1" w:rsidP="000C056A">
      <w:pPr>
        <w:pStyle w:val="2"/>
        <w:spacing w:line="460" w:lineRule="exact"/>
        <w:ind w:leftChars="0" w:left="0" w:firstLineChars="0" w:firstLine="0"/>
        <w:rPr>
          <w:color w:val="000000"/>
        </w:rPr>
      </w:pPr>
      <w:r>
        <w:rPr>
          <w:noProof/>
        </w:rPr>
        <w:drawing>
          <wp:anchor distT="6096" distB="5588" distL="120396" distR="120396" simplePos="0" relativeHeight="251656192" behindDoc="0" locked="0" layoutInCell="1" allowOverlap="1">
            <wp:simplePos x="0" y="0"/>
            <wp:positionH relativeFrom="column">
              <wp:posOffset>-23114</wp:posOffset>
            </wp:positionH>
            <wp:positionV relativeFrom="paragraph">
              <wp:posOffset>306451</wp:posOffset>
            </wp:positionV>
            <wp:extent cx="5485765" cy="2877820"/>
            <wp:effectExtent l="0" t="0" r="0" b="0"/>
            <wp:wrapNone/>
            <wp:docPr id="12" name="圖表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9E612B" w:rsidRPr="009E612B">
        <w:rPr>
          <w:b/>
          <w:bCs/>
          <w:color w:val="000000"/>
        </w:rPr>
        <w:t>圖5  104至113年度中央政府累計賸餘情形</w:t>
      </w:r>
    </w:p>
    <w:p w:rsidR="00530140" w:rsidRDefault="00530140" w:rsidP="00DE3A13">
      <w:pPr>
        <w:pStyle w:val="142"/>
        <w:ind w:left="1189" w:hangingChars="489" w:hanging="1189"/>
      </w:pPr>
    </w:p>
    <w:p w:rsidR="002E1E9B" w:rsidRDefault="002E1E9B" w:rsidP="00DE3A13">
      <w:pPr>
        <w:pStyle w:val="142"/>
        <w:ind w:left="1189" w:hangingChars="489" w:hanging="1189"/>
      </w:pPr>
    </w:p>
    <w:p w:rsidR="00530140" w:rsidRDefault="00530140" w:rsidP="00DE3A13">
      <w:pPr>
        <w:pStyle w:val="142"/>
        <w:ind w:left="1189" w:hangingChars="489" w:hanging="1189"/>
      </w:pPr>
    </w:p>
    <w:p w:rsidR="00530140" w:rsidRDefault="00530140" w:rsidP="00DE3A13">
      <w:pPr>
        <w:pStyle w:val="142"/>
        <w:ind w:left="1189" w:hangingChars="489" w:hanging="1189"/>
      </w:pPr>
    </w:p>
    <w:p w:rsidR="00530140" w:rsidRDefault="00530140" w:rsidP="00DE3A13">
      <w:pPr>
        <w:pStyle w:val="142"/>
        <w:ind w:left="1189" w:hangingChars="489" w:hanging="1189"/>
      </w:pPr>
    </w:p>
    <w:p w:rsidR="00530140" w:rsidRPr="00530AAE" w:rsidRDefault="00530140" w:rsidP="00DE3A13">
      <w:pPr>
        <w:pStyle w:val="142"/>
        <w:ind w:left="1189" w:hangingChars="489" w:hanging="1189"/>
      </w:pPr>
    </w:p>
    <w:p w:rsidR="001D791B" w:rsidRPr="001D791B" w:rsidRDefault="001D791B" w:rsidP="00A25024">
      <w:pPr>
        <w:pStyle w:val="2"/>
        <w:ind w:left="850" w:firstLine="566"/>
        <w:rPr>
          <w:color w:val="000000"/>
        </w:rPr>
      </w:pPr>
    </w:p>
    <w:p w:rsidR="0055079A" w:rsidRDefault="0055079A" w:rsidP="00A25024">
      <w:pPr>
        <w:pStyle w:val="2"/>
        <w:ind w:left="850" w:firstLine="566"/>
        <w:rPr>
          <w:color w:val="000000"/>
        </w:rPr>
      </w:pPr>
    </w:p>
    <w:p w:rsidR="00E76EFB" w:rsidRDefault="00E76EFB" w:rsidP="00A25024">
      <w:pPr>
        <w:pStyle w:val="2"/>
        <w:ind w:left="850" w:firstLine="566"/>
        <w:rPr>
          <w:color w:val="000000"/>
        </w:rPr>
      </w:pPr>
    </w:p>
    <w:p w:rsidR="00E76EFB" w:rsidRDefault="00E76EFB" w:rsidP="00A25024">
      <w:pPr>
        <w:pStyle w:val="2"/>
        <w:ind w:left="850" w:firstLine="566"/>
        <w:rPr>
          <w:color w:val="000000"/>
        </w:rPr>
      </w:pPr>
    </w:p>
    <w:p w:rsidR="002E1E9B" w:rsidRDefault="002E1E9B" w:rsidP="00530140">
      <w:pPr>
        <w:pStyle w:val="142"/>
        <w:ind w:firstLineChars="28" w:firstLine="68"/>
        <w:rPr>
          <w:rFonts w:hAnsi="標楷體"/>
          <w:szCs w:val="24"/>
        </w:rPr>
      </w:pPr>
    </w:p>
    <w:p w:rsidR="00530140" w:rsidRDefault="007F21A9" w:rsidP="003818AC">
      <w:pPr>
        <w:pStyle w:val="142"/>
        <w:ind w:firstLineChars="28" w:firstLine="68"/>
        <w:rPr>
          <w:rFonts w:hAnsi="標楷體"/>
          <w:szCs w:val="24"/>
        </w:rPr>
      </w:pPr>
      <w:r>
        <w:rPr>
          <w:noProof/>
          <w:snapToGrid/>
          <w:color w:val="000000"/>
        </w:rPr>
        <w:pict>
          <v:shape id="_x0000_s1032" type="#_x0000_t202" style="position:absolute;left:0;text-align:left;margin-left:1.5pt;margin-top:5.65pt;width:34.55pt;height:19.05pt;z-index:251659264;visibility:visible;mso-wrap-distance-top:3.6pt;mso-wrap-distance-bottom:3.6pt;mso-width-relative:margin;mso-height-relative:margin" stroked="f">
            <v:textbox style="mso-next-textbox:#_x0000_s1032">
              <w:txbxContent>
                <w:p w:rsidR="00A82976" w:rsidRPr="00723BF5" w:rsidRDefault="00A82976" w:rsidP="00530140">
                  <w:pPr>
                    <w:spacing w:line="200" w:lineRule="exact"/>
                    <w:ind w:leftChars="-1" w:left="-3" w:firstLineChars="0" w:firstLine="0"/>
                    <w:jc w:val="left"/>
                    <w:rPr>
                      <w:sz w:val="20"/>
                      <w:szCs w:val="20"/>
                    </w:rPr>
                  </w:pPr>
                  <w:r w:rsidRPr="00723BF5">
                    <w:rPr>
                      <w:rFonts w:hint="eastAsia"/>
                      <w:sz w:val="20"/>
                      <w:szCs w:val="20"/>
                    </w:rPr>
                    <w:t>億元</w:t>
                  </w:r>
                </w:p>
              </w:txbxContent>
            </v:textbox>
            <w10:wrap type="topAndBottom"/>
          </v:shape>
        </w:pict>
      </w:r>
      <w:r w:rsidR="00530140" w:rsidRPr="000F332F">
        <w:rPr>
          <w:rFonts w:hAnsi="標楷體" w:hint="eastAsia"/>
          <w:szCs w:val="24"/>
        </w:rPr>
        <w:t>說    明：</w:t>
      </w:r>
      <w:r w:rsidR="00530140" w:rsidRPr="00530140">
        <w:rPr>
          <w:rFonts w:hAnsi="標楷體" w:hint="eastAsia"/>
          <w:szCs w:val="24"/>
        </w:rPr>
        <w:t>除113年度為院編決算數外，其餘為決算審定數。</w:t>
      </w:r>
    </w:p>
    <w:p w:rsidR="00530140" w:rsidRDefault="00530140" w:rsidP="004374B4">
      <w:pPr>
        <w:pStyle w:val="142"/>
        <w:ind w:left="1189" w:hangingChars="489" w:hanging="1189"/>
        <w:rPr>
          <w:rFonts w:hAnsi="標楷體"/>
          <w:szCs w:val="24"/>
        </w:rPr>
      </w:pPr>
      <w:r w:rsidRPr="00D0060A">
        <w:rPr>
          <w:rFonts w:hAnsi="標楷體" w:hint="eastAsia"/>
          <w:szCs w:val="24"/>
        </w:rPr>
        <w:t>資料來源：</w:t>
      </w:r>
      <w:r>
        <w:rPr>
          <w:rFonts w:hAnsi="標楷體" w:hint="eastAsia"/>
          <w:szCs w:val="24"/>
        </w:rPr>
        <w:t>整理自審計部歷年中央政府總決算審核報告</w:t>
      </w:r>
      <w:r w:rsidR="004374B4">
        <w:rPr>
          <w:rFonts w:hAnsi="標楷體" w:hint="eastAsia"/>
          <w:szCs w:val="24"/>
        </w:rPr>
        <w:t>及</w:t>
      </w:r>
      <w:r w:rsidR="004374B4" w:rsidRPr="004374B4">
        <w:rPr>
          <w:rFonts w:hAnsi="標楷體" w:hint="eastAsia"/>
          <w:szCs w:val="24"/>
        </w:rPr>
        <w:t>行政院編113年度中央政府總決算</w:t>
      </w:r>
      <w:r w:rsidRPr="00D0060A">
        <w:rPr>
          <w:rFonts w:hAnsi="標楷體" w:hint="eastAsia"/>
          <w:szCs w:val="24"/>
        </w:rPr>
        <w:t>。</w:t>
      </w:r>
    </w:p>
    <w:p w:rsidR="007064D7" w:rsidRDefault="007064D7" w:rsidP="007064D7">
      <w:pPr>
        <w:pStyle w:val="20"/>
        <w:ind w:leftChars="29" w:left="1134" w:hangingChars="371" w:hanging="1052"/>
        <w:jc w:val="both"/>
        <w:rPr>
          <w:b/>
          <w:color w:val="000000"/>
          <w:sz w:val="28"/>
        </w:rPr>
      </w:pPr>
      <w:r w:rsidRPr="00530AAE">
        <w:rPr>
          <w:rFonts w:hint="eastAsia"/>
          <w:b/>
          <w:color w:val="000000"/>
          <w:sz w:val="28"/>
        </w:rPr>
        <w:t>表2</w:t>
      </w:r>
      <w:r>
        <w:rPr>
          <w:rFonts w:hint="eastAsia"/>
          <w:b/>
          <w:color w:val="000000"/>
          <w:sz w:val="28"/>
        </w:rPr>
        <w:t xml:space="preserve">-4 </w:t>
      </w:r>
      <w:r w:rsidRPr="00530AAE">
        <w:rPr>
          <w:rFonts w:hint="eastAsia"/>
          <w:b/>
          <w:color w:val="000000"/>
          <w:sz w:val="28"/>
        </w:rPr>
        <w:t>113年度</w:t>
      </w:r>
      <w:r w:rsidRPr="001D791B">
        <w:rPr>
          <w:rFonts w:hAnsi="標楷體" w:hint="eastAsia"/>
          <w:b/>
          <w:sz w:val="28"/>
        </w:rPr>
        <w:t>中央政府</w:t>
      </w:r>
      <w:r w:rsidRPr="00530AAE">
        <w:rPr>
          <w:rFonts w:hint="eastAsia"/>
          <w:b/>
          <w:color w:val="000000"/>
          <w:sz w:val="28"/>
        </w:rPr>
        <w:t>總決算累計賸餘表</w:t>
      </w:r>
      <w:r>
        <w:rPr>
          <w:rFonts w:hint="eastAsia"/>
          <w:b/>
          <w:color w:val="000000"/>
          <w:sz w:val="28"/>
        </w:rPr>
        <w:t>(行政院編)</w:t>
      </w:r>
    </w:p>
    <w:p w:rsidR="007064D7" w:rsidRPr="00530AAE" w:rsidRDefault="007064D7" w:rsidP="000C056A">
      <w:pPr>
        <w:pStyle w:val="20"/>
        <w:spacing w:line="360" w:lineRule="exact"/>
        <w:ind w:leftChars="29" w:left="1134" w:hangingChars="371" w:hanging="1052"/>
        <w:jc w:val="right"/>
        <w:rPr>
          <w:color w:val="000000"/>
        </w:rPr>
      </w:pPr>
      <w:r>
        <w:rPr>
          <w:rFonts w:hint="eastAsia"/>
          <w:b/>
          <w:color w:val="000000"/>
          <w:sz w:val="28"/>
        </w:rPr>
        <w:t xml:space="preserve">        </w:t>
      </w:r>
      <w:r w:rsidRPr="00530AAE">
        <w:rPr>
          <w:rFonts w:hint="eastAsia"/>
          <w:color w:val="000000"/>
        </w:rPr>
        <w:t>單</w:t>
      </w:r>
      <w:r w:rsidRPr="00DE3A13">
        <w:rPr>
          <w:rFonts w:hAnsi="標楷體" w:hint="eastAsia"/>
          <w:szCs w:val="24"/>
        </w:rPr>
        <w:t>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663"/>
        <w:gridCol w:w="1842"/>
      </w:tblGrid>
      <w:tr w:rsidR="007064D7" w:rsidRPr="00F87458" w:rsidTr="000C056A">
        <w:trPr>
          <w:trHeight w:val="283"/>
          <w:tblHeader/>
        </w:trPr>
        <w:tc>
          <w:tcPr>
            <w:tcW w:w="6663" w:type="dxa"/>
            <w:tcBorders>
              <w:top w:val="single" w:sz="12" w:space="0" w:color="auto"/>
              <w:bottom w:val="single" w:sz="4" w:space="0" w:color="auto"/>
              <w:tl2br w:val="nil"/>
            </w:tcBorders>
            <w:shd w:val="clear" w:color="auto" w:fill="auto"/>
            <w:vAlign w:val="center"/>
          </w:tcPr>
          <w:p w:rsidR="007064D7" w:rsidRPr="004E6708" w:rsidRDefault="007064D7" w:rsidP="004950FD">
            <w:pPr>
              <w:spacing w:line="320" w:lineRule="exact"/>
              <w:ind w:leftChars="0" w:left="0" w:firstLineChars="0" w:firstLine="0"/>
              <w:jc w:val="center"/>
              <w:rPr>
                <w:color w:val="000000"/>
                <w:sz w:val="24"/>
                <w:szCs w:val="24"/>
              </w:rPr>
            </w:pPr>
            <w:r w:rsidRPr="004E6708">
              <w:rPr>
                <w:rFonts w:hint="eastAsia"/>
                <w:color w:val="000000"/>
                <w:sz w:val="24"/>
                <w:szCs w:val="24"/>
              </w:rPr>
              <w:t>項</w:t>
            </w:r>
            <w:r>
              <w:rPr>
                <w:rFonts w:hint="eastAsia"/>
                <w:color w:val="000000"/>
                <w:sz w:val="24"/>
                <w:szCs w:val="24"/>
              </w:rPr>
              <w:t xml:space="preserve">    </w:t>
            </w:r>
            <w:r w:rsidRPr="004E6708">
              <w:rPr>
                <w:rFonts w:hint="eastAsia"/>
                <w:color w:val="000000"/>
                <w:sz w:val="24"/>
                <w:szCs w:val="24"/>
              </w:rPr>
              <w:t>目</w:t>
            </w:r>
          </w:p>
        </w:tc>
        <w:tc>
          <w:tcPr>
            <w:tcW w:w="1842" w:type="dxa"/>
            <w:shd w:val="clear" w:color="auto" w:fill="auto"/>
            <w:vAlign w:val="center"/>
          </w:tcPr>
          <w:p w:rsidR="007064D7" w:rsidRPr="006159E9" w:rsidRDefault="007064D7" w:rsidP="004950FD">
            <w:pPr>
              <w:spacing w:line="320" w:lineRule="exact"/>
              <w:ind w:leftChars="0" w:left="0" w:firstLineChars="0" w:firstLine="0"/>
              <w:jc w:val="center"/>
              <w:rPr>
                <w:color w:val="000000"/>
                <w:sz w:val="24"/>
                <w:szCs w:val="24"/>
              </w:rPr>
            </w:pPr>
            <w:r w:rsidRPr="006159E9">
              <w:rPr>
                <w:rFonts w:hint="eastAsia"/>
                <w:color w:val="000000"/>
                <w:sz w:val="24"/>
                <w:szCs w:val="24"/>
              </w:rPr>
              <w:t>金額</w:t>
            </w:r>
          </w:p>
        </w:tc>
      </w:tr>
      <w:tr w:rsidR="007064D7" w:rsidRPr="00F87458" w:rsidTr="000C056A">
        <w:trPr>
          <w:trHeight w:val="340"/>
        </w:trPr>
        <w:tc>
          <w:tcPr>
            <w:tcW w:w="6663" w:type="dxa"/>
            <w:tcBorders>
              <w:top w:val="single" w:sz="4" w:space="0" w:color="auto"/>
            </w:tcBorders>
            <w:shd w:val="clear" w:color="auto" w:fill="auto"/>
            <w:vAlign w:val="center"/>
          </w:tcPr>
          <w:p w:rsidR="007064D7" w:rsidRPr="00034761" w:rsidRDefault="00E853B0" w:rsidP="00BE4970">
            <w:pPr>
              <w:pStyle w:val="142"/>
              <w:jc w:val="both"/>
              <w:rPr>
                <w:rFonts w:hAnsi="標楷體"/>
                <w:spacing w:val="-20"/>
                <w:szCs w:val="24"/>
              </w:rPr>
            </w:pPr>
            <w:r>
              <w:rPr>
                <w:rFonts w:hint="eastAsia"/>
                <w:color w:val="000000"/>
                <w:szCs w:val="24"/>
              </w:rPr>
              <w:t>一、</w:t>
            </w:r>
            <w:r w:rsidR="007064D7">
              <w:rPr>
                <w:rFonts w:hint="eastAsia"/>
                <w:color w:val="000000"/>
                <w:szCs w:val="24"/>
              </w:rPr>
              <w:t>以前年度</w:t>
            </w:r>
            <w:r w:rsidR="007064D7" w:rsidRPr="00102A34">
              <w:rPr>
                <w:rFonts w:hint="eastAsia"/>
                <w:color w:val="000000"/>
                <w:szCs w:val="24"/>
              </w:rPr>
              <w:t>累計賸餘數</w:t>
            </w:r>
          </w:p>
        </w:tc>
        <w:tc>
          <w:tcPr>
            <w:tcW w:w="1842" w:type="dxa"/>
            <w:shd w:val="clear" w:color="auto" w:fill="auto"/>
            <w:vAlign w:val="center"/>
          </w:tcPr>
          <w:p w:rsidR="007064D7" w:rsidRPr="00F87458" w:rsidRDefault="007064D7" w:rsidP="00BE4970">
            <w:pPr>
              <w:spacing w:line="320" w:lineRule="exact"/>
              <w:ind w:leftChars="0" w:left="0" w:firstLineChars="0" w:firstLine="0"/>
              <w:jc w:val="right"/>
              <w:rPr>
                <w:color w:val="000000"/>
                <w:sz w:val="24"/>
                <w:szCs w:val="24"/>
              </w:rPr>
            </w:pPr>
            <w:r>
              <w:rPr>
                <w:rFonts w:hint="eastAsia"/>
                <w:color w:val="000000"/>
                <w:sz w:val="24"/>
                <w:szCs w:val="24"/>
              </w:rPr>
              <w:t>7</w:t>
            </w:r>
            <w:r>
              <w:rPr>
                <w:color w:val="000000"/>
                <w:sz w:val="24"/>
                <w:szCs w:val="24"/>
              </w:rPr>
              <w:t>,</w:t>
            </w:r>
            <w:r>
              <w:rPr>
                <w:rFonts w:hint="eastAsia"/>
                <w:color w:val="000000"/>
                <w:sz w:val="24"/>
                <w:szCs w:val="24"/>
              </w:rPr>
              <w:t>044</w:t>
            </w:r>
          </w:p>
        </w:tc>
      </w:tr>
      <w:tr w:rsidR="007064D7" w:rsidRPr="00F87458" w:rsidTr="000C056A">
        <w:trPr>
          <w:trHeight w:val="340"/>
        </w:trPr>
        <w:tc>
          <w:tcPr>
            <w:tcW w:w="6663" w:type="dxa"/>
            <w:tcBorders>
              <w:top w:val="single" w:sz="4" w:space="0" w:color="auto"/>
            </w:tcBorders>
            <w:shd w:val="clear" w:color="auto" w:fill="auto"/>
            <w:vAlign w:val="center"/>
          </w:tcPr>
          <w:p w:rsidR="007064D7" w:rsidRPr="00034761" w:rsidRDefault="00E853B0" w:rsidP="00BE4970">
            <w:pPr>
              <w:pStyle w:val="142"/>
              <w:jc w:val="both"/>
              <w:rPr>
                <w:rFonts w:hAnsi="標楷體"/>
                <w:spacing w:val="-20"/>
                <w:szCs w:val="24"/>
              </w:rPr>
            </w:pPr>
            <w:r>
              <w:rPr>
                <w:rFonts w:hint="eastAsia"/>
                <w:color w:val="000000"/>
                <w:szCs w:val="24"/>
              </w:rPr>
              <w:t>二、</w:t>
            </w:r>
            <w:r w:rsidR="007064D7">
              <w:rPr>
                <w:rFonts w:hint="eastAsia"/>
                <w:color w:val="000000"/>
                <w:szCs w:val="24"/>
              </w:rPr>
              <w:t>調整以前年度賸餘</w:t>
            </w:r>
          </w:p>
        </w:tc>
        <w:tc>
          <w:tcPr>
            <w:tcW w:w="1842" w:type="dxa"/>
            <w:shd w:val="clear" w:color="auto" w:fill="auto"/>
            <w:vAlign w:val="center"/>
          </w:tcPr>
          <w:p w:rsidR="007064D7" w:rsidRDefault="007064D7" w:rsidP="00BE4970">
            <w:pPr>
              <w:spacing w:line="320" w:lineRule="exact"/>
              <w:ind w:leftChars="0" w:left="0" w:firstLineChars="0" w:firstLine="0"/>
              <w:jc w:val="right"/>
              <w:rPr>
                <w:color w:val="000000"/>
                <w:sz w:val="24"/>
                <w:szCs w:val="24"/>
              </w:rPr>
            </w:pPr>
            <w:r>
              <w:rPr>
                <w:rFonts w:hint="eastAsia"/>
                <w:color w:val="000000"/>
                <w:sz w:val="24"/>
                <w:szCs w:val="24"/>
              </w:rPr>
              <w:t>-300</w:t>
            </w:r>
          </w:p>
        </w:tc>
      </w:tr>
      <w:tr w:rsidR="007064D7" w:rsidRPr="00F87458" w:rsidTr="000C056A">
        <w:trPr>
          <w:trHeight w:val="340"/>
        </w:trPr>
        <w:tc>
          <w:tcPr>
            <w:tcW w:w="6663" w:type="dxa"/>
            <w:shd w:val="clear" w:color="auto" w:fill="auto"/>
            <w:vAlign w:val="center"/>
          </w:tcPr>
          <w:p w:rsidR="007064D7" w:rsidRPr="00034761" w:rsidRDefault="00E853B0" w:rsidP="00BE4970">
            <w:pPr>
              <w:pStyle w:val="142"/>
              <w:jc w:val="both"/>
              <w:rPr>
                <w:rFonts w:hAnsi="標楷體"/>
                <w:spacing w:val="-20"/>
                <w:szCs w:val="24"/>
              </w:rPr>
            </w:pPr>
            <w:r>
              <w:rPr>
                <w:rFonts w:hint="eastAsia"/>
                <w:color w:val="000000"/>
                <w:szCs w:val="24"/>
              </w:rPr>
              <w:t>三、</w:t>
            </w:r>
            <w:r w:rsidR="007064D7">
              <w:rPr>
                <w:rFonts w:hint="eastAsia"/>
                <w:color w:val="000000"/>
                <w:szCs w:val="24"/>
              </w:rPr>
              <w:t>調整後以前年度累計賸餘</w:t>
            </w:r>
            <w:r>
              <w:rPr>
                <w:rFonts w:hint="eastAsia"/>
                <w:color w:val="000000"/>
                <w:szCs w:val="24"/>
              </w:rPr>
              <w:t>(一+二)</w:t>
            </w:r>
          </w:p>
        </w:tc>
        <w:tc>
          <w:tcPr>
            <w:tcW w:w="1842" w:type="dxa"/>
            <w:shd w:val="clear" w:color="auto" w:fill="auto"/>
            <w:vAlign w:val="center"/>
          </w:tcPr>
          <w:p w:rsidR="007064D7" w:rsidRDefault="007064D7" w:rsidP="00BE4970">
            <w:pPr>
              <w:spacing w:line="320" w:lineRule="exact"/>
              <w:ind w:leftChars="0" w:left="0" w:firstLineChars="0" w:firstLine="0"/>
              <w:jc w:val="right"/>
              <w:rPr>
                <w:color w:val="000000"/>
                <w:sz w:val="24"/>
                <w:szCs w:val="24"/>
              </w:rPr>
            </w:pPr>
            <w:r>
              <w:rPr>
                <w:rFonts w:hint="eastAsia"/>
                <w:color w:val="000000"/>
                <w:sz w:val="24"/>
                <w:szCs w:val="24"/>
              </w:rPr>
              <w:t>6,744</w:t>
            </w:r>
          </w:p>
        </w:tc>
      </w:tr>
      <w:tr w:rsidR="007064D7" w:rsidRPr="00F87458" w:rsidTr="000C056A">
        <w:trPr>
          <w:trHeight w:val="340"/>
        </w:trPr>
        <w:tc>
          <w:tcPr>
            <w:tcW w:w="6663" w:type="dxa"/>
            <w:shd w:val="clear" w:color="auto" w:fill="auto"/>
            <w:vAlign w:val="center"/>
          </w:tcPr>
          <w:p w:rsidR="007064D7" w:rsidRPr="00034761" w:rsidRDefault="00E853B0" w:rsidP="00BE4970">
            <w:pPr>
              <w:pStyle w:val="142"/>
              <w:jc w:val="both"/>
              <w:rPr>
                <w:rFonts w:hAnsi="標楷體"/>
                <w:spacing w:val="-20"/>
                <w:szCs w:val="24"/>
              </w:rPr>
            </w:pPr>
            <w:r>
              <w:rPr>
                <w:rFonts w:hint="eastAsia"/>
                <w:color w:val="000000"/>
                <w:szCs w:val="24"/>
              </w:rPr>
              <w:t>四、</w:t>
            </w:r>
            <w:r w:rsidR="007064D7">
              <w:rPr>
                <w:rFonts w:hint="eastAsia"/>
                <w:color w:val="000000"/>
                <w:szCs w:val="24"/>
              </w:rPr>
              <w:t>113年度收支賸餘</w:t>
            </w:r>
          </w:p>
        </w:tc>
        <w:tc>
          <w:tcPr>
            <w:tcW w:w="1842" w:type="dxa"/>
            <w:shd w:val="clear" w:color="auto" w:fill="auto"/>
            <w:vAlign w:val="center"/>
          </w:tcPr>
          <w:p w:rsidR="007064D7" w:rsidRDefault="007064D7" w:rsidP="00BE4970">
            <w:pPr>
              <w:spacing w:line="320" w:lineRule="exact"/>
              <w:ind w:leftChars="0" w:left="0" w:firstLineChars="0" w:firstLine="0"/>
              <w:jc w:val="right"/>
              <w:rPr>
                <w:color w:val="000000"/>
                <w:sz w:val="24"/>
                <w:szCs w:val="24"/>
              </w:rPr>
            </w:pPr>
            <w:r>
              <w:rPr>
                <w:rFonts w:hint="eastAsia"/>
                <w:color w:val="000000"/>
                <w:sz w:val="24"/>
                <w:szCs w:val="24"/>
              </w:rPr>
              <w:t>1,641</w:t>
            </w:r>
          </w:p>
        </w:tc>
      </w:tr>
      <w:tr w:rsidR="007064D7" w:rsidRPr="00F87458" w:rsidTr="000C056A">
        <w:trPr>
          <w:trHeight w:val="340"/>
        </w:trPr>
        <w:tc>
          <w:tcPr>
            <w:tcW w:w="6663" w:type="dxa"/>
            <w:shd w:val="clear" w:color="auto" w:fill="auto"/>
            <w:vAlign w:val="center"/>
          </w:tcPr>
          <w:p w:rsidR="007064D7" w:rsidRPr="00F87458" w:rsidRDefault="00E853B0" w:rsidP="00BE4970">
            <w:pPr>
              <w:spacing w:line="320" w:lineRule="exact"/>
              <w:ind w:leftChars="0" w:left="0" w:firstLineChars="0" w:firstLine="0"/>
              <w:rPr>
                <w:color w:val="000000"/>
                <w:sz w:val="24"/>
                <w:szCs w:val="24"/>
              </w:rPr>
            </w:pPr>
            <w:r>
              <w:rPr>
                <w:rFonts w:hint="eastAsia"/>
                <w:color w:val="000000"/>
                <w:sz w:val="24"/>
                <w:szCs w:val="24"/>
              </w:rPr>
              <w:t>五、</w:t>
            </w:r>
            <w:r w:rsidR="007064D7">
              <w:rPr>
                <w:rFonts w:hint="eastAsia"/>
                <w:color w:val="000000"/>
                <w:sz w:val="24"/>
                <w:szCs w:val="24"/>
              </w:rPr>
              <w:t>113年度累計賸餘數</w:t>
            </w:r>
            <w:r>
              <w:rPr>
                <w:rFonts w:hint="eastAsia"/>
                <w:color w:val="000000"/>
                <w:sz w:val="24"/>
                <w:szCs w:val="24"/>
              </w:rPr>
              <w:t>(三+四)</w:t>
            </w:r>
          </w:p>
        </w:tc>
        <w:tc>
          <w:tcPr>
            <w:tcW w:w="1842" w:type="dxa"/>
            <w:shd w:val="clear" w:color="auto" w:fill="auto"/>
            <w:vAlign w:val="center"/>
          </w:tcPr>
          <w:p w:rsidR="007064D7" w:rsidRPr="00F87458" w:rsidRDefault="007064D7" w:rsidP="00BE4970">
            <w:pPr>
              <w:spacing w:line="320" w:lineRule="exact"/>
              <w:ind w:leftChars="0" w:left="0" w:firstLineChars="0" w:firstLine="0"/>
              <w:jc w:val="right"/>
              <w:rPr>
                <w:color w:val="000000"/>
                <w:sz w:val="24"/>
                <w:szCs w:val="24"/>
              </w:rPr>
            </w:pPr>
            <w:r>
              <w:rPr>
                <w:rFonts w:hint="eastAsia"/>
                <w:color w:val="000000"/>
                <w:sz w:val="24"/>
                <w:szCs w:val="24"/>
              </w:rPr>
              <w:t>8,385</w:t>
            </w:r>
          </w:p>
        </w:tc>
      </w:tr>
    </w:tbl>
    <w:p w:rsidR="007064D7" w:rsidRDefault="007064D7" w:rsidP="007064D7">
      <w:pPr>
        <w:pStyle w:val="142"/>
        <w:ind w:left="1189" w:hangingChars="489" w:hanging="1189"/>
      </w:pPr>
      <w:r w:rsidRPr="00530AAE">
        <w:rPr>
          <w:rFonts w:hint="eastAsia"/>
        </w:rPr>
        <w:t>資料來源：</w:t>
      </w:r>
      <w:r w:rsidRPr="00DE3A13">
        <w:rPr>
          <w:rFonts w:hint="eastAsia"/>
        </w:rPr>
        <w:t>行政院院會於114年4月</w:t>
      </w:r>
      <w:r w:rsidRPr="00DE3A13">
        <w:rPr>
          <w:rFonts w:hAnsi="標楷體" w:hint="eastAsia"/>
          <w:szCs w:val="24"/>
        </w:rPr>
        <w:t>24</w:t>
      </w:r>
      <w:r w:rsidRPr="00DE3A13">
        <w:rPr>
          <w:rFonts w:hint="eastAsia"/>
        </w:rPr>
        <w:t>日通過「113年度中央政府總決算暨附屬單位決算及綜計表(營業及非營業部分)」之說明資料。</w:t>
      </w:r>
    </w:p>
    <w:p w:rsidR="006E243B" w:rsidRDefault="006E243B" w:rsidP="006E243B">
      <w:pPr>
        <w:pStyle w:val="a4"/>
        <w:ind w:left="849" w:hanging="283"/>
        <w:rPr>
          <w:b/>
          <w:color w:val="000000"/>
        </w:rPr>
      </w:pPr>
      <w:r w:rsidRPr="00F87458">
        <w:rPr>
          <w:rFonts w:hint="eastAsia"/>
          <w:b/>
          <w:color w:val="000000"/>
        </w:rPr>
        <w:t>(</w:t>
      </w:r>
      <w:r w:rsidR="00CF4247">
        <w:rPr>
          <w:rFonts w:hint="eastAsia"/>
          <w:b/>
          <w:color w:val="000000"/>
        </w:rPr>
        <w:t>二</w:t>
      </w:r>
      <w:r w:rsidRPr="00F87458">
        <w:rPr>
          <w:rFonts w:hint="eastAsia"/>
          <w:b/>
          <w:color w:val="000000"/>
        </w:rPr>
        <w:t>)</w:t>
      </w:r>
      <w:r w:rsidR="00CF4247">
        <w:rPr>
          <w:rFonts w:hint="eastAsia"/>
          <w:b/>
          <w:color w:val="000000"/>
        </w:rPr>
        <w:t>近10年</w:t>
      </w:r>
      <w:r>
        <w:rPr>
          <w:rFonts w:hint="eastAsia"/>
          <w:b/>
          <w:color w:val="000000"/>
        </w:rPr>
        <w:t>中央政府總預算</w:t>
      </w:r>
      <w:r w:rsidR="00451D9A">
        <w:rPr>
          <w:rFonts w:hint="eastAsia"/>
          <w:b/>
          <w:color w:val="000000"/>
        </w:rPr>
        <w:t>僅於</w:t>
      </w:r>
      <w:r w:rsidR="00451D9A" w:rsidRPr="00451D9A">
        <w:rPr>
          <w:rFonts w:hint="eastAsia"/>
          <w:b/>
          <w:color w:val="000000"/>
        </w:rPr>
        <w:t>111至113年度</w:t>
      </w:r>
      <w:r w:rsidR="00451D9A">
        <w:rPr>
          <w:rFonts w:hint="eastAsia"/>
          <w:b/>
          <w:color w:val="000000"/>
        </w:rPr>
        <w:t>等3年度編列預計</w:t>
      </w:r>
      <w:r w:rsidR="00451D9A" w:rsidRPr="00451D9A">
        <w:rPr>
          <w:rFonts w:hint="eastAsia"/>
          <w:b/>
          <w:color w:val="000000"/>
        </w:rPr>
        <w:t>移用以前年度歲計賸餘調節因應數</w:t>
      </w:r>
      <w:r w:rsidR="00451D9A">
        <w:rPr>
          <w:rFonts w:hint="eastAsia"/>
          <w:b/>
          <w:color w:val="000000"/>
        </w:rPr>
        <w:t>，執行結果</w:t>
      </w:r>
      <w:r w:rsidR="00CF4247">
        <w:rPr>
          <w:rFonts w:hint="eastAsia"/>
          <w:b/>
          <w:color w:val="000000"/>
        </w:rPr>
        <w:t>均未移用</w:t>
      </w:r>
    </w:p>
    <w:p w:rsidR="006E243B" w:rsidRPr="00784790" w:rsidRDefault="00D15008" w:rsidP="006E243B">
      <w:pPr>
        <w:pStyle w:val="2"/>
        <w:ind w:left="850" w:firstLine="566"/>
      </w:pPr>
      <w:r w:rsidRPr="00CB70A3">
        <w:rPr>
          <w:rFonts w:hint="eastAsia"/>
        </w:rPr>
        <w:t>依行政院編113年度中央政府總決算</w:t>
      </w:r>
      <w:r>
        <w:rPr>
          <w:rFonts w:hint="eastAsia"/>
        </w:rPr>
        <w:t>說明</w:t>
      </w:r>
      <w:r>
        <w:rPr>
          <w:rStyle w:val="af6"/>
        </w:rPr>
        <w:footnoteReference w:id="12"/>
      </w:r>
      <w:r>
        <w:rPr>
          <w:rFonts w:hint="eastAsia"/>
        </w:rPr>
        <w:t>，113年度</w:t>
      </w:r>
      <w:r w:rsidRPr="00002AEC">
        <w:rPr>
          <w:rFonts w:hint="eastAsia"/>
        </w:rPr>
        <w:t>中央政府總預算歲入歲出差短</w:t>
      </w:r>
      <w:r w:rsidRPr="00002AEC">
        <w:t>1,264</w:t>
      </w:r>
      <w:r w:rsidRPr="00002AEC">
        <w:rPr>
          <w:rFonts w:hint="eastAsia"/>
        </w:rPr>
        <w:t>億元，連同債務還本</w:t>
      </w:r>
      <w:r w:rsidRPr="00002AEC">
        <w:t>1,150</w:t>
      </w:r>
      <w:r w:rsidRPr="00002AEC">
        <w:rPr>
          <w:rFonts w:hint="eastAsia"/>
        </w:rPr>
        <w:t>億元，尚須融資調度</w:t>
      </w:r>
      <w:r w:rsidRPr="00002AEC">
        <w:t>2,414</w:t>
      </w:r>
      <w:r w:rsidRPr="00002AEC">
        <w:rPr>
          <w:rFonts w:hint="eastAsia"/>
        </w:rPr>
        <w:t>億元，以舉借債務</w:t>
      </w:r>
      <w:r w:rsidRPr="00002AEC">
        <w:t>1,568</w:t>
      </w:r>
      <w:r w:rsidRPr="00002AEC">
        <w:rPr>
          <w:rFonts w:hint="eastAsia"/>
        </w:rPr>
        <w:t>億元及移用以前年度歲計賸餘</w:t>
      </w:r>
      <w:r w:rsidRPr="00002AEC">
        <w:t>846</w:t>
      </w:r>
      <w:r w:rsidRPr="00002AEC">
        <w:rPr>
          <w:rFonts w:hint="eastAsia"/>
        </w:rPr>
        <w:t>億元予以彌平</w:t>
      </w:r>
      <w:r>
        <w:rPr>
          <w:rFonts w:hint="eastAsia"/>
        </w:rPr>
        <w:t>；</w:t>
      </w:r>
      <w:r w:rsidRPr="00002AEC">
        <w:rPr>
          <w:rFonts w:hint="eastAsia"/>
        </w:rPr>
        <w:t>執行結果，歲入歲出賸餘</w:t>
      </w:r>
      <w:r w:rsidRPr="00002AEC">
        <w:t>3,589</w:t>
      </w:r>
      <w:r w:rsidRPr="00002AEC">
        <w:rPr>
          <w:rFonts w:hint="eastAsia"/>
        </w:rPr>
        <w:t>億元，經償還債務</w:t>
      </w:r>
      <w:r w:rsidRPr="00002AEC">
        <w:t>1,948</w:t>
      </w:r>
      <w:r w:rsidRPr="00002AEC">
        <w:rPr>
          <w:rFonts w:hint="eastAsia"/>
        </w:rPr>
        <w:t>億元，尚產生收支賸餘</w:t>
      </w:r>
      <w:r w:rsidRPr="00002AEC">
        <w:t>1,641</w:t>
      </w:r>
      <w:r w:rsidRPr="00002AEC">
        <w:rPr>
          <w:rFonts w:hint="eastAsia"/>
        </w:rPr>
        <w:t>億元，致原預算所列債務舉借數</w:t>
      </w:r>
      <w:r w:rsidRPr="00002AEC">
        <w:t>1,568</w:t>
      </w:r>
      <w:r w:rsidRPr="00002AEC">
        <w:rPr>
          <w:rFonts w:hint="eastAsia"/>
        </w:rPr>
        <w:t>億元及移用以前年度歲計賸餘</w:t>
      </w:r>
      <w:r w:rsidRPr="00002AEC">
        <w:t>846</w:t>
      </w:r>
      <w:r w:rsidRPr="00002AEC">
        <w:rPr>
          <w:rFonts w:hint="eastAsia"/>
        </w:rPr>
        <w:t>億元，全數不予執行。</w:t>
      </w:r>
      <w:r>
        <w:rPr>
          <w:rFonts w:hint="eastAsia"/>
        </w:rPr>
        <w:t>又</w:t>
      </w:r>
      <w:r w:rsidR="00CF4247">
        <w:rPr>
          <w:rFonts w:hint="eastAsia"/>
        </w:rPr>
        <w:t>經</w:t>
      </w:r>
      <w:r w:rsidR="006E243B">
        <w:rPr>
          <w:rFonts w:hint="eastAsia"/>
        </w:rPr>
        <w:t>彙整</w:t>
      </w:r>
      <w:r w:rsidR="00CF4247">
        <w:rPr>
          <w:rFonts w:hint="eastAsia"/>
        </w:rPr>
        <w:t>104至11</w:t>
      </w:r>
      <w:r w:rsidR="00CF4247">
        <w:t>4</w:t>
      </w:r>
      <w:r w:rsidR="00CF4247">
        <w:rPr>
          <w:rFonts w:hint="eastAsia"/>
        </w:rPr>
        <w:t>年度</w:t>
      </w:r>
      <w:r w:rsidR="006E243B">
        <w:rPr>
          <w:rFonts w:hint="eastAsia"/>
        </w:rPr>
        <w:t>中央政府總預算預計</w:t>
      </w:r>
      <w:r w:rsidR="006E243B" w:rsidRPr="00784790">
        <w:rPr>
          <w:rFonts w:hint="eastAsia"/>
        </w:rPr>
        <w:t>移用以前年度歲計賸餘</w:t>
      </w:r>
      <w:r w:rsidR="006E243B">
        <w:rPr>
          <w:rFonts w:hint="eastAsia"/>
        </w:rPr>
        <w:t>調節因應數</w:t>
      </w:r>
      <w:r w:rsidR="006E243B" w:rsidRPr="00FC741A">
        <w:rPr>
          <w:rFonts w:hint="eastAsia"/>
        </w:rPr>
        <w:t>(下稱移用以前年度歲計賸餘)</w:t>
      </w:r>
      <w:r w:rsidR="006E243B">
        <w:rPr>
          <w:rFonts w:hint="eastAsia"/>
        </w:rPr>
        <w:t>預、決算情形(詳表</w:t>
      </w:r>
      <w:r w:rsidR="008A3C57">
        <w:rPr>
          <w:rFonts w:hint="eastAsia"/>
        </w:rPr>
        <w:t>2-5</w:t>
      </w:r>
      <w:r w:rsidR="006E243B">
        <w:rPr>
          <w:rFonts w:hint="eastAsia"/>
        </w:rPr>
        <w:t>)，10</w:t>
      </w:r>
      <w:r w:rsidR="00CF4247">
        <w:rPr>
          <w:rFonts w:hint="eastAsia"/>
        </w:rPr>
        <w:t>4</w:t>
      </w:r>
      <w:r w:rsidR="006E243B">
        <w:rPr>
          <w:rFonts w:hint="eastAsia"/>
        </w:rPr>
        <w:t>至110年</w:t>
      </w:r>
      <w:r w:rsidR="00C0499A">
        <w:rPr>
          <w:rFonts w:hint="eastAsia"/>
        </w:rPr>
        <w:t>度、114年度</w:t>
      </w:r>
      <w:r w:rsidR="00C0499A">
        <w:rPr>
          <w:rStyle w:val="af6"/>
        </w:rPr>
        <w:footnoteReference w:id="13"/>
      </w:r>
      <w:r w:rsidR="006E243B">
        <w:rPr>
          <w:rFonts w:hint="eastAsia"/>
        </w:rPr>
        <w:t>均無編列，111至113年度預算數介於361億餘元至845億餘元間，實際</w:t>
      </w:r>
      <w:r>
        <w:rPr>
          <w:rFonts w:hint="eastAsia"/>
        </w:rPr>
        <w:t>執行，</w:t>
      </w:r>
      <w:r w:rsidR="006E243B">
        <w:rPr>
          <w:rFonts w:hint="eastAsia"/>
        </w:rPr>
        <w:t>均</w:t>
      </w:r>
      <w:r w:rsidR="00C0499A">
        <w:rPr>
          <w:rFonts w:hint="eastAsia"/>
        </w:rPr>
        <w:t>未</w:t>
      </w:r>
      <w:r w:rsidR="00451D9A" w:rsidRPr="00451D9A">
        <w:rPr>
          <w:rFonts w:hint="eastAsia"/>
        </w:rPr>
        <w:t>移用以前年度歲計賸餘</w:t>
      </w:r>
      <w:r w:rsidR="006E243B">
        <w:rPr>
          <w:rFonts w:hint="eastAsia"/>
        </w:rPr>
        <w:t>。</w:t>
      </w:r>
    </w:p>
    <w:p w:rsidR="006E243B" w:rsidRDefault="006E243B" w:rsidP="00AC2C9C">
      <w:pPr>
        <w:pStyle w:val="20"/>
        <w:ind w:leftChars="29" w:left="992" w:hangingChars="321" w:hanging="910"/>
        <w:jc w:val="both"/>
        <w:rPr>
          <w:color w:val="000000"/>
          <w:szCs w:val="24"/>
        </w:rPr>
      </w:pPr>
      <w:r w:rsidRPr="00AC2C9C">
        <w:rPr>
          <w:rFonts w:hint="eastAsia"/>
          <w:b/>
          <w:color w:val="000000"/>
          <w:sz w:val="28"/>
        </w:rPr>
        <w:t>表</w:t>
      </w:r>
      <w:r w:rsidR="00AC2C9C">
        <w:rPr>
          <w:rFonts w:hint="eastAsia"/>
          <w:b/>
          <w:color w:val="000000"/>
          <w:sz w:val="28"/>
        </w:rPr>
        <w:t>2-5</w:t>
      </w:r>
      <w:r w:rsidRPr="00AC2C9C">
        <w:rPr>
          <w:rFonts w:hint="eastAsia"/>
          <w:b/>
          <w:color w:val="000000"/>
          <w:sz w:val="28"/>
        </w:rPr>
        <w:t xml:space="preserve"> </w:t>
      </w:r>
      <w:r w:rsidR="00CF4247" w:rsidRPr="00AC2C9C">
        <w:rPr>
          <w:rFonts w:hint="eastAsia"/>
          <w:b/>
          <w:color w:val="000000"/>
          <w:sz w:val="28"/>
        </w:rPr>
        <w:t>104至11</w:t>
      </w:r>
      <w:r w:rsidR="00CF4247" w:rsidRPr="00AC2C9C">
        <w:rPr>
          <w:b/>
          <w:color w:val="000000"/>
          <w:sz w:val="28"/>
        </w:rPr>
        <w:t>4</w:t>
      </w:r>
      <w:r w:rsidR="00CF4247" w:rsidRPr="00AC2C9C">
        <w:rPr>
          <w:rFonts w:hint="eastAsia"/>
          <w:b/>
          <w:color w:val="000000"/>
          <w:sz w:val="28"/>
        </w:rPr>
        <w:t>年度</w:t>
      </w:r>
      <w:r w:rsidRPr="00AC2C9C">
        <w:rPr>
          <w:rFonts w:hint="eastAsia"/>
          <w:b/>
          <w:color w:val="000000"/>
          <w:sz w:val="28"/>
        </w:rPr>
        <w:t>中央政府總預算</w:t>
      </w:r>
      <w:r w:rsidR="00AC2C9C" w:rsidRPr="00AC2C9C">
        <w:rPr>
          <w:rFonts w:hint="eastAsia"/>
          <w:b/>
          <w:color w:val="000000"/>
          <w:sz w:val="28"/>
        </w:rPr>
        <w:t>移用以前年度歲計賸餘</w:t>
      </w:r>
      <w:r w:rsidRPr="00AC2C9C">
        <w:rPr>
          <w:rFonts w:hint="eastAsia"/>
          <w:b/>
          <w:color w:val="000000"/>
          <w:sz w:val="28"/>
        </w:rPr>
        <w:t>預、決算情形表</w:t>
      </w:r>
      <w:r>
        <w:rPr>
          <w:rFonts w:hint="eastAsia"/>
          <w:b/>
          <w:color w:val="000000"/>
        </w:rPr>
        <w:t xml:space="preserve"> </w:t>
      </w:r>
      <w:r w:rsidR="00AC2C9C">
        <w:rPr>
          <w:rFonts w:hint="eastAsia"/>
          <w:b/>
          <w:color w:val="000000"/>
        </w:rPr>
        <w:t xml:space="preserve">     </w:t>
      </w:r>
      <w:r>
        <w:rPr>
          <w:rFonts w:hint="eastAsia"/>
          <w:b/>
          <w:color w:val="000000"/>
        </w:rPr>
        <w:t xml:space="preserve">                 </w:t>
      </w:r>
      <w:r w:rsidR="00FC741A">
        <w:rPr>
          <w:rFonts w:hint="eastAsia"/>
          <w:b/>
          <w:color w:val="000000"/>
        </w:rPr>
        <w:t xml:space="preserve">               </w:t>
      </w:r>
      <w:r>
        <w:rPr>
          <w:rFonts w:hint="eastAsia"/>
          <w:color w:val="000000"/>
          <w:szCs w:val="24"/>
        </w:rPr>
        <w:t>單位：新臺</w:t>
      </w:r>
      <w:r w:rsidRPr="00F87458">
        <w:rPr>
          <w:rFonts w:hint="eastAsia"/>
          <w:color w:val="000000"/>
          <w:szCs w:val="24"/>
        </w:rPr>
        <w:t>幣</w:t>
      </w:r>
      <w:r>
        <w:rPr>
          <w:rFonts w:hint="eastAsia"/>
          <w:color w:val="000000"/>
          <w:szCs w:val="24"/>
        </w:rPr>
        <w:t>千元</w:t>
      </w:r>
    </w:p>
    <w:tbl>
      <w:tblPr>
        <w:tblW w:w="5000" w:type="pct"/>
        <w:tblInd w:w="11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1192"/>
        <w:gridCol w:w="4011"/>
        <w:gridCol w:w="3357"/>
      </w:tblGrid>
      <w:tr w:rsidR="006E243B" w:rsidRPr="00FC741A" w:rsidTr="000C056A">
        <w:trPr>
          <w:trHeight w:val="397"/>
          <w:tblHeader/>
        </w:trPr>
        <w:tc>
          <w:tcPr>
            <w:tcW w:w="696" w:type="pct"/>
            <w:shd w:val="clear" w:color="auto" w:fill="auto"/>
            <w:vAlign w:val="center"/>
          </w:tcPr>
          <w:p w:rsidR="006E243B" w:rsidRPr="00FC741A" w:rsidRDefault="006E243B" w:rsidP="00AC2C9C">
            <w:pPr>
              <w:pStyle w:val="142"/>
              <w:jc w:val="center"/>
              <w:rPr>
                <w:rFonts w:hAnsi="標楷體"/>
                <w:b/>
                <w:szCs w:val="24"/>
              </w:rPr>
            </w:pPr>
            <w:r w:rsidRPr="00FC741A">
              <w:rPr>
                <w:rFonts w:hAnsi="標楷體" w:hint="eastAsia"/>
                <w:b/>
                <w:szCs w:val="24"/>
              </w:rPr>
              <w:t>年度</w:t>
            </w:r>
          </w:p>
        </w:tc>
        <w:tc>
          <w:tcPr>
            <w:tcW w:w="2343" w:type="pct"/>
            <w:shd w:val="clear" w:color="auto" w:fill="auto"/>
            <w:vAlign w:val="center"/>
          </w:tcPr>
          <w:p w:rsidR="006E243B" w:rsidRPr="00FC741A" w:rsidRDefault="006E243B" w:rsidP="00FC741A">
            <w:pPr>
              <w:pStyle w:val="142"/>
              <w:jc w:val="center"/>
              <w:rPr>
                <w:rFonts w:hAnsi="標楷體"/>
                <w:b/>
                <w:szCs w:val="24"/>
              </w:rPr>
            </w:pPr>
            <w:r w:rsidRPr="00FC741A">
              <w:rPr>
                <w:rFonts w:hAnsi="標楷體" w:hint="eastAsia"/>
                <w:b/>
                <w:szCs w:val="24"/>
              </w:rPr>
              <w:t>預算數</w:t>
            </w:r>
          </w:p>
        </w:tc>
        <w:tc>
          <w:tcPr>
            <w:tcW w:w="1961" w:type="pct"/>
            <w:shd w:val="clear" w:color="auto" w:fill="auto"/>
            <w:vAlign w:val="center"/>
          </w:tcPr>
          <w:p w:rsidR="006E243B" w:rsidRPr="00FC741A" w:rsidRDefault="006E243B" w:rsidP="00FC741A">
            <w:pPr>
              <w:pStyle w:val="142"/>
              <w:jc w:val="center"/>
              <w:rPr>
                <w:rFonts w:hAnsi="標楷體"/>
                <w:b/>
                <w:szCs w:val="24"/>
              </w:rPr>
            </w:pPr>
            <w:r w:rsidRPr="00FC741A">
              <w:rPr>
                <w:rFonts w:hAnsi="標楷體" w:hint="eastAsia"/>
                <w:b/>
                <w:szCs w:val="24"/>
              </w:rPr>
              <w:t>決算數</w:t>
            </w:r>
          </w:p>
        </w:tc>
      </w:tr>
      <w:tr w:rsidR="006E243B" w:rsidRPr="009C56B9" w:rsidTr="000C056A">
        <w:trPr>
          <w:trHeight w:val="397"/>
        </w:trPr>
        <w:tc>
          <w:tcPr>
            <w:tcW w:w="696" w:type="pct"/>
            <w:shd w:val="clear" w:color="auto" w:fill="auto"/>
            <w:vAlign w:val="center"/>
          </w:tcPr>
          <w:p w:rsidR="006E243B" w:rsidRPr="00FC741A" w:rsidRDefault="006E243B" w:rsidP="00AC2C9C">
            <w:pPr>
              <w:pStyle w:val="142"/>
              <w:rPr>
                <w:rFonts w:hAnsi="標楷體"/>
                <w:szCs w:val="24"/>
              </w:rPr>
            </w:pPr>
            <w:r w:rsidRPr="00FC741A">
              <w:rPr>
                <w:rFonts w:hAnsi="標楷體" w:hint="eastAsia"/>
                <w:szCs w:val="24"/>
              </w:rPr>
              <w:t>10</w:t>
            </w:r>
            <w:r w:rsidR="00AC2C9C" w:rsidRPr="00FC741A">
              <w:rPr>
                <w:rFonts w:hAnsi="標楷體" w:hint="eastAsia"/>
                <w:szCs w:val="24"/>
              </w:rPr>
              <w:t>4</w:t>
            </w:r>
            <w:r w:rsidRPr="00FC741A">
              <w:rPr>
                <w:rFonts w:hAnsi="標楷體" w:hint="eastAsia"/>
                <w:szCs w:val="24"/>
              </w:rPr>
              <w:t>-110</w:t>
            </w:r>
          </w:p>
        </w:tc>
        <w:tc>
          <w:tcPr>
            <w:tcW w:w="2343" w:type="pct"/>
            <w:shd w:val="clear" w:color="auto" w:fill="auto"/>
            <w:vAlign w:val="center"/>
          </w:tcPr>
          <w:p w:rsidR="006E243B" w:rsidRPr="00FC741A" w:rsidRDefault="006E243B" w:rsidP="00AC2C9C">
            <w:pPr>
              <w:pStyle w:val="142"/>
              <w:ind w:left="566" w:firstLine="567"/>
              <w:jc w:val="right"/>
            </w:pPr>
            <w:r w:rsidRPr="00FC741A">
              <w:rPr>
                <w:rFonts w:hint="eastAsia"/>
              </w:rPr>
              <w:t>-</w:t>
            </w:r>
          </w:p>
        </w:tc>
        <w:tc>
          <w:tcPr>
            <w:tcW w:w="1961" w:type="pct"/>
            <w:shd w:val="clear" w:color="auto" w:fill="auto"/>
            <w:vAlign w:val="center"/>
          </w:tcPr>
          <w:p w:rsidR="006E243B" w:rsidRPr="00FC741A" w:rsidRDefault="006E243B" w:rsidP="00AC2C9C">
            <w:pPr>
              <w:pStyle w:val="142"/>
              <w:ind w:left="566" w:firstLine="567"/>
              <w:jc w:val="right"/>
            </w:pPr>
            <w:r w:rsidRPr="00FC741A">
              <w:rPr>
                <w:rFonts w:hint="eastAsia"/>
              </w:rPr>
              <w:t>-</w:t>
            </w:r>
          </w:p>
        </w:tc>
      </w:tr>
      <w:tr w:rsidR="006E243B" w:rsidRPr="009C56B9" w:rsidTr="000C056A">
        <w:trPr>
          <w:trHeight w:val="397"/>
        </w:trPr>
        <w:tc>
          <w:tcPr>
            <w:tcW w:w="696" w:type="pct"/>
            <w:shd w:val="clear" w:color="auto" w:fill="auto"/>
            <w:vAlign w:val="center"/>
          </w:tcPr>
          <w:p w:rsidR="006E243B" w:rsidRPr="00FC741A" w:rsidRDefault="006E243B" w:rsidP="00AC2C9C">
            <w:pPr>
              <w:pStyle w:val="142"/>
              <w:rPr>
                <w:rFonts w:hAnsi="標楷體"/>
                <w:szCs w:val="24"/>
              </w:rPr>
            </w:pPr>
            <w:r w:rsidRPr="00FC741A">
              <w:rPr>
                <w:rFonts w:hAnsi="標楷體" w:hint="eastAsia"/>
                <w:szCs w:val="24"/>
              </w:rPr>
              <w:t>1</w:t>
            </w:r>
            <w:r w:rsidRPr="00FC741A">
              <w:rPr>
                <w:rFonts w:hAnsi="標楷體"/>
                <w:szCs w:val="24"/>
              </w:rPr>
              <w:t>11</w:t>
            </w:r>
          </w:p>
        </w:tc>
        <w:tc>
          <w:tcPr>
            <w:tcW w:w="2343" w:type="pct"/>
            <w:shd w:val="clear" w:color="auto" w:fill="auto"/>
            <w:vAlign w:val="center"/>
          </w:tcPr>
          <w:p w:rsidR="006E243B" w:rsidRPr="00FC741A" w:rsidRDefault="006E243B" w:rsidP="00AC2C9C">
            <w:pPr>
              <w:pStyle w:val="142"/>
              <w:ind w:left="566" w:firstLine="567"/>
              <w:jc w:val="right"/>
            </w:pPr>
            <w:r w:rsidRPr="00FC741A">
              <w:t>36,135,105</w:t>
            </w:r>
          </w:p>
        </w:tc>
        <w:tc>
          <w:tcPr>
            <w:tcW w:w="1961" w:type="pct"/>
            <w:shd w:val="clear" w:color="auto" w:fill="auto"/>
            <w:vAlign w:val="center"/>
          </w:tcPr>
          <w:p w:rsidR="006E243B" w:rsidRPr="00FC741A" w:rsidRDefault="006E243B" w:rsidP="00AC2C9C">
            <w:pPr>
              <w:pStyle w:val="142"/>
              <w:ind w:left="566" w:firstLine="567"/>
              <w:jc w:val="right"/>
            </w:pPr>
            <w:r w:rsidRPr="00FC741A">
              <w:rPr>
                <w:rFonts w:hint="eastAsia"/>
              </w:rPr>
              <w:t>-</w:t>
            </w:r>
          </w:p>
        </w:tc>
      </w:tr>
      <w:tr w:rsidR="006E243B" w:rsidRPr="009C56B9" w:rsidTr="000C056A">
        <w:trPr>
          <w:trHeight w:val="397"/>
        </w:trPr>
        <w:tc>
          <w:tcPr>
            <w:tcW w:w="696" w:type="pct"/>
            <w:shd w:val="clear" w:color="auto" w:fill="auto"/>
            <w:vAlign w:val="center"/>
          </w:tcPr>
          <w:p w:rsidR="006E243B" w:rsidRPr="00FC741A" w:rsidRDefault="006E243B" w:rsidP="00AC2C9C">
            <w:pPr>
              <w:pStyle w:val="142"/>
              <w:rPr>
                <w:rFonts w:hAnsi="標楷體"/>
                <w:szCs w:val="24"/>
              </w:rPr>
            </w:pPr>
            <w:r w:rsidRPr="00FC741A">
              <w:rPr>
                <w:rFonts w:hAnsi="標楷體" w:hint="eastAsia"/>
                <w:szCs w:val="24"/>
              </w:rPr>
              <w:t>112</w:t>
            </w:r>
          </w:p>
        </w:tc>
        <w:tc>
          <w:tcPr>
            <w:tcW w:w="2343" w:type="pct"/>
            <w:shd w:val="clear" w:color="auto" w:fill="auto"/>
            <w:vAlign w:val="center"/>
          </w:tcPr>
          <w:p w:rsidR="006E243B" w:rsidRPr="00FC741A" w:rsidRDefault="006E243B" w:rsidP="00AC2C9C">
            <w:pPr>
              <w:pStyle w:val="142"/>
              <w:ind w:left="566" w:firstLine="567"/>
              <w:jc w:val="right"/>
            </w:pPr>
            <w:r w:rsidRPr="00FC741A">
              <w:t>47,332,037</w:t>
            </w:r>
          </w:p>
        </w:tc>
        <w:tc>
          <w:tcPr>
            <w:tcW w:w="1961" w:type="pct"/>
            <w:shd w:val="clear" w:color="auto" w:fill="auto"/>
            <w:vAlign w:val="center"/>
          </w:tcPr>
          <w:p w:rsidR="006E243B" w:rsidRPr="00FC741A" w:rsidRDefault="006E243B" w:rsidP="00AC2C9C">
            <w:pPr>
              <w:pStyle w:val="142"/>
              <w:ind w:left="566" w:firstLine="567"/>
              <w:jc w:val="right"/>
            </w:pPr>
            <w:r w:rsidRPr="00FC741A">
              <w:rPr>
                <w:rFonts w:hint="eastAsia"/>
              </w:rPr>
              <w:t>-</w:t>
            </w:r>
          </w:p>
        </w:tc>
      </w:tr>
      <w:tr w:rsidR="006E243B" w:rsidRPr="009C56B9" w:rsidTr="000C056A">
        <w:trPr>
          <w:trHeight w:val="397"/>
        </w:trPr>
        <w:tc>
          <w:tcPr>
            <w:tcW w:w="696" w:type="pct"/>
            <w:shd w:val="clear" w:color="auto" w:fill="auto"/>
            <w:vAlign w:val="center"/>
          </w:tcPr>
          <w:p w:rsidR="006E243B" w:rsidRPr="00FC741A" w:rsidRDefault="006E243B" w:rsidP="00AC2C9C">
            <w:pPr>
              <w:pStyle w:val="142"/>
              <w:rPr>
                <w:rFonts w:hAnsi="標楷體"/>
                <w:szCs w:val="24"/>
              </w:rPr>
            </w:pPr>
            <w:r w:rsidRPr="00FC741A">
              <w:rPr>
                <w:rFonts w:hAnsi="標楷體" w:hint="eastAsia"/>
                <w:szCs w:val="24"/>
              </w:rPr>
              <w:t>113</w:t>
            </w:r>
          </w:p>
        </w:tc>
        <w:tc>
          <w:tcPr>
            <w:tcW w:w="2343" w:type="pct"/>
            <w:shd w:val="clear" w:color="auto" w:fill="auto"/>
            <w:vAlign w:val="center"/>
          </w:tcPr>
          <w:p w:rsidR="006E243B" w:rsidRPr="00FC741A" w:rsidRDefault="006E243B" w:rsidP="00AC2C9C">
            <w:pPr>
              <w:pStyle w:val="142"/>
              <w:ind w:left="566" w:firstLine="567"/>
              <w:jc w:val="right"/>
            </w:pPr>
            <w:r w:rsidRPr="00FC741A">
              <w:rPr>
                <w:rFonts w:hint="eastAsia"/>
              </w:rPr>
              <w:t>8</w:t>
            </w:r>
            <w:r w:rsidRPr="00FC741A">
              <w:t>4,576,653</w:t>
            </w:r>
          </w:p>
        </w:tc>
        <w:tc>
          <w:tcPr>
            <w:tcW w:w="1961" w:type="pct"/>
            <w:shd w:val="clear" w:color="auto" w:fill="auto"/>
            <w:vAlign w:val="center"/>
          </w:tcPr>
          <w:p w:rsidR="006E243B" w:rsidRPr="00FC741A" w:rsidRDefault="006E243B" w:rsidP="00AC2C9C">
            <w:pPr>
              <w:pStyle w:val="142"/>
              <w:ind w:left="566" w:firstLine="567"/>
              <w:jc w:val="right"/>
            </w:pPr>
            <w:r w:rsidRPr="00FC741A">
              <w:rPr>
                <w:rFonts w:hint="eastAsia"/>
              </w:rPr>
              <w:t>-</w:t>
            </w:r>
          </w:p>
        </w:tc>
      </w:tr>
      <w:tr w:rsidR="006E243B" w:rsidRPr="009C56B9" w:rsidTr="000C056A">
        <w:trPr>
          <w:trHeight w:val="397"/>
        </w:trPr>
        <w:tc>
          <w:tcPr>
            <w:tcW w:w="696" w:type="pct"/>
            <w:shd w:val="clear" w:color="auto" w:fill="auto"/>
            <w:vAlign w:val="center"/>
          </w:tcPr>
          <w:p w:rsidR="006E243B" w:rsidRPr="00FC741A" w:rsidRDefault="006E243B" w:rsidP="00AC2C9C">
            <w:pPr>
              <w:pStyle w:val="142"/>
              <w:rPr>
                <w:rFonts w:hAnsi="標楷體"/>
                <w:szCs w:val="24"/>
              </w:rPr>
            </w:pPr>
            <w:r w:rsidRPr="00FC741A">
              <w:rPr>
                <w:rFonts w:hAnsi="標楷體" w:hint="eastAsia"/>
                <w:szCs w:val="24"/>
              </w:rPr>
              <w:t>114</w:t>
            </w:r>
          </w:p>
        </w:tc>
        <w:tc>
          <w:tcPr>
            <w:tcW w:w="2343" w:type="pct"/>
            <w:shd w:val="clear" w:color="auto" w:fill="auto"/>
            <w:vAlign w:val="center"/>
          </w:tcPr>
          <w:p w:rsidR="006E243B" w:rsidRPr="00FC741A" w:rsidRDefault="00AC2C9C" w:rsidP="00AC2C9C">
            <w:pPr>
              <w:pStyle w:val="142"/>
              <w:ind w:left="566" w:firstLine="567"/>
              <w:jc w:val="right"/>
            </w:pPr>
            <w:r w:rsidRPr="00FC741A">
              <w:rPr>
                <w:rFonts w:hint="eastAsia"/>
              </w:rPr>
              <w:t>-</w:t>
            </w:r>
          </w:p>
        </w:tc>
        <w:tc>
          <w:tcPr>
            <w:tcW w:w="1961" w:type="pct"/>
            <w:shd w:val="clear" w:color="auto" w:fill="auto"/>
            <w:vAlign w:val="center"/>
          </w:tcPr>
          <w:p w:rsidR="006E243B" w:rsidRPr="00FC741A" w:rsidRDefault="006E243B" w:rsidP="00AC2C9C">
            <w:pPr>
              <w:pStyle w:val="142"/>
              <w:ind w:left="566" w:firstLine="567"/>
              <w:jc w:val="right"/>
            </w:pPr>
            <w:r w:rsidRPr="00FC741A">
              <w:rPr>
                <w:rFonts w:hint="eastAsia"/>
              </w:rPr>
              <w:t>-</w:t>
            </w:r>
          </w:p>
        </w:tc>
      </w:tr>
    </w:tbl>
    <w:p w:rsidR="006E243B" w:rsidRDefault="006E243B" w:rsidP="00CF4247">
      <w:pPr>
        <w:pStyle w:val="142"/>
        <w:ind w:left="1189" w:hangingChars="489" w:hanging="1189"/>
      </w:pPr>
      <w:r w:rsidRPr="00F87458">
        <w:rPr>
          <w:rFonts w:hint="eastAsia"/>
        </w:rPr>
        <w:t>資料來源：</w:t>
      </w:r>
      <w:r w:rsidR="00CF4247">
        <w:rPr>
          <w:rFonts w:hint="eastAsia"/>
        </w:rPr>
        <w:t>104</w:t>
      </w:r>
      <w:r>
        <w:rPr>
          <w:rFonts w:hint="eastAsia"/>
        </w:rPr>
        <w:t>至11</w:t>
      </w:r>
      <w:r>
        <w:t>4</w:t>
      </w:r>
      <w:r>
        <w:rPr>
          <w:rFonts w:hint="eastAsia"/>
        </w:rPr>
        <w:t>年度中央政府總預算</w:t>
      </w:r>
      <w:r w:rsidRPr="00F87458">
        <w:rPr>
          <w:rFonts w:hint="eastAsia"/>
        </w:rPr>
        <w:t>。</w:t>
      </w:r>
    </w:p>
    <w:p w:rsidR="00A00A3F" w:rsidRDefault="003B49D3" w:rsidP="003B49D3">
      <w:pPr>
        <w:pStyle w:val="2"/>
        <w:ind w:left="850" w:firstLine="566"/>
      </w:pPr>
      <w:r>
        <w:rPr>
          <w:rFonts w:hint="eastAsia"/>
        </w:rPr>
        <w:t>此外，依</w:t>
      </w:r>
      <w:r w:rsidRPr="003B49D3">
        <w:rPr>
          <w:rFonts w:hint="eastAsia"/>
        </w:rPr>
        <w:t>114年度中央政府總預算「中央政府累計餘絀分析表」，</w:t>
      </w:r>
      <w:r>
        <w:rPr>
          <w:rFonts w:hint="eastAsia"/>
        </w:rPr>
        <w:t>決算審定累計賸餘數中，</w:t>
      </w:r>
      <w:r w:rsidRPr="003B49D3">
        <w:rPr>
          <w:rFonts w:hint="eastAsia"/>
        </w:rPr>
        <w:t>審計部審定特別決算</w:t>
      </w:r>
      <w:r>
        <w:rPr>
          <w:rFonts w:hint="eastAsia"/>
        </w:rPr>
        <w:t>移用數</w:t>
      </w:r>
      <w:r w:rsidR="00475243">
        <w:rPr>
          <w:rFonts w:hint="eastAsia"/>
        </w:rPr>
        <w:t>為</w:t>
      </w:r>
      <w:r>
        <w:rPr>
          <w:rFonts w:hint="eastAsia"/>
        </w:rPr>
        <w:t>1</w:t>
      </w:r>
      <w:r>
        <w:t>,</w:t>
      </w:r>
      <w:r>
        <w:rPr>
          <w:rFonts w:hint="eastAsia"/>
        </w:rPr>
        <w:t>837億餘元</w:t>
      </w:r>
      <w:r w:rsidR="00475243">
        <w:rPr>
          <w:rFonts w:hint="eastAsia"/>
        </w:rPr>
        <w:t>(共計11項特別決算)</w:t>
      </w:r>
      <w:r>
        <w:rPr>
          <w:rFonts w:hint="eastAsia"/>
        </w:rPr>
        <w:t>，</w:t>
      </w:r>
      <w:r w:rsidR="00F6246A">
        <w:rPr>
          <w:rFonts w:hint="eastAsia"/>
        </w:rPr>
        <w:t>其中</w:t>
      </w:r>
      <w:r>
        <w:rPr>
          <w:rFonts w:hint="eastAsia"/>
        </w:rPr>
        <w:t>近10年</w:t>
      </w:r>
      <w:r w:rsidR="000502A7">
        <w:rPr>
          <w:rFonts w:hint="eastAsia"/>
        </w:rPr>
        <w:t>僅</w:t>
      </w:r>
      <w:r w:rsidRPr="003B49D3">
        <w:rPr>
          <w:rFonts w:hint="eastAsia"/>
        </w:rPr>
        <w:t>109年1月15日至112年6月30日</w:t>
      </w:r>
      <w:r w:rsidR="00F6246A">
        <w:rPr>
          <w:rFonts w:hint="eastAsia"/>
        </w:rPr>
        <w:t>執行之</w:t>
      </w:r>
      <w:r w:rsidRPr="003B49D3">
        <w:rPr>
          <w:rFonts w:hint="eastAsia"/>
        </w:rPr>
        <w:t>中央政府嚴重特殊傳染性肺炎防治及紓困振興特別決算</w:t>
      </w:r>
      <w:r w:rsidR="00F6246A">
        <w:rPr>
          <w:rFonts w:hint="eastAsia"/>
        </w:rPr>
        <w:t>1項</w:t>
      </w:r>
      <w:r w:rsidRPr="003B49D3">
        <w:rPr>
          <w:rFonts w:hint="eastAsia"/>
        </w:rPr>
        <w:t>移用</w:t>
      </w:r>
      <w:r w:rsidR="00475243">
        <w:rPr>
          <w:rFonts w:hint="eastAsia"/>
        </w:rPr>
        <w:t>300億元。</w:t>
      </w:r>
    </w:p>
    <w:p w:rsidR="001947A6" w:rsidRPr="00F6246A" w:rsidRDefault="001947A6" w:rsidP="003B49D3">
      <w:pPr>
        <w:pStyle w:val="2"/>
        <w:ind w:left="850" w:firstLine="566"/>
      </w:pPr>
    </w:p>
    <w:p w:rsidR="00C86FEE" w:rsidRPr="00B74DA0" w:rsidRDefault="00EC3EF3" w:rsidP="00EC3EF3">
      <w:pPr>
        <w:pStyle w:val="14"/>
        <w:ind w:left="567" w:hanging="567"/>
      </w:pPr>
      <w:bookmarkStart w:id="8" w:name="_Toc203481651"/>
      <w:r w:rsidRPr="00B74DA0">
        <w:rPr>
          <w:rFonts w:hint="eastAsia"/>
        </w:rPr>
        <w:t>參、</w:t>
      </w:r>
      <w:r w:rsidR="00506812" w:rsidRPr="00B74DA0">
        <w:rPr>
          <w:rFonts w:hint="eastAsia"/>
        </w:rPr>
        <w:t>相關問題探討</w:t>
      </w:r>
      <w:bookmarkEnd w:id="8"/>
    </w:p>
    <w:p w:rsidR="00A00A3F" w:rsidRDefault="00A00A3F" w:rsidP="00A00A3F">
      <w:pPr>
        <w:pStyle w:val="14"/>
        <w:ind w:left="567" w:hanging="567"/>
        <w:rPr>
          <w:rFonts w:hAnsi="標楷體"/>
        </w:rPr>
      </w:pPr>
      <w:bookmarkStart w:id="9" w:name="_Toc203481652"/>
      <w:r w:rsidRPr="00BE389D">
        <w:rPr>
          <w:rFonts w:hAnsi="標楷體" w:hint="eastAsia"/>
        </w:rPr>
        <w:t>一、依總統於114年3月21日公布之財政收支劃分法修正條文，中央政府之稅課收入將大幅減少，允宜審慎規劃各項歲出計畫，</w:t>
      </w:r>
      <w:r w:rsidR="00933F90">
        <w:rPr>
          <w:rFonts w:hAnsi="標楷體" w:hint="eastAsia"/>
        </w:rPr>
        <w:t>並</w:t>
      </w:r>
      <w:r w:rsidR="001E34B8">
        <w:rPr>
          <w:rFonts w:hAnsi="標楷體" w:hint="eastAsia"/>
        </w:rPr>
        <w:t>通盤</w:t>
      </w:r>
      <w:r w:rsidRPr="00BE389D">
        <w:rPr>
          <w:rFonts w:hAnsi="標楷體" w:hint="eastAsia"/>
        </w:rPr>
        <w:t>檢視</w:t>
      </w:r>
      <w:r w:rsidR="00933F90">
        <w:rPr>
          <w:rFonts w:hAnsi="標楷體" w:hint="eastAsia"/>
        </w:rPr>
        <w:t>及</w:t>
      </w:r>
      <w:r w:rsidRPr="00BE389D">
        <w:rPr>
          <w:rFonts w:hAnsi="標楷體" w:hint="eastAsia"/>
        </w:rPr>
        <w:t>研</w:t>
      </w:r>
      <w:r w:rsidR="00F42C75">
        <w:rPr>
          <w:rFonts w:hAnsi="標楷體" w:hint="eastAsia"/>
        </w:rPr>
        <w:t>議</w:t>
      </w:r>
      <w:r w:rsidRPr="00BE389D">
        <w:rPr>
          <w:rFonts w:hAnsi="標楷體" w:hint="eastAsia"/>
        </w:rPr>
        <w:t>與地方政府間之權責劃分</w:t>
      </w:r>
      <w:r w:rsidR="001E34B8">
        <w:rPr>
          <w:rFonts w:hAnsi="標楷體" w:hint="eastAsia"/>
        </w:rPr>
        <w:t>相關事宜</w:t>
      </w:r>
      <w:r w:rsidRPr="00BE389D">
        <w:rPr>
          <w:rFonts w:hAnsi="標楷體" w:hint="eastAsia"/>
        </w:rPr>
        <w:t>，以資因應</w:t>
      </w:r>
      <w:bookmarkEnd w:id="9"/>
    </w:p>
    <w:p w:rsidR="00953BE1" w:rsidRDefault="00DA0C07" w:rsidP="00953BE1">
      <w:pPr>
        <w:ind w:left="566" w:firstLine="542"/>
        <w:rPr>
          <w:rFonts w:hAnsi="標楷體"/>
          <w:snapToGrid/>
          <w:spacing w:val="-6"/>
        </w:rPr>
      </w:pPr>
      <w:r>
        <w:rPr>
          <w:rFonts w:hAnsi="標楷體" w:hint="eastAsia"/>
          <w:snapToGrid/>
          <w:spacing w:val="-6"/>
        </w:rPr>
        <w:t>依</w:t>
      </w:r>
      <w:r w:rsidR="00953BE1" w:rsidRPr="00953BE1">
        <w:rPr>
          <w:rFonts w:hAnsi="標楷體" w:hint="eastAsia"/>
          <w:snapToGrid/>
          <w:spacing w:val="-6"/>
        </w:rPr>
        <w:t>總統於114年3月21日公布</w:t>
      </w:r>
      <w:r>
        <w:rPr>
          <w:rFonts w:hAnsi="標楷體" w:hint="eastAsia"/>
          <w:snapToGrid/>
          <w:spacing w:val="-6"/>
        </w:rPr>
        <w:t>之</w:t>
      </w:r>
      <w:r w:rsidR="00953BE1" w:rsidRPr="00953BE1">
        <w:rPr>
          <w:rFonts w:hAnsi="標楷體" w:hint="eastAsia"/>
          <w:snapToGrid/>
          <w:spacing w:val="-6"/>
        </w:rPr>
        <w:t>財劃法修正條文，其中第8條第2項修正調整各級政府稅收之劃分規定</w:t>
      </w:r>
      <w:r>
        <w:rPr>
          <w:rStyle w:val="af6"/>
          <w:rFonts w:hAnsi="標楷體"/>
          <w:snapToGrid/>
          <w:spacing w:val="-6"/>
        </w:rPr>
        <w:footnoteReference w:id="14"/>
      </w:r>
      <w:r w:rsidR="00953BE1" w:rsidRPr="00953BE1">
        <w:rPr>
          <w:rFonts w:hAnsi="標楷體" w:hint="eastAsia"/>
          <w:snapToGrid/>
          <w:spacing w:val="-6"/>
        </w:rPr>
        <w:t>，</w:t>
      </w:r>
      <w:r w:rsidR="00C709F9">
        <w:rPr>
          <w:rFonts w:hAnsi="標楷體" w:hint="eastAsia"/>
          <w:snapToGrid/>
          <w:spacing w:val="-6"/>
        </w:rPr>
        <w:t>且</w:t>
      </w:r>
      <w:r>
        <w:rPr>
          <w:rFonts w:hAnsi="標楷體" w:hint="eastAsia"/>
          <w:snapToGrid/>
          <w:spacing w:val="-6"/>
        </w:rPr>
        <w:t>如前開貳、一、(二)</w:t>
      </w:r>
      <w:r w:rsidR="00C0499A">
        <w:rPr>
          <w:rFonts w:hAnsi="標楷體" w:hint="eastAsia"/>
          <w:snapToGrid/>
          <w:spacing w:val="-6"/>
        </w:rPr>
        <w:t>關於</w:t>
      </w:r>
      <w:r w:rsidR="00C0499A" w:rsidRPr="00953BE1">
        <w:rPr>
          <w:rFonts w:hAnsi="標楷體" w:hint="eastAsia"/>
          <w:snapToGrid/>
          <w:spacing w:val="-6"/>
        </w:rPr>
        <w:t>修正後財劃法對中央財源影響</w:t>
      </w:r>
      <w:r w:rsidR="00C0499A">
        <w:rPr>
          <w:rFonts w:hAnsi="標楷體" w:hint="eastAsia"/>
          <w:snapToGrid/>
          <w:spacing w:val="-6"/>
        </w:rPr>
        <w:t>之</w:t>
      </w:r>
      <w:r>
        <w:rPr>
          <w:rFonts w:hAnsi="標楷體" w:hint="eastAsia"/>
          <w:snapToGrid/>
          <w:spacing w:val="-6"/>
        </w:rPr>
        <w:t>說明，</w:t>
      </w:r>
      <w:r w:rsidR="00C0499A">
        <w:rPr>
          <w:rFonts w:hAnsi="標楷體" w:hint="eastAsia"/>
          <w:snapToGrid/>
          <w:spacing w:val="-6"/>
        </w:rPr>
        <w:t>經財政部以114年度各稅預算資料設算，初估</w:t>
      </w:r>
      <w:r w:rsidRPr="00953BE1">
        <w:rPr>
          <w:rFonts w:hAnsi="標楷體" w:hint="eastAsia"/>
          <w:snapToGrid/>
          <w:spacing w:val="-6"/>
        </w:rPr>
        <w:t>中央政府須增加釋出財源3,753億元</w:t>
      </w:r>
      <w:r>
        <w:rPr>
          <w:rFonts w:hAnsi="標楷體" w:hint="eastAsia"/>
          <w:snapToGrid/>
          <w:spacing w:val="-6"/>
        </w:rPr>
        <w:t>，顯示</w:t>
      </w:r>
      <w:r w:rsidRPr="00953BE1">
        <w:rPr>
          <w:rFonts w:hAnsi="標楷體" w:hint="eastAsia"/>
          <w:snapToGrid/>
          <w:spacing w:val="-6"/>
        </w:rPr>
        <w:t>中央政府之稅課收入將大幅減少</w:t>
      </w:r>
      <w:r>
        <w:rPr>
          <w:rFonts w:hAnsi="標楷體" w:hint="eastAsia"/>
          <w:snapToGrid/>
          <w:spacing w:val="-6"/>
        </w:rPr>
        <w:t>，允宜</w:t>
      </w:r>
      <w:r w:rsidR="00686561" w:rsidRPr="00686561">
        <w:rPr>
          <w:rFonts w:hAnsi="標楷體" w:hint="eastAsia"/>
          <w:snapToGrid/>
          <w:spacing w:val="-6"/>
        </w:rPr>
        <w:t>審慎規劃各項歲出計畫，</w:t>
      </w:r>
      <w:r w:rsidR="00F42C75">
        <w:rPr>
          <w:rFonts w:hAnsi="標楷體" w:hint="eastAsia"/>
          <w:snapToGrid/>
          <w:spacing w:val="-6"/>
        </w:rPr>
        <w:t>並</w:t>
      </w:r>
      <w:r w:rsidR="00C266AD">
        <w:rPr>
          <w:rFonts w:hAnsi="標楷體" w:hint="eastAsia"/>
          <w:snapToGrid/>
          <w:spacing w:val="-6"/>
        </w:rPr>
        <w:t>通盤</w:t>
      </w:r>
      <w:r w:rsidR="00686561" w:rsidRPr="00686561">
        <w:rPr>
          <w:rFonts w:hAnsi="標楷體" w:hint="eastAsia"/>
          <w:snapToGrid/>
          <w:spacing w:val="-6"/>
        </w:rPr>
        <w:t>檢視</w:t>
      </w:r>
      <w:r w:rsidR="00F42C75">
        <w:rPr>
          <w:rFonts w:hAnsi="標楷體" w:hint="eastAsia"/>
          <w:snapToGrid/>
          <w:spacing w:val="-6"/>
        </w:rPr>
        <w:t>及</w:t>
      </w:r>
      <w:r w:rsidR="00686561" w:rsidRPr="00686561">
        <w:rPr>
          <w:rFonts w:hAnsi="標楷體" w:hint="eastAsia"/>
          <w:snapToGrid/>
          <w:spacing w:val="-6"/>
        </w:rPr>
        <w:t>研修與地方政府間之權責劃分規定</w:t>
      </w:r>
      <w:r w:rsidR="00C266AD">
        <w:rPr>
          <w:rFonts w:hAnsi="標楷體" w:hint="eastAsia"/>
          <w:snapToGrid/>
          <w:spacing w:val="-6"/>
        </w:rPr>
        <w:t>等事宜</w:t>
      </w:r>
      <w:r w:rsidR="00953BE1" w:rsidRPr="00953BE1">
        <w:rPr>
          <w:rFonts w:hAnsi="標楷體" w:hint="eastAsia"/>
          <w:snapToGrid/>
          <w:spacing w:val="-6"/>
        </w:rPr>
        <w:t>。</w:t>
      </w:r>
      <w:r w:rsidR="00451D9A">
        <w:rPr>
          <w:rFonts w:hAnsi="標楷體" w:hint="eastAsia"/>
          <w:snapToGrid/>
          <w:spacing w:val="-6"/>
        </w:rPr>
        <w:t>茲說明如下</w:t>
      </w:r>
      <w:r w:rsidR="00451D9A" w:rsidRPr="00451D9A">
        <w:rPr>
          <w:rFonts w:hAnsi="標楷體" w:hint="eastAsia"/>
          <w:snapToGrid/>
          <w:spacing w:val="-6"/>
        </w:rPr>
        <w:t>：</w:t>
      </w:r>
    </w:p>
    <w:p w:rsidR="00781B0B" w:rsidRPr="00B23263" w:rsidRDefault="00781B0B" w:rsidP="00B23263">
      <w:pPr>
        <w:pStyle w:val="a4"/>
        <w:ind w:left="837" w:hanging="271"/>
        <w:rPr>
          <w:rFonts w:hAnsi="標楷體"/>
          <w:b/>
          <w:snapToGrid/>
          <w:spacing w:val="-6"/>
        </w:rPr>
      </w:pPr>
      <w:r w:rsidRPr="00B23263">
        <w:rPr>
          <w:rFonts w:hAnsi="標楷體" w:hint="eastAsia"/>
          <w:b/>
          <w:snapToGrid/>
          <w:spacing w:val="-6"/>
        </w:rPr>
        <w:t>(一)</w:t>
      </w:r>
      <w:r w:rsidR="001A2327">
        <w:rPr>
          <w:rFonts w:hAnsi="標楷體" w:hint="eastAsia"/>
          <w:b/>
          <w:snapToGrid/>
          <w:spacing w:val="-6"/>
        </w:rPr>
        <w:t>財劃法修正後</w:t>
      </w:r>
      <w:r w:rsidR="001A2327" w:rsidRPr="001A2327">
        <w:rPr>
          <w:rFonts w:hAnsi="標楷體" w:hint="eastAsia"/>
          <w:b/>
          <w:snapToGrid/>
          <w:spacing w:val="-6"/>
        </w:rPr>
        <w:t>中央政府</w:t>
      </w:r>
      <w:r w:rsidR="001A2327">
        <w:rPr>
          <w:rFonts w:hAnsi="標楷體" w:hint="eastAsia"/>
          <w:b/>
          <w:snapToGrid/>
          <w:spacing w:val="-6"/>
        </w:rPr>
        <w:t>可運用財源</w:t>
      </w:r>
      <w:r w:rsidR="001A2327" w:rsidRPr="001A2327">
        <w:rPr>
          <w:rFonts w:hAnsi="標楷體" w:hint="eastAsia"/>
          <w:b/>
          <w:snapToGrid/>
          <w:spacing w:val="-6"/>
        </w:rPr>
        <w:t>將大幅減少，</w:t>
      </w:r>
      <w:r w:rsidRPr="00B23263">
        <w:rPr>
          <w:rFonts w:hAnsi="標楷體" w:hint="eastAsia"/>
          <w:b/>
          <w:snapToGrid/>
          <w:spacing w:val="-6"/>
        </w:rPr>
        <w:t>允宜審慎規劃各項歲出計畫</w:t>
      </w:r>
      <w:r w:rsidR="00271E27">
        <w:rPr>
          <w:rFonts w:hAnsi="標楷體" w:hint="eastAsia"/>
          <w:b/>
          <w:snapToGrid/>
          <w:spacing w:val="-6"/>
        </w:rPr>
        <w:t>，俾利</w:t>
      </w:r>
      <w:r w:rsidR="00271E27" w:rsidRPr="00271E27">
        <w:rPr>
          <w:rFonts w:hAnsi="標楷體" w:hint="eastAsia"/>
          <w:b/>
          <w:snapToGrid/>
          <w:spacing w:val="-6"/>
        </w:rPr>
        <w:t>施政項目</w:t>
      </w:r>
      <w:r w:rsidR="00271E27">
        <w:rPr>
          <w:rFonts w:hAnsi="標楷體" w:hint="eastAsia"/>
          <w:b/>
          <w:snapToGrid/>
          <w:spacing w:val="-6"/>
        </w:rPr>
        <w:t>之</w:t>
      </w:r>
      <w:r w:rsidR="00271E27" w:rsidRPr="00271E27">
        <w:rPr>
          <w:rFonts w:hAnsi="標楷體" w:hint="eastAsia"/>
          <w:b/>
          <w:snapToGrid/>
          <w:spacing w:val="-6"/>
        </w:rPr>
        <w:t>順利推動或延續</w:t>
      </w:r>
    </w:p>
    <w:p w:rsidR="0007340E" w:rsidRDefault="00F42C75" w:rsidP="0007340E">
      <w:pPr>
        <w:pStyle w:val="2"/>
        <w:ind w:left="850" w:firstLine="566"/>
        <w:rPr>
          <w:rFonts w:hAnsi="標楷體"/>
        </w:rPr>
      </w:pPr>
      <w:r>
        <w:rPr>
          <w:rFonts w:hint="eastAsia"/>
        </w:rPr>
        <w:t>按</w:t>
      </w:r>
      <w:r w:rsidR="0007340E" w:rsidRPr="004811BE">
        <w:rPr>
          <w:rFonts w:hint="eastAsia"/>
        </w:rPr>
        <w:t>預算法第1條第3項</w:t>
      </w:r>
      <w:r w:rsidR="0007340E" w:rsidRPr="004811BE">
        <w:rPr>
          <w:rStyle w:val="af6"/>
        </w:rPr>
        <w:footnoteReference w:id="15"/>
      </w:r>
      <w:r w:rsidR="0007340E" w:rsidRPr="004811BE">
        <w:rPr>
          <w:rFonts w:hAnsi="標楷體" w:hint="eastAsia"/>
        </w:rPr>
        <w:t>及第28條第4款</w:t>
      </w:r>
      <w:r w:rsidRPr="004811BE">
        <w:rPr>
          <w:rStyle w:val="af6"/>
          <w:rFonts w:hAnsi="標楷體"/>
        </w:rPr>
        <w:footnoteReference w:id="16"/>
      </w:r>
      <w:r w:rsidR="0007340E" w:rsidRPr="004811BE">
        <w:rPr>
          <w:rFonts w:hAnsi="標楷體" w:hint="eastAsia"/>
        </w:rPr>
        <w:t>之規定，預算之編製及執行應遵守總體經濟均衡之原則，且中央財政主管機關應供給以前年度收入狀況，財務上增進效能與減少不經濟支出之建議及下年度財政措施，與最大可能之收入額度，俾利行政院在確保財政收入之可行性下，擘劃施政方針及推展各項政務。</w:t>
      </w:r>
    </w:p>
    <w:p w:rsidR="0068333E" w:rsidRDefault="00781B0B" w:rsidP="00E939ED">
      <w:pPr>
        <w:pStyle w:val="2"/>
        <w:ind w:left="850" w:firstLine="566"/>
        <w:rPr>
          <w:rFonts w:hAnsi="標楷體"/>
        </w:rPr>
      </w:pPr>
      <w:r>
        <w:rPr>
          <w:rFonts w:hAnsi="標楷體" w:hint="eastAsia"/>
        </w:rPr>
        <w:t>行政院於114年2月27日以</w:t>
      </w:r>
      <w:r w:rsidR="00F42C75">
        <w:rPr>
          <w:rFonts w:hAnsi="標楷體" w:hint="eastAsia"/>
        </w:rPr>
        <w:t>立法</w:t>
      </w:r>
      <w:r>
        <w:rPr>
          <w:rFonts w:hAnsi="標楷體" w:hint="eastAsia"/>
        </w:rPr>
        <w:t>院三讀通過修正財劃法部分條文，</w:t>
      </w:r>
      <w:r w:rsidR="004473A8" w:rsidRPr="004473A8">
        <w:rPr>
          <w:rFonts w:hAnsi="標楷體" w:hint="eastAsia"/>
        </w:rPr>
        <w:t>經研議確屬窒礙難行，移請覆議</w:t>
      </w:r>
      <w:r w:rsidR="00B05342">
        <w:rPr>
          <w:rFonts w:hAnsi="標楷體" w:hint="eastAsia"/>
        </w:rPr>
        <w:t>，</w:t>
      </w:r>
      <w:r w:rsidR="0068333E">
        <w:rPr>
          <w:rFonts w:hAnsi="標楷體" w:hint="eastAsia"/>
        </w:rPr>
        <w:t>依</w:t>
      </w:r>
      <w:r w:rsidR="00271E27">
        <w:rPr>
          <w:rFonts w:hAnsi="標楷體" w:hint="eastAsia"/>
        </w:rPr>
        <w:t>行政院來函，</w:t>
      </w:r>
      <w:r w:rsidR="00E61E7A">
        <w:rPr>
          <w:rFonts w:hAnsi="標楷體" w:hint="eastAsia"/>
        </w:rPr>
        <w:t>關</w:t>
      </w:r>
      <w:r w:rsidR="00E61E7A" w:rsidRPr="00E939ED">
        <w:rPr>
          <w:rFonts w:hAnsi="標楷體" w:hint="eastAsia"/>
        </w:rPr>
        <w:t>於</w:t>
      </w:r>
      <w:r w:rsidR="00B05342" w:rsidRPr="00E939ED">
        <w:rPr>
          <w:rFonts w:hAnsi="標楷體" w:hint="eastAsia"/>
        </w:rPr>
        <w:t>財劃法修正條文第8條調整各級政府稅收劃分</w:t>
      </w:r>
      <w:r w:rsidR="007C231E" w:rsidRPr="00E939ED">
        <w:rPr>
          <w:rFonts w:hAnsi="標楷體" w:hint="eastAsia"/>
        </w:rPr>
        <w:t>，大幅削減中央可運用財源</w:t>
      </w:r>
      <w:r w:rsidR="00E61E7A" w:rsidRPr="00E939ED">
        <w:rPr>
          <w:rFonts w:hAnsi="標楷體" w:hint="eastAsia"/>
        </w:rPr>
        <w:t>部分</w:t>
      </w:r>
      <w:r w:rsidR="00B05342" w:rsidRPr="00E939ED">
        <w:rPr>
          <w:rFonts w:hAnsi="標楷體" w:hint="eastAsia"/>
        </w:rPr>
        <w:t>，</w:t>
      </w:r>
      <w:r w:rsidR="0068333E">
        <w:rPr>
          <w:rFonts w:hAnsi="標楷體" w:hint="eastAsia"/>
        </w:rPr>
        <w:t>其</w:t>
      </w:r>
      <w:r w:rsidR="00E61E7A" w:rsidRPr="00E939ED">
        <w:rPr>
          <w:rFonts w:hAnsi="標楷體" w:hint="eastAsia"/>
        </w:rPr>
        <w:t>窒礙難行之理由</w:t>
      </w:r>
      <w:r w:rsidR="007C231E" w:rsidRPr="00E939ED">
        <w:rPr>
          <w:rFonts w:hAnsi="標楷體" w:hint="eastAsia"/>
        </w:rPr>
        <w:t>載有</w:t>
      </w:r>
      <w:r w:rsidR="00E61E7A" w:rsidRPr="00E939ED">
        <w:rPr>
          <w:rFonts w:hAnsi="標楷體" w:hint="eastAsia"/>
        </w:rPr>
        <w:t>：「</w:t>
      </w:r>
      <w:r w:rsidRPr="00E939ED">
        <w:rPr>
          <w:rFonts w:hAnsi="標楷體" w:hint="eastAsia"/>
        </w:rPr>
        <w:t>按114年度中央政府總預算案歲出編列3兆1,325億元設算，經扣除無法刪減之法定義務支出1兆8,144億元，其餘歲出1兆3,181億元尚須刪減約28%，致各部會預算額度均受到衝擊，影響政府施政目標之達成。</w:t>
      </w:r>
      <w:r w:rsidR="0068333E">
        <w:rPr>
          <w:rFonts w:hAnsi="標楷體" w:hint="eastAsia"/>
        </w:rPr>
        <w:t>」、「</w:t>
      </w:r>
      <w:r w:rsidRPr="00E939ED">
        <w:rPr>
          <w:rFonts w:hAnsi="標楷體" w:hint="eastAsia"/>
        </w:rPr>
        <w:t>有關前瞻基礎建設計畫已核定項目後續需賡續辦理計畫經費4,212億元，未來均須回歸總預算編列</w:t>
      </w:r>
      <w:r w:rsidR="0068333E">
        <w:rPr>
          <w:rFonts w:hAnsi="標楷體" w:hint="eastAsia"/>
        </w:rPr>
        <w:t>」、「</w:t>
      </w:r>
      <w:r w:rsidRPr="00E939ED">
        <w:rPr>
          <w:rFonts w:hAnsi="標楷體" w:hint="eastAsia"/>
        </w:rPr>
        <w:t>各部會非法定義務支出之施政項目，包括國防支出、育兒津貼</w:t>
      </w:r>
      <w:r w:rsidR="0068333E" w:rsidRPr="0068333E">
        <w:rPr>
          <w:rFonts w:hAnsi="標楷體" w:hint="eastAsia"/>
        </w:rPr>
        <w:t>…</w:t>
      </w:r>
      <w:r w:rsidRPr="00E939ED">
        <w:rPr>
          <w:rFonts w:hAnsi="標楷體" w:hint="eastAsia"/>
        </w:rPr>
        <w:t>、公共托育補助</w:t>
      </w:r>
      <w:r w:rsidR="0068333E" w:rsidRPr="0068333E">
        <w:rPr>
          <w:rFonts w:hAnsi="標楷體" w:hint="eastAsia"/>
        </w:rPr>
        <w:t>…</w:t>
      </w:r>
      <w:r w:rsidRPr="00E939ED">
        <w:rPr>
          <w:rFonts w:hAnsi="標楷體" w:hint="eastAsia"/>
        </w:rPr>
        <w:t>、租金補貼</w:t>
      </w:r>
      <w:r w:rsidR="0068333E" w:rsidRPr="0068333E">
        <w:rPr>
          <w:rFonts w:hAnsi="標楷體" w:hint="eastAsia"/>
        </w:rPr>
        <w:t>…</w:t>
      </w:r>
      <w:r w:rsidRPr="00E939ED">
        <w:rPr>
          <w:rFonts w:hAnsi="標楷體" w:hint="eastAsia"/>
        </w:rPr>
        <w:t>等項目，將難以照原規劃繼續執行。</w:t>
      </w:r>
      <w:r w:rsidR="00E939ED" w:rsidRPr="00E939ED">
        <w:rPr>
          <w:rFonts w:hAnsi="標楷體" w:hint="eastAsia"/>
        </w:rPr>
        <w:t>」</w:t>
      </w:r>
      <w:r w:rsidR="00F42C75">
        <w:rPr>
          <w:rFonts w:hAnsi="標楷體" w:hint="eastAsia"/>
        </w:rPr>
        <w:t>等語</w:t>
      </w:r>
      <w:r w:rsidR="0068333E">
        <w:rPr>
          <w:rFonts w:hAnsi="標楷體" w:hint="eastAsia"/>
        </w:rPr>
        <w:t>。</w:t>
      </w:r>
    </w:p>
    <w:p w:rsidR="00781B0B" w:rsidRPr="00E939ED" w:rsidRDefault="0068333E" w:rsidP="00E939ED">
      <w:pPr>
        <w:pStyle w:val="2"/>
        <w:ind w:left="850" w:firstLine="566"/>
        <w:rPr>
          <w:rFonts w:hAnsi="標楷體"/>
        </w:rPr>
      </w:pPr>
      <w:r>
        <w:rPr>
          <w:rFonts w:hAnsi="標楷體" w:hint="eastAsia"/>
        </w:rPr>
        <w:t>據前開行政院所述，</w:t>
      </w:r>
      <w:r w:rsidR="00117B58" w:rsidRPr="00117B58">
        <w:rPr>
          <w:rFonts w:hAnsi="標楷體" w:hint="eastAsia"/>
        </w:rPr>
        <w:t>各部會預算額度</w:t>
      </w:r>
      <w:r w:rsidR="00117B58">
        <w:rPr>
          <w:rFonts w:hAnsi="標楷體" w:hint="eastAsia"/>
        </w:rPr>
        <w:t>皆</w:t>
      </w:r>
      <w:r w:rsidR="00117B58" w:rsidRPr="00117B58">
        <w:rPr>
          <w:rFonts w:hAnsi="標楷體" w:hint="eastAsia"/>
        </w:rPr>
        <w:t>受到衝擊，影響政府施政目標之達成</w:t>
      </w:r>
      <w:r w:rsidR="00117B58">
        <w:rPr>
          <w:rFonts w:hAnsi="標楷體" w:hint="eastAsia"/>
        </w:rPr>
        <w:t>，且部分</w:t>
      </w:r>
      <w:r w:rsidR="00117B58" w:rsidRPr="00117B58">
        <w:rPr>
          <w:rFonts w:hAnsi="標楷體" w:hint="eastAsia"/>
        </w:rPr>
        <w:t>非法定義務支出之施政項目，將難以照原規劃繼續執行</w:t>
      </w:r>
      <w:r w:rsidR="00117B58">
        <w:rPr>
          <w:rFonts w:hAnsi="標楷體" w:hint="eastAsia"/>
        </w:rPr>
        <w:t>，加以</w:t>
      </w:r>
      <w:r w:rsidR="00117B58" w:rsidRPr="00117B58">
        <w:rPr>
          <w:rFonts w:hAnsi="標楷體" w:hint="eastAsia"/>
        </w:rPr>
        <w:t>前瞻基礎建設計畫已核定項目後續需賡續辦理，未來均須回歸總預算編列</w:t>
      </w:r>
      <w:r w:rsidR="00117B58">
        <w:rPr>
          <w:rFonts w:hAnsi="標楷體" w:hint="eastAsia"/>
        </w:rPr>
        <w:t>等</w:t>
      </w:r>
      <w:r w:rsidR="004811BE">
        <w:rPr>
          <w:rFonts w:hAnsi="標楷體" w:hint="eastAsia"/>
        </w:rPr>
        <w:t>。爰此，</w:t>
      </w:r>
      <w:r w:rsidR="00BE389D">
        <w:rPr>
          <w:rFonts w:hAnsi="標楷體" w:hint="eastAsia"/>
        </w:rPr>
        <w:t>為因應</w:t>
      </w:r>
      <w:r w:rsidR="00BE389D" w:rsidRPr="0068333E">
        <w:rPr>
          <w:rFonts w:hAnsi="標楷體" w:hint="eastAsia"/>
        </w:rPr>
        <w:t>財劃法修正</w:t>
      </w:r>
      <w:r w:rsidR="00BE389D">
        <w:rPr>
          <w:rFonts w:hAnsi="標楷體" w:hint="eastAsia"/>
        </w:rPr>
        <w:t>後中央政府</w:t>
      </w:r>
      <w:r w:rsidR="00BE389D" w:rsidRPr="0068333E">
        <w:rPr>
          <w:rFonts w:hAnsi="標楷體" w:hint="eastAsia"/>
        </w:rPr>
        <w:t>可運用財源</w:t>
      </w:r>
      <w:r w:rsidR="00BE389D">
        <w:rPr>
          <w:rFonts w:hAnsi="標楷體" w:hint="eastAsia"/>
        </w:rPr>
        <w:t>大幅減少</w:t>
      </w:r>
      <w:r w:rsidR="00BE389D" w:rsidRPr="0068333E">
        <w:rPr>
          <w:rFonts w:hAnsi="標楷體" w:hint="eastAsia"/>
        </w:rPr>
        <w:t>，</w:t>
      </w:r>
      <w:r w:rsidR="00117B58">
        <w:rPr>
          <w:rFonts w:hAnsi="標楷體" w:hint="eastAsia"/>
        </w:rPr>
        <w:t>行政院</w:t>
      </w:r>
      <w:r w:rsidRPr="0068333E">
        <w:rPr>
          <w:rFonts w:hAnsi="標楷體" w:hint="eastAsia"/>
        </w:rPr>
        <w:t>允宜審慎規劃各項歲出計畫，俾利施政項目之順利推動或延續</w:t>
      </w:r>
      <w:r>
        <w:rPr>
          <w:rFonts w:hAnsi="標楷體" w:hint="eastAsia"/>
        </w:rPr>
        <w:t>。</w:t>
      </w:r>
    </w:p>
    <w:p w:rsidR="00451D9A" w:rsidRPr="00451D9A" w:rsidRDefault="00451D9A" w:rsidP="00451D9A">
      <w:pPr>
        <w:pStyle w:val="a4"/>
        <w:ind w:left="837" w:hanging="271"/>
        <w:rPr>
          <w:rFonts w:hAnsi="標楷體"/>
          <w:b/>
          <w:snapToGrid/>
          <w:spacing w:val="-6"/>
        </w:rPr>
      </w:pPr>
      <w:r w:rsidRPr="00451D9A">
        <w:rPr>
          <w:rFonts w:hAnsi="標楷體" w:hint="eastAsia"/>
          <w:b/>
          <w:snapToGrid/>
          <w:spacing w:val="-6"/>
        </w:rPr>
        <w:t>(</w:t>
      </w:r>
      <w:r w:rsidR="00781B0B">
        <w:rPr>
          <w:rFonts w:hAnsi="標楷體" w:hint="eastAsia"/>
          <w:b/>
          <w:snapToGrid/>
          <w:spacing w:val="-6"/>
        </w:rPr>
        <w:t>二</w:t>
      </w:r>
      <w:r w:rsidRPr="00451D9A">
        <w:rPr>
          <w:rFonts w:hAnsi="標楷體" w:hint="eastAsia"/>
          <w:b/>
          <w:snapToGrid/>
          <w:spacing w:val="-6"/>
        </w:rPr>
        <w:t>)</w:t>
      </w:r>
      <w:r w:rsidR="003E13C2">
        <w:rPr>
          <w:rFonts w:hAnsi="標楷體" w:hint="eastAsia"/>
          <w:b/>
          <w:snapToGrid/>
          <w:spacing w:val="-6"/>
        </w:rPr>
        <w:t>立法</w:t>
      </w:r>
      <w:r w:rsidR="00AA365D" w:rsidRPr="00AA365D">
        <w:rPr>
          <w:rFonts w:hAnsi="標楷體" w:hint="eastAsia"/>
          <w:b/>
          <w:snapToGrid/>
          <w:spacing w:val="-6"/>
        </w:rPr>
        <w:t>院於審議1</w:t>
      </w:r>
      <w:r w:rsidR="00AA365D">
        <w:rPr>
          <w:rFonts w:hAnsi="標楷體" w:hint="eastAsia"/>
          <w:b/>
          <w:snapToGrid/>
          <w:spacing w:val="-6"/>
        </w:rPr>
        <w:t>14</w:t>
      </w:r>
      <w:r w:rsidR="00AA365D" w:rsidRPr="00AA365D">
        <w:rPr>
          <w:rFonts w:hAnsi="標楷體" w:hint="eastAsia"/>
          <w:b/>
          <w:snapToGrid/>
          <w:spacing w:val="-6"/>
        </w:rPr>
        <w:t>年度中央政府總預算案</w:t>
      </w:r>
      <w:r w:rsidR="00AA365D">
        <w:rPr>
          <w:rFonts w:hAnsi="標楷體" w:hint="eastAsia"/>
          <w:b/>
          <w:snapToGrid/>
          <w:spacing w:val="-6"/>
        </w:rPr>
        <w:t>新增通過相關決議</w:t>
      </w:r>
      <w:r w:rsidR="00781B0B">
        <w:rPr>
          <w:rFonts w:hAnsi="標楷體" w:hint="eastAsia"/>
          <w:b/>
          <w:snapToGrid/>
          <w:spacing w:val="-6"/>
        </w:rPr>
        <w:t>，經</w:t>
      </w:r>
      <w:r w:rsidR="00781B0B" w:rsidRPr="00781B0B">
        <w:rPr>
          <w:rFonts w:hAnsi="標楷體" w:hint="eastAsia"/>
          <w:b/>
          <w:snapToGrid/>
          <w:spacing w:val="-6"/>
        </w:rPr>
        <w:t>綜整部會解凍報告</w:t>
      </w:r>
      <w:r w:rsidR="00F42C75">
        <w:rPr>
          <w:rFonts w:hAnsi="標楷體" w:hint="eastAsia"/>
          <w:b/>
          <w:snapToGrid/>
          <w:spacing w:val="-6"/>
        </w:rPr>
        <w:t>之說明</w:t>
      </w:r>
      <w:r w:rsidR="00781B0B" w:rsidRPr="00781B0B">
        <w:rPr>
          <w:rFonts w:hAnsi="標楷體" w:hint="eastAsia"/>
          <w:b/>
          <w:snapToGrid/>
          <w:spacing w:val="-6"/>
        </w:rPr>
        <w:t>資料，部分部會表示中央</w:t>
      </w:r>
      <w:r w:rsidR="00F42C75">
        <w:rPr>
          <w:rFonts w:hAnsi="標楷體" w:hint="eastAsia"/>
          <w:b/>
          <w:snapToGrid/>
          <w:spacing w:val="-6"/>
        </w:rPr>
        <w:t>與</w:t>
      </w:r>
      <w:r w:rsidR="00781B0B" w:rsidRPr="00781B0B">
        <w:rPr>
          <w:rFonts w:hAnsi="標楷體" w:hint="eastAsia"/>
          <w:b/>
          <w:snapToGrid/>
          <w:spacing w:val="-6"/>
        </w:rPr>
        <w:t>地方事權移轉涉整體性政策規劃，應通盤一致性檢視</w:t>
      </w:r>
      <w:r w:rsidR="00F42C75">
        <w:rPr>
          <w:rFonts w:hAnsi="標楷體" w:hint="eastAsia"/>
          <w:b/>
          <w:snapToGrid/>
          <w:spacing w:val="-6"/>
        </w:rPr>
        <w:t>及</w:t>
      </w:r>
      <w:r w:rsidR="00781B0B" w:rsidRPr="00781B0B">
        <w:rPr>
          <w:rFonts w:hAnsi="標楷體" w:hint="eastAsia"/>
          <w:b/>
          <w:snapToGrid/>
          <w:spacing w:val="-6"/>
        </w:rPr>
        <w:t>研議</w:t>
      </w:r>
    </w:p>
    <w:p w:rsidR="005950B1" w:rsidRDefault="006C5DA7" w:rsidP="002C3D85">
      <w:pPr>
        <w:pStyle w:val="2"/>
        <w:ind w:left="850" w:firstLine="566"/>
        <w:rPr>
          <w:rFonts w:hAnsi="標楷體"/>
          <w:highlight w:val="yellow"/>
        </w:rPr>
      </w:pPr>
      <w:r>
        <w:rPr>
          <w:rFonts w:hAnsi="標楷體" w:hint="eastAsia"/>
        </w:rPr>
        <w:t>依114</w:t>
      </w:r>
      <w:r w:rsidRPr="006C5DA7">
        <w:rPr>
          <w:rFonts w:hAnsi="標楷體" w:hint="eastAsia"/>
        </w:rPr>
        <w:t>年3月21日華總一經字第</w:t>
      </w:r>
      <w:r>
        <w:rPr>
          <w:rFonts w:hAnsi="標楷體" w:hint="eastAsia"/>
        </w:rPr>
        <w:t>11400026191</w:t>
      </w:r>
      <w:r w:rsidRPr="006C5DA7">
        <w:rPr>
          <w:rFonts w:hAnsi="標楷體" w:hint="eastAsia"/>
        </w:rPr>
        <w:t>號</w:t>
      </w:r>
      <w:r>
        <w:rPr>
          <w:rFonts w:hAnsi="標楷體" w:hint="eastAsia"/>
        </w:rPr>
        <w:t>總統令公布</w:t>
      </w:r>
      <w:r w:rsidRPr="006C5DA7">
        <w:rPr>
          <w:rFonts w:hAnsi="標楷體" w:hint="eastAsia"/>
        </w:rPr>
        <w:t>114年度中央政府總預算案審查總報告</w:t>
      </w:r>
      <w:r w:rsidR="000334BD">
        <w:rPr>
          <w:rFonts w:hAnsi="標楷體" w:hint="eastAsia"/>
        </w:rPr>
        <w:t>(</w:t>
      </w:r>
      <w:r w:rsidRPr="006C5DA7">
        <w:rPr>
          <w:rFonts w:hAnsi="標楷體" w:hint="eastAsia"/>
        </w:rPr>
        <w:t>修正本</w:t>
      </w:r>
      <w:r w:rsidR="000334BD">
        <w:rPr>
          <w:rFonts w:hAnsi="標楷體" w:hint="eastAsia"/>
        </w:rPr>
        <w:t>)，</w:t>
      </w:r>
      <w:r w:rsidR="00F42C75">
        <w:rPr>
          <w:rFonts w:hAnsi="標楷體" w:hint="eastAsia"/>
        </w:rPr>
        <w:t>立法</w:t>
      </w:r>
      <w:r w:rsidR="00973A43" w:rsidRPr="00973A43">
        <w:rPr>
          <w:rFonts w:hAnsi="標楷體" w:hint="eastAsia"/>
        </w:rPr>
        <w:t>院審議</w:t>
      </w:r>
      <w:r w:rsidR="000334BD">
        <w:rPr>
          <w:rFonts w:hAnsi="標楷體" w:hint="eastAsia"/>
        </w:rPr>
        <w:t>結果</w:t>
      </w:r>
      <w:r w:rsidR="001157B1">
        <w:rPr>
          <w:rFonts w:hAnsi="標楷體" w:hint="eastAsia"/>
        </w:rPr>
        <w:t>新增通過</w:t>
      </w:r>
      <w:r>
        <w:rPr>
          <w:rFonts w:hAnsi="標楷體" w:hint="eastAsia"/>
        </w:rPr>
        <w:t>決議</w:t>
      </w:r>
      <w:r w:rsidR="002C3D85">
        <w:rPr>
          <w:rFonts w:hAnsi="標楷體" w:hint="eastAsia"/>
        </w:rPr>
        <w:t>略以</w:t>
      </w:r>
      <w:r w:rsidR="002C3D85" w:rsidRPr="002C3D85">
        <w:rPr>
          <w:rFonts w:hAnsi="標楷體" w:hint="eastAsia"/>
        </w:rPr>
        <w:t>：「有鑑於</w:t>
      </w:r>
      <w:r w:rsidR="002C3D85">
        <w:rPr>
          <w:rFonts w:hAnsi="標楷體" w:hint="eastAsia"/>
        </w:rPr>
        <w:t>『</w:t>
      </w:r>
      <w:r w:rsidR="002C3D85" w:rsidRPr="002C3D85">
        <w:rPr>
          <w:rFonts w:hAnsi="標楷體" w:hint="eastAsia"/>
        </w:rPr>
        <w:t>財政收支劃分法</w:t>
      </w:r>
      <w:r w:rsidR="002C3D85">
        <w:rPr>
          <w:rFonts w:hAnsi="標楷體" w:hint="eastAsia"/>
        </w:rPr>
        <w:t>』</w:t>
      </w:r>
      <w:r w:rsidR="002C3D85" w:rsidRPr="002C3D85">
        <w:rPr>
          <w:rFonts w:hAnsi="標楷體" w:hint="eastAsia"/>
        </w:rPr>
        <w:t>部分條文修正案已於113年12月20日正式立法院三讀程序。然而，同月23日行政院即召開記者會指出，基於錢隨事權移轉原則，中央承接之省府業務，應一併移回各地方政府辦理…。立法院審議財劃法時，即有多位委員要求依據地方制度法所規範之地方自治事項，合理指明依法應將財權、事權劃歸地方之事項，然而均未獲得公部門正式回應及提供精算金額。</w:t>
      </w:r>
      <w:r w:rsidR="002C3D85">
        <w:rPr>
          <w:rFonts w:hAnsi="標楷體" w:hint="eastAsia"/>
        </w:rPr>
        <w:t>」</w:t>
      </w:r>
      <w:r w:rsidR="002C3D85" w:rsidRPr="002C3D85">
        <w:rPr>
          <w:rFonts w:hAnsi="標楷體" w:hint="eastAsia"/>
        </w:rPr>
        <w:t>爰</w:t>
      </w:r>
      <w:r w:rsidR="00F42C75">
        <w:rPr>
          <w:rFonts w:hAnsi="標楷體" w:hint="eastAsia"/>
        </w:rPr>
        <w:t>通過決議</w:t>
      </w:r>
      <w:r w:rsidR="002C3D85" w:rsidRPr="002C3D85">
        <w:rPr>
          <w:rFonts w:hAnsi="標楷體" w:hint="eastAsia"/>
        </w:rPr>
        <w:t>凍結</w:t>
      </w:r>
      <w:r w:rsidR="000334BD">
        <w:rPr>
          <w:rFonts w:hAnsi="標楷體" w:hint="eastAsia"/>
        </w:rPr>
        <w:t>行政院主計總處、財政部、客家委員會、國家發展委員會、經濟部、教育部、交通部</w:t>
      </w:r>
      <w:r w:rsidR="00AA365D">
        <w:rPr>
          <w:rFonts w:hAnsi="標楷體" w:hint="eastAsia"/>
        </w:rPr>
        <w:t>等7個部會</w:t>
      </w:r>
      <w:r w:rsidR="000334BD">
        <w:rPr>
          <w:rFonts w:hAnsi="標楷體" w:hint="eastAsia"/>
        </w:rPr>
        <w:t>相關預算，俟</w:t>
      </w:r>
      <w:r w:rsidR="00AA365D">
        <w:rPr>
          <w:rFonts w:hAnsi="標楷體" w:hint="eastAsia"/>
        </w:rPr>
        <w:t>各該</w:t>
      </w:r>
      <w:r w:rsidR="000334BD">
        <w:rPr>
          <w:rFonts w:hAnsi="標楷體" w:hint="eastAsia"/>
        </w:rPr>
        <w:t>部會就</w:t>
      </w:r>
      <w:r w:rsidRPr="006C5DA7">
        <w:rPr>
          <w:rFonts w:hAnsi="標楷體" w:hint="eastAsia"/>
        </w:rPr>
        <w:t>「應移轉回歸地方自治之事權事項、金額、組織編制調整」及「配合事權調整所需之法規調適及時程規劃」</w:t>
      </w:r>
      <w:r w:rsidR="00AA365D">
        <w:rPr>
          <w:rFonts w:hAnsi="標楷體" w:hint="eastAsia"/>
        </w:rPr>
        <w:t>向</w:t>
      </w:r>
      <w:r w:rsidR="00F42C75">
        <w:rPr>
          <w:rFonts w:hAnsi="標楷體" w:hint="eastAsia"/>
        </w:rPr>
        <w:t>立法</w:t>
      </w:r>
      <w:r w:rsidR="00AA365D">
        <w:rPr>
          <w:rFonts w:hAnsi="標楷體" w:hint="eastAsia"/>
        </w:rPr>
        <w:t>院相關委員會</w:t>
      </w:r>
      <w:r w:rsidR="000334BD">
        <w:rPr>
          <w:rFonts w:hAnsi="標楷體" w:hint="eastAsia"/>
        </w:rPr>
        <w:t>提出專案或書面報告後，始得動支。</w:t>
      </w:r>
    </w:p>
    <w:p w:rsidR="00030381" w:rsidRDefault="00AA365D" w:rsidP="00030381">
      <w:pPr>
        <w:pStyle w:val="2"/>
        <w:ind w:left="850" w:firstLine="566"/>
        <w:rPr>
          <w:rFonts w:hAnsi="標楷體"/>
        </w:rPr>
      </w:pPr>
      <w:r w:rsidRPr="00DB3B66">
        <w:rPr>
          <w:rFonts w:hAnsi="標楷體" w:hint="eastAsia"/>
        </w:rPr>
        <w:t>經蒐集</w:t>
      </w:r>
      <w:r w:rsidRPr="00AA365D">
        <w:rPr>
          <w:rFonts w:hAnsi="標楷體" w:hint="eastAsia"/>
        </w:rPr>
        <w:t>前開</w:t>
      </w:r>
      <w:r w:rsidR="003F7649">
        <w:rPr>
          <w:rFonts w:hAnsi="標楷體" w:hint="eastAsia"/>
        </w:rPr>
        <w:t>7個</w:t>
      </w:r>
      <w:r w:rsidRPr="00AA365D">
        <w:rPr>
          <w:rFonts w:hAnsi="標楷體" w:hint="eastAsia"/>
        </w:rPr>
        <w:t>部會</w:t>
      </w:r>
      <w:r>
        <w:rPr>
          <w:rFonts w:hAnsi="標楷體" w:hint="eastAsia"/>
        </w:rPr>
        <w:t>函報</w:t>
      </w:r>
      <w:r w:rsidR="00F42C75">
        <w:rPr>
          <w:rFonts w:hAnsi="標楷體" w:hint="eastAsia"/>
        </w:rPr>
        <w:t>立法</w:t>
      </w:r>
      <w:r>
        <w:rPr>
          <w:rFonts w:hAnsi="標楷體" w:hint="eastAsia"/>
        </w:rPr>
        <w:t>院之</w:t>
      </w:r>
      <w:r w:rsidRPr="00AA365D">
        <w:rPr>
          <w:rFonts w:hAnsi="標楷體" w:hint="eastAsia"/>
        </w:rPr>
        <w:t>解凍報告</w:t>
      </w:r>
      <w:r>
        <w:rPr>
          <w:rFonts w:hAnsi="標楷體" w:hint="eastAsia"/>
        </w:rPr>
        <w:t>，</w:t>
      </w:r>
      <w:r w:rsidR="00DB3B66">
        <w:rPr>
          <w:rFonts w:hAnsi="標楷體" w:hint="eastAsia"/>
        </w:rPr>
        <w:t>並</w:t>
      </w:r>
      <w:r>
        <w:rPr>
          <w:rFonts w:hAnsi="標楷體" w:hint="eastAsia"/>
        </w:rPr>
        <w:t>彙整</w:t>
      </w:r>
      <w:r w:rsidRPr="00AA365D">
        <w:rPr>
          <w:rFonts w:hAnsi="標楷體" w:hint="eastAsia"/>
        </w:rPr>
        <w:t>內容摘</w:t>
      </w:r>
      <w:r w:rsidR="00030381">
        <w:rPr>
          <w:rFonts w:hAnsi="標楷體" w:hint="eastAsia"/>
        </w:rPr>
        <w:t>錄詳</w:t>
      </w:r>
      <w:r w:rsidR="003C7C04">
        <w:rPr>
          <w:rFonts w:hAnsi="標楷體" w:hint="eastAsia"/>
        </w:rPr>
        <w:t>如</w:t>
      </w:r>
      <w:r w:rsidR="00030381">
        <w:rPr>
          <w:rFonts w:hAnsi="標楷體" w:hint="eastAsia"/>
        </w:rPr>
        <w:t>表3-1，其中行政院主計總處說明</w:t>
      </w:r>
      <w:r w:rsidR="00F6246A">
        <w:rPr>
          <w:rFonts w:hAnsi="標楷體" w:hint="eastAsia"/>
        </w:rPr>
        <w:t>其</w:t>
      </w:r>
      <w:r w:rsidR="00691CB4" w:rsidRPr="00691CB4">
        <w:rPr>
          <w:rFonts w:hAnsi="標楷體" w:hint="eastAsia"/>
        </w:rPr>
        <w:t>業務尚無涉</w:t>
      </w:r>
      <w:r w:rsidR="00030381" w:rsidRPr="00030381">
        <w:rPr>
          <w:rFonts w:hAnsi="標楷體" w:hint="eastAsia"/>
        </w:rPr>
        <w:t>地方事權事項</w:t>
      </w:r>
      <w:r w:rsidR="00030381">
        <w:rPr>
          <w:rFonts w:hAnsi="標楷體" w:hint="eastAsia"/>
        </w:rPr>
        <w:t>、國家發展委員會</w:t>
      </w:r>
      <w:r w:rsidR="00691CB4" w:rsidRPr="00691CB4">
        <w:rPr>
          <w:rFonts w:hAnsi="標楷體" w:hint="eastAsia"/>
        </w:rPr>
        <w:t>未有應回歸地方</w:t>
      </w:r>
      <w:r w:rsidR="00030381">
        <w:rPr>
          <w:rFonts w:hAnsi="標楷體" w:hint="eastAsia"/>
        </w:rPr>
        <w:t>自治之</w:t>
      </w:r>
      <w:r w:rsidR="00691CB4" w:rsidRPr="00691CB4">
        <w:rPr>
          <w:rFonts w:hAnsi="標楷體" w:hint="eastAsia"/>
        </w:rPr>
        <w:t>事權事項</w:t>
      </w:r>
      <w:r w:rsidR="00030381">
        <w:rPr>
          <w:rFonts w:hAnsi="標楷體" w:hint="eastAsia"/>
        </w:rPr>
        <w:t>、財政部</w:t>
      </w:r>
      <w:r w:rsidR="00030381" w:rsidRPr="00030381">
        <w:rPr>
          <w:rFonts w:hAnsi="標楷體" w:hint="eastAsia"/>
        </w:rPr>
        <w:t>經初步檢討</w:t>
      </w:r>
      <w:r w:rsidR="00030381">
        <w:rPr>
          <w:rFonts w:hAnsi="標楷體" w:hint="eastAsia"/>
        </w:rPr>
        <w:t>雖有</w:t>
      </w:r>
      <w:r w:rsidR="00030381" w:rsidRPr="00030381">
        <w:rPr>
          <w:rFonts w:hAnsi="標楷體" w:hint="eastAsia"/>
        </w:rPr>
        <w:t>涉及回歸地方政府辦理部分，</w:t>
      </w:r>
      <w:r w:rsidR="00030381">
        <w:rPr>
          <w:rFonts w:hAnsi="標楷體" w:hint="eastAsia"/>
        </w:rPr>
        <w:t>但係屬</w:t>
      </w:r>
      <w:r w:rsidR="00030381" w:rsidRPr="00030381">
        <w:rPr>
          <w:rFonts w:hAnsi="標楷體" w:hint="eastAsia"/>
        </w:rPr>
        <w:t>免再彌補地方政府稅收損失，土地稅法、遺產及贈與稅法與房屋稅條例</w:t>
      </w:r>
      <w:r w:rsidR="00030381">
        <w:rPr>
          <w:rFonts w:hAnsi="標楷體" w:hint="eastAsia"/>
        </w:rPr>
        <w:t>等</w:t>
      </w:r>
      <w:r w:rsidR="00030381" w:rsidRPr="00030381">
        <w:rPr>
          <w:rFonts w:hAnsi="標楷體" w:hint="eastAsia"/>
        </w:rPr>
        <w:t>亦無須配合修正</w:t>
      </w:r>
      <w:r w:rsidR="00030381">
        <w:rPr>
          <w:rFonts w:hAnsi="標楷體" w:hint="eastAsia"/>
        </w:rPr>
        <w:t>；</w:t>
      </w:r>
      <w:r w:rsidR="00F42C75">
        <w:rPr>
          <w:rFonts w:hAnsi="標楷體" w:hint="eastAsia"/>
        </w:rPr>
        <w:t>又</w:t>
      </w:r>
      <w:r w:rsidR="00691CB4" w:rsidRPr="00691CB4">
        <w:rPr>
          <w:rFonts w:hAnsi="標楷體" w:hint="eastAsia"/>
        </w:rPr>
        <w:t>部分部會</w:t>
      </w:r>
      <w:r w:rsidR="00F42C75">
        <w:rPr>
          <w:rFonts w:hAnsi="標楷體" w:hint="eastAsia"/>
        </w:rPr>
        <w:t>如</w:t>
      </w:r>
      <w:r w:rsidR="00F42C75" w:rsidRPr="00F42C75">
        <w:rPr>
          <w:rFonts w:hAnsi="標楷體" w:hint="eastAsia"/>
        </w:rPr>
        <w:t>經濟部、教育部、交通部等</w:t>
      </w:r>
      <w:r w:rsidR="00F42C75">
        <w:rPr>
          <w:rFonts w:hAnsi="標楷體" w:hint="eastAsia"/>
        </w:rPr>
        <w:t>則</w:t>
      </w:r>
      <w:r w:rsidR="00691CB4" w:rsidRPr="00691CB4">
        <w:rPr>
          <w:rFonts w:hAnsi="標楷體" w:hint="eastAsia"/>
        </w:rPr>
        <w:t>表示</w:t>
      </w:r>
      <w:r w:rsidR="00B86097">
        <w:rPr>
          <w:rFonts w:hAnsi="標楷體" w:hint="eastAsia"/>
        </w:rPr>
        <w:t>涉及中央與地方財源分配之</w:t>
      </w:r>
      <w:r w:rsidR="00AB444D" w:rsidRPr="00AB444D">
        <w:rPr>
          <w:rFonts w:hAnsi="標楷體" w:hint="eastAsia"/>
        </w:rPr>
        <w:t>財劃法</w:t>
      </w:r>
      <w:r w:rsidR="00B86097">
        <w:rPr>
          <w:rFonts w:hAnsi="標楷體" w:hint="eastAsia"/>
        </w:rPr>
        <w:t>雖</w:t>
      </w:r>
      <w:r w:rsidR="00AB444D">
        <w:rPr>
          <w:rFonts w:hAnsi="標楷體" w:hint="eastAsia"/>
        </w:rPr>
        <w:t>修正</w:t>
      </w:r>
      <w:r w:rsidR="00B86097">
        <w:rPr>
          <w:rFonts w:hAnsi="標楷體" w:hint="eastAsia"/>
        </w:rPr>
        <w:t>，然制度規劃之相關法規如地方制度法未修正調整，</w:t>
      </w:r>
      <w:r w:rsidR="00232088">
        <w:rPr>
          <w:rFonts w:hAnsi="標楷體" w:hint="eastAsia"/>
        </w:rPr>
        <w:t>且</w:t>
      </w:r>
      <w:r w:rsidR="00781B0B">
        <w:rPr>
          <w:rFonts w:hAnsi="標楷體" w:hint="eastAsia"/>
        </w:rPr>
        <w:t>中央財主單位</w:t>
      </w:r>
      <w:r w:rsidR="00232088" w:rsidRPr="00232088">
        <w:rPr>
          <w:rFonts w:hAnsi="標楷體" w:hint="eastAsia"/>
        </w:rPr>
        <w:t>需重新檢視地方</w:t>
      </w:r>
      <w:r w:rsidR="00232088">
        <w:rPr>
          <w:rFonts w:hAnsi="標楷體" w:hint="eastAsia"/>
        </w:rPr>
        <w:t>政府</w:t>
      </w:r>
      <w:r w:rsidR="00232088" w:rsidRPr="00232088">
        <w:rPr>
          <w:rFonts w:hAnsi="標楷體" w:hint="eastAsia"/>
        </w:rPr>
        <w:t>財力級次</w:t>
      </w:r>
      <w:r w:rsidR="00232088">
        <w:rPr>
          <w:rFonts w:hAnsi="標楷體" w:hint="eastAsia"/>
        </w:rPr>
        <w:t>、確定各部會分配數額或盤點原則</w:t>
      </w:r>
      <w:r w:rsidR="00232088" w:rsidRPr="00232088">
        <w:rPr>
          <w:rFonts w:hAnsi="標楷體" w:hint="eastAsia"/>
        </w:rPr>
        <w:t>，</w:t>
      </w:r>
      <w:r w:rsidR="00232088">
        <w:rPr>
          <w:rFonts w:hAnsi="標楷體" w:hint="eastAsia"/>
        </w:rPr>
        <w:t>各部會並</w:t>
      </w:r>
      <w:r w:rsidR="00232088" w:rsidRPr="00232088">
        <w:rPr>
          <w:rFonts w:hAnsi="標楷體" w:hint="eastAsia"/>
        </w:rPr>
        <w:t>據以重新評估對地方政府各計畫補助比例</w:t>
      </w:r>
      <w:r w:rsidR="003C7C04">
        <w:rPr>
          <w:rFonts w:hAnsi="標楷體" w:hint="eastAsia"/>
        </w:rPr>
        <w:t>。</w:t>
      </w:r>
      <w:r w:rsidR="00232088">
        <w:rPr>
          <w:rFonts w:hAnsi="標楷體" w:hint="eastAsia"/>
        </w:rPr>
        <w:t>再者，</w:t>
      </w:r>
      <w:r w:rsidR="00AB444D">
        <w:rPr>
          <w:rFonts w:hAnsi="標楷體" w:hint="eastAsia"/>
        </w:rPr>
        <w:t>中央與地方事權移轉</w:t>
      </w:r>
      <w:r w:rsidR="00AB444D" w:rsidRPr="00AB444D">
        <w:rPr>
          <w:rFonts w:hAnsi="標楷體" w:hint="eastAsia"/>
        </w:rPr>
        <w:t>事項涉及</w:t>
      </w:r>
      <w:r w:rsidR="00916683">
        <w:rPr>
          <w:rFonts w:hAnsi="標楷體" w:hint="eastAsia"/>
        </w:rPr>
        <w:t>相關</w:t>
      </w:r>
      <w:r w:rsidR="00916683" w:rsidRPr="00AB444D">
        <w:rPr>
          <w:rFonts w:hAnsi="標楷體" w:hint="eastAsia"/>
        </w:rPr>
        <w:t>部會</w:t>
      </w:r>
      <w:r w:rsidR="00916683">
        <w:rPr>
          <w:rFonts w:hAnsi="標楷體" w:hint="eastAsia"/>
        </w:rPr>
        <w:t>業務</w:t>
      </w:r>
      <w:r w:rsidR="00B86097">
        <w:rPr>
          <w:rFonts w:hAnsi="標楷體" w:hint="eastAsia"/>
        </w:rPr>
        <w:t>與</w:t>
      </w:r>
      <w:r w:rsidR="00AB444D" w:rsidRPr="00AB444D">
        <w:rPr>
          <w:rFonts w:hAnsi="標楷體" w:hint="eastAsia"/>
        </w:rPr>
        <w:t>政策推行，影響範圍</w:t>
      </w:r>
      <w:r w:rsidR="00916683">
        <w:rPr>
          <w:rFonts w:hAnsi="標楷體" w:hint="eastAsia"/>
        </w:rPr>
        <w:t>既</w:t>
      </w:r>
      <w:r w:rsidR="00AB444D" w:rsidRPr="00AB444D">
        <w:rPr>
          <w:rFonts w:hAnsi="標楷體" w:hint="eastAsia"/>
        </w:rPr>
        <w:t>廣</w:t>
      </w:r>
      <w:r w:rsidR="00232088">
        <w:rPr>
          <w:rFonts w:hAnsi="標楷體" w:hint="eastAsia"/>
        </w:rPr>
        <w:t>又</w:t>
      </w:r>
      <w:r w:rsidR="00AB444D" w:rsidRPr="00AB444D">
        <w:rPr>
          <w:rFonts w:hAnsi="標楷體" w:hint="eastAsia"/>
        </w:rPr>
        <w:t>複雜，須透過整體</w:t>
      </w:r>
      <w:r w:rsidR="00916683">
        <w:rPr>
          <w:rFonts w:hAnsi="標楷體" w:hint="eastAsia"/>
        </w:rPr>
        <w:t>性</w:t>
      </w:r>
      <w:r w:rsidR="00AB444D" w:rsidRPr="00AB444D">
        <w:rPr>
          <w:rFonts w:hAnsi="標楷體" w:hint="eastAsia"/>
        </w:rPr>
        <w:t>政策規劃</w:t>
      </w:r>
      <w:r w:rsidR="00781B0B">
        <w:rPr>
          <w:rFonts w:hAnsi="標楷體" w:hint="eastAsia"/>
        </w:rPr>
        <w:t>。</w:t>
      </w:r>
      <w:r w:rsidR="00F42C75">
        <w:rPr>
          <w:rFonts w:hAnsi="標楷體" w:hint="eastAsia"/>
        </w:rPr>
        <w:t>爰此</w:t>
      </w:r>
      <w:r w:rsidR="00916683">
        <w:rPr>
          <w:rFonts w:hAnsi="標楷體" w:hint="eastAsia"/>
        </w:rPr>
        <w:t>，</w:t>
      </w:r>
      <w:r w:rsidR="00781B0B" w:rsidRPr="00781B0B">
        <w:rPr>
          <w:rFonts w:hAnsi="標楷體" w:hint="eastAsia"/>
        </w:rPr>
        <w:t>行政院</w:t>
      </w:r>
      <w:r w:rsidR="00781B0B">
        <w:rPr>
          <w:rFonts w:hAnsi="標楷體" w:hint="eastAsia"/>
        </w:rPr>
        <w:t>及</w:t>
      </w:r>
      <w:r w:rsidR="00781B0B" w:rsidRPr="00781B0B">
        <w:rPr>
          <w:rFonts w:hAnsi="標楷體" w:hint="eastAsia"/>
        </w:rPr>
        <w:t>主計總處</w:t>
      </w:r>
      <w:r w:rsidR="00916683">
        <w:rPr>
          <w:rFonts w:hAnsi="標楷體" w:hint="eastAsia"/>
        </w:rPr>
        <w:t>允應</w:t>
      </w:r>
      <w:r w:rsidR="003C7C04">
        <w:rPr>
          <w:rFonts w:hAnsi="標楷體" w:hint="eastAsia"/>
        </w:rPr>
        <w:t>儘速進行</w:t>
      </w:r>
      <w:r w:rsidR="00781B0B">
        <w:rPr>
          <w:rFonts w:hAnsi="標楷體" w:hint="eastAsia"/>
        </w:rPr>
        <w:t>跨部會研商，</w:t>
      </w:r>
      <w:r w:rsidR="00691CB4" w:rsidRPr="00691CB4">
        <w:rPr>
          <w:rFonts w:hAnsi="標楷體" w:hint="eastAsia"/>
        </w:rPr>
        <w:t>通盤一致性檢視</w:t>
      </w:r>
      <w:r w:rsidR="00463F9D">
        <w:rPr>
          <w:rFonts w:hAnsi="標楷體" w:hint="eastAsia"/>
        </w:rPr>
        <w:t>及</w:t>
      </w:r>
      <w:r w:rsidR="00916683">
        <w:rPr>
          <w:rFonts w:hAnsi="標楷體" w:hint="eastAsia"/>
        </w:rPr>
        <w:t>研議</w:t>
      </w:r>
      <w:r w:rsidR="00781B0B">
        <w:rPr>
          <w:rFonts w:hAnsi="標楷體" w:hint="eastAsia"/>
        </w:rPr>
        <w:t>。</w:t>
      </w:r>
    </w:p>
    <w:p w:rsidR="003F7649" w:rsidRDefault="003F7649" w:rsidP="000C056A">
      <w:pPr>
        <w:pStyle w:val="20"/>
        <w:spacing w:beforeLines="50" w:before="250"/>
        <w:ind w:leftChars="29" w:left="992" w:hangingChars="321" w:hanging="910"/>
        <w:jc w:val="both"/>
        <w:rPr>
          <w:color w:val="000000"/>
          <w:szCs w:val="24"/>
        </w:rPr>
      </w:pPr>
      <w:r w:rsidRPr="00AC2C9C">
        <w:rPr>
          <w:rFonts w:hint="eastAsia"/>
          <w:b/>
          <w:color w:val="000000"/>
          <w:sz w:val="28"/>
        </w:rPr>
        <w:t>表</w:t>
      </w:r>
      <w:r>
        <w:rPr>
          <w:rFonts w:hint="eastAsia"/>
          <w:b/>
          <w:color w:val="000000"/>
          <w:sz w:val="28"/>
        </w:rPr>
        <w:t>3-1</w:t>
      </w:r>
      <w:r w:rsidRPr="00AC2C9C">
        <w:rPr>
          <w:rFonts w:hint="eastAsia"/>
          <w:b/>
          <w:color w:val="000000"/>
          <w:sz w:val="28"/>
        </w:rPr>
        <w:t xml:space="preserve"> </w:t>
      </w:r>
      <w:r w:rsidR="008D44D6">
        <w:rPr>
          <w:rFonts w:hint="eastAsia"/>
          <w:b/>
          <w:color w:val="000000"/>
          <w:sz w:val="28"/>
        </w:rPr>
        <w:t>行政院</w:t>
      </w:r>
      <w:r w:rsidR="008D44D6" w:rsidRPr="008D44D6">
        <w:rPr>
          <w:rFonts w:hint="eastAsia"/>
          <w:b/>
          <w:color w:val="000000"/>
          <w:sz w:val="28"/>
        </w:rPr>
        <w:t>主計總處</w:t>
      </w:r>
      <w:r w:rsidR="008D44D6">
        <w:rPr>
          <w:rFonts w:hint="eastAsia"/>
          <w:b/>
          <w:color w:val="000000"/>
          <w:sz w:val="28"/>
        </w:rPr>
        <w:t>等7個部會</w:t>
      </w:r>
      <w:r w:rsidR="00F6246A">
        <w:rPr>
          <w:rFonts w:hint="eastAsia"/>
          <w:b/>
          <w:color w:val="000000"/>
          <w:sz w:val="28"/>
        </w:rPr>
        <w:t>函報114年度預算</w:t>
      </w:r>
      <w:r w:rsidR="008D44D6">
        <w:rPr>
          <w:rFonts w:hint="eastAsia"/>
          <w:b/>
          <w:color w:val="000000"/>
          <w:sz w:val="28"/>
        </w:rPr>
        <w:t>解凍報告內容摘錄</w:t>
      </w:r>
      <w:r w:rsidR="00691CB4">
        <w:rPr>
          <w:rFonts w:hint="eastAsia"/>
          <w:b/>
          <w:color w:val="000000"/>
          <w:sz w:val="28"/>
        </w:rPr>
        <w:t>彙整</w:t>
      </w:r>
      <w:r w:rsidRPr="00AC2C9C">
        <w:rPr>
          <w:rFonts w:hint="eastAsia"/>
          <w:b/>
          <w:color w:val="000000"/>
          <w:sz w:val="28"/>
        </w:rPr>
        <w:t>表</w:t>
      </w:r>
    </w:p>
    <w:tbl>
      <w:tblPr>
        <w:tblW w:w="5000" w:type="pct"/>
        <w:tblInd w:w="11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1344"/>
        <w:gridCol w:w="1219"/>
        <w:gridCol w:w="5997"/>
      </w:tblGrid>
      <w:tr w:rsidR="003F7649" w:rsidRPr="00FC741A" w:rsidTr="00F6246A">
        <w:trPr>
          <w:trHeight w:val="489"/>
          <w:tblHeader/>
        </w:trPr>
        <w:tc>
          <w:tcPr>
            <w:tcW w:w="785" w:type="pct"/>
            <w:shd w:val="clear" w:color="auto" w:fill="auto"/>
            <w:vAlign w:val="center"/>
          </w:tcPr>
          <w:p w:rsidR="003F7649" w:rsidRPr="00FC741A" w:rsidRDefault="003F7649" w:rsidP="00AB444D">
            <w:pPr>
              <w:pStyle w:val="142"/>
              <w:jc w:val="center"/>
              <w:rPr>
                <w:rFonts w:hAnsi="標楷體"/>
                <w:b/>
                <w:szCs w:val="24"/>
              </w:rPr>
            </w:pPr>
            <w:r>
              <w:rPr>
                <w:rFonts w:hAnsi="標楷體" w:hint="eastAsia"/>
                <w:b/>
                <w:szCs w:val="24"/>
              </w:rPr>
              <w:t>部會別</w:t>
            </w:r>
          </w:p>
        </w:tc>
        <w:tc>
          <w:tcPr>
            <w:tcW w:w="712" w:type="pct"/>
            <w:shd w:val="clear" w:color="auto" w:fill="auto"/>
            <w:vAlign w:val="center"/>
          </w:tcPr>
          <w:p w:rsidR="003F7649" w:rsidRPr="00FC741A" w:rsidRDefault="003F7649" w:rsidP="00AB444D">
            <w:pPr>
              <w:pStyle w:val="142"/>
              <w:jc w:val="center"/>
              <w:rPr>
                <w:rFonts w:hAnsi="標楷體"/>
                <w:b/>
                <w:szCs w:val="24"/>
              </w:rPr>
            </w:pPr>
            <w:r>
              <w:rPr>
                <w:rFonts w:hAnsi="標楷體" w:hint="eastAsia"/>
                <w:b/>
                <w:szCs w:val="24"/>
              </w:rPr>
              <w:t>函文日期</w:t>
            </w:r>
          </w:p>
        </w:tc>
        <w:tc>
          <w:tcPr>
            <w:tcW w:w="3503" w:type="pct"/>
            <w:shd w:val="clear" w:color="auto" w:fill="auto"/>
            <w:vAlign w:val="center"/>
          </w:tcPr>
          <w:p w:rsidR="003F7649" w:rsidRPr="00FC741A" w:rsidRDefault="003F7649" w:rsidP="00463F9D">
            <w:pPr>
              <w:pStyle w:val="142"/>
              <w:jc w:val="center"/>
              <w:rPr>
                <w:rFonts w:hAnsi="標楷體"/>
                <w:b/>
                <w:szCs w:val="24"/>
              </w:rPr>
            </w:pPr>
            <w:r>
              <w:rPr>
                <w:rFonts w:hAnsi="標楷體" w:hint="eastAsia"/>
                <w:b/>
                <w:szCs w:val="24"/>
              </w:rPr>
              <w:t>解凍報告內容摘</w:t>
            </w:r>
            <w:r w:rsidR="005410C3">
              <w:rPr>
                <w:rFonts w:hAnsi="標楷體" w:hint="eastAsia"/>
                <w:b/>
                <w:szCs w:val="24"/>
              </w:rPr>
              <w:t>錄</w:t>
            </w:r>
          </w:p>
        </w:tc>
      </w:tr>
      <w:tr w:rsidR="003F7649" w:rsidRPr="009C56B9" w:rsidTr="00F6246A">
        <w:trPr>
          <w:trHeight w:val="699"/>
        </w:trPr>
        <w:tc>
          <w:tcPr>
            <w:tcW w:w="785" w:type="pct"/>
            <w:shd w:val="clear" w:color="auto" w:fill="auto"/>
            <w:vAlign w:val="center"/>
          </w:tcPr>
          <w:p w:rsidR="00565DEF" w:rsidRDefault="003B1F59" w:rsidP="003B1F59">
            <w:pPr>
              <w:pStyle w:val="142"/>
              <w:rPr>
                <w:rFonts w:hAnsi="標楷體"/>
                <w:szCs w:val="24"/>
              </w:rPr>
            </w:pPr>
            <w:r w:rsidRPr="003B1F59">
              <w:rPr>
                <w:rFonts w:hAnsi="標楷體" w:hint="eastAsia"/>
                <w:szCs w:val="24"/>
              </w:rPr>
              <w:t>行政院</w:t>
            </w:r>
          </w:p>
          <w:p w:rsidR="003F7649" w:rsidRPr="00FC741A" w:rsidRDefault="003B1F59" w:rsidP="003B1F59">
            <w:pPr>
              <w:pStyle w:val="142"/>
              <w:rPr>
                <w:rFonts w:hAnsi="標楷體"/>
                <w:szCs w:val="24"/>
              </w:rPr>
            </w:pPr>
            <w:r w:rsidRPr="003B1F59">
              <w:rPr>
                <w:rFonts w:hAnsi="標楷體" w:hint="eastAsia"/>
                <w:szCs w:val="24"/>
              </w:rPr>
              <w:t>主計總處</w:t>
            </w:r>
          </w:p>
        </w:tc>
        <w:tc>
          <w:tcPr>
            <w:tcW w:w="712" w:type="pct"/>
            <w:shd w:val="clear" w:color="auto" w:fill="auto"/>
            <w:vAlign w:val="center"/>
          </w:tcPr>
          <w:p w:rsidR="003F7649" w:rsidRPr="00B80BD2" w:rsidRDefault="00B80BD2" w:rsidP="00B80BD2">
            <w:pPr>
              <w:pStyle w:val="142"/>
              <w:jc w:val="center"/>
              <w:rPr>
                <w:rFonts w:hAnsi="標楷體"/>
                <w:szCs w:val="24"/>
              </w:rPr>
            </w:pPr>
            <w:r>
              <w:rPr>
                <w:rFonts w:hAnsi="標楷體" w:hint="eastAsia"/>
                <w:szCs w:val="24"/>
              </w:rPr>
              <w:t>114.4.23</w:t>
            </w:r>
          </w:p>
        </w:tc>
        <w:tc>
          <w:tcPr>
            <w:tcW w:w="3503" w:type="pct"/>
            <w:shd w:val="clear" w:color="auto" w:fill="auto"/>
            <w:vAlign w:val="center"/>
          </w:tcPr>
          <w:p w:rsidR="003F7649" w:rsidRPr="00B80BD2" w:rsidRDefault="00B57265" w:rsidP="00B57265">
            <w:pPr>
              <w:pStyle w:val="142"/>
              <w:rPr>
                <w:rFonts w:hAnsi="標楷體"/>
                <w:szCs w:val="24"/>
              </w:rPr>
            </w:pPr>
            <w:r>
              <w:rPr>
                <w:rFonts w:hAnsi="標楷體" w:hint="eastAsia"/>
                <w:szCs w:val="24"/>
              </w:rPr>
              <w:t>本總處職掌為政府歲計、會計、統計及主計資訊事宜，</w:t>
            </w:r>
            <w:r w:rsidRPr="00B57265">
              <w:rPr>
                <w:rFonts w:hAnsi="標楷體" w:hint="eastAsia"/>
                <w:szCs w:val="24"/>
              </w:rPr>
              <w:t>目前</w:t>
            </w:r>
            <w:r w:rsidRPr="008D44D6">
              <w:rPr>
                <w:rFonts w:hAnsi="標楷體" w:hint="eastAsia"/>
                <w:b/>
                <w:szCs w:val="24"/>
              </w:rPr>
              <w:t>辦理業務尚無涉地方事權事項</w:t>
            </w:r>
            <w:r>
              <w:rPr>
                <w:rFonts w:hAnsi="標楷體" w:hint="eastAsia"/>
                <w:szCs w:val="24"/>
              </w:rPr>
              <w:t>。</w:t>
            </w:r>
          </w:p>
        </w:tc>
      </w:tr>
      <w:tr w:rsidR="003F7649" w:rsidRPr="009C56B9" w:rsidTr="000C056A">
        <w:trPr>
          <w:trHeight w:val="3340"/>
        </w:trPr>
        <w:tc>
          <w:tcPr>
            <w:tcW w:w="785" w:type="pct"/>
            <w:shd w:val="clear" w:color="auto" w:fill="auto"/>
            <w:vAlign w:val="center"/>
          </w:tcPr>
          <w:p w:rsidR="003F7649" w:rsidRPr="00FC741A" w:rsidRDefault="003B1F59" w:rsidP="003B1F59">
            <w:pPr>
              <w:pStyle w:val="142"/>
              <w:rPr>
                <w:rFonts w:hAnsi="標楷體"/>
                <w:szCs w:val="24"/>
              </w:rPr>
            </w:pPr>
            <w:r w:rsidRPr="003B1F59">
              <w:rPr>
                <w:rFonts w:hAnsi="標楷體" w:hint="eastAsia"/>
                <w:szCs w:val="24"/>
              </w:rPr>
              <w:t>財政部</w:t>
            </w:r>
          </w:p>
        </w:tc>
        <w:tc>
          <w:tcPr>
            <w:tcW w:w="712" w:type="pct"/>
            <w:shd w:val="clear" w:color="auto" w:fill="auto"/>
            <w:vAlign w:val="center"/>
          </w:tcPr>
          <w:p w:rsidR="003F7649" w:rsidRPr="00B80BD2" w:rsidRDefault="00B80BD2" w:rsidP="00B80BD2">
            <w:pPr>
              <w:pStyle w:val="142"/>
              <w:jc w:val="center"/>
              <w:rPr>
                <w:rFonts w:hAnsi="標楷體"/>
                <w:szCs w:val="24"/>
              </w:rPr>
            </w:pPr>
            <w:r>
              <w:rPr>
                <w:rFonts w:hAnsi="標楷體" w:hint="eastAsia"/>
                <w:szCs w:val="24"/>
              </w:rPr>
              <w:t>114.4.24</w:t>
            </w:r>
          </w:p>
        </w:tc>
        <w:tc>
          <w:tcPr>
            <w:tcW w:w="3503" w:type="pct"/>
            <w:shd w:val="clear" w:color="auto" w:fill="auto"/>
            <w:vAlign w:val="center"/>
          </w:tcPr>
          <w:p w:rsidR="00595D61" w:rsidRPr="00595D61" w:rsidRDefault="00595D61" w:rsidP="007244B9">
            <w:pPr>
              <w:pStyle w:val="142"/>
              <w:jc w:val="both"/>
              <w:rPr>
                <w:rFonts w:hAnsi="標楷體"/>
                <w:szCs w:val="24"/>
              </w:rPr>
            </w:pPr>
            <w:r w:rsidRPr="00595D61">
              <w:rPr>
                <w:rFonts w:hAnsi="標楷體" w:hint="eastAsia"/>
                <w:szCs w:val="24"/>
              </w:rPr>
              <w:t>經初步檢討本部及所屬機關職掌業務，涉及回歸地方政府辦理部分，主要項目及相關法律規定說明如下：</w:t>
            </w:r>
          </w:p>
          <w:p w:rsidR="00595D61" w:rsidRPr="00595D61" w:rsidRDefault="00595D61" w:rsidP="007244B9">
            <w:pPr>
              <w:pStyle w:val="142"/>
              <w:ind w:left="251" w:hangingChars="103" w:hanging="251"/>
              <w:jc w:val="both"/>
              <w:rPr>
                <w:rFonts w:hAnsi="標楷體"/>
                <w:szCs w:val="24"/>
              </w:rPr>
            </w:pPr>
            <w:r w:rsidRPr="00595D61">
              <w:rPr>
                <w:rFonts w:hAnsi="標楷體" w:hint="eastAsia"/>
                <w:szCs w:val="24"/>
              </w:rPr>
              <w:t>1.</w:t>
            </w:r>
            <w:r w:rsidR="003762E3" w:rsidRPr="00595D61">
              <w:rPr>
                <w:rFonts w:hAnsi="標楷體" w:hint="eastAsia"/>
                <w:szCs w:val="24"/>
              </w:rPr>
              <w:t>本部</w:t>
            </w:r>
            <w:r w:rsidRPr="00595D61">
              <w:rPr>
                <w:rFonts w:hAnsi="標楷體" w:hint="eastAsia"/>
                <w:szCs w:val="24"/>
              </w:rPr>
              <w:t>賦稅署「地方政府土地增值稅款短少補助」：依據土地稅法…。</w:t>
            </w:r>
          </w:p>
          <w:p w:rsidR="00595D61" w:rsidRPr="00595D61" w:rsidRDefault="00595D61" w:rsidP="007244B9">
            <w:pPr>
              <w:pStyle w:val="142"/>
              <w:ind w:left="251" w:hangingChars="103" w:hanging="251"/>
              <w:jc w:val="both"/>
              <w:rPr>
                <w:rFonts w:hAnsi="標楷體"/>
                <w:szCs w:val="24"/>
              </w:rPr>
            </w:pPr>
            <w:r w:rsidRPr="00595D61">
              <w:rPr>
                <w:rFonts w:hAnsi="標楷體" w:hint="eastAsia"/>
                <w:szCs w:val="24"/>
              </w:rPr>
              <w:t>2.</w:t>
            </w:r>
            <w:r w:rsidR="003762E3" w:rsidRPr="00595D61">
              <w:rPr>
                <w:rFonts w:hAnsi="標楷體" w:hint="eastAsia"/>
                <w:szCs w:val="24"/>
              </w:rPr>
              <w:t>本部</w:t>
            </w:r>
            <w:r w:rsidRPr="00595D61">
              <w:rPr>
                <w:rFonts w:hAnsi="標楷體" w:hint="eastAsia"/>
                <w:szCs w:val="24"/>
              </w:rPr>
              <w:t>賦稅署「地方政府遺產及贈與稅款短少補助」：依據遺產及贈與稅法</w:t>
            </w:r>
            <w:r w:rsidR="003762E3" w:rsidRPr="003762E3">
              <w:rPr>
                <w:rFonts w:hAnsi="標楷體" w:hint="eastAsia"/>
                <w:szCs w:val="24"/>
              </w:rPr>
              <w:t>…</w:t>
            </w:r>
            <w:r w:rsidRPr="00595D61">
              <w:rPr>
                <w:rFonts w:hAnsi="標楷體" w:hint="eastAsia"/>
                <w:szCs w:val="24"/>
              </w:rPr>
              <w:t>。</w:t>
            </w:r>
          </w:p>
          <w:p w:rsidR="00595D61" w:rsidRPr="00595D61" w:rsidRDefault="00595D61" w:rsidP="007244B9">
            <w:pPr>
              <w:pStyle w:val="142"/>
              <w:ind w:left="251" w:hangingChars="103" w:hanging="251"/>
              <w:jc w:val="both"/>
              <w:rPr>
                <w:rFonts w:hAnsi="標楷體"/>
                <w:szCs w:val="24"/>
              </w:rPr>
            </w:pPr>
            <w:r w:rsidRPr="00595D61">
              <w:rPr>
                <w:rFonts w:hAnsi="標楷體" w:hint="eastAsia"/>
                <w:szCs w:val="24"/>
              </w:rPr>
              <w:t>3.</w:t>
            </w:r>
            <w:r w:rsidR="003762E3" w:rsidRPr="00595D61">
              <w:rPr>
                <w:rFonts w:hAnsi="標楷體" w:hint="eastAsia"/>
                <w:szCs w:val="24"/>
              </w:rPr>
              <w:t>本部</w:t>
            </w:r>
            <w:r w:rsidRPr="00595D61">
              <w:rPr>
                <w:rFonts w:hAnsi="標楷體" w:hint="eastAsia"/>
                <w:szCs w:val="24"/>
              </w:rPr>
              <w:t>賦稅署「地方政府房屋稅款短少補助」：依據房屋稅條例</w:t>
            </w:r>
            <w:r w:rsidR="003762E3" w:rsidRPr="003762E3">
              <w:rPr>
                <w:rFonts w:hAnsi="標楷體" w:hint="eastAsia"/>
                <w:szCs w:val="24"/>
              </w:rPr>
              <w:t>…</w:t>
            </w:r>
            <w:r w:rsidRPr="00595D61">
              <w:rPr>
                <w:rFonts w:hAnsi="標楷體" w:hint="eastAsia"/>
                <w:szCs w:val="24"/>
              </w:rPr>
              <w:t>。</w:t>
            </w:r>
          </w:p>
          <w:p w:rsidR="003F7649" w:rsidRPr="00B80BD2" w:rsidRDefault="00595D61" w:rsidP="007244B9">
            <w:pPr>
              <w:pStyle w:val="142"/>
              <w:ind w:left="251" w:hangingChars="103" w:hanging="251"/>
              <w:jc w:val="both"/>
              <w:rPr>
                <w:rFonts w:hAnsi="標楷體"/>
                <w:szCs w:val="24"/>
              </w:rPr>
            </w:pPr>
            <w:r w:rsidRPr="00595D61">
              <w:rPr>
                <w:rFonts w:hAnsi="標楷體" w:hint="eastAsia"/>
                <w:szCs w:val="24"/>
              </w:rPr>
              <w:t>4.綜上，</w:t>
            </w:r>
            <w:r w:rsidRPr="008D44D6">
              <w:rPr>
                <w:rFonts w:hAnsi="標楷體" w:hint="eastAsia"/>
                <w:b/>
                <w:szCs w:val="24"/>
              </w:rPr>
              <w:t>財政收支劃分法修正案公布施行後，免再彌補地方政府稅收損失，土地稅法、遺產及贈與稅法與房屋稅條例亦無須配合修正</w:t>
            </w:r>
            <w:r w:rsidRPr="00595D61">
              <w:rPr>
                <w:rFonts w:hAnsi="標楷體" w:hint="eastAsia"/>
                <w:szCs w:val="24"/>
              </w:rPr>
              <w:t>。</w:t>
            </w:r>
          </w:p>
        </w:tc>
      </w:tr>
      <w:tr w:rsidR="003F7649" w:rsidRPr="009C56B9" w:rsidTr="000C056A">
        <w:trPr>
          <w:trHeight w:val="837"/>
        </w:trPr>
        <w:tc>
          <w:tcPr>
            <w:tcW w:w="785" w:type="pct"/>
            <w:shd w:val="clear" w:color="auto" w:fill="auto"/>
            <w:vAlign w:val="center"/>
          </w:tcPr>
          <w:p w:rsidR="003F7649" w:rsidRPr="00FC741A" w:rsidRDefault="003B1F59" w:rsidP="003B1F59">
            <w:pPr>
              <w:pStyle w:val="142"/>
              <w:rPr>
                <w:rFonts w:hAnsi="標楷體"/>
                <w:szCs w:val="24"/>
              </w:rPr>
            </w:pPr>
            <w:r w:rsidRPr="003B1F59">
              <w:rPr>
                <w:rFonts w:hAnsi="標楷體" w:hint="eastAsia"/>
                <w:szCs w:val="24"/>
              </w:rPr>
              <w:t>客家委員會</w:t>
            </w:r>
          </w:p>
        </w:tc>
        <w:tc>
          <w:tcPr>
            <w:tcW w:w="712" w:type="pct"/>
            <w:shd w:val="clear" w:color="auto" w:fill="auto"/>
            <w:vAlign w:val="center"/>
          </w:tcPr>
          <w:p w:rsidR="003F7649" w:rsidRPr="00B80BD2" w:rsidRDefault="00B80BD2" w:rsidP="00B80BD2">
            <w:pPr>
              <w:pStyle w:val="142"/>
              <w:jc w:val="center"/>
              <w:rPr>
                <w:rFonts w:hAnsi="標楷體"/>
                <w:szCs w:val="24"/>
              </w:rPr>
            </w:pPr>
            <w:r>
              <w:rPr>
                <w:rFonts w:hAnsi="標楷體" w:hint="eastAsia"/>
                <w:szCs w:val="24"/>
              </w:rPr>
              <w:t>114.4.24</w:t>
            </w:r>
          </w:p>
        </w:tc>
        <w:tc>
          <w:tcPr>
            <w:tcW w:w="3503" w:type="pct"/>
            <w:shd w:val="clear" w:color="auto" w:fill="auto"/>
            <w:vAlign w:val="center"/>
          </w:tcPr>
          <w:p w:rsidR="003F7649" w:rsidRPr="00B80BD2" w:rsidRDefault="00516201" w:rsidP="00B80BD2">
            <w:pPr>
              <w:pStyle w:val="142"/>
              <w:rPr>
                <w:rFonts w:hAnsi="標楷體"/>
                <w:szCs w:val="24"/>
              </w:rPr>
            </w:pPr>
            <w:r w:rsidRPr="00516201">
              <w:rPr>
                <w:rFonts w:hAnsi="標楷體" w:hint="eastAsia"/>
                <w:szCs w:val="24"/>
              </w:rPr>
              <w:t>茲因「財政收支劃分法」剛公告實施，本會</w:t>
            </w:r>
            <w:r w:rsidRPr="00B87F50">
              <w:rPr>
                <w:rFonts w:hAnsi="標楷體" w:hint="eastAsia"/>
                <w:b/>
                <w:szCs w:val="24"/>
              </w:rPr>
              <w:t>將配合行政院整體政策方向積極辦理</w:t>
            </w:r>
            <w:r w:rsidRPr="00516201">
              <w:rPr>
                <w:rFonts w:hAnsi="標楷體" w:hint="eastAsia"/>
                <w:szCs w:val="24"/>
              </w:rPr>
              <w:t>。</w:t>
            </w:r>
          </w:p>
        </w:tc>
      </w:tr>
      <w:tr w:rsidR="003F7649" w:rsidRPr="009C56B9" w:rsidTr="000C056A">
        <w:trPr>
          <w:trHeight w:val="706"/>
        </w:trPr>
        <w:tc>
          <w:tcPr>
            <w:tcW w:w="785" w:type="pct"/>
            <w:shd w:val="clear" w:color="auto" w:fill="auto"/>
            <w:vAlign w:val="center"/>
          </w:tcPr>
          <w:p w:rsidR="00565DEF" w:rsidRDefault="003B1F59" w:rsidP="00AB444D">
            <w:pPr>
              <w:pStyle w:val="142"/>
              <w:rPr>
                <w:rFonts w:hAnsi="標楷體"/>
                <w:szCs w:val="24"/>
              </w:rPr>
            </w:pPr>
            <w:r w:rsidRPr="003B1F59">
              <w:rPr>
                <w:rFonts w:hAnsi="標楷體" w:hint="eastAsia"/>
                <w:szCs w:val="24"/>
              </w:rPr>
              <w:t>國家發展</w:t>
            </w:r>
          </w:p>
          <w:p w:rsidR="003F7649" w:rsidRPr="00FC741A" w:rsidRDefault="003B1F59" w:rsidP="00AB444D">
            <w:pPr>
              <w:pStyle w:val="142"/>
              <w:rPr>
                <w:rFonts w:hAnsi="標楷體"/>
                <w:szCs w:val="24"/>
              </w:rPr>
            </w:pPr>
            <w:r w:rsidRPr="003B1F59">
              <w:rPr>
                <w:rFonts w:hAnsi="標楷體" w:hint="eastAsia"/>
                <w:szCs w:val="24"/>
              </w:rPr>
              <w:t>委員會</w:t>
            </w:r>
          </w:p>
        </w:tc>
        <w:tc>
          <w:tcPr>
            <w:tcW w:w="712" w:type="pct"/>
            <w:shd w:val="clear" w:color="auto" w:fill="auto"/>
            <w:vAlign w:val="center"/>
          </w:tcPr>
          <w:p w:rsidR="003F7649" w:rsidRPr="00B80BD2" w:rsidRDefault="00B80BD2" w:rsidP="00B80BD2">
            <w:pPr>
              <w:pStyle w:val="142"/>
              <w:jc w:val="center"/>
              <w:rPr>
                <w:rFonts w:hAnsi="標楷體"/>
                <w:szCs w:val="24"/>
              </w:rPr>
            </w:pPr>
            <w:r>
              <w:rPr>
                <w:rFonts w:hAnsi="標楷體" w:hint="eastAsia"/>
                <w:szCs w:val="24"/>
              </w:rPr>
              <w:t>114.4.23</w:t>
            </w:r>
          </w:p>
        </w:tc>
        <w:tc>
          <w:tcPr>
            <w:tcW w:w="3503" w:type="pct"/>
            <w:shd w:val="clear" w:color="auto" w:fill="auto"/>
            <w:vAlign w:val="center"/>
          </w:tcPr>
          <w:p w:rsidR="003F7649" w:rsidRPr="00B80BD2" w:rsidRDefault="00B87F50" w:rsidP="003B0207">
            <w:pPr>
              <w:pStyle w:val="142"/>
              <w:ind w:left="251" w:hangingChars="103" w:hanging="251"/>
              <w:jc w:val="both"/>
              <w:rPr>
                <w:rFonts w:hAnsi="標楷體"/>
                <w:szCs w:val="24"/>
              </w:rPr>
            </w:pPr>
            <w:r w:rsidRPr="00B87F50">
              <w:rPr>
                <w:rFonts w:hAnsi="標楷體" w:hint="eastAsia"/>
                <w:szCs w:val="24"/>
              </w:rPr>
              <w:t>國家發展委員會</w:t>
            </w:r>
            <w:r w:rsidRPr="00B87F50">
              <w:rPr>
                <w:rFonts w:hAnsi="標楷體" w:hint="eastAsia"/>
                <w:b/>
                <w:szCs w:val="24"/>
              </w:rPr>
              <w:t>未有應移轉回歸地方自治之事權事項</w:t>
            </w:r>
            <w:r>
              <w:rPr>
                <w:rFonts w:hAnsi="標楷體" w:hint="eastAsia"/>
                <w:b/>
                <w:szCs w:val="24"/>
              </w:rPr>
              <w:t>。</w:t>
            </w:r>
          </w:p>
        </w:tc>
      </w:tr>
      <w:tr w:rsidR="003F7649" w:rsidRPr="009C56B9" w:rsidTr="00300C91">
        <w:trPr>
          <w:trHeight w:val="2971"/>
        </w:trPr>
        <w:tc>
          <w:tcPr>
            <w:tcW w:w="785" w:type="pct"/>
            <w:shd w:val="clear" w:color="auto" w:fill="auto"/>
            <w:vAlign w:val="center"/>
          </w:tcPr>
          <w:p w:rsidR="003F7649" w:rsidRPr="00FC741A" w:rsidRDefault="003B1F59" w:rsidP="00AB444D">
            <w:pPr>
              <w:pStyle w:val="142"/>
              <w:rPr>
                <w:rFonts w:hAnsi="標楷體"/>
                <w:szCs w:val="24"/>
              </w:rPr>
            </w:pPr>
            <w:r w:rsidRPr="003B1F59">
              <w:rPr>
                <w:rFonts w:hAnsi="標楷體" w:hint="eastAsia"/>
                <w:szCs w:val="24"/>
              </w:rPr>
              <w:t>經濟部</w:t>
            </w:r>
          </w:p>
        </w:tc>
        <w:tc>
          <w:tcPr>
            <w:tcW w:w="712" w:type="pct"/>
            <w:shd w:val="clear" w:color="auto" w:fill="auto"/>
            <w:vAlign w:val="center"/>
          </w:tcPr>
          <w:p w:rsidR="003F7649" w:rsidRPr="00B80BD2" w:rsidRDefault="00B80BD2" w:rsidP="00B80BD2">
            <w:pPr>
              <w:pStyle w:val="142"/>
              <w:jc w:val="center"/>
              <w:rPr>
                <w:rFonts w:hAnsi="標楷體"/>
                <w:szCs w:val="24"/>
              </w:rPr>
            </w:pPr>
            <w:r>
              <w:rPr>
                <w:rFonts w:hAnsi="標楷體" w:hint="eastAsia"/>
                <w:szCs w:val="24"/>
              </w:rPr>
              <w:t>114.4.25</w:t>
            </w:r>
          </w:p>
        </w:tc>
        <w:tc>
          <w:tcPr>
            <w:tcW w:w="3503" w:type="pct"/>
            <w:shd w:val="clear" w:color="auto" w:fill="auto"/>
            <w:vAlign w:val="center"/>
          </w:tcPr>
          <w:p w:rsidR="005E0F68" w:rsidRPr="005E0F68" w:rsidRDefault="00381B2C" w:rsidP="00381B2C">
            <w:pPr>
              <w:pStyle w:val="142"/>
              <w:ind w:left="251" w:hangingChars="103" w:hanging="251"/>
              <w:jc w:val="both"/>
              <w:rPr>
                <w:rFonts w:hAnsi="標楷體"/>
                <w:szCs w:val="24"/>
              </w:rPr>
            </w:pPr>
            <w:r>
              <w:rPr>
                <w:rFonts w:hAnsi="標楷體" w:hint="eastAsia"/>
                <w:szCs w:val="24"/>
              </w:rPr>
              <w:t>1.</w:t>
            </w:r>
            <w:r w:rsidR="005E0F68" w:rsidRPr="005E0F68">
              <w:rPr>
                <w:rFonts w:hAnsi="標楷體" w:hint="eastAsia"/>
                <w:szCs w:val="24"/>
              </w:rPr>
              <w:t>因應「財政收支劃分法」所需應移回歸地方自治之事項，涉及中央政府各項攸關民生、公共建設等政策之推行，亦涉及中央政府多個行政部會分工，影響範圍廣且複雜，</w:t>
            </w:r>
            <w:r w:rsidR="005E0F68" w:rsidRPr="00CC6D6A">
              <w:rPr>
                <w:rFonts w:hAnsi="標楷體" w:hint="eastAsia"/>
                <w:b/>
                <w:szCs w:val="24"/>
              </w:rPr>
              <w:t>尚須透過行政院整體通盤政策規劃</w:t>
            </w:r>
            <w:r w:rsidR="005E0F68" w:rsidRPr="005E0F68">
              <w:rPr>
                <w:rFonts w:hAnsi="標楷體" w:hint="eastAsia"/>
                <w:szCs w:val="24"/>
              </w:rPr>
              <w:t>，及內政部所訂之「地方制度法」規範，始能依循辦理相關作業。</w:t>
            </w:r>
          </w:p>
          <w:p w:rsidR="003F7649" w:rsidRPr="00B80BD2" w:rsidRDefault="00381B2C" w:rsidP="00381B2C">
            <w:pPr>
              <w:pStyle w:val="142"/>
              <w:ind w:left="251" w:hangingChars="103" w:hanging="251"/>
              <w:jc w:val="both"/>
              <w:rPr>
                <w:rFonts w:hAnsi="標楷體"/>
                <w:szCs w:val="24"/>
              </w:rPr>
            </w:pPr>
            <w:r>
              <w:rPr>
                <w:rFonts w:hAnsi="標楷體" w:hint="eastAsia"/>
                <w:szCs w:val="24"/>
              </w:rPr>
              <w:t>2.</w:t>
            </w:r>
            <w:r w:rsidR="005E0F68" w:rsidRPr="005E0F68">
              <w:rPr>
                <w:rFonts w:hAnsi="標楷體" w:hint="eastAsia"/>
                <w:szCs w:val="24"/>
              </w:rPr>
              <w:t>有關本部就「應移回歸地方自治之事權事項、金額、組織編制調整」及「配合事權調整所需之法規調適及時程規劃」，</w:t>
            </w:r>
            <w:r w:rsidR="005E0F68" w:rsidRPr="00CC6D6A">
              <w:rPr>
                <w:rFonts w:hAnsi="標楷體" w:hint="eastAsia"/>
                <w:b/>
                <w:szCs w:val="24"/>
              </w:rPr>
              <w:t>尚非短時間內可以盤點及提出事項，後續俟行政院政策方向及相關規範確立，本部將接續配合辦理相關作業</w:t>
            </w:r>
            <w:r w:rsidR="005E0F68" w:rsidRPr="005E0F68">
              <w:rPr>
                <w:rFonts w:hAnsi="標楷體" w:hint="eastAsia"/>
                <w:szCs w:val="24"/>
              </w:rPr>
              <w:t>。</w:t>
            </w:r>
          </w:p>
        </w:tc>
      </w:tr>
      <w:tr w:rsidR="003F7649" w:rsidRPr="009C56B9" w:rsidTr="00F6246A">
        <w:trPr>
          <w:trHeight w:val="1887"/>
        </w:trPr>
        <w:tc>
          <w:tcPr>
            <w:tcW w:w="785" w:type="pct"/>
            <w:shd w:val="clear" w:color="auto" w:fill="auto"/>
            <w:vAlign w:val="center"/>
          </w:tcPr>
          <w:p w:rsidR="003F7649" w:rsidRPr="00FC741A" w:rsidRDefault="003B1F59" w:rsidP="00AB444D">
            <w:pPr>
              <w:pStyle w:val="142"/>
              <w:rPr>
                <w:rFonts w:hAnsi="標楷體"/>
                <w:szCs w:val="24"/>
              </w:rPr>
            </w:pPr>
            <w:r w:rsidRPr="003B1F59">
              <w:rPr>
                <w:rFonts w:hAnsi="標楷體" w:hint="eastAsia"/>
                <w:szCs w:val="24"/>
              </w:rPr>
              <w:t>教育部</w:t>
            </w:r>
          </w:p>
        </w:tc>
        <w:tc>
          <w:tcPr>
            <w:tcW w:w="712" w:type="pct"/>
            <w:shd w:val="clear" w:color="auto" w:fill="auto"/>
            <w:vAlign w:val="center"/>
          </w:tcPr>
          <w:p w:rsidR="003F7649" w:rsidRPr="00B80BD2" w:rsidRDefault="00B80BD2" w:rsidP="00B80BD2">
            <w:pPr>
              <w:pStyle w:val="142"/>
              <w:jc w:val="center"/>
              <w:rPr>
                <w:rFonts w:hAnsi="標楷體"/>
                <w:szCs w:val="24"/>
              </w:rPr>
            </w:pPr>
            <w:r>
              <w:rPr>
                <w:rFonts w:hAnsi="標楷體" w:hint="eastAsia"/>
                <w:szCs w:val="24"/>
              </w:rPr>
              <w:t>114.4.25</w:t>
            </w:r>
          </w:p>
        </w:tc>
        <w:tc>
          <w:tcPr>
            <w:tcW w:w="3503" w:type="pct"/>
            <w:shd w:val="clear" w:color="auto" w:fill="auto"/>
            <w:vAlign w:val="center"/>
          </w:tcPr>
          <w:p w:rsidR="003F7649" w:rsidRPr="00B80BD2" w:rsidRDefault="001A7FCA" w:rsidP="00300C91">
            <w:pPr>
              <w:pStyle w:val="142"/>
              <w:spacing w:beforeLines="20" w:before="100" w:afterLines="20" w:after="100" w:line="300" w:lineRule="exact"/>
              <w:jc w:val="both"/>
              <w:rPr>
                <w:rFonts w:hAnsi="標楷體"/>
                <w:szCs w:val="24"/>
              </w:rPr>
            </w:pPr>
            <w:r w:rsidRPr="001A7FCA">
              <w:rPr>
                <w:rFonts w:hAnsi="標楷體" w:hint="eastAsia"/>
                <w:szCs w:val="24"/>
              </w:rPr>
              <w:t>考量各地方政府自有財源增加比例不一，地方財力級次之分級可能需重新排序，因此</w:t>
            </w:r>
            <w:r w:rsidRPr="001A7FCA">
              <w:rPr>
                <w:rFonts w:hAnsi="標楷體" w:hint="eastAsia"/>
                <w:b/>
                <w:szCs w:val="24"/>
              </w:rPr>
              <w:t>除中央需重新檢視地方財力級次，本部據以重新評估對地方政府各計畫補助比例外</w:t>
            </w:r>
            <w:r w:rsidRPr="001A7FCA">
              <w:rPr>
                <w:rFonts w:hAnsi="標楷體" w:hint="eastAsia"/>
                <w:szCs w:val="24"/>
              </w:rPr>
              <w:t>，本部奉行政院核定及依相關法規全額補助之計畫</w:t>
            </w:r>
            <w:r w:rsidRPr="001A7FCA">
              <w:rPr>
                <w:rFonts w:hAnsi="標楷體" w:hint="eastAsia"/>
                <w:b/>
                <w:szCs w:val="24"/>
              </w:rPr>
              <w:t>亦需配合行政院規劃重新檢討補助比例，或審慎評估全數由地方自籌經費辦理之成效等</w:t>
            </w:r>
            <w:r w:rsidRPr="001A7FCA">
              <w:rPr>
                <w:rFonts w:hAnsi="標楷體" w:hint="eastAsia"/>
                <w:szCs w:val="24"/>
              </w:rPr>
              <w:t>。</w:t>
            </w:r>
          </w:p>
        </w:tc>
      </w:tr>
      <w:tr w:rsidR="003F7649" w:rsidRPr="009C56B9" w:rsidTr="000C056A">
        <w:trPr>
          <w:trHeight w:val="4439"/>
        </w:trPr>
        <w:tc>
          <w:tcPr>
            <w:tcW w:w="785" w:type="pct"/>
            <w:shd w:val="clear" w:color="auto" w:fill="auto"/>
            <w:vAlign w:val="center"/>
          </w:tcPr>
          <w:p w:rsidR="003F7649" w:rsidRPr="00FC741A" w:rsidRDefault="003B1F59" w:rsidP="00AB444D">
            <w:pPr>
              <w:pStyle w:val="142"/>
              <w:rPr>
                <w:rFonts w:hAnsi="標楷體"/>
                <w:szCs w:val="24"/>
              </w:rPr>
            </w:pPr>
            <w:r w:rsidRPr="003B1F59">
              <w:rPr>
                <w:rFonts w:hAnsi="標楷體" w:hint="eastAsia"/>
                <w:szCs w:val="24"/>
              </w:rPr>
              <w:t>交通部</w:t>
            </w:r>
          </w:p>
        </w:tc>
        <w:tc>
          <w:tcPr>
            <w:tcW w:w="712" w:type="pct"/>
            <w:shd w:val="clear" w:color="auto" w:fill="auto"/>
            <w:vAlign w:val="center"/>
          </w:tcPr>
          <w:p w:rsidR="003F7649" w:rsidRPr="00B80BD2" w:rsidRDefault="00B80BD2" w:rsidP="00B80BD2">
            <w:pPr>
              <w:pStyle w:val="142"/>
              <w:jc w:val="center"/>
              <w:rPr>
                <w:rFonts w:hAnsi="標楷體"/>
                <w:szCs w:val="24"/>
              </w:rPr>
            </w:pPr>
            <w:r w:rsidRPr="00B80BD2">
              <w:rPr>
                <w:rFonts w:hAnsi="標楷體" w:hint="eastAsia"/>
                <w:szCs w:val="24"/>
              </w:rPr>
              <w:t>114.4.25</w:t>
            </w:r>
          </w:p>
        </w:tc>
        <w:tc>
          <w:tcPr>
            <w:tcW w:w="3503" w:type="pct"/>
            <w:shd w:val="clear" w:color="auto" w:fill="auto"/>
            <w:vAlign w:val="center"/>
          </w:tcPr>
          <w:p w:rsidR="00FC5401" w:rsidRPr="00D67855" w:rsidRDefault="00FC5401" w:rsidP="000C056A">
            <w:pPr>
              <w:pStyle w:val="142"/>
              <w:spacing w:line="300" w:lineRule="exact"/>
              <w:rPr>
                <w:rFonts w:hAnsi="標楷體"/>
                <w:b/>
                <w:szCs w:val="24"/>
              </w:rPr>
            </w:pPr>
            <w:r w:rsidRPr="00D67855">
              <w:rPr>
                <w:rFonts w:hAnsi="標楷體" w:hint="eastAsia"/>
                <w:b/>
                <w:szCs w:val="24"/>
              </w:rPr>
              <w:t>中央及地方事權移轉應通盤一致性檢視</w:t>
            </w:r>
          </w:p>
          <w:p w:rsidR="00FC5401" w:rsidRPr="00FC5401" w:rsidRDefault="00FC5401" w:rsidP="000C056A">
            <w:pPr>
              <w:pStyle w:val="142"/>
              <w:spacing w:line="300" w:lineRule="exact"/>
              <w:ind w:left="251" w:hangingChars="103" w:hanging="251"/>
              <w:jc w:val="both"/>
              <w:rPr>
                <w:rFonts w:hAnsi="標楷體"/>
                <w:szCs w:val="24"/>
              </w:rPr>
            </w:pPr>
            <w:r>
              <w:rPr>
                <w:rFonts w:hAnsi="標楷體" w:hint="eastAsia"/>
                <w:szCs w:val="24"/>
              </w:rPr>
              <w:t>1.</w:t>
            </w:r>
            <w:r w:rsidR="00D67855" w:rsidRPr="003762E3">
              <w:rPr>
                <w:rFonts w:hAnsi="標楷體" w:hint="eastAsia"/>
                <w:szCs w:val="24"/>
              </w:rPr>
              <w:t>…</w:t>
            </w:r>
            <w:r w:rsidRPr="00FC5401">
              <w:rPr>
                <w:rFonts w:hAnsi="標楷體" w:hint="eastAsia"/>
                <w:szCs w:val="24"/>
              </w:rPr>
              <w:t>，惟相關事權由中央轉移地方之調整事項，所涉範圍非僅交通事務，如內政、教育等亦均有影響，可見此</w:t>
            </w:r>
            <w:r w:rsidRPr="00D67855">
              <w:rPr>
                <w:rFonts w:hAnsi="標楷體" w:hint="eastAsia"/>
                <w:b/>
                <w:szCs w:val="24"/>
              </w:rPr>
              <w:t>屬通案檢視之議題，有待通盤研議</w:t>
            </w:r>
            <w:r w:rsidRPr="00FC5401">
              <w:rPr>
                <w:rFonts w:hAnsi="標楷體" w:hint="eastAsia"/>
                <w:szCs w:val="24"/>
              </w:rPr>
              <w:t>。</w:t>
            </w:r>
          </w:p>
          <w:p w:rsidR="003F7649" w:rsidRPr="00B80BD2" w:rsidRDefault="00FC5401" w:rsidP="000C056A">
            <w:pPr>
              <w:pStyle w:val="142"/>
              <w:spacing w:line="300" w:lineRule="exact"/>
              <w:ind w:left="251" w:hangingChars="103" w:hanging="251"/>
              <w:jc w:val="both"/>
              <w:rPr>
                <w:rFonts w:hAnsi="標楷體"/>
                <w:szCs w:val="24"/>
              </w:rPr>
            </w:pPr>
            <w:r>
              <w:rPr>
                <w:rFonts w:hAnsi="標楷體" w:hint="eastAsia"/>
                <w:szCs w:val="24"/>
              </w:rPr>
              <w:t>2.</w:t>
            </w:r>
            <w:r w:rsidRPr="00FC5401">
              <w:rPr>
                <w:rFonts w:hAnsi="標楷體" w:hint="eastAsia"/>
                <w:szCs w:val="24"/>
              </w:rPr>
              <w:t>委員用心關切此等議題，然涉及中央與地方財源分配之財劃法雖有修正，涉及制度規劃之相關法規如地方制度法並未修正調整；再者，財劃法係將中央與地方財源收入進行分配，而中央於整體預算考量下，將如何規劃及分配所屬相關部會之預算，亦</w:t>
            </w:r>
            <w:r w:rsidRPr="00D67855">
              <w:rPr>
                <w:rFonts w:hAnsi="標楷體" w:hint="eastAsia"/>
                <w:b/>
                <w:szCs w:val="24"/>
              </w:rPr>
              <w:t>須俟中央財主單位確定分配數額或盤點原則</w:t>
            </w:r>
            <w:r w:rsidRPr="00FC5401">
              <w:rPr>
                <w:rFonts w:hAnsi="標楷體" w:hint="eastAsia"/>
                <w:szCs w:val="24"/>
              </w:rPr>
              <w:t>，方能研判在此分配數額或盤點原則之下，相關事權事項以移轉回歸地方辦理為宜，並進而討論研議相關業務金額、組織編制員額與配套法規等議題。換言之，</w:t>
            </w:r>
            <w:r w:rsidRPr="00D67855">
              <w:rPr>
                <w:rFonts w:hAnsi="標楷體" w:hint="eastAsia"/>
                <w:b/>
                <w:szCs w:val="24"/>
              </w:rPr>
              <w:t>此涉中央與地方事權整體性規劃</w:t>
            </w:r>
            <w:r w:rsidRPr="00FC5401">
              <w:rPr>
                <w:rFonts w:hAnsi="標楷體" w:hint="eastAsia"/>
                <w:szCs w:val="24"/>
              </w:rPr>
              <w:t>，並非單一部會之議題。</w:t>
            </w:r>
          </w:p>
        </w:tc>
      </w:tr>
    </w:tbl>
    <w:p w:rsidR="003F7649" w:rsidRDefault="007207D1" w:rsidP="003F7649">
      <w:pPr>
        <w:pStyle w:val="142"/>
        <w:ind w:left="1189" w:hangingChars="489" w:hanging="1189"/>
      </w:pPr>
      <w:r>
        <w:rPr>
          <w:rFonts w:hint="eastAsia"/>
        </w:rPr>
        <w:t>說   明</w:t>
      </w:r>
      <w:r w:rsidR="003F7649" w:rsidRPr="00F87458">
        <w:rPr>
          <w:rFonts w:hint="eastAsia"/>
        </w:rPr>
        <w:t>：</w:t>
      </w:r>
      <w:r w:rsidR="003F7649">
        <w:rPr>
          <w:rFonts w:hint="eastAsia"/>
        </w:rPr>
        <w:t>整理自表列7個部會函報</w:t>
      </w:r>
      <w:r w:rsidR="00463F9D">
        <w:rPr>
          <w:rFonts w:hint="eastAsia"/>
        </w:rPr>
        <w:t>立法</w:t>
      </w:r>
      <w:r w:rsidR="003F7649">
        <w:rPr>
          <w:rFonts w:hint="eastAsia"/>
        </w:rPr>
        <w:t>院之解凍報告</w:t>
      </w:r>
      <w:r w:rsidR="003F7649" w:rsidRPr="00F87458">
        <w:rPr>
          <w:rFonts w:hint="eastAsia"/>
        </w:rPr>
        <w:t>。</w:t>
      </w:r>
    </w:p>
    <w:p w:rsidR="00463F9D" w:rsidRDefault="00463F9D" w:rsidP="00A00A3F">
      <w:pPr>
        <w:pStyle w:val="14"/>
        <w:ind w:left="567" w:hanging="567"/>
        <w:rPr>
          <w:rFonts w:hAnsi="標楷體"/>
        </w:rPr>
      </w:pPr>
    </w:p>
    <w:p w:rsidR="00A00A3F" w:rsidRDefault="00A00A3F" w:rsidP="00A00A3F">
      <w:pPr>
        <w:pStyle w:val="14"/>
        <w:ind w:left="567" w:hanging="567"/>
        <w:rPr>
          <w:rFonts w:hAnsi="標楷體"/>
        </w:rPr>
      </w:pPr>
      <w:bookmarkStart w:id="10" w:name="_Toc203481653"/>
      <w:r w:rsidRPr="002A651C">
        <w:rPr>
          <w:rFonts w:hAnsi="標楷體" w:hint="eastAsia"/>
        </w:rPr>
        <w:t>二、所得稅、證券交易稅，以及營業稅等3項稅目屢為近年稅課收入預算低估數最鉅者，有待財金主管機關細究預估失準原因</w:t>
      </w:r>
      <w:r w:rsidR="00FA7B73" w:rsidRPr="002A651C">
        <w:rPr>
          <w:rFonts w:hAnsi="標楷體" w:hint="eastAsia"/>
        </w:rPr>
        <w:t>，並</w:t>
      </w:r>
      <w:r w:rsidRPr="002A651C">
        <w:rPr>
          <w:rFonts w:hAnsi="標楷體" w:hint="eastAsia"/>
        </w:rPr>
        <w:t>研謀精進估</w:t>
      </w:r>
      <w:r w:rsidR="00D70A60" w:rsidRPr="002A651C">
        <w:rPr>
          <w:rFonts w:hAnsi="標楷體" w:hint="eastAsia"/>
        </w:rPr>
        <w:t>測</w:t>
      </w:r>
      <w:r w:rsidRPr="002A651C">
        <w:rPr>
          <w:rFonts w:hAnsi="標楷體" w:hint="eastAsia"/>
        </w:rPr>
        <w:t>模型，以縮減稅收誤差</w:t>
      </w:r>
      <w:bookmarkEnd w:id="10"/>
    </w:p>
    <w:p w:rsidR="005F58E9" w:rsidRDefault="00FA7B73" w:rsidP="005F58E9">
      <w:pPr>
        <w:ind w:left="566" w:firstLine="566"/>
      </w:pPr>
      <w:r w:rsidRPr="00FA7B73">
        <w:rPr>
          <w:rFonts w:hint="eastAsia"/>
        </w:rPr>
        <w:t>稅課收入乃中央政府收入之主要來源，稅收估測準確性攸關財政收支平衡、施政延續性及國家整體資源有效運用，</w:t>
      </w:r>
      <w:r>
        <w:rPr>
          <w:rFonts w:hint="eastAsia"/>
        </w:rPr>
        <w:t>然</w:t>
      </w:r>
      <w:r w:rsidR="005F58E9">
        <w:rPr>
          <w:rFonts w:hint="eastAsia"/>
        </w:rPr>
        <w:t>依前開貳、二統計資料，</w:t>
      </w:r>
      <w:r w:rsidR="005F58E9" w:rsidRPr="005F58E9">
        <w:rPr>
          <w:rFonts w:hint="eastAsia"/>
        </w:rPr>
        <w:t>自110年度以來連續4年</w:t>
      </w:r>
      <w:r w:rsidR="00960DFF" w:rsidRPr="005F58E9">
        <w:rPr>
          <w:rFonts w:hAnsi="標楷體" w:hint="eastAsia"/>
          <w:snapToGrid/>
          <w:spacing w:val="-6"/>
        </w:rPr>
        <w:t>中央政府</w:t>
      </w:r>
      <w:r w:rsidR="005F58E9" w:rsidRPr="005F58E9">
        <w:rPr>
          <w:rFonts w:hint="eastAsia"/>
        </w:rPr>
        <w:t>實徵數大幅超逾預算數，11</w:t>
      </w:r>
      <w:r w:rsidR="005F58E9">
        <w:rPr>
          <w:rFonts w:hint="eastAsia"/>
        </w:rPr>
        <w:t>0至113</w:t>
      </w:r>
      <w:r w:rsidR="005F58E9" w:rsidRPr="005F58E9">
        <w:rPr>
          <w:rFonts w:hint="eastAsia"/>
        </w:rPr>
        <w:t>年度</w:t>
      </w:r>
      <w:r w:rsidR="005F58E9">
        <w:rPr>
          <w:rFonts w:hint="eastAsia"/>
        </w:rPr>
        <w:t>誤差</w:t>
      </w:r>
      <w:r w:rsidR="005F58E9" w:rsidRPr="005F58E9">
        <w:rPr>
          <w:rFonts w:hint="eastAsia"/>
        </w:rPr>
        <w:t>金額</w:t>
      </w:r>
      <w:r w:rsidR="005F58E9">
        <w:rPr>
          <w:rFonts w:hint="eastAsia"/>
        </w:rPr>
        <w:t>介於2</w:t>
      </w:r>
      <w:r w:rsidR="005F58E9">
        <w:t>,934</w:t>
      </w:r>
      <w:r w:rsidR="005F58E9">
        <w:rPr>
          <w:rFonts w:hint="eastAsia"/>
        </w:rPr>
        <w:t>至4</w:t>
      </w:r>
      <w:r w:rsidR="005F58E9" w:rsidRPr="005F58E9">
        <w:rPr>
          <w:rFonts w:hint="eastAsia"/>
        </w:rPr>
        <w:t>,</w:t>
      </w:r>
      <w:r w:rsidR="005F58E9">
        <w:rPr>
          <w:rFonts w:hint="eastAsia"/>
        </w:rPr>
        <w:t>00</w:t>
      </w:r>
      <w:r w:rsidR="005F58E9" w:rsidRPr="005F58E9">
        <w:rPr>
          <w:rFonts w:hint="eastAsia"/>
        </w:rPr>
        <w:t>2億元</w:t>
      </w:r>
      <w:r w:rsidR="00F75831">
        <w:rPr>
          <w:rFonts w:hint="eastAsia"/>
        </w:rPr>
        <w:t>間(估測誤差率介於13.37%至21.02%間)，金額頗鉅</w:t>
      </w:r>
      <w:r w:rsidR="00F75831" w:rsidRPr="000E6A78">
        <w:rPr>
          <w:rFonts w:hAnsi="標楷體" w:hint="eastAsia"/>
        </w:rPr>
        <w:t>，實不利預算資源之有效分配運用</w:t>
      </w:r>
      <w:r w:rsidR="00F75831">
        <w:rPr>
          <w:rFonts w:hint="eastAsia"/>
        </w:rPr>
        <w:t>；</w:t>
      </w:r>
      <w:r>
        <w:rPr>
          <w:rFonts w:hint="eastAsia"/>
        </w:rPr>
        <w:t>復</w:t>
      </w:r>
      <w:r w:rsidR="00F75831">
        <w:rPr>
          <w:rFonts w:hint="eastAsia"/>
        </w:rPr>
        <w:t>依稅源分析，</w:t>
      </w:r>
      <w:r w:rsidR="00F75831" w:rsidRPr="005F58E9">
        <w:rPr>
          <w:rFonts w:hAnsi="標楷體" w:hint="eastAsia"/>
          <w:snapToGrid/>
          <w:spacing w:val="-6"/>
        </w:rPr>
        <w:t>近</w:t>
      </w:r>
      <w:r w:rsidR="00F75831">
        <w:rPr>
          <w:rFonts w:hAnsi="標楷體" w:hint="eastAsia"/>
          <w:snapToGrid/>
          <w:spacing w:val="-6"/>
        </w:rPr>
        <w:t>4</w:t>
      </w:r>
      <w:r w:rsidR="00F75831" w:rsidRPr="005F58E9">
        <w:rPr>
          <w:rFonts w:hAnsi="標楷體" w:hint="eastAsia"/>
          <w:snapToGrid/>
          <w:spacing w:val="-6"/>
        </w:rPr>
        <w:t>年</w:t>
      </w:r>
      <w:r w:rsidR="000C056A">
        <w:rPr>
          <w:rFonts w:hAnsi="標楷體" w:hint="eastAsia"/>
          <w:snapToGrid/>
          <w:spacing w:val="-6"/>
        </w:rPr>
        <w:t>(110至113年度，以下同)</w:t>
      </w:r>
      <w:r w:rsidR="00F75831" w:rsidRPr="00691695">
        <w:rPr>
          <w:rFonts w:hint="eastAsia"/>
        </w:rPr>
        <w:t>中央政府稅課收入</w:t>
      </w:r>
      <w:r w:rsidR="00AF1520">
        <w:rPr>
          <w:rFonts w:hint="eastAsia"/>
        </w:rPr>
        <w:t>實徵數</w:t>
      </w:r>
      <w:r w:rsidR="00F75831" w:rsidRPr="00691695">
        <w:rPr>
          <w:rFonts w:hint="eastAsia"/>
        </w:rPr>
        <w:t>大幅超逾預算數之主要稅</w:t>
      </w:r>
      <w:r w:rsidR="00F75831">
        <w:rPr>
          <w:rFonts w:hint="eastAsia"/>
        </w:rPr>
        <w:t>目</w:t>
      </w:r>
      <w:r w:rsidR="00463F9D">
        <w:rPr>
          <w:rFonts w:hint="eastAsia"/>
        </w:rPr>
        <w:t>皆</w:t>
      </w:r>
      <w:r w:rsidR="00F75831">
        <w:rPr>
          <w:rFonts w:hint="eastAsia"/>
        </w:rPr>
        <w:t>為</w:t>
      </w:r>
      <w:r w:rsidR="00F75831" w:rsidRPr="00F75831">
        <w:rPr>
          <w:rFonts w:hint="eastAsia"/>
        </w:rPr>
        <w:t>所得稅、證交稅及營業稅等3項</w:t>
      </w:r>
      <w:r w:rsidR="00F75831">
        <w:rPr>
          <w:rFonts w:hint="eastAsia"/>
        </w:rPr>
        <w:t>，</w:t>
      </w:r>
      <w:r w:rsidR="00F75831" w:rsidRPr="00F75831">
        <w:rPr>
          <w:rFonts w:hint="eastAsia"/>
        </w:rPr>
        <w:t>有待財金主管機關細究預估失準</w:t>
      </w:r>
      <w:r w:rsidR="00A84FF6">
        <w:rPr>
          <w:rFonts w:hint="eastAsia"/>
        </w:rPr>
        <w:t>主</w:t>
      </w:r>
      <w:r w:rsidR="00F75831" w:rsidRPr="00F75831">
        <w:rPr>
          <w:rFonts w:hint="eastAsia"/>
        </w:rPr>
        <w:t>因</w:t>
      </w:r>
      <w:r>
        <w:rPr>
          <w:rFonts w:hint="eastAsia"/>
        </w:rPr>
        <w:t>，並</w:t>
      </w:r>
      <w:r w:rsidR="00F75831" w:rsidRPr="00F75831">
        <w:rPr>
          <w:rFonts w:hint="eastAsia"/>
        </w:rPr>
        <w:t>研謀精進估</w:t>
      </w:r>
      <w:r w:rsidR="00D70A60">
        <w:rPr>
          <w:rFonts w:hint="eastAsia"/>
        </w:rPr>
        <w:t>測</w:t>
      </w:r>
      <w:r w:rsidR="00F75831" w:rsidRPr="00F75831">
        <w:rPr>
          <w:rFonts w:hint="eastAsia"/>
        </w:rPr>
        <w:t>模型</w:t>
      </w:r>
      <w:r w:rsidR="002B4821">
        <w:rPr>
          <w:rFonts w:hint="eastAsia"/>
        </w:rPr>
        <w:t>。茲說明如下</w:t>
      </w:r>
      <w:r w:rsidR="00041F44" w:rsidRPr="00041F44">
        <w:rPr>
          <w:rFonts w:hint="eastAsia"/>
        </w:rPr>
        <w:t>：</w:t>
      </w:r>
    </w:p>
    <w:p w:rsidR="00041F44" w:rsidRDefault="00041F44" w:rsidP="00041F44">
      <w:pPr>
        <w:pStyle w:val="a4"/>
        <w:ind w:left="837" w:hanging="271"/>
        <w:rPr>
          <w:rFonts w:hAnsi="標楷體"/>
          <w:b/>
          <w:snapToGrid/>
          <w:spacing w:val="-6"/>
        </w:rPr>
      </w:pPr>
      <w:r w:rsidRPr="00041F44">
        <w:rPr>
          <w:rFonts w:hAnsi="標楷體" w:hint="eastAsia"/>
          <w:b/>
          <w:snapToGrid/>
          <w:spacing w:val="-6"/>
        </w:rPr>
        <w:t>(一)</w:t>
      </w:r>
      <w:r w:rsidR="008832EC" w:rsidRPr="00BA6FCF">
        <w:rPr>
          <w:rFonts w:hAnsi="標楷體" w:hint="eastAsia"/>
          <w:b/>
          <w:snapToGrid/>
          <w:spacing w:val="-6"/>
        </w:rPr>
        <w:t>近4年</w:t>
      </w:r>
      <w:r w:rsidR="008832EC" w:rsidRPr="008832EC">
        <w:rPr>
          <w:rFonts w:hAnsi="標楷體" w:hint="eastAsia"/>
          <w:b/>
          <w:snapToGrid/>
          <w:spacing w:val="-6"/>
        </w:rPr>
        <w:t>中央政府稅課收入</w:t>
      </w:r>
      <w:r w:rsidR="00AF1520">
        <w:rPr>
          <w:rFonts w:hAnsi="標楷體" w:hint="eastAsia"/>
          <w:b/>
          <w:snapToGrid/>
          <w:spacing w:val="-6"/>
        </w:rPr>
        <w:t>實徵數</w:t>
      </w:r>
      <w:r w:rsidR="008832EC" w:rsidRPr="008832EC">
        <w:rPr>
          <w:rFonts w:hAnsi="標楷體" w:hint="eastAsia"/>
          <w:b/>
          <w:snapToGrid/>
          <w:spacing w:val="-6"/>
        </w:rPr>
        <w:t>大幅超逾預算數之</w:t>
      </w:r>
      <w:r w:rsidR="008832EC">
        <w:rPr>
          <w:rFonts w:hAnsi="標楷體" w:hint="eastAsia"/>
          <w:b/>
          <w:snapToGrid/>
          <w:spacing w:val="-6"/>
        </w:rPr>
        <w:t>稅目別</w:t>
      </w:r>
      <w:r w:rsidR="00BA6FCF" w:rsidRPr="00BA6FCF">
        <w:rPr>
          <w:rFonts w:hAnsi="標楷體" w:hint="eastAsia"/>
          <w:b/>
          <w:snapToGrid/>
          <w:spacing w:val="-6"/>
        </w:rPr>
        <w:t>前3者為所得稅、證交稅</w:t>
      </w:r>
      <w:r w:rsidR="00BA6FCF">
        <w:rPr>
          <w:rFonts w:hAnsi="標楷體" w:hint="eastAsia"/>
          <w:b/>
          <w:snapToGrid/>
          <w:spacing w:val="-6"/>
        </w:rPr>
        <w:t>及</w:t>
      </w:r>
      <w:r w:rsidR="00BA6FCF" w:rsidRPr="00BA6FCF">
        <w:rPr>
          <w:rFonts w:hAnsi="標楷體" w:hint="eastAsia"/>
          <w:b/>
          <w:snapToGrid/>
          <w:spacing w:val="-6"/>
        </w:rPr>
        <w:t>營業稅，</w:t>
      </w:r>
      <w:r w:rsidR="008D241A" w:rsidRPr="00BA6FCF">
        <w:rPr>
          <w:rFonts w:hAnsi="標楷體" w:hint="eastAsia"/>
          <w:b/>
          <w:snapToGrid/>
          <w:spacing w:val="-6"/>
        </w:rPr>
        <w:t>估列失準</w:t>
      </w:r>
      <w:r w:rsidR="008D241A">
        <w:rPr>
          <w:rFonts w:hAnsi="標楷體" w:hint="eastAsia"/>
          <w:b/>
          <w:snapToGrid/>
          <w:spacing w:val="-6"/>
        </w:rPr>
        <w:t>金額</w:t>
      </w:r>
      <w:r w:rsidR="008D241A" w:rsidRPr="00BA6FCF">
        <w:rPr>
          <w:rFonts w:hAnsi="標楷體" w:hint="eastAsia"/>
          <w:b/>
          <w:snapToGrid/>
          <w:spacing w:val="-6"/>
        </w:rPr>
        <w:t>占比</w:t>
      </w:r>
      <w:r w:rsidR="008D241A">
        <w:rPr>
          <w:rFonts w:hAnsi="標楷體" w:hint="eastAsia"/>
          <w:b/>
          <w:snapToGrid/>
          <w:spacing w:val="-6"/>
        </w:rPr>
        <w:t>約</w:t>
      </w:r>
      <w:r w:rsidR="008D241A" w:rsidRPr="00BA6FCF">
        <w:rPr>
          <w:rFonts w:hAnsi="標楷體" w:hint="eastAsia"/>
          <w:b/>
          <w:snapToGrid/>
          <w:spacing w:val="-6"/>
        </w:rPr>
        <w:t>95%</w:t>
      </w:r>
      <w:r w:rsidR="008D241A">
        <w:rPr>
          <w:rFonts w:hAnsi="標楷體" w:hint="eastAsia"/>
          <w:b/>
          <w:snapToGrid/>
          <w:spacing w:val="-6"/>
        </w:rPr>
        <w:t>且</w:t>
      </w:r>
      <w:r w:rsidR="007760DA" w:rsidRPr="007760DA">
        <w:rPr>
          <w:rFonts w:hAnsi="標楷體" w:hint="eastAsia"/>
          <w:b/>
          <w:snapToGrid/>
          <w:spacing w:val="-6"/>
        </w:rPr>
        <w:t>為連年低估之主要稅目</w:t>
      </w:r>
    </w:p>
    <w:p w:rsidR="00463F9D" w:rsidRDefault="00427DB0" w:rsidP="00894778">
      <w:pPr>
        <w:pStyle w:val="2"/>
        <w:ind w:left="850" w:firstLine="542"/>
        <w:rPr>
          <w:rFonts w:hAnsi="標楷體"/>
          <w:snapToGrid/>
          <w:spacing w:val="-6"/>
        </w:rPr>
      </w:pPr>
      <w:r w:rsidRPr="00427DB0">
        <w:rPr>
          <w:rFonts w:hAnsi="標楷體" w:hint="eastAsia"/>
          <w:snapToGrid/>
          <w:spacing w:val="-6"/>
        </w:rPr>
        <w:t>近10年中央政府</w:t>
      </w:r>
      <w:r w:rsidR="00960DFF" w:rsidRPr="00960DFF">
        <w:rPr>
          <w:rFonts w:hAnsi="標楷體" w:hint="eastAsia"/>
          <w:snapToGrid/>
          <w:spacing w:val="-6"/>
        </w:rPr>
        <w:t>賦稅實徵數與預算數之差距，除109年度稅收未如預期外，其餘各年度均</w:t>
      </w:r>
      <w:r w:rsidR="00B40282">
        <w:rPr>
          <w:rFonts w:hAnsi="標楷體" w:hint="eastAsia"/>
          <w:snapToGrid/>
          <w:spacing w:val="-6"/>
        </w:rPr>
        <w:t>達預算目標</w:t>
      </w:r>
      <w:r w:rsidR="00960DFF">
        <w:rPr>
          <w:rFonts w:hAnsi="標楷體" w:hint="eastAsia"/>
          <w:snapToGrid/>
          <w:spacing w:val="-6"/>
        </w:rPr>
        <w:t>，</w:t>
      </w:r>
      <w:r w:rsidR="00B40282">
        <w:rPr>
          <w:rFonts w:hAnsi="標楷體" w:hint="eastAsia"/>
          <w:snapToGrid/>
          <w:spacing w:val="-6"/>
        </w:rPr>
        <w:t>尤以</w:t>
      </w:r>
      <w:r w:rsidRPr="00427DB0">
        <w:rPr>
          <w:rFonts w:hAnsi="標楷體" w:hint="eastAsia"/>
          <w:snapToGrid/>
          <w:spacing w:val="-6"/>
        </w:rPr>
        <w:t>110</w:t>
      </w:r>
      <w:r w:rsidR="00960DFF" w:rsidRPr="00427DB0">
        <w:rPr>
          <w:rFonts w:hAnsi="標楷體" w:hint="eastAsia"/>
          <w:snapToGrid/>
          <w:spacing w:val="-6"/>
        </w:rPr>
        <w:t>至113年度</w:t>
      </w:r>
      <w:r w:rsidR="00B40282" w:rsidRPr="00427DB0">
        <w:rPr>
          <w:rFonts w:hAnsi="標楷體" w:hint="eastAsia"/>
          <w:snapToGrid/>
          <w:spacing w:val="-6"/>
        </w:rPr>
        <w:t>連續4年</w:t>
      </w:r>
      <w:r w:rsidR="00960DFF" w:rsidRPr="00427DB0">
        <w:rPr>
          <w:rFonts w:hAnsi="標楷體" w:hint="eastAsia"/>
          <w:snapToGrid/>
          <w:spacing w:val="-6"/>
        </w:rPr>
        <w:t>誤差金額</w:t>
      </w:r>
      <w:r w:rsidR="007F1DBC">
        <w:rPr>
          <w:rFonts w:hAnsi="標楷體" w:hint="eastAsia"/>
          <w:snapToGrid/>
          <w:spacing w:val="-6"/>
        </w:rPr>
        <w:t>分別</w:t>
      </w:r>
      <w:r w:rsidR="00B40282">
        <w:rPr>
          <w:rFonts w:hAnsi="標楷體" w:hint="eastAsia"/>
          <w:snapToGrid/>
          <w:spacing w:val="-6"/>
        </w:rPr>
        <w:t>高達</w:t>
      </w:r>
      <w:r w:rsidR="007F1DBC" w:rsidRPr="007F1DBC">
        <w:rPr>
          <w:rFonts w:hAnsi="標楷體"/>
          <w:snapToGrid/>
          <w:spacing w:val="-6"/>
        </w:rPr>
        <w:t>3,252</w:t>
      </w:r>
      <w:r w:rsidR="007F1DBC">
        <w:rPr>
          <w:rFonts w:hAnsi="標楷體" w:hint="eastAsia"/>
          <w:snapToGrid/>
          <w:spacing w:val="-6"/>
        </w:rPr>
        <w:t>億元、</w:t>
      </w:r>
      <w:r w:rsidR="007F1DBC" w:rsidRPr="007F1DBC">
        <w:rPr>
          <w:rFonts w:hAnsi="標楷體"/>
          <w:snapToGrid/>
          <w:spacing w:val="-6"/>
        </w:rPr>
        <w:t>4,002</w:t>
      </w:r>
      <w:r w:rsidR="007F1DBC">
        <w:rPr>
          <w:rFonts w:hAnsi="標楷體" w:hint="eastAsia"/>
          <w:snapToGrid/>
          <w:spacing w:val="-6"/>
        </w:rPr>
        <w:t>億元、</w:t>
      </w:r>
      <w:r w:rsidR="007F1DBC" w:rsidRPr="007F1DBC">
        <w:rPr>
          <w:rFonts w:hAnsi="標楷體"/>
          <w:snapToGrid/>
          <w:spacing w:val="-6"/>
        </w:rPr>
        <w:t>2,934</w:t>
      </w:r>
      <w:r w:rsidR="007F1DBC">
        <w:rPr>
          <w:rFonts w:hAnsi="標楷體" w:hint="eastAsia"/>
          <w:snapToGrid/>
          <w:spacing w:val="-6"/>
        </w:rPr>
        <w:t>億元及</w:t>
      </w:r>
      <w:r w:rsidR="007F1DBC" w:rsidRPr="007F1DBC">
        <w:rPr>
          <w:rFonts w:hAnsi="標楷體"/>
          <w:snapToGrid/>
          <w:spacing w:val="-6"/>
        </w:rPr>
        <w:t>3,757</w:t>
      </w:r>
      <w:r w:rsidR="00960DFF" w:rsidRPr="00427DB0">
        <w:rPr>
          <w:rFonts w:hAnsi="標楷體" w:hint="eastAsia"/>
          <w:snapToGrid/>
          <w:spacing w:val="-6"/>
        </w:rPr>
        <w:t>億元</w:t>
      </w:r>
      <w:r w:rsidR="00B40282">
        <w:rPr>
          <w:rFonts w:hAnsi="標楷體" w:hint="eastAsia"/>
          <w:snapToGrid/>
          <w:spacing w:val="-6"/>
        </w:rPr>
        <w:t>為最</w:t>
      </w:r>
      <w:r w:rsidR="00B40282" w:rsidRPr="00960DFF">
        <w:rPr>
          <w:rFonts w:hAnsi="標楷體" w:hint="eastAsia"/>
          <w:snapToGrid/>
          <w:spacing w:val="-6"/>
        </w:rPr>
        <w:t>(詳</w:t>
      </w:r>
      <w:r w:rsidR="00B40282">
        <w:rPr>
          <w:rFonts w:hAnsi="標楷體" w:hint="eastAsia"/>
          <w:snapToGrid/>
          <w:spacing w:val="-6"/>
        </w:rPr>
        <w:t>前開貳、二之</w:t>
      </w:r>
      <w:r w:rsidR="00B40282" w:rsidRPr="00960DFF">
        <w:rPr>
          <w:rFonts w:hAnsi="標楷體" w:hint="eastAsia"/>
          <w:snapToGrid/>
          <w:spacing w:val="-6"/>
        </w:rPr>
        <w:t>圖</w:t>
      </w:r>
      <w:r w:rsidR="00B40282">
        <w:rPr>
          <w:rFonts w:hAnsi="標楷體" w:hint="eastAsia"/>
          <w:snapToGrid/>
          <w:spacing w:val="-6"/>
        </w:rPr>
        <w:t>3</w:t>
      </w:r>
      <w:r w:rsidR="00B40282" w:rsidRPr="00960DFF">
        <w:rPr>
          <w:rFonts w:hAnsi="標楷體" w:hint="eastAsia"/>
          <w:snapToGrid/>
          <w:spacing w:val="-6"/>
        </w:rPr>
        <w:t>)</w:t>
      </w:r>
      <w:r w:rsidR="00960DFF" w:rsidRPr="00960DFF">
        <w:rPr>
          <w:rFonts w:hAnsi="標楷體" w:hint="eastAsia"/>
          <w:snapToGrid/>
          <w:spacing w:val="-6"/>
        </w:rPr>
        <w:t>，</w:t>
      </w:r>
      <w:r w:rsidR="008832EC">
        <w:rPr>
          <w:rFonts w:hAnsi="標楷體" w:hint="eastAsia"/>
          <w:snapToGrid/>
          <w:spacing w:val="-6"/>
        </w:rPr>
        <w:t>可知</w:t>
      </w:r>
      <w:r w:rsidR="007F1DBC">
        <w:rPr>
          <w:rFonts w:hAnsi="標楷體" w:hint="eastAsia"/>
          <w:snapToGrid/>
          <w:spacing w:val="-6"/>
        </w:rPr>
        <w:t>近4年</w:t>
      </w:r>
      <w:r w:rsidR="007F1DBC" w:rsidRPr="007F1DBC">
        <w:rPr>
          <w:rFonts w:hAnsi="標楷體" w:hint="eastAsia"/>
          <w:snapToGrid/>
          <w:spacing w:val="-6"/>
        </w:rPr>
        <w:t>中央政府賦稅</w:t>
      </w:r>
      <w:r w:rsidR="007F1DBC">
        <w:rPr>
          <w:rFonts w:hAnsi="標楷體" w:hint="eastAsia"/>
          <w:snapToGrid/>
          <w:spacing w:val="-6"/>
        </w:rPr>
        <w:t>實徵數高出預算數計</w:t>
      </w:r>
      <w:r w:rsidR="007F1DBC" w:rsidRPr="007F1DBC">
        <w:rPr>
          <w:rFonts w:hAnsi="標楷體" w:hint="eastAsia"/>
          <w:snapToGrid/>
          <w:spacing w:val="-6"/>
        </w:rPr>
        <w:t>1兆3,</w:t>
      </w:r>
      <w:r w:rsidR="007F1DBC">
        <w:rPr>
          <w:rFonts w:hAnsi="標楷體" w:hint="eastAsia"/>
          <w:snapToGrid/>
          <w:spacing w:val="-6"/>
        </w:rPr>
        <w:t>946</w:t>
      </w:r>
      <w:r w:rsidR="007F1DBC" w:rsidRPr="007F1DBC">
        <w:rPr>
          <w:rFonts w:hAnsi="標楷體" w:hint="eastAsia"/>
          <w:snapToGrid/>
          <w:spacing w:val="-6"/>
        </w:rPr>
        <w:t>億元</w:t>
      </w:r>
      <w:r w:rsidR="008832EC">
        <w:rPr>
          <w:rFonts w:hAnsi="標楷體" w:hint="eastAsia"/>
          <w:snapToGrid/>
          <w:spacing w:val="-6"/>
        </w:rPr>
        <w:t>，金額頗鉅</w:t>
      </w:r>
      <w:r w:rsidR="007F1DBC">
        <w:rPr>
          <w:rFonts w:hAnsi="標楷體" w:hint="eastAsia"/>
          <w:snapToGrid/>
          <w:spacing w:val="-6"/>
        </w:rPr>
        <w:t>。</w:t>
      </w:r>
    </w:p>
    <w:p w:rsidR="007064D7" w:rsidRPr="00427DB0" w:rsidRDefault="00B63EE8" w:rsidP="00894778">
      <w:pPr>
        <w:pStyle w:val="2"/>
        <w:ind w:left="850" w:firstLine="542"/>
        <w:rPr>
          <w:rFonts w:hAnsi="標楷體"/>
          <w:snapToGrid/>
          <w:spacing w:val="-6"/>
        </w:rPr>
      </w:pPr>
      <w:r>
        <w:rPr>
          <w:rFonts w:hAnsi="標楷體" w:hint="eastAsia"/>
          <w:snapToGrid/>
          <w:spacing w:val="-6"/>
        </w:rPr>
        <w:t>復觀察</w:t>
      </w:r>
      <w:r w:rsidRPr="00B63EE8">
        <w:rPr>
          <w:rFonts w:hAnsi="標楷體" w:hint="eastAsia"/>
          <w:snapToGrid/>
          <w:spacing w:val="-6"/>
        </w:rPr>
        <w:t>110至113年度</w:t>
      </w:r>
      <w:r>
        <w:rPr>
          <w:rFonts w:hAnsi="標楷體" w:hint="eastAsia"/>
          <w:snapToGrid/>
          <w:spacing w:val="-6"/>
        </w:rPr>
        <w:t>各稅目</w:t>
      </w:r>
      <w:r w:rsidR="00AF1520" w:rsidRPr="00AF1520">
        <w:rPr>
          <w:rFonts w:hAnsi="標楷體" w:hint="eastAsia"/>
          <w:snapToGrid/>
          <w:spacing w:val="-6"/>
        </w:rPr>
        <w:t>實徵數與預算數差異</w:t>
      </w:r>
      <w:r w:rsidR="00AF1520">
        <w:rPr>
          <w:rFonts w:hAnsi="標楷體" w:hint="eastAsia"/>
          <w:snapToGrid/>
          <w:spacing w:val="-6"/>
        </w:rPr>
        <w:t>資料</w:t>
      </w:r>
      <w:r w:rsidR="00894778" w:rsidRPr="00960DFF">
        <w:rPr>
          <w:rFonts w:hAnsi="標楷體" w:hint="eastAsia"/>
          <w:snapToGrid/>
          <w:spacing w:val="-6"/>
        </w:rPr>
        <w:t>(詳</w:t>
      </w:r>
      <w:r w:rsidR="00894778">
        <w:rPr>
          <w:rFonts w:hAnsi="標楷體" w:hint="eastAsia"/>
          <w:snapToGrid/>
          <w:spacing w:val="-6"/>
        </w:rPr>
        <w:t>表3-2</w:t>
      </w:r>
      <w:r w:rsidR="00894778" w:rsidRPr="00960DFF">
        <w:rPr>
          <w:rFonts w:hAnsi="標楷體" w:hint="eastAsia"/>
          <w:snapToGrid/>
          <w:spacing w:val="-6"/>
        </w:rPr>
        <w:t>)</w:t>
      </w:r>
      <w:r>
        <w:rPr>
          <w:rFonts w:hAnsi="標楷體" w:hint="eastAsia"/>
          <w:snapToGrid/>
          <w:spacing w:val="-6"/>
        </w:rPr>
        <w:t>，</w:t>
      </w:r>
      <w:r w:rsidR="00F6246A">
        <w:rPr>
          <w:rFonts w:hAnsi="標楷體" w:hint="eastAsia"/>
          <w:snapToGrid/>
          <w:spacing w:val="-6"/>
        </w:rPr>
        <w:t>近</w:t>
      </w:r>
      <w:r w:rsidR="00AF1520">
        <w:rPr>
          <w:rFonts w:hAnsi="標楷體" w:hint="eastAsia"/>
          <w:snapToGrid/>
          <w:spacing w:val="-6"/>
        </w:rPr>
        <w:t>4年實徵數高出預算合計數之</w:t>
      </w:r>
      <w:r w:rsidR="007207D1">
        <w:rPr>
          <w:rFonts w:hAnsi="標楷體" w:hint="eastAsia"/>
          <w:snapToGrid/>
          <w:spacing w:val="-6"/>
        </w:rPr>
        <w:t>排名前3者依序為</w:t>
      </w:r>
      <w:r>
        <w:rPr>
          <w:rFonts w:hAnsi="標楷體" w:hint="eastAsia"/>
          <w:snapToGrid/>
          <w:spacing w:val="-6"/>
        </w:rPr>
        <w:t>所得稅(含</w:t>
      </w:r>
      <w:r w:rsidR="00495209" w:rsidRPr="00495209">
        <w:rPr>
          <w:rFonts w:hAnsi="標楷體" w:hint="eastAsia"/>
          <w:snapToGrid/>
          <w:spacing w:val="-6"/>
        </w:rPr>
        <w:t>營利事業所得稅及綜合所得稅)</w:t>
      </w:r>
      <w:r w:rsidR="007207D1">
        <w:rPr>
          <w:rFonts w:hint="eastAsia"/>
        </w:rPr>
        <w:t>8</w:t>
      </w:r>
      <w:r w:rsidR="007207D1" w:rsidRPr="007207D1">
        <w:rPr>
          <w:rFonts w:hAnsi="標楷體" w:hint="eastAsia"/>
          <w:snapToGrid/>
          <w:spacing w:val="-6"/>
        </w:rPr>
        <w:t>,</w:t>
      </w:r>
      <w:r w:rsidR="007207D1">
        <w:rPr>
          <w:rFonts w:hAnsi="標楷體" w:hint="eastAsia"/>
          <w:snapToGrid/>
          <w:spacing w:val="-6"/>
        </w:rPr>
        <w:t>664</w:t>
      </w:r>
      <w:r w:rsidR="007207D1" w:rsidRPr="007207D1">
        <w:rPr>
          <w:rFonts w:hAnsi="標楷體" w:hint="eastAsia"/>
          <w:snapToGrid/>
          <w:spacing w:val="-6"/>
        </w:rPr>
        <w:t>億元</w:t>
      </w:r>
      <w:r w:rsidR="00495209" w:rsidRPr="00495209">
        <w:rPr>
          <w:rFonts w:hAnsi="標楷體" w:hint="eastAsia"/>
          <w:snapToGrid/>
          <w:spacing w:val="-6"/>
        </w:rPr>
        <w:t>、</w:t>
      </w:r>
      <w:r w:rsidR="007207D1" w:rsidRPr="00495209">
        <w:rPr>
          <w:rFonts w:hAnsi="標楷體" w:hint="eastAsia"/>
          <w:snapToGrid/>
          <w:spacing w:val="-6"/>
        </w:rPr>
        <w:t>證券交易稅(下稱證交稅)</w:t>
      </w:r>
      <w:r w:rsidR="007207D1">
        <w:rPr>
          <w:rFonts w:hint="eastAsia"/>
        </w:rPr>
        <w:t>2</w:t>
      </w:r>
      <w:r w:rsidR="007207D1" w:rsidRPr="007207D1">
        <w:rPr>
          <w:rFonts w:hAnsi="標楷體" w:hint="eastAsia"/>
          <w:snapToGrid/>
          <w:spacing w:val="-6"/>
        </w:rPr>
        <w:t>,</w:t>
      </w:r>
      <w:r w:rsidR="007207D1">
        <w:rPr>
          <w:rFonts w:hAnsi="標楷體" w:hint="eastAsia"/>
          <w:snapToGrid/>
          <w:spacing w:val="-6"/>
        </w:rPr>
        <w:t>7</w:t>
      </w:r>
      <w:r w:rsidR="0050136D">
        <w:rPr>
          <w:rFonts w:hAnsi="標楷體" w:hint="eastAsia"/>
          <w:snapToGrid/>
          <w:spacing w:val="-6"/>
        </w:rPr>
        <w:t>58</w:t>
      </w:r>
      <w:r w:rsidR="007207D1" w:rsidRPr="007207D1">
        <w:rPr>
          <w:rFonts w:hAnsi="標楷體" w:hint="eastAsia"/>
          <w:snapToGrid/>
          <w:spacing w:val="-6"/>
        </w:rPr>
        <w:t>億元</w:t>
      </w:r>
      <w:r w:rsidR="007207D1">
        <w:rPr>
          <w:rFonts w:hAnsi="標楷體" w:hint="eastAsia"/>
          <w:snapToGrid/>
          <w:spacing w:val="-6"/>
        </w:rPr>
        <w:t>、</w:t>
      </w:r>
      <w:r w:rsidR="00495209" w:rsidRPr="00495209">
        <w:rPr>
          <w:rFonts w:hAnsi="標楷體" w:hint="eastAsia"/>
          <w:snapToGrid/>
          <w:spacing w:val="-6"/>
        </w:rPr>
        <w:t>營業稅</w:t>
      </w:r>
      <w:r w:rsidR="007207D1">
        <w:rPr>
          <w:rFonts w:hAnsi="標楷體" w:hint="eastAsia"/>
          <w:snapToGrid/>
          <w:spacing w:val="-6"/>
        </w:rPr>
        <w:t>1</w:t>
      </w:r>
      <w:r w:rsidR="007207D1" w:rsidRPr="007207D1">
        <w:rPr>
          <w:rFonts w:hAnsi="標楷體" w:hint="eastAsia"/>
          <w:snapToGrid/>
          <w:spacing w:val="-6"/>
        </w:rPr>
        <w:t>,</w:t>
      </w:r>
      <w:r w:rsidR="007207D1">
        <w:rPr>
          <w:rFonts w:hAnsi="標楷體" w:hint="eastAsia"/>
          <w:snapToGrid/>
          <w:spacing w:val="-6"/>
        </w:rPr>
        <w:t>765</w:t>
      </w:r>
      <w:r w:rsidR="007207D1" w:rsidRPr="007207D1">
        <w:rPr>
          <w:rFonts w:hAnsi="標楷體" w:hint="eastAsia"/>
          <w:snapToGrid/>
          <w:spacing w:val="-6"/>
        </w:rPr>
        <w:t>億元</w:t>
      </w:r>
      <w:r w:rsidR="00512091">
        <w:rPr>
          <w:rFonts w:hAnsi="標楷體" w:hint="eastAsia"/>
          <w:snapToGrid/>
          <w:spacing w:val="-6"/>
        </w:rPr>
        <w:t>，近4年</w:t>
      </w:r>
      <w:r w:rsidR="00AF1520" w:rsidRPr="00AF1520">
        <w:rPr>
          <w:rFonts w:hAnsi="標楷體" w:hint="eastAsia"/>
          <w:snapToGrid/>
          <w:spacing w:val="-6"/>
        </w:rPr>
        <w:t>所得稅、證交稅及營業稅等3項稅目</w:t>
      </w:r>
      <w:r w:rsidR="00512091">
        <w:rPr>
          <w:rFonts w:hAnsi="標楷體" w:hint="eastAsia"/>
          <w:snapToGrid/>
          <w:spacing w:val="-6"/>
        </w:rPr>
        <w:t>估列失準</w:t>
      </w:r>
      <w:r w:rsidR="00AF1520">
        <w:rPr>
          <w:rFonts w:hAnsi="標楷體" w:hint="eastAsia"/>
          <w:snapToGrid/>
          <w:spacing w:val="-6"/>
        </w:rPr>
        <w:t>金額</w:t>
      </w:r>
      <w:r w:rsidR="00512091">
        <w:rPr>
          <w:rFonts w:hAnsi="標楷體" w:hint="eastAsia"/>
          <w:snapToGrid/>
          <w:spacing w:val="-6"/>
        </w:rPr>
        <w:t>占比</w:t>
      </w:r>
      <w:r w:rsidR="003B7F37">
        <w:rPr>
          <w:rFonts w:hAnsi="標楷體" w:hint="eastAsia"/>
          <w:snapToGrid/>
          <w:spacing w:val="-6"/>
        </w:rPr>
        <w:t>約</w:t>
      </w:r>
      <w:r w:rsidR="00512091" w:rsidRPr="00512091">
        <w:rPr>
          <w:rFonts w:hAnsi="標楷體"/>
          <w:snapToGrid/>
          <w:spacing w:val="-6"/>
        </w:rPr>
        <w:t>9</w:t>
      </w:r>
      <w:r w:rsidR="003B7F37">
        <w:rPr>
          <w:rFonts w:hAnsi="標楷體" w:hint="eastAsia"/>
          <w:snapToGrid/>
          <w:spacing w:val="-6"/>
        </w:rPr>
        <w:t>5</w:t>
      </w:r>
      <w:r w:rsidR="00512091" w:rsidRPr="00512091">
        <w:rPr>
          <w:rFonts w:hAnsi="標楷體"/>
          <w:snapToGrid/>
          <w:spacing w:val="-6"/>
        </w:rPr>
        <w:t>%</w:t>
      </w:r>
      <w:r w:rsidR="00AF1520">
        <w:rPr>
          <w:rFonts w:hAnsi="標楷體" w:hint="eastAsia"/>
          <w:snapToGrid/>
          <w:spacing w:val="-6"/>
        </w:rPr>
        <w:t>，且為連年</w:t>
      </w:r>
      <w:r w:rsidR="00AF1520" w:rsidRPr="00AF1520">
        <w:rPr>
          <w:rFonts w:hAnsi="標楷體" w:hint="eastAsia"/>
          <w:snapToGrid/>
          <w:spacing w:val="-6"/>
        </w:rPr>
        <w:t>低估</w:t>
      </w:r>
      <w:r w:rsidR="00AF1520">
        <w:rPr>
          <w:rFonts w:hAnsi="標楷體" w:hint="eastAsia"/>
          <w:snapToGrid/>
          <w:spacing w:val="-6"/>
        </w:rPr>
        <w:t>之主要稅目(僅111年度證交稅</w:t>
      </w:r>
      <w:r w:rsidR="007064D7">
        <w:rPr>
          <w:rFonts w:hAnsi="標楷體" w:hint="eastAsia"/>
          <w:snapToGrid/>
          <w:spacing w:val="-6"/>
        </w:rPr>
        <w:t>除外</w:t>
      </w:r>
      <w:r w:rsidR="00AF1520">
        <w:rPr>
          <w:rFonts w:hAnsi="標楷體" w:hint="eastAsia"/>
          <w:snapToGrid/>
          <w:spacing w:val="-6"/>
        </w:rPr>
        <w:t>)。</w:t>
      </w:r>
    </w:p>
    <w:p w:rsidR="00087C79" w:rsidRDefault="00087C79" w:rsidP="00087C79">
      <w:pPr>
        <w:pStyle w:val="20"/>
        <w:ind w:leftChars="29" w:left="1134" w:hangingChars="371" w:hanging="1052"/>
        <w:jc w:val="both"/>
        <w:rPr>
          <w:rFonts w:hAnsi="標楷體"/>
          <w:b/>
          <w:sz w:val="28"/>
        </w:rPr>
      </w:pPr>
      <w:r w:rsidRPr="00DC42CC">
        <w:rPr>
          <w:rFonts w:hint="eastAsia"/>
          <w:b/>
          <w:sz w:val="28"/>
        </w:rPr>
        <w:t>表</w:t>
      </w:r>
      <w:r>
        <w:rPr>
          <w:rFonts w:hint="eastAsia"/>
          <w:b/>
          <w:sz w:val="28"/>
        </w:rPr>
        <w:t>3-2</w:t>
      </w:r>
      <w:r w:rsidRPr="00DC42CC">
        <w:rPr>
          <w:rFonts w:hint="eastAsia"/>
          <w:b/>
          <w:sz w:val="28"/>
        </w:rPr>
        <w:t xml:space="preserve">  </w:t>
      </w:r>
      <w:r w:rsidRPr="00DC42CC">
        <w:rPr>
          <w:rFonts w:hAnsi="標楷體" w:hint="eastAsia"/>
          <w:b/>
          <w:sz w:val="28"/>
        </w:rPr>
        <w:t>1</w:t>
      </w:r>
      <w:r>
        <w:rPr>
          <w:rFonts w:hAnsi="標楷體" w:hint="eastAsia"/>
          <w:b/>
          <w:sz w:val="28"/>
        </w:rPr>
        <w:t>1</w:t>
      </w:r>
      <w:r w:rsidRPr="00DC42CC">
        <w:rPr>
          <w:rFonts w:hAnsi="標楷體" w:hint="eastAsia"/>
          <w:b/>
          <w:sz w:val="28"/>
        </w:rPr>
        <w:t>0至113年度</w:t>
      </w:r>
      <w:r>
        <w:rPr>
          <w:rFonts w:hAnsi="標楷體" w:hint="eastAsia"/>
          <w:b/>
          <w:sz w:val="28"/>
        </w:rPr>
        <w:t>中央政府各稅目實徵數與預算數差異一覽</w:t>
      </w:r>
      <w:r w:rsidRPr="00DC42CC">
        <w:rPr>
          <w:rFonts w:hAnsi="標楷體" w:hint="eastAsia"/>
          <w:b/>
          <w:sz w:val="28"/>
        </w:rPr>
        <w:t>表</w:t>
      </w:r>
    </w:p>
    <w:p w:rsidR="00087C79" w:rsidRPr="00DC42CC" w:rsidRDefault="00087C79" w:rsidP="00087C79">
      <w:pPr>
        <w:pStyle w:val="20"/>
        <w:ind w:leftChars="29" w:left="985" w:hangingChars="371" w:hanging="903"/>
        <w:jc w:val="right"/>
        <w:rPr>
          <w:rFonts w:hAnsi="標楷體"/>
          <w:szCs w:val="24"/>
        </w:rPr>
      </w:pPr>
      <w:r w:rsidRPr="00DC42CC">
        <w:rPr>
          <w:rFonts w:hAnsi="標楷體" w:hint="eastAsia"/>
          <w:b/>
        </w:rPr>
        <w:t xml:space="preserve">                                      </w:t>
      </w:r>
      <w:r w:rsidRPr="00DC42CC">
        <w:rPr>
          <w:rFonts w:hAnsi="標楷體" w:hint="eastAsia"/>
          <w:szCs w:val="24"/>
        </w:rPr>
        <w:t>單位：新臺幣</w:t>
      </w:r>
      <w:r>
        <w:rPr>
          <w:rFonts w:hAnsi="標楷體" w:hint="eastAsia"/>
          <w:szCs w:val="24"/>
        </w:rPr>
        <w:t>億</w:t>
      </w:r>
      <w:r w:rsidRPr="00DC42CC">
        <w:rPr>
          <w:rFonts w:hAnsi="標楷體" w:hint="eastAsia"/>
          <w:szCs w:val="24"/>
        </w:rPr>
        <w:t>元</w:t>
      </w:r>
    </w:p>
    <w:tbl>
      <w:tblPr>
        <w:tblW w:w="8528" w:type="dxa"/>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64"/>
        <w:gridCol w:w="1432"/>
        <w:gridCol w:w="1433"/>
        <w:gridCol w:w="1433"/>
        <w:gridCol w:w="1433"/>
        <w:gridCol w:w="1433"/>
      </w:tblGrid>
      <w:tr w:rsidR="00D411D8" w:rsidRPr="00587F54" w:rsidTr="00D411D8">
        <w:trPr>
          <w:trHeight w:val="397"/>
          <w:tblHeader/>
        </w:trPr>
        <w:tc>
          <w:tcPr>
            <w:tcW w:w="1364" w:type="dxa"/>
            <w:shd w:val="clear" w:color="auto" w:fill="auto"/>
            <w:vAlign w:val="center"/>
          </w:tcPr>
          <w:p w:rsidR="00D411D8" w:rsidRPr="00DC42CC" w:rsidRDefault="00D411D8" w:rsidP="00B0121B">
            <w:pPr>
              <w:pStyle w:val="142"/>
              <w:jc w:val="center"/>
              <w:rPr>
                <w:rFonts w:hAnsi="標楷體"/>
                <w:b/>
                <w:spacing w:val="-20"/>
                <w:szCs w:val="24"/>
              </w:rPr>
            </w:pPr>
            <w:r>
              <w:rPr>
                <w:rFonts w:hAnsi="標楷體" w:hint="eastAsia"/>
                <w:b/>
                <w:spacing w:val="-20"/>
                <w:szCs w:val="24"/>
              </w:rPr>
              <w:t>稅目別</w:t>
            </w:r>
          </w:p>
        </w:tc>
        <w:tc>
          <w:tcPr>
            <w:tcW w:w="1432" w:type="dxa"/>
            <w:shd w:val="clear" w:color="auto" w:fill="auto"/>
            <w:vAlign w:val="center"/>
          </w:tcPr>
          <w:p w:rsidR="00D411D8" w:rsidRPr="00B0121B" w:rsidRDefault="00D411D8" w:rsidP="00B0121B">
            <w:pPr>
              <w:pStyle w:val="142"/>
              <w:jc w:val="center"/>
              <w:rPr>
                <w:rFonts w:hAnsi="標楷體"/>
                <w:b/>
                <w:spacing w:val="-20"/>
                <w:szCs w:val="24"/>
              </w:rPr>
            </w:pPr>
            <w:r w:rsidRPr="00B0121B">
              <w:rPr>
                <w:rFonts w:hAnsi="標楷體" w:hint="eastAsia"/>
                <w:b/>
                <w:spacing w:val="-20"/>
                <w:szCs w:val="24"/>
              </w:rPr>
              <w:t>110年度</w:t>
            </w:r>
          </w:p>
        </w:tc>
        <w:tc>
          <w:tcPr>
            <w:tcW w:w="1433" w:type="dxa"/>
            <w:shd w:val="clear" w:color="auto" w:fill="auto"/>
            <w:vAlign w:val="center"/>
          </w:tcPr>
          <w:p w:rsidR="00D411D8" w:rsidRPr="00B0121B" w:rsidRDefault="00D411D8" w:rsidP="00B0121B">
            <w:pPr>
              <w:pStyle w:val="142"/>
              <w:jc w:val="center"/>
              <w:rPr>
                <w:rFonts w:hAnsi="標楷體"/>
                <w:b/>
                <w:spacing w:val="-20"/>
                <w:szCs w:val="24"/>
              </w:rPr>
            </w:pPr>
            <w:r w:rsidRPr="00B0121B">
              <w:rPr>
                <w:rFonts w:hAnsi="標楷體" w:hint="eastAsia"/>
                <w:b/>
                <w:spacing w:val="-20"/>
                <w:szCs w:val="24"/>
              </w:rPr>
              <w:t>111年度</w:t>
            </w:r>
          </w:p>
        </w:tc>
        <w:tc>
          <w:tcPr>
            <w:tcW w:w="1433" w:type="dxa"/>
            <w:shd w:val="clear" w:color="auto" w:fill="auto"/>
            <w:vAlign w:val="center"/>
          </w:tcPr>
          <w:p w:rsidR="00D411D8" w:rsidRPr="00B0121B" w:rsidRDefault="00D411D8" w:rsidP="00B0121B">
            <w:pPr>
              <w:pStyle w:val="142"/>
              <w:jc w:val="center"/>
              <w:rPr>
                <w:rFonts w:hAnsi="標楷體"/>
                <w:b/>
                <w:spacing w:val="-20"/>
                <w:szCs w:val="24"/>
              </w:rPr>
            </w:pPr>
            <w:r w:rsidRPr="00B0121B">
              <w:rPr>
                <w:rFonts w:hAnsi="標楷體" w:hint="eastAsia"/>
                <w:b/>
                <w:spacing w:val="-20"/>
                <w:szCs w:val="24"/>
              </w:rPr>
              <w:t>112年度</w:t>
            </w:r>
          </w:p>
        </w:tc>
        <w:tc>
          <w:tcPr>
            <w:tcW w:w="1433" w:type="dxa"/>
            <w:shd w:val="clear" w:color="auto" w:fill="auto"/>
            <w:vAlign w:val="center"/>
          </w:tcPr>
          <w:p w:rsidR="00D411D8" w:rsidRPr="00B0121B" w:rsidRDefault="00D411D8" w:rsidP="00B0121B">
            <w:pPr>
              <w:pStyle w:val="142"/>
              <w:jc w:val="center"/>
              <w:rPr>
                <w:rFonts w:hAnsi="標楷體"/>
                <w:b/>
                <w:spacing w:val="-20"/>
                <w:szCs w:val="24"/>
              </w:rPr>
            </w:pPr>
            <w:r w:rsidRPr="00B0121B">
              <w:rPr>
                <w:rFonts w:hAnsi="標楷體" w:hint="eastAsia"/>
                <w:b/>
                <w:spacing w:val="-20"/>
                <w:szCs w:val="24"/>
              </w:rPr>
              <w:t>113年度</w:t>
            </w:r>
          </w:p>
        </w:tc>
        <w:tc>
          <w:tcPr>
            <w:tcW w:w="1433" w:type="dxa"/>
            <w:vAlign w:val="center"/>
          </w:tcPr>
          <w:p w:rsidR="00D411D8" w:rsidRPr="00B0121B" w:rsidRDefault="00D411D8" w:rsidP="00D411D8">
            <w:pPr>
              <w:pStyle w:val="142"/>
              <w:jc w:val="center"/>
              <w:rPr>
                <w:rFonts w:hAnsi="標楷體"/>
                <w:b/>
                <w:spacing w:val="-20"/>
                <w:szCs w:val="24"/>
              </w:rPr>
            </w:pPr>
            <w:r>
              <w:rPr>
                <w:rFonts w:hAnsi="標楷體" w:hint="eastAsia"/>
                <w:b/>
                <w:spacing w:val="-20"/>
                <w:szCs w:val="24"/>
              </w:rPr>
              <w:t>4年合計</w:t>
            </w:r>
          </w:p>
        </w:tc>
      </w:tr>
      <w:tr w:rsidR="00A82976" w:rsidRPr="00587F54" w:rsidTr="00A82976">
        <w:trPr>
          <w:trHeight w:val="397"/>
        </w:trPr>
        <w:tc>
          <w:tcPr>
            <w:tcW w:w="1364" w:type="dxa"/>
            <w:tcBorders>
              <w:bottom w:val="double" w:sz="4" w:space="0" w:color="auto"/>
            </w:tcBorders>
            <w:shd w:val="clear" w:color="auto" w:fill="auto"/>
            <w:vAlign w:val="center"/>
          </w:tcPr>
          <w:p w:rsidR="00A82976" w:rsidRPr="00C1469A" w:rsidRDefault="00A82976" w:rsidP="00A82976">
            <w:pPr>
              <w:pStyle w:val="142"/>
              <w:spacing w:line="240" w:lineRule="exact"/>
              <w:jc w:val="both"/>
              <w:rPr>
                <w:rFonts w:hAnsi="標楷體"/>
                <w:b/>
                <w:spacing w:val="-20"/>
                <w:szCs w:val="24"/>
              </w:rPr>
            </w:pPr>
            <w:r w:rsidRPr="00C1469A">
              <w:rPr>
                <w:rFonts w:hAnsi="標楷體" w:hint="eastAsia"/>
                <w:b/>
                <w:spacing w:val="-20"/>
                <w:szCs w:val="24"/>
              </w:rPr>
              <w:t>中央政府賦稅預測誤差總額</w:t>
            </w:r>
          </w:p>
        </w:tc>
        <w:tc>
          <w:tcPr>
            <w:tcW w:w="1432" w:type="dxa"/>
            <w:tcBorders>
              <w:bottom w:val="doub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3,252</w:t>
            </w:r>
          </w:p>
        </w:tc>
        <w:tc>
          <w:tcPr>
            <w:tcW w:w="1433" w:type="dxa"/>
            <w:tcBorders>
              <w:bottom w:val="doub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4,002</w:t>
            </w:r>
          </w:p>
        </w:tc>
        <w:tc>
          <w:tcPr>
            <w:tcW w:w="1433" w:type="dxa"/>
            <w:tcBorders>
              <w:bottom w:val="doub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2,934</w:t>
            </w:r>
          </w:p>
        </w:tc>
        <w:tc>
          <w:tcPr>
            <w:tcW w:w="1433" w:type="dxa"/>
            <w:tcBorders>
              <w:bottom w:val="doub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3,757</w:t>
            </w:r>
          </w:p>
        </w:tc>
        <w:tc>
          <w:tcPr>
            <w:tcW w:w="1433" w:type="dxa"/>
            <w:tcBorders>
              <w:bottom w:val="double" w:sz="4" w:space="0" w:color="auto"/>
            </w:tcBorders>
            <w:vAlign w:val="center"/>
          </w:tcPr>
          <w:p w:rsidR="00A82976" w:rsidRPr="00A82976" w:rsidRDefault="00A82976" w:rsidP="00A82976">
            <w:pPr>
              <w:pStyle w:val="142"/>
              <w:jc w:val="right"/>
              <w:rPr>
                <w:rFonts w:hAnsi="標楷體"/>
                <w:szCs w:val="24"/>
              </w:rPr>
            </w:pPr>
            <w:r w:rsidRPr="00A82976">
              <w:rPr>
                <w:rFonts w:hAnsi="標楷體"/>
                <w:szCs w:val="24"/>
              </w:rPr>
              <w:t>13,945</w:t>
            </w:r>
          </w:p>
        </w:tc>
      </w:tr>
      <w:tr w:rsidR="00A82976" w:rsidRPr="00587F54" w:rsidTr="00A82976">
        <w:trPr>
          <w:trHeight w:val="397"/>
        </w:trPr>
        <w:tc>
          <w:tcPr>
            <w:tcW w:w="1364" w:type="dxa"/>
            <w:tcBorders>
              <w:top w:val="double" w:sz="4" w:space="0" w:color="auto"/>
              <w:bottom w:val="single" w:sz="4" w:space="0" w:color="auto"/>
            </w:tcBorders>
            <w:shd w:val="clear" w:color="auto" w:fill="auto"/>
            <w:vAlign w:val="center"/>
          </w:tcPr>
          <w:p w:rsidR="00A82976" w:rsidRPr="00A82976" w:rsidRDefault="00A82976" w:rsidP="00A82976">
            <w:pPr>
              <w:pStyle w:val="142"/>
              <w:jc w:val="both"/>
              <w:rPr>
                <w:rFonts w:hAnsi="標楷體"/>
                <w:b/>
                <w:spacing w:val="-14"/>
                <w:szCs w:val="24"/>
              </w:rPr>
            </w:pPr>
            <w:r w:rsidRPr="00A82976">
              <w:rPr>
                <w:rFonts w:hAnsi="標楷體" w:hint="eastAsia"/>
                <w:b/>
                <w:spacing w:val="-14"/>
                <w:szCs w:val="24"/>
              </w:rPr>
              <w:t>所得稅</w:t>
            </w:r>
          </w:p>
        </w:tc>
        <w:tc>
          <w:tcPr>
            <w:tcW w:w="1432" w:type="dxa"/>
            <w:tcBorders>
              <w:top w:val="double" w:sz="4" w:space="0" w:color="auto"/>
              <w:bottom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1,049</w:t>
            </w:r>
          </w:p>
        </w:tc>
        <w:tc>
          <w:tcPr>
            <w:tcW w:w="1433" w:type="dxa"/>
            <w:tcBorders>
              <w:top w:val="double" w:sz="4" w:space="0" w:color="auto"/>
              <w:bottom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3,561</w:t>
            </w:r>
          </w:p>
        </w:tc>
        <w:tc>
          <w:tcPr>
            <w:tcW w:w="1433" w:type="dxa"/>
            <w:tcBorders>
              <w:top w:val="double" w:sz="4" w:space="0" w:color="auto"/>
              <w:bottom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1,595</w:t>
            </w:r>
          </w:p>
        </w:tc>
        <w:tc>
          <w:tcPr>
            <w:tcW w:w="1433" w:type="dxa"/>
            <w:tcBorders>
              <w:top w:val="double" w:sz="4" w:space="0" w:color="auto"/>
              <w:bottom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2,459</w:t>
            </w:r>
          </w:p>
        </w:tc>
        <w:tc>
          <w:tcPr>
            <w:tcW w:w="1433" w:type="dxa"/>
            <w:tcBorders>
              <w:top w:val="double" w:sz="4" w:space="0" w:color="auto"/>
              <w:bottom w:val="single" w:sz="4" w:space="0" w:color="auto"/>
            </w:tcBorders>
            <w:vAlign w:val="center"/>
          </w:tcPr>
          <w:p w:rsidR="00A82976" w:rsidRPr="00A82976" w:rsidRDefault="00A82976" w:rsidP="00A82976">
            <w:pPr>
              <w:pStyle w:val="142"/>
              <w:jc w:val="right"/>
              <w:rPr>
                <w:rFonts w:hAnsi="標楷體"/>
                <w:szCs w:val="24"/>
              </w:rPr>
            </w:pPr>
            <w:r w:rsidRPr="00A82976">
              <w:rPr>
                <w:rFonts w:hAnsi="標楷體"/>
                <w:szCs w:val="24"/>
              </w:rPr>
              <w:t>8,664</w:t>
            </w:r>
          </w:p>
        </w:tc>
      </w:tr>
      <w:tr w:rsidR="00A82976" w:rsidRPr="00587F54" w:rsidTr="00A82976">
        <w:trPr>
          <w:trHeight w:val="397"/>
        </w:trPr>
        <w:tc>
          <w:tcPr>
            <w:tcW w:w="1364" w:type="dxa"/>
            <w:tcBorders>
              <w:top w:val="single" w:sz="4" w:space="0" w:color="auto"/>
            </w:tcBorders>
            <w:shd w:val="clear" w:color="auto" w:fill="auto"/>
            <w:vAlign w:val="center"/>
          </w:tcPr>
          <w:p w:rsidR="00A82976" w:rsidRPr="00A82976" w:rsidRDefault="00A82976" w:rsidP="00A82976">
            <w:pPr>
              <w:pStyle w:val="142"/>
              <w:jc w:val="both"/>
              <w:rPr>
                <w:rFonts w:hAnsi="標楷體"/>
                <w:b/>
                <w:spacing w:val="-14"/>
                <w:szCs w:val="24"/>
              </w:rPr>
            </w:pPr>
            <w:r w:rsidRPr="00A82976">
              <w:rPr>
                <w:rFonts w:hAnsi="標楷體" w:hint="eastAsia"/>
                <w:b/>
                <w:spacing w:val="-14"/>
                <w:szCs w:val="24"/>
              </w:rPr>
              <w:t>證券交易稅</w:t>
            </w:r>
          </w:p>
        </w:tc>
        <w:tc>
          <w:tcPr>
            <w:tcW w:w="1432" w:type="dxa"/>
            <w:tcBorders>
              <w:top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1,554</w:t>
            </w:r>
          </w:p>
        </w:tc>
        <w:tc>
          <w:tcPr>
            <w:tcW w:w="1433" w:type="dxa"/>
            <w:tcBorders>
              <w:top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-12</w:t>
            </w:r>
          </w:p>
        </w:tc>
        <w:tc>
          <w:tcPr>
            <w:tcW w:w="1433" w:type="dxa"/>
            <w:tcBorders>
              <w:top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422</w:t>
            </w:r>
          </w:p>
        </w:tc>
        <w:tc>
          <w:tcPr>
            <w:tcW w:w="1433" w:type="dxa"/>
            <w:tcBorders>
              <w:top w:val="single" w:sz="4" w:space="0" w:color="auto"/>
            </w:tcBorders>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794</w:t>
            </w:r>
          </w:p>
        </w:tc>
        <w:tc>
          <w:tcPr>
            <w:tcW w:w="1433" w:type="dxa"/>
            <w:tcBorders>
              <w:top w:val="single" w:sz="4" w:space="0" w:color="auto"/>
            </w:tcBorders>
            <w:vAlign w:val="center"/>
          </w:tcPr>
          <w:p w:rsidR="00A82976" w:rsidRPr="00A82976" w:rsidRDefault="00A82976" w:rsidP="000C056A">
            <w:pPr>
              <w:pStyle w:val="142"/>
              <w:jc w:val="right"/>
              <w:rPr>
                <w:rFonts w:hAnsi="標楷體"/>
                <w:szCs w:val="24"/>
              </w:rPr>
            </w:pPr>
            <w:r w:rsidRPr="00A82976">
              <w:rPr>
                <w:rFonts w:hAnsi="標楷體"/>
                <w:szCs w:val="24"/>
              </w:rPr>
              <w:t>2,7</w:t>
            </w:r>
            <w:r w:rsidR="000C056A">
              <w:rPr>
                <w:rFonts w:hAnsi="標楷體"/>
                <w:szCs w:val="24"/>
              </w:rPr>
              <w:t>5</w:t>
            </w:r>
            <w:r w:rsidRPr="00A82976">
              <w:rPr>
                <w:rFonts w:hAnsi="標楷體"/>
                <w:szCs w:val="24"/>
              </w:rPr>
              <w:t>8</w:t>
            </w:r>
          </w:p>
        </w:tc>
      </w:tr>
      <w:tr w:rsidR="00A82976" w:rsidRPr="00587F54" w:rsidTr="00A82976">
        <w:trPr>
          <w:trHeight w:val="397"/>
        </w:trPr>
        <w:tc>
          <w:tcPr>
            <w:tcW w:w="1364" w:type="dxa"/>
            <w:shd w:val="clear" w:color="auto" w:fill="auto"/>
            <w:vAlign w:val="center"/>
          </w:tcPr>
          <w:p w:rsidR="00A82976" w:rsidRPr="00A82976" w:rsidRDefault="00A82976" w:rsidP="00A82976">
            <w:pPr>
              <w:pStyle w:val="142"/>
              <w:jc w:val="both"/>
              <w:rPr>
                <w:rFonts w:hAnsi="標楷體"/>
                <w:b/>
                <w:spacing w:val="-14"/>
                <w:szCs w:val="24"/>
              </w:rPr>
            </w:pPr>
            <w:r w:rsidRPr="00A82976">
              <w:rPr>
                <w:rFonts w:hAnsi="標楷體" w:hint="eastAsia"/>
                <w:b/>
                <w:spacing w:val="-14"/>
                <w:szCs w:val="24"/>
              </w:rPr>
              <w:t>營業稅</w:t>
            </w:r>
          </w:p>
        </w:tc>
        <w:tc>
          <w:tcPr>
            <w:tcW w:w="1432"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404</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526</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567</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268</w:t>
            </w:r>
          </w:p>
        </w:tc>
        <w:tc>
          <w:tcPr>
            <w:tcW w:w="1433" w:type="dxa"/>
            <w:vAlign w:val="center"/>
          </w:tcPr>
          <w:p w:rsidR="00A82976" w:rsidRPr="00A82976" w:rsidRDefault="00A82976" w:rsidP="00A82976">
            <w:pPr>
              <w:pStyle w:val="142"/>
              <w:jc w:val="right"/>
              <w:rPr>
                <w:rFonts w:hAnsi="標楷體"/>
                <w:szCs w:val="24"/>
              </w:rPr>
            </w:pPr>
            <w:r w:rsidRPr="00A82976">
              <w:rPr>
                <w:rFonts w:hAnsi="標楷體"/>
                <w:szCs w:val="24"/>
              </w:rPr>
              <w:t>1,765</w:t>
            </w:r>
          </w:p>
        </w:tc>
      </w:tr>
      <w:tr w:rsidR="00A82976" w:rsidRPr="00587F54" w:rsidTr="00A82976">
        <w:trPr>
          <w:trHeight w:val="397"/>
        </w:trPr>
        <w:tc>
          <w:tcPr>
            <w:tcW w:w="1364" w:type="dxa"/>
            <w:shd w:val="clear" w:color="auto" w:fill="auto"/>
            <w:vAlign w:val="center"/>
          </w:tcPr>
          <w:p w:rsidR="00A82976" w:rsidRPr="00A82976" w:rsidRDefault="00A82976" w:rsidP="00A82976">
            <w:pPr>
              <w:pStyle w:val="142"/>
              <w:jc w:val="both"/>
              <w:rPr>
                <w:rFonts w:hAnsi="標楷體"/>
                <w:b/>
                <w:spacing w:val="-14"/>
                <w:szCs w:val="24"/>
              </w:rPr>
            </w:pPr>
            <w:r w:rsidRPr="00A82976">
              <w:rPr>
                <w:rFonts w:hAnsi="標楷體" w:hint="eastAsia"/>
                <w:b/>
                <w:spacing w:val="-14"/>
                <w:szCs w:val="24"/>
              </w:rPr>
              <w:t>關稅</w:t>
            </w:r>
          </w:p>
        </w:tc>
        <w:tc>
          <w:tcPr>
            <w:tcW w:w="1432"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125</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91</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163</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114</w:t>
            </w:r>
          </w:p>
        </w:tc>
        <w:tc>
          <w:tcPr>
            <w:tcW w:w="1433" w:type="dxa"/>
            <w:vAlign w:val="center"/>
          </w:tcPr>
          <w:p w:rsidR="00A82976" w:rsidRPr="00A82976" w:rsidRDefault="00A82976" w:rsidP="00A82976">
            <w:pPr>
              <w:pStyle w:val="142"/>
              <w:jc w:val="right"/>
              <w:rPr>
                <w:rFonts w:hAnsi="標楷體"/>
                <w:szCs w:val="24"/>
              </w:rPr>
            </w:pPr>
            <w:r w:rsidRPr="00A82976">
              <w:rPr>
                <w:rFonts w:hAnsi="標楷體"/>
                <w:szCs w:val="24"/>
              </w:rPr>
              <w:t>493</w:t>
            </w:r>
          </w:p>
        </w:tc>
      </w:tr>
      <w:tr w:rsidR="00A82976" w:rsidRPr="00587F54" w:rsidTr="00A82976">
        <w:trPr>
          <w:trHeight w:val="397"/>
        </w:trPr>
        <w:tc>
          <w:tcPr>
            <w:tcW w:w="1364" w:type="dxa"/>
            <w:shd w:val="clear" w:color="auto" w:fill="auto"/>
            <w:vAlign w:val="center"/>
          </w:tcPr>
          <w:p w:rsidR="00A82976" w:rsidRPr="00A82976" w:rsidRDefault="00A82976" w:rsidP="00A82976">
            <w:pPr>
              <w:pStyle w:val="142"/>
              <w:jc w:val="both"/>
              <w:rPr>
                <w:rFonts w:hAnsi="標楷體"/>
                <w:b/>
                <w:spacing w:val="-26"/>
                <w:szCs w:val="24"/>
              </w:rPr>
            </w:pPr>
            <w:r w:rsidRPr="00A82976">
              <w:rPr>
                <w:rFonts w:hAnsi="標楷體" w:hint="eastAsia"/>
                <w:b/>
                <w:spacing w:val="-26"/>
                <w:szCs w:val="24"/>
              </w:rPr>
              <w:t>遺產及贈與稅</w:t>
            </w:r>
          </w:p>
        </w:tc>
        <w:tc>
          <w:tcPr>
            <w:tcW w:w="1432"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47</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65</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77</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104</w:t>
            </w:r>
          </w:p>
        </w:tc>
        <w:tc>
          <w:tcPr>
            <w:tcW w:w="1433" w:type="dxa"/>
            <w:vAlign w:val="center"/>
          </w:tcPr>
          <w:p w:rsidR="00A82976" w:rsidRPr="00A82976" w:rsidRDefault="00A82976" w:rsidP="00A82976">
            <w:pPr>
              <w:pStyle w:val="142"/>
              <w:jc w:val="right"/>
              <w:rPr>
                <w:rFonts w:hAnsi="標楷體"/>
                <w:szCs w:val="24"/>
              </w:rPr>
            </w:pPr>
            <w:r w:rsidRPr="00A82976">
              <w:rPr>
                <w:rFonts w:hAnsi="標楷體"/>
                <w:szCs w:val="24"/>
              </w:rPr>
              <w:t>293</w:t>
            </w:r>
          </w:p>
        </w:tc>
      </w:tr>
      <w:tr w:rsidR="00A82976" w:rsidRPr="00587F54" w:rsidTr="00A82976">
        <w:trPr>
          <w:trHeight w:val="397"/>
        </w:trPr>
        <w:tc>
          <w:tcPr>
            <w:tcW w:w="1364" w:type="dxa"/>
            <w:shd w:val="clear" w:color="auto" w:fill="auto"/>
            <w:vAlign w:val="center"/>
          </w:tcPr>
          <w:p w:rsidR="00A82976" w:rsidRPr="00A82976" w:rsidRDefault="00A82976" w:rsidP="00A82976">
            <w:pPr>
              <w:pStyle w:val="142"/>
              <w:jc w:val="both"/>
              <w:rPr>
                <w:rFonts w:hAnsi="標楷體"/>
                <w:b/>
                <w:spacing w:val="-14"/>
                <w:szCs w:val="24"/>
              </w:rPr>
            </w:pPr>
            <w:r w:rsidRPr="00A82976">
              <w:rPr>
                <w:rFonts w:hAnsi="標楷體" w:hint="eastAsia"/>
                <w:b/>
                <w:spacing w:val="-14"/>
                <w:szCs w:val="24"/>
              </w:rPr>
              <w:t>期貨交易稅</w:t>
            </w:r>
          </w:p>
        </w:tc>
        <w:tc>
          <w:tcPr>
            <w:tcW w:w="1432"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53</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22</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8</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50</w:t>
            </w:r>
          </w:p>
        </w:tc>
        <w:tc>
          <w:tcPr>
            <w:tcW w:w="1433" w:type="dxa"/>
            <w:vAlign w:val="center"/>
          </w:tcPr>
          <w:p w:rsidR="00A82976" w:rsidRPr="00A82976" w:rsidRDefault="00A82976" w:rsidP="00A82976">
            <w:pPr>
              <w:pStyle w:val="142"/>
              <w:jc w:val="right"/>
              <w:rPr>
                <w:rFonts w:hAnsi="標楷體"/>
                <w:szCs w:val="24"/>
              </w:rPr>
            </w:pPr>
            <w:r w:rsidRPr="00A82976">
              <w:rPr>
                <w:rFonts w:hAnsi="標楷體"/>
                <w:szCs w:val="24"/>
              </w:rPr>
              <w:t>133</w:t>
            </w:r>
          </w:p>
        </w:tc>
      </w:tr>
      <w:tr w:rsidR="00A82976" w:rsidRPr="00587F54" w:rsidTr="00A82976">
        <w:trPr>
          <w:trHeight w:val="397"/>
        </w:trPr>
        <w:tc>
          <w:tcPr>
            <w:tcW w:w="1364" w:type="dxa"/>
            <w:shd w:val="clear" w:color="auto" w:fill="auto"/>
            <w:vAlign w:val="center"/>
          </w:tcPr>
          <w:p w:rsidR="00A82976" w:rsidRPr="00A82976" w:rsidRDefault="00A82976" w:rsidP="00A82976">
            <w:pPr>
              <w:pStyle w:val="142"/>
              <w:jc w:val="both"/>
              <w:rPr>
                <w:b/>
                <w:spacing w:val="-14"/>
              </w:rPr>
            </w:pPr>
            <w:r w:rsidRPr="00A82976">
              <w:rPr>
                <w:rFonts w:hAnsi="標楷體" w:hint="eastAsia"/>
                <w:b/>
                <w:spacing w:val="-14"/>
                <w:szCs w:val="24"/>
              </w:rPr>
              <w:t>特種貨物及勞務稅</w:t>
            </w:r>
          </w:p>
        </w:tc>
        <w:tc>
          <w:tcPr>
            <w:tcW w:w="1432"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11</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13</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28</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38</w:t>
            </w:r>
          </w:p>
        </w:tc>
        <w:tc>
          <w:tcPr>
            <w:tcW w:w="1433" w:type="dxa"/>
            <w:vAlign w:val="center"/>
          </w:tcPr>
          <w:p w:rsidR="00A82976" w:rsidRPr="00A82976" w:rsidRDefault="00A82976" w:rsidP="00A82976">
            <w:pPr>
              <w:pStyle w:val="142"/>
              <w:jc w:val="right"/>
              <w:rPr>
                <w:rFonts w:hAnsi="標楷體"/>
                <w:szCs w:val="24"/>
              </w:rPr>
            </w:pPr>
            <w:r w:rsidRPr="00A82976">
              <w:rPr>
                <w:rFonts w:hAnsi="標楷體"/>
                <w:szCs w:val="24"/>
              </w:rPr>
              <w:t>90</w:t>
            </w:r>
          </w:p>
        </w:tc>
      </w:tr>
      <w:tr w:rsidR="00A82976" w:rsidRPr="00587F54" w:rsidTr="00A82976">
        <w:trPr>
          <w:trHeight w:val="397"/>
        </w:trPr>
        <w:tc>
          <w:tcPr>
            <w:tcW w:w="1364" w:type="dxa"/>
            <w:shd w:val="clear" w:color="auto" w:fill="auto"/>
            <w:vAlign w:val="center"/>
          </w:tcPr>
          <w:p w:rsidR="00A82976" w:rsidRPr="00A82976" w:rsidRDefault="00A82976" w:rsidP="00A82976">
            <w:pPr>
              <w:pStyle w:val="142"/>
              <w:jc w:val="both"/>
              <w:rPr>
                <w:b/>
                <w:spacing w:val="-14"/>
              </w:rPr>
            </w:pPr>
            <w:r w:rsidRPr="00A82976">
              <w:rPr>
                <w:rFonts w:hint="eastAsia"/>
                <w:b/>
                <w:spacing w:val="-14"/>
              </w:rPr>
              <w:t>菸酒稅</w:t>
            </w:r>
          </w:p>
        </w:tc>
        <w:tc>
          <w:tcPr>
            <w:tcW w:w="1432"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-5</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9</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-3</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-21</w:t>
            </w:r>
          </w:p>
        </w:tc>
        <w:tc>
          <w:tcPr>
            <w:tcW w:w="1433" w:type="dxa"/>
            <w:vAlign w:val="center"/>
          </w:tcPr>
          <w:p w:rsidR="00A82976" w:rsidRPr="00A82976" w:rsidRDefault="000C056A" w:rsidP="00A82976">
            <w:pPr>
              <w:pStyle w:val="142"/>
              <w:jc w:val="right"/>
              <w:rPr>
                <w:rFonts w:hAnsi="標楷體"/>
                <w:szCs w:val="24"/>
              </w:rPr>
            </w:pPr>
            <w:r>
              <w:rPr>
                <w:rFonts w:hAnsi="標楷體" w:hint="eastAsia"/>
                <w:szCs w:val="24"/>
              </w:rPr>
              <w:t>-</w:t>
            </w:r>
            <w:r>
              <w:rPr>
                <w:rFonts w:hAnsi="標楷體"/>
                <w:szCs w:val="24"/>
              </w:rPr>
              <w:t>20</w:t>
            </w:r>
          </w:p>
        </w:tc>
      </w:tr>
      <w:tr w:rsidR="00A82976" w:rsidRPr="00587F54" w:rsidTr="00A82976">
        <w:trPr>
          <w:trHeight w:val="397"/>
        </w:trPr>
        <w:tc>
          <w:tcPr>
            <w:tcW w:w="1364" w:type="dxa"/>
            <w:shd w:val="clear" w:color="auto" w:fill="auto"/>
            <w:vAlign w:val="center"/>
          </w:tcPr>
          <w:p w:rsidR="00A82976" w:rsidRPr="00A82976" w:rsidRDefault="00A82976" w:rsidP="00A82976">
            <w:pPr>
              <w:pStyle w:val="142"/>
              <w:jc w:val="both"/>
              <w:rPr>
                <w:b/>
                <w:spacing w:val="-14"/>
              </w:rPr>
            </w:pPr>
            <w:r w:rsidRPr="00A82976">
              <w:rPr>
                <w:rFonts w:hint="eastAsia"/>
                <w:b/>
                <w:spacing w:val="-14"/>
              </w:rPr>
              <w:t>貨物稅</w:t>
            </w:r>
          </w:p>
        </w:tc>
        <w:tc>
          <w:tcPr>
            <w:tcW w:w="1432"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14</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-271</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76</w:t>
            </w:r>
          </w:p>
        </w:tc>
        <w:tc>
          <w:tcPr>
            <w:tcW w:w="1433" w:type="dxa"/>
            <w:shd w:val="clear" w:color="auto" w:fill="auto"/>
            <w:vAlign w:val="center"/>
          </w:tcPr>
          <w:p w:rsidR="00A82976" w:rsidRPr="00B0121B" w:rsidRDefault="00A82976" w:rsidP="00A82976">
            <w:pPr>
              <w:pStyle w:val="142"/>
              <w:jc w:val="right"/>
              <w:rPr>
                <w:rFonts w:hAnsi="標楷體"/>
                <w:szCs w:val="24"/>
              </w:rPr>
            </w:pPr>
            <w:r w:rsidRPr="00B0121B">
              <w:rPr>
                <w:rFonts w:hAnsi="標楷體"/>
                <w:szCs w:val="24"/>
              </w:rPr>
              <w:t>-50</w:t>
            </w:r>
          </w:p>
        </w:tc>
        <w:tc>
          <w:tcPr>
            <w:tcW w:w="1433" w:type="dxa"/>
            <w:vAlign w:val="center"/>
          </w:tcPr>
          <w:p w:rsidR="00A82976" w:rsidRPr="00A82976" w:rsidRDefault="000C056A" w:rsidP="000C056A">
            <w:pPr>
              <w:pStyle w:val="142"/>
              <w:jc w:val="right"/>
              <w:rPr>
                <w:rFonts w:hAnsi="標楷體"/>
                <w:szCs w:val="24"/>
              </w:rPr>
            </w:pPr>
            <w:r>
              <w:rPr>
                <w:rFonts w:hAnsi="標楷體"/>
                <w:szCs w:val="24"/>
              </w:rPr>
              <w:t>-231</w:t>
            </w:r>
          </w:p>
        </w:tc>
      </w:tr>
    </w:tbl>
    <w:p w:rsidR="007207D1" w:rsidRDefault="007207D1" w:rsidP="006640C8">
      <w:pPr>
        <w:pStyle w:val="142"/>
        <w:ind w:leftChars="23" w:left="1230" w:hangingChars="479" w:hanging="1165"/>
        <w:rPr>
          <w:rFonts w:hAnsi="標楷體"/>
          <w:szCs w:val="24"/>
        </w:rPr>
      </w:pPr>
      <w:r w:rsidRPr="007207D1">
        <w:rPr>
          <w:rFonts w:hAnsi="標楷體" w:hint="eastAsia"/>
          <w:szCs w:val="24"/>
        </w:rPr>
        <w:t>說    明：</w:t>
      </w:r>
      <w:r w:rsidR="008A1DB1" w:rsidRPr="008A1DB1">
        <w:rPr>
          <w:rFonts w:hAnsi="標楷體" w:hint="eastAsia"/>
          <w:szCs w:val="24"/>
        </w:rPr>
        <w:t>表列數據均僅列納入中央政府總預算部分</w:t>
      </w:r>
      <w:r w:rsidR="008A1DB1">
        <w:rPr>
          <w:rFonts w:hAnsi="標楷體" w:hint="eastAsia"/>
          <w:szCs w:val="24"/>
        </w:rPr>
        <w:t>；</w:t>
      </w:r>
      <w:r>
        <w:rPr>
          <w:rFonts w:hAnsi="標楷體" w:hint="eastAsia"/>
          <w:szCs w:val="24"/>
        </w:rPr>
        <w:t>表列金額=中央政府賦稅或</w:t>
      </w:r>
      <w:r w:rsidRPr="007207D1">
        <w:rPr>
          <w:rFonts w:hAnsi="標楷體" w:hint="eastAsia"/>
          <w:szCs w:val="24"/>
        </w:rPr>
        <w:t>各稅目</w:t>
      </w:r>
      <w:r w:rsidR="006B6E2D">
        <w:rPr>
          <w:rFonts w:hAnsi="標楷體" w:hint="eastAsia"/>
          <w:szCs w:val="24"/>
        </w:rPr>
        <w:t>之</w:t>
      </w:r>
      <w:r w:rsidRPr="007207D1">
        <w:rPr>
          <w:rFonts w:hAnsi="標楷體" w:hint="eastAsia"/>
          <w:szCs w:val="24"/>
        </w:rPr>
        <w:t>實徵數</w:t>
      </w:r>
      <w:r>
        <w:rPr>
          <w:rFonts w:hAnsi="標楷體" w:hint="eastAsia"/>
          <w:szCs w:val="24"/>
        </w:rPr>
        <w:t>-</w:t>
      </w:r>
      <w:r w:rsidRPr="007207D1">
        <w:rPr>
          <w:rFonts w:hAnsi="標楷體" w:hint="eastAsia"/>
          <w:szCs w:val="24"/>
        </w:rPr>
        <w:t>預算數</w:t>
      </w:r>
      <w:r>
        <w:rPr>
          <w:rFonts w:hAnsi="標楷體" w:hint="eastAsia"/>
          <w:szCs w:val="24"/>
        </w:rPr>
        <w:t>，其中實徵數</w:t>
      </w:r>
      <w:r w:rsidRPr="007207D1">
        <w:rPr>
          <w:rFonts w:hAnsi="標楷體" w:hint="eastAsia"/>
          <w:szCs w:val="24"/>
        </w:rPr>
        <w:t>除113年度為院編決算數外，其餘為決算審定數。</w:t>
      </w:r>
    </w:p>
    <w:p w:rsidR="00087C79" w:rsidRPr="00D8223C" w:rsidRDefault="00087C79" w:rsidP="00087C79">
      <w:pPr>
        <w:pStyle w:val="142"/>
        <w:ind w:firstLineChars="28" w:firstLine="68"/>
        <w:rPr>
          <w:rFonts w:hAnsi="標楷體"/>
          <w:szCs w:val="24"/>
        </w:rPr>
      </w:pPr>
      <w:r w:rsidRPr="00D8223C">
        <w:rPr>
          <w:rFonts w:hAnsi="標楷體" w:hint="eastAsia"/>
          <w:szCs w:val="24"/>
        </w:rPr>
        <w:t>資料來源：</w:t>
      </w:r>
      <w:r w:rsidR="007207D1">
        <w:rPr>
          <w:rFonts w:hAnsi="標楷體" w:hint="eastAsia"/>
          <w:szCs w:val="24"/>
        </w:rPr>
        <w:t>整理自</w:t>
      </w:r>
      <w:r w:rsidRPr="00BB2CA5">
        <w:rPr>
          <w:rFonts w:hAnsi="標楷體" w:hint="eastAsia"/>
          <w:szCs w:val="24"/>
        </w:rPr>
        <w:t>財政部財政統計資料庫</w:t>
      </w:r>
      <w:r w:rsidR="007207D1">
        <w:rPr>
          <w:rFonts w:hAnsi="標楷體" w:hint="eastAsia"/>
          <w:szCs w:val="24"/>
        </w:rPr>
        <w:t>之查詢資料</w:t>
      </w:r>
      <w:r w:rsidRPr="00BB2CA5">
        <w:rPr>
          <w:rFonts w:hAnsi="標楷體" w:hint="eastAsia"/>
          <w:szCs w:val="24"/>
        </w:rPr>
        <w:t>。</w:t>
      </w:r>
    </w:p>
    <w:p w:rsidR="009653B8" w:rsidRPr="00351EF8" w:rsidRDefault="003B7F37" w:rsidP="00351EF8">
      <w:pPr>
        <w:pStyle w:val="2"/>
        <w:ind w:left="850" w:firstLine="542"/>
        <w:rPr>
          <w:rFonts w:hAnsi="標楷體"/>
          <w:snapToGrid/>
          <w:spacing w:val="-6"/>
        </w:rPr>
      </w:pPr>
      <w:r>
        <w:rPr>
          <w:rFonts w:hAnsi="標楷體" w:hint="eastAsia"/>
          <w:snapToGrid/>
          <w:spacing w:val="-6"/>
        </w:rPr>
        <w:t>進一步</w:t>
      </w:r>
      <w:r w:rsidR="00872C56">
        <w:rPr>
          <w:rFonts w:hAnsi="標楷體" w:hint="eastAsia"/>
          <w:snapToGrid/>
          <w:spacing w:val="-6"/>
        </w:rPr>
        <w:t>探</w:t>
      </w:r>
      <w:r w:rsidR="00351EF8" w:rsidRPr="00351EF8">
        <w:rPr>
          <w:rFonts w:hAnsi="標楷體" w:hint="eastAsia"/>
          <w:snapToGrid/>
          <w:spacing w:val="-6"/>
        </w:rPr>
        <w:t>究</w:t>
      </w:r>
      <w:r w:rsidR="001E34B8">
        <w:rPr>
          <w:rFonts w:hAnsi="標楷體" w:hint="eastAsia"/>
          <w:snapToGrid/>
          <w:spacing w:val="-6"/>
        </w:rPr>
        <w:t>近4年</w:t>
      </w:r>
      <w:r w:rsidR="00351EF8">
        <w:rPr>
          <w:rFonts w:hAnsi="標楷體" w:hint="eastAsia"/>
          <w:snapToGrid/>
          <w:spacing w:val="-6"/>
        </w:rPr>
        <w:t>該3項稅目實徵數高於預算數之原因</w:t>
      </w:r>
      <w:r w:rsidR="00556242" w:rsidRPr="00536284">
        <w:rPr>
          <w:rStyle w:val="af6"/>
          <w:rFonts w:hAnsi="標楷體"/>
        </w:rPr>
        <w:footnoteReference w:id="17"/>
      </w:r>
      <w:r w:rsidR="00872C56">
        <w:rPr>
          <w:rFonts w:hAnsi="標楷體" w:hint="eastAsia"/>
          <w:snapToGrid/>
          <w:spacing w:val="-6"/>
        </w:rPr>
        <w:t>並彙整</w:t>
      </w:r>
      <w:r w:rsidR="00351EF8">
        <w:rPr>
          <w:rFonts w:hAnsi="標楷體" w:hint="eastAsia"/>
          <w:snapToGrid/>
          <w:spacing w:val="-6"/>
        </w:rPr>
        <w:t>如下</w:t>
      </w:r>
      <w:r w:rsidR="002E7780" w:rsidRPr="002E7780">
        <w:rPr>
          <w:rFonts w:hAnsi="標楷體" w:hint="eastAsia"/>
          <w:snapToGrid/>
          <w:spacing w:val="-6"/>
        </w:rPr>
        <w:t>：</w:t>
      </w:r>
    </w:p>
    <w:p w:rsidR="00556242" w:rsidRDefault="00556242" w:rsidP="005E50DF">
      <w:pPr>
        <w:pStyle w:val="2"/>
        <w:ind w:leftChars="301" w:left="1137" w:firstLineChars="0" w:hanging="285"/>
        <w:rPr>
          <w:rFonts w:hAnsi="標楷體"/>
          <w:snapToGrid/>
          <w:spacing w:val="-6"/>
        </w:rPr>
      </w:pPr>
      <w:r w:rsidRPr="00F6246A">
        <w:rPr>
          <w:rFonts w:hAnsi="標楷體" w:hint="eastAsia"/>
          <w:b/>
          <w:snapToGrid/>
          <w:spacing w:val="-6"/>
        </w:rPr>
        <w:t>1.所得稅</w:t>
      </w:r>
      <w:r w:rsidR="005E50DF" w:rsidRPr="00F6246A">
        <w:rPr>
          <w:rFonts w:hAnsi="標楷體" w:hint="eastAsia"/>
          <w:b/>
          <w:snapToGrid/>
          <w:spacing w:val="-6"/>
        </w:rPr>
        <w:t>(含營利事業所得稅及綜合所得稅)</w:t>
      </w:r>
      <w:r w:rsidRPr="00556242">
        <w:rPr>
          <w:rFonts w:hAnsi="標楷體" w:hint="eastAsia"/>
          <w:snapToGrid/>
          <w:spacing w:val="-6"/>
        </w:rPr>
        <w:t>：</w:t>
      </w:r>
      <w:r w:rsidRPr="008610E9">
        <w:rPr>
          <w:rFonts w:hAnsi="標楷體" w:hint="eastAsia"/>
          <w:snapToGrid/>
          <w:spacing w:val="-6"/>
        </w:rPr>
        <w:t>110及111年度係因109年度受COVID-19疫情影響，</w:t>
      </w:r>
      <w:r w:rsidR="00CD1BAC" w:rsidRPr="005E50DF">
        <w:rPr>
          <w:rFonts w:hAnsi="標楷體" w:hint="eastAsia"/>
          <w:snapToGrid/>
          <w:spacing w:val="-6"/>
        </w:rPr>
        <w:t>營利事業所得稅</w:t>
      </w:r>
      <w:r w:rsidRPr="008610E9">
        <w:rPr>
          <w:rFonts w:hAnsi="標楷體" w:hint="eastAsia"/>
          <w:snapToGrid/>
          <w:spacing w:val="-6"/>
        </w:rPr>
        <w:t>暫緩繳稅款回補</w:t>
      </w:r>
      <w:r w:rsidR="00CD1BAC">
        <w:rPr>
          <w:rFonts w:hAnsi="標楷體" w:hint="eastAsia"/>
          <w:snapToGrid/>
          <w:spacing w:val="-6"/>
        </w:rPr>
        <w:t>，且</w:t>
      </w:r>
      <w:r w:rsidRPr="008610E9">
        <w:rPr>
          <w:rFonts w:hAnsi="標楷體" w:hint="eastAsia"/>
          <w:snapToGrid/>
          <w:spacing w:val="-6"/>
        </w:rPr>
        <w:t>我國出口暢旺，上市櫃公司獲利大幅成長</w:t>
      </w:r>
      <w:r w:rsidR="000C21C1">
        <w:rPr>
          <w:rFonts w:hAnsi="標楷體" w:hint="eastAsia"/>
          <w:snapToGrid/>
          <w:spacing w:val="-6"/>
        </w:rPr>
        <w:t>，所得稅實徵數較預期分別增加</w:t>
      </w:r>
      <w:r w:rsidR="000C21C1" w:rsidRPr="000C21C1">
        <w:rPr>
          <w:rFonts w:hAnsi="標楷體"/>
          <w:snapToGrid/>
          <w:spacing w:val="-6"/>
        </w:rPr>
        <w:t>1,049</w:t>
      </w:r>
      <w:r w:rsidR="000C21C1" w:rsidRPr="000C21C1">
        <w:rPr>
          <w:rFonts w:hAnsi="標楷體"/>
          <w:snapToGrid/>
          <w:spacing w:val="-6"/>
        </w:rPr>
        <w:tab/>
      </w:r>
      <w:r w:rsidR="000C21C1">
        <w:rPr>
          <w:rFonts w:hAnsi="標楷體" w:hint="eastAsia"/>
          <w:snapToGrid/>
          <w:spacing w:val="-6"/>
        </w:rPr>
        <w:t>億元及</w:t>
      </w:r>
      <w:r w:rsidR="000C21C1" w:rsidRPr="000C21C1">
        <w:rPr>
          <w:rFonts w:hAnsi="標楷體"/>
          <w:snapToGrid/>
          <w:spacing w:val="-6"/>
        </w:rPr>
        <w:t>3,561</w:t>
      </w:r>
      <w:r w:rsidR="000C21C1">
        <w:rPr>
          <w:rFonts w:hAnsi="標楷體" w:hint="eastAsia"/>
          <w:snapToGrid/>
          <w:spacing w:val="-6"/>
        </w:rPr>
        <w:t>億元</w:t>
      </w:r>
      <w:r w:rsidR="00CD1BAC">
        <w:rPr>
          <w:rFonts w:hAnsi="標楷體" w:hint="eastAsia"/>
          <w:snapToGrid/>
          <w:spacing w:val="-6"/>
        </w:rPr>
        <w:t>；</w:t>
      </w:r>
      <w:r w:rsidRPr="008610E9">
        <w:rPr>
          <w:rFonts w:hAnsi="標楷體" w:hint="eastAsia"/>
          <w:snapToGrid/>
          <w:spacing w:val="-6"/>
        </w:rPr>
        <w:t>112年度因上市櫃公司獲利新高之遞延效果，股利及薪資所得成長</w:t>
      </w:r>
      <w:r w:rsidR="00CD1BAC">
        <w:rPr>
          <w:rFonts w:hAnsi="標楷體" w:hint="eastAsia"/>
          <w:snapToGrid/>
          <w:spacing w:val="-6"/>
        </w:rPr>
        <w:t>；113</w:t>
      </w:r>
      <w:r w:rsidR="00CD1BAC">
        <w:rPr>
          <w:rFonts w:hint="eastAsia"/>
        </w:rPr>
        <w:t>年度係最低稅負申報稅額、薪資及利息所得增加等持續推升</w:t>
      </w:r>
      <w:r w:rsidR="000C21C1">
        <w:rPr>
          <w:rFonts w:hint="eastAsia"/>
        </w:rPr>
        <w:t>，使</w:t>
      </w:r>
      <w:r w:rsidR="00CD1BAC" w:rsidRPr="00CD1BAC">
        <w:rPr>
          <w:rFonts w:hint="eastAsia"/>
        </w:rPr>
        <w:t>所得稅</w:t>
      </w:r>
      <w:r w:rsidR="00CD1BAC">
        <w:rPr>
          <w:rFonts w:hint="eastAsia"/>
        </w:rPr>
        <w:t>實徵數優於預算目標</w:t>
      </w:r>
      <w:r w:rsidR="000C21C1" w:rsidRPr="000C21C1">
        <w:rPr>
          <w:rFonts w:hAnsi="標楷體"/>
          <w:snapToGrid/>
          <w:spacing w:val="-6"/>
        </w:rPr>
        <w:t>2,459</w:t>
      </w:r>
      <w:r w:rsidR="000C21C1">
        <w:rPr>
          <w:rFonts w:hAnsi="標楷體" w:hint="eastAsia"/>
          <w:snapToGrid/>
          <w:spacing w:val="-6"/>
        </w:rPr>
        <w:t>億元。</w:t>
      </w:r>
    </w:p>
    <w:p w:rsidR="00556242" w:rsidRPr="00556242" w:rsidRDefault="00556242" w:rsidP="005E50DF">
      <w:pPr>
        <w:pStyle w:val="2"/>
        <w:ind w:leftChars="301" w:left="1137" w:firstLineChars="0" w:hanging="285"/>
        <w:rPr>
          <w:rFonts w:hAnsi="標楷體"/>
          <w:snapToGrid/>
          <w:spacing w:val="-6"/>
        </w:rPr>
      </w:pPr>
      <w:r w:rsidRPr="00F6246A">
        <w:rPr>
          <w:rFonts w:hAnsi="標楷體" w:hint="eastAsia"/>
          <w:b/>
          <w:snapToGrid/>
          <w:spacing w:val="-6"/>
        </w:rPr>
        <w:t>2.證交稅</w:t>
      </w:r>
      <w:r w:rsidRPr="002E7780">
        <w:rPr>
          <w:rFonts w:hAnsi="標楷體" w:hint="eastAsia"/>
          <w:snapToGrid/>
          <w:spacing w:val="-6"/>
        </w:rPr>
        <w:t>：</w:t>
      </w:r>
      <w:r w:rsidRPr="00556242">
        <w:rPr>
          <w:rFonts w:hAnsi="標楷體" w:hint="eastAsia"/>
          <w:snapToGrid/>
          <w:spacing w:val="-6"/>
        </w:rPr>
        <w:t>110年度因資金寬鬆，股市交投熱絡，平均日交易量創歷史紀錄，證交稅實徵</w:t>
      </w:r>
      <w:r w:rsidR="0050136D">
        <w:rPr>
          <w:rFonts w:hAnsi="標楷體" w:hint="eastAsia"/>
          <w:snapToGrid/>
          <w:spacing w:val="-6"/>
        </w:rPr>
        <w:t>數</w:t>
      </w:r>
      <w:r w:rsidRPr="00556242">
        <w:rPr>
          <w:rFonts w:hAnsi="標楷體" w:hint="eastAsia"/>
          <w:snapToGrid/>
          <w:spacing w:val="-6"/>
        </w:rPr>
        <w:t>較109年度</w:t>
      </w:r>
      <w:r w:rsidR="00CD1BAC">
        <w:rPr>
          <w:rFonts w:hAnsi="標楷體" w:hint="eastAsia"/>
          <w:snapToGrid/>
          <w:spacing w:val="-6"/>
        </w:rPr>
        <w:t>成長逾八成</w:t>
      </w:r>
      <w:r w:rsidR="000C21C1">
        <w:rPr>
          <w:rFonts w:hAnsi="標楷體" w:hint="eastAsia"/>
          <w:snapToGrid/>
          <w:spacing w:val="-6"/>
        </w:rPr>
        <w:t>，</w:t>
      </w:r>
      <w:r w:rsidR="000C21C1" w:rsidRPr="000C21C1">
        <w:rPr>
          <w:rFonts w:hAnsi="標楷體" w:hint="eastAsia"/>
          <w:snapToGrid/>
          <w:spacing w:val="-6"/>
        </w:rPr>
        <w:t>較預期</w:t>
      </w:r>
      <w:r w:rsidR="000C21C1">
        <w:rPr>
          <w:rFonts w:hAnsi="標楷體" w:hint="eastAsia"/>
          <w:snapToGrid/>
          <w:spacing w:val="-6"/>
        </w:rPr>
        <w:t>大幅增加</w:t>
      </w:r>
      <w:r w:rsidR="000C21C1" w:rsidRPr="000C21C1">
        <w:rPr>
          <w:rFonts w:hAnsi="標楷體"/>
          <w:snapToGrid/>
          <w:spacing w:val="-6"/>
        </w:rPr>
        <w:t>1,554</w:t>
      </w:r>
      <w:r w:rsidR="000C21C1">
        <w:rPr>
          <w:rFonts w:hAnsi="標楷體" w:hint="eastAsia"/>
          <w:snapToGrid/>
          <w:spacing w:val="-6"/>
        </w:rPr>
        <w:t>億元</w:t>
      </w:r>
      <w:r w:rsidRPr="00556242">
        <w:rPr>
          <w:rFonts w:hAnsi="標楷體" w:hint="eastAsia"/>
          <w:snapToGrid/>
          <w:spacing w:val="-6"/>
        </w:rPr>
        <w:t>；112年度因AI議題延燒，市場預期美國聯準會升息循環接近尾聲等，激發臺股交易量能</w:t>
      </w:r>
      <w:r w:rsidR="00CD1BAC">
        <w:rPr>
          <w:rFonts w:hAnsi="標楷體" w:hint="eastAsia"/>
          <w:snapToGrid/>
          <w:spacing w:val="-6"/>
        </w:rPr>
        <w:t>；113年度則延續</w:t>
      </w:r>
      <w:r w:rsidR="00CD1BAC" w:rsidRPr="00CD1BAC">
        <w:rPr>
          <w:rFonts w:hAnsi="標楷體" w:hint="eastAsia"/>
          <w:snapToGrid/>
          <w:spacing w:val="-6"/>
        </w:rPr>
        <w:t>AI</w:t>
      </w:r>
      <w:r w:rsidR="00174BF8">
        <w:rPr>
          <w:rFonts w:hAnsi="標楷體" w:hint="eastAsia"/>
          <w:snapToGrid/>
          <w:spacing w:val="-6"/>
        </w:rPr>
        <w:t>題材發酵及ETF商品熱銷，</w:t>
      </w:r>
      <w:r w:rsidR="00CD1BAC" w:rsidRPr="00CD1BAC">
        <w:rPr>
          <w:rFonts w:hAnsi="標楷體" w:hint="eastAsia"/>
          <w:snapToGrid/>
          <w:spacing w:val="-6"/>
        </w:rPr>
        <w:t>引領臺</w:t>
      </w:r>
      <w:r w:rsidR="00CD1BAC">
        <w:rPr>
          <w:rFonts w:hAnsi="標楷體" w:hint="eastAsia"/>
          <w:snapToGrid/>
          <w:spacing w:val="-6"/>
        </w:rPr>
        <w:t>股</w:t>
      </w:r>
      <w:r w:rsidR="00CD1BAC" w:rsidRPr="00CD1BAC">
        <w:rPr>
          <w:rFonts w:hAnsi="標楷體" w:hint="eastAsia"/>
          <w:snapToGrid/>
          <w:spacing w:val="-6"/>
        </w:rPr>
        <w:t>價量齊揚，證交稅表現亮眼</w:t>
      </w:r>
      <w:r w:rsidR="00CD1BAC">
        <w:rPr>
          <w:rFonts w:hAnsi="標楷體" w:hint="eastAsia"/>
          <w:snapToGrid/>
          <w:spacing w:val="-6"/>
        </w:rPr>
        <w:t>，</w:t>
      </w:r>
      <w:r w:rsidR="000C21C1">
        <w:rPr>
          <w:rFonts w:hAnsi="標楷體" w:hint="eastAsia"/>
          <w:snapToGrid/>
          <w:spacing w:val="-6"/>
        </w:rPr>
        <w:t>實徵數高出預算794億元。</w:t>
      </w:r>
    </w:p>
    <w:p w:rsidR="00556242" w:rsidRDefault="00556242" w:rsidP="005E50DF">
      <w:pPr>
        <w:pStyle w:val="2"/>
        <w:ind w:leftChars="301" w:left="1137" w:firstLineChars="0" w:hanging="285"/>
        <w:rPr>
          <w:rFonts w:hAnsi="標楷體"/>
          <w:snapToGrid/>
          <w:spacing w:val="-6"/>
        </w:rPr>
      </w:pPr>
      <w:r w:rsidRPr="00F6246A">
        <w:rPr>
          <w:rFonts w:hAnsi="標楷體" w:hint="eastAsia"/>
          <w:b/>
          <w:snapToGrid/>
          <w:spacing w:val="-6"/>
        </w:rPr>
        <w:t>3.營業稅</w:t>
      </w:r>
      <w:r w:rsidRPr="002E7780">
        <w:rPr>
          <w:rFonts w:hAnsi="標楷體" w:hint="eastAsia"/>
          <w:snapToGrid/>
          <w:spacing w:val="-6"/>
        </w:rPr>
        <w:t>：</w:t>
      </w:r>
      <w:r w:rsidRPr="00536284">
        <w:rPr>
          <w:rFonts w:hAnsi="標楷體" w:hint="eastAsia"/>
        </w:rPr>
        <w:t>110及111年度係因國內產銷活動平穩，進口電子零組件、礦產品、基本</w:t>
      </w:r>
      <w:r w:rsidRPr="005E50DF">
        <w:rPr>
          <w:rFonts w:hAnsi="標楷體" w:hint="eastAsia"/>
          <w:snapToGrid/>
          <w:spacing w:val="-6"/>
        </w:rPr>
        <w:t>金屬</w:t>
      </w:r>
      <w:r w:rsidRPr="00536284">
        <w:rPr>
          <w:rFonts w:hAnsi="標楷體" w:hint="eastAsia"/>
        </w:rPr>
        <w:t>及其製品、化學品、小客車等稅額增加</w:t>
      </w:r>
      <w:r w:rsidR="00174BF8">
        <w:rPr>
          <w:rFonts w:hAnsi="標楷體" w:hint="eastAsia"/>
        </w:rPr>
        <w:t>，營業</w:t>
      </w:r>
      <w:r w:rsidR="00174BF8" w:rsidRPr="00174BF8">
        <w:rPr>
          <w:rFonts w:hAnsi="標楷體" w:hint="eastAsia"/>
        </w:rPr>
        <w:t>稅實徵數較預期分別增加</w:t>
      </w:r>
      <w:r w:rsidR="00174BF8" w:rsidRPr="00174BF8">
        <w:rPr>
          <w:rFonts w:hAnsi="標楷體"/>
        </w:rPr>
        <w:t>404</w:t>
      </w:r>
      <w:r w:rsidR="00174BF8">
        <w:rPr>
          <w:rFonts w:hAnsi="標楷體" w:hint="eastAsia"/>
        </w:rPr>
        <w:t>億元及</w:t>
      </w:r>
      <w:r w:rsidR="00174BF8" w:rsidRPr="00174BF8">
        <w:rPr>
          <w:rFonts w:hAnsi="標楷體"/>
        </w:rPr>
        <w:t>526</w:t>
      </w:r>
      <w:r w:rsidR="00174BF8">
        <w:rPr>
          <w:rFonts w:hAnsi="標楷體" w:hint="eastAsia"/>
        </w:rPr>
        <w:t>億元</w:t>
      </w:r>
      <w:r w:rsidRPr="00536284">
        <w:rPr>
          <w:rFonts w:hAnsi="標楷體" w:hint="eastAsia"/>
        </w:rPr>
        <w:t>；112</w:t>
      </w:r>
      <w:r w:rsidR="00174BF8">
        <w:rPr>
          <w:rFonts w:hAnsi="標楷體" w:hint="eastAsia"/>
        </w:rPr>
        <w:t>及113</w:t>
      </w:r>
      <w:r w:rsidRPr="00536284">
        <w:rPr>
          <w:rFonts w:hAnsi="標楷體" w:hint="eastAsia"/>
        </w:rPr>
        <w:t>年度因央行升息挹注金融營業稅</w:t>
      </w:r>
      <w:r w:rsidR="00174BF8">
        <w:rPr>
          <w:rFonts w:hAnsi="標楷體" w:hint="eastAsia"/>
        </w:rPr>
        <w:t>，</w:t>
      </w:r>
      <w:r w:rsidR="00174BF8">
        <w:rPr>
          <w:rFonts w:hint="eastAsia"/>
        </w:rPr>
        <w:t>加以國內需求穩定，進口稅額同步增加，致</w:t>
      </w:r>
      <w:r w:rsidR="00174BF8" w:rsidRPr="00174BF8">
        <w:rPr>
          <w:rFonts w:hAnsi="標楷體" w:hint="eastAsia"/>
        </w:rPr>
        <w:t>實徵數高出預算</w:t>
      </w:r>
      <w:r w:rsidR="00174BF8">
        <w:rPr>
          <w:rFonts w:hAnsi="標楷體" w:hint="eastAsia"/>
        </w:rPr>
        <w:t>分別為</w:t>
      </w:r>
      <w:r w:rsidR="00174BF8" w:rsidRPr="00174BF8">
        <w:rPr>
          <w:rFonts w:hAnsi="標楷體"/>
        </w:rPr>
        <w:t>567</w:t>
      </w:r>
      <w:r w:rsidR="00174BF8">
        <w:rPr>
          <w:rFonts w:hAnsi="標楷體" w:hint="eastAsia"/>
        </w:rPr>
        <w:t>億元及268億元。</w:t>
      </w:r>
    </w:p>
    <w:p w:rsidR="008610E9" w:rsidRDefault="00D23364" w:rsidP="00D23364">
      <w:pPr>
        <w:pStyle w:val="a4"/>
        <w:ind w:left="837" w:hanging="271"/>
        <w:rPr>
          <w:rFonts w:hAnsi="標楷體"/>
          <w:b/>
          <w:snapToGrid/>
          <w:spacing w:val="-6"/>
        </w:rPr>
      </w:pPr>
      <w:r w:rsidRPr="00D23364">
        <w:rPr>
          <w:rFonts w:hAnsi="標楷體" w:hint="eastAsia"/>
          <w:b/>
          <w:snapToGrid/>
          <w:spacing w:val="-6"/>
        </w:rPr>
        <w:t>(二)</w:t>
      </w:r>
      <w:r w:rsidR="00A84FF6" w:rsidRPr="00A84FF6">
        <w:rPr>
          <w:rFonts w:hAnsi="標楷體" w:hint="eastAsia"/>
          <w:b/>
          <w:snapToGrid/>
          <w:spacing w:val="-6"/>
        </w:rPr>
        <w:t>財政部為使稅收估測更貼近實際，</w:t>
      </w:r>
      <w:r w:rsidR="00F12009">
        <w:rPr>
          <w:rFonts w:hAnsi="標楷體" w:hint="eastAsia"/>
          <w:b/>
          <w:snapToGrid/>
          <w:spacing w:val="-6"/>
        </w:rPr>
        <w:t>近年</w:t>
      </w:r>
      <w:r w:rsidR="00A84FF6" w:rsidRPr="00A84FF6">
        <w:rPr>
          <w:rFonts w:hAnsi="標楷體" w:hint="eastAsia"/>
          <w:b/>
          <w:snapToGrid/>
          <w:spacing w:val="-6"/>
        </w:rPr>
        <w:t>成立「財政部稅收估測專案小組」</w:t>
      </w:r>
      <w:r w:rsidR="00A84FF6">
        <w:rPr>
          <w:rFonts w:hAnsi="標楷體" w:hint="eastAsia"/>
          <w:b/>
          <w:snapToGrid/>
          <w:spacing w:val="-6"/>
        </w:rPr>
        <w:t>，並</w:t>
      </w:r>
      <w:r w:rsidR="00F12009">
        <w:rPr>
          <w:rFonts w:hAnsi="標楷體" w:hint="eastAsia"/>
          <w:b/>
          <w:snapToGrid/>
          <w:spacing w:val="-6"/>
        </w:rPr>
        <w:t>進行</w:t>
      </w:r>
      <w:r w:rsidR="00A84FF6" w:rsidRPr="00A84FF6">
        <w:rPr>
          <w:rFonts w:hAnsi="標楷體" w:hint="eastAsia"/>
          <w:b/>
          <w:snapToGrid/>
          <w:spacing w:val="-6"/>
        </w:rPr>
        <w:t>委外研究</w:t>
      </w:r>
      <w:r w:rsidR="00F12009">
        <w:rPr>
          <w:rFonts w:hAnsi="標楷體" w:hint="eastAsia"/>
          <w:b/>
          <w:snapToGrid/>
          <w:spacing w:val="-6"/>
        </w:rPr>
        <w:t>及建立估測模型進行估測等，然</w:t>
      </w:r>
      <w:r w:rsidR="00F12009" w:rsidRPr="00F12009">
        <w:rPr>
          <w:rFonts w:hAnsi="標楷體" w:hint="eastAsia"/>
          <w:b/>
          <w:snapToGrid/>
          <w:spacing w:val="-6"/>
        </w:rPr>
        <w:t>113年度中央政府稅課收入誤差金額高達3,757億元</w:t>
      </w:r>
      <w:r w:rsidR="00AD3900">
        <w:rPr>
          <w:rFonts w:hAnsi="標楷體" w:hint="eastAsia"/>
          <w:b/>
          <w:snapToGrid/>
          <w:spacing w:val="-6"/>
        </w:rPr>
        <w:t>且較112年度為高</w:t>
      </w:r>
      <w:r w:rsidR="00F12009" w:rsidRPr="00F12009">
        <w:rPr>
          <w:rFonts w:hAnsi="標楷體" w:hint="eastAsia"/>
          <w:b/>
          <w:snapToGrid/>
          <w:spacing w:val="-6"/>
        </w:rPr>
        <w:t>，</w:t>
      </w:r>
      <w:r w:rsidR="00AA0FD7">
        <w:rPr>
          <w:rFonts w:hAnsi="標楷體" w:hint="eastAsia"/>
          <w:b/>
          <w:snapToGrid/>
          <w:spacing w:val="-6"/>
        </w:rPr>
        <w:t>允宜</w:t>
      </w:r>
      <w:r w:rsidR="00FA7B73" w:rsidRPr="00FA7B73">
        <w:rPr>
          <w:rFonts w:hAnsi="標楷體" w:hint="eastAsia"/>
          <w:b/>
          <w:snapToGrid/>
          <w:spacing w:val="-6"/>
        </w:rPr>
        <w:t>細究</w:t>
      </w:r>
      <w:r w:rsidR="001E34B8">
        <w:rPr>
          <w:rFonts w:hAnsi="標楷體" w:hint="eastAsia"/>
          <w:b/>
          <w:snapToGrid/>
          <w:spacing w:val="-6"/>
        </w:rPr>
        <w:t>連年</w:t>
      </w:r>
      <w:r w:rsidR="00FA7B73" w:rsidRPr="00FA7B73">
        <w:rPr>
          <w:rFonts w:hAnsi="標楷體" w:hint="eastAsia"/>
          <w:b/>
          <w:snapToGrid/>
          <w:spacing w:val="-6"/>
        </w:rPr>
        <w:t>預估失準</w:t>
      </w:r>
      <w:r w:rsidR="001E34B8">
        <w:rPr>
          <w:rFonts w:hAnsi="標楷體" w:hint="eastAsia"/>
          <w:b/>
          <w:snapToGrid/>
          <w:spacing w:val="-6"/>
        </w:rPr>
        <w:t>主因</w:t>
      </w:r>
      <w:r w:rsidR="00FA7B73">
        <w:rPr>
          <w:rFonts w:hAnsi="標楷體" w:hint="eastAsia"/>
          <w:b/>
          <w:snapToGrid/>
          <w:spacing w:val="-6"/>
        </w:rPr>
        <w:t>，並</w:t>
      </w:r>
      <w:r w:rsidR="00FA7B73" w:rsidRPr="00FA7B73">
        <w:rPr>
          <w:rFonts w:hAnsi="標楷體" w:hint="eastAsia"/>
          <w:b/>
          <w:snapToGrid/>
          <w:spacing w:val="-6"/>
        </w:rPr>
        <w:t>研謀精進估測模型</w:t>
      </w:r>
    </w:p>
    <w:p w:rsidR="00332E0E" w:rsidRDefault="00C464C1" w:rsidP="009D059D">
      <w:pPr>
        <w:pStyle w:val="2"/>
        <w:ind w:left="850" w:firstLine="542"/>
        <w:rPr>
          <w:rFonts w:hAnsi="標楷體"/>
          <w:snapToGrid/>
          <w:spacing w:val="-6"/>
        </w:rPr>
      </w:pPr>
      <w:r>
        <w:rPr>
          <w:rFonts w:hAnsi="標楷體" w:hint="eastAsia"/>
          <w:snapToGrid/>
          <w:spacing w:val="-6"/>
        </w:rPr>
        <w:t>依</w:t>
      </w:r>
      <w:r w:rsidR="009D059D">
        <w:rPr>
          <w:rFonts w:hAnsi="標楷體" w:hint="eastAsia"/>
          <w:snapToGrid/>
          <w:spacing w:val="-6"/>
        </w:rPr>
        <w:t>財政部之說明</w:t>
      </w:r>
      <w:r w:rsidR="00FE4FE6">
        <w:rPr>
          <w:rStyle w:val="af6"/>
          <w:rFonts w:hAnsi="標楷體"/>
          <w:snapToGrid/>
          <w:spacing w:val="-6"/>
        </w:rPr>
        <w:footnoteReference w:id="18"/>
      </w:r>
      <w:r w:rsidR="009D059D">
        <w:rPr>
          <w:rFonts w:hAnsi="標楷體" w:hint="eastAsia"/>
          <w:snapToGrid/>
          <w:spacing w:val="-6"/>
        </w:rPr>
        <w:t>，</w:t>
      </w:r>
      <w:r w:rsidR="009D059D" w:rsidRPr="009D059D">
        <w:rPr>
          <w:rFonts w:hAnsi="標楷體" w:hint="eastAsia"/>
          <w:snapToGrid/>
          <w:spacing w:val="-6"/>
        </w:rPr>
        <w:t>預算編列至實際執行存有1年餘之時間落差，</w:t>
      </w:r>
      <w:r>
        <w:rPr>
          <w:rFonts w:hAnsi="標楷體" w:hint="eastAsia"/>
          <w:snapToGrid/>
          <w:spacing w:val="-6"/>
        </w:rPr>
        <w:t>又</w:t>
      </w:r>
      <w:r w:rsidR="009D059D" w:rsidRPr="009D059D">
        <w:rPr>
          <w:rFonts w:hAnsi="標楷體" w:hint="eastAsia"/>
          <w:snapToGrid/>
          <w:spacing w:val="-6"/>
        </w:rPr>
        <w:t>我國為海島型經濟，貿易依存度高，且以高科技產業為主，經濟發展高度仰賴國際市場，期間如遇有國內、外重大政治、經濟或其他變數，因預算編列當時所使用之推估基礎及關鍵因子與其預測值未涵蓋前開變數，</w:t>
      </w:r>
      <w:r w:rsidR="009D059D">
        <w:rPr>
          <w:rFonts w:hAnsi="標楷體" w:hint="eastAsia"/>
          <w:snapToGrid/>
          <w:spacing w:val="-6"/>
        </w:rPr>
        <w:t>致</w:t>
      </w:r>
      <w:r w:rsidR="009D059D" w:rsidRPr="009D059D">
        <w:rPr>
          <w:rFonts w:hAnsi="標楷體" w:hint="eastAsia"/>
          <w:snapToGrid/>
          <w:spacing w:val="-6"/>
        </w:rPr>
        <w:t>實徵數與預算數仍可能發生差異</w:t>
      </w:r>
      <w:r>
        <w:rPr>
          <w:rFonts w:hAnsi="標楷體" w:hint="eastAsia"/>
          <w:snapToGrid/>
          <w:spacing w:val="-6"/>
        </w:rPr>
        <w:t>，</w:t>
      </w:r>
      <w:r w:rsidR="00AA0FD7">
        <w:rPr>
          <w:rFonts w:hAnsi="標楷體" w:hint="eastAsia"/>
          <w:snapToGrid/>
          <w:spacing w:val="-6"/>
        </w:rPr>
        <w:t>尚</w:t>
      </w:r>
      <w:r>
        <w:rPr>
          <w:rFonts w:hAnsi="標楷體" w:hint="eastAsia"/>
          <w:snapToGrid/>
          <w:spacing w:val="-6"/>
        </w:rPr>
        <w:t>有其據</w:t>
      </w:r>
      <w:r w:rsidR="009D059D" w:rsidRPr="009D059D">
        <w:rPr>
          <w:rFonts w:hAnsi="標楷體" w:hint="eastAsia"/>
          <w:snapToGrid/>
          <w:spacing w:val="-6"/>
        </w:rPr>
        <w:t>。</w:t>
      </w:r>
      <w:r>
        <w:rPr>
          <w:rFonts w:hAnsi="標楷體" w:hint="eastAsia"/>
          <w:snapToGrid/>
          <w:spacing w:val="-6"/>
        </w:rPr>
        <w:t>財政</w:t>
      </w:r>
      <w:r w:rsidRPr="009D059D">
        <w:rPr>
          <w:rFonts w:hAnsi="標楷體" w:hint="eastAsia"/>
          <w:snapToGrid/>
          <w:spacing w:val="-6"/>
        </w:rPr>
        <w:t>部</w:t>
      </w:r>
      <w:r w:rsidR="009D059D">
        <w:rPr>
          <w:rFonts w:hAnsi="標楷體" w:hint="eastAsia"/>
          <w:snapToGrid/>
          <w:spacing w:val="-6"/>
        </w:rPr>
        <w:t>為</w:t>
      </w:r>
      <w:r w:rsidR="009D059D" w:rsidRPr="009D059D">
        <w:rPr>
          <w:rFonts w:hAnsi="標楷體" w:hint="eastAsia"/>
          <w:snapToGrid/>
          <w:spacing w:val="-6"/>
        </w:rPr>
        <w:t>使稅收估測更貼近實際</w:t>
      </w:r>
      <w:r w:rsidR="009D059D">
        <w:rPr>
          <w:rFonts w:hAnsi="標楷體" w:hint="eastAsia"/>
          <w:snapToGrid/>
          <w:spacing w:val="-6"/>
        </w:rPr>
        <w:t>，</w:t>
      </w:r>
      <w:r w:rsidR="00AD3900">
        <w:rPr>
          <w:rFonts w:hAnsi="標楷體" w:hint="eastAsia"/>
          <w:snapToGrid/>
          <w:spacing w:val="-6"/>
        </w:rPr>
        <w:t>雖</w:t>
      </w:r>
      <w:r w:rsidR="001E34B8">
        <w:rPr>
          <w:rFonts w:hAnsi="標楷體" w:hint="eastAsia"/>
          <w:snapToGrid/>
          <w:spacing w:val="-6"/>
        </w:rPr>
        <w:t>已</w:t>
      </w:r>
      <w:r w:rsidR="009D059D">
        <w:rPr>
          <w:rFonts w:hAnsi="標楷體" w:hint="eastAsia"/>
          <w:snapToGrid/>
          <w:spacing w:val="-6"/>
        </w:rPr>
        <w:t>於112年間</w:t>
      </w:r>
      <w:r w:rsidR="009D059D" w:rsidRPr="009D059D">
        <w:rPr>
          <w:rFonts w:hAnsi="標楷體" w:hint="eastAsia"/>
          <w:snapToGrid/>
          <w:spacing w:val="-6"/>
        </w:rPr>
        <w:t>成立「財政部稅收估測專案小組」</w:t>
      </w:r>
      <w:r w:rsidR="00402AB6">
        <w:rPr>
          <w:rFonts w:hAnsi="標楷體" w:hint="eastAsia"/>
          <w:snapToGrid/>
          <w:spacing w:val="-6"/>
        </w:rPr>
        <w:t>，</w:t>
      </w:r>
      <w:r w:rsidR="00402AB6" w:rsidRPr="00402AB6">
        <w:rPr>
          <w:rFonts w:hAnsi="標楷體" w:hint="eastAsia"/>
          <w:snapToGrid/>
          <w:spacing w:val="-6"/>
        </w:rPr>
        <w:t>將相關建議納入113年度各項稅收估測之參考</w:t>
      </w:r>
      <w:r w:rsidR="00402AB6">
        <w:rPr>
          <w:rFonts w:hAnsi="標楷體" w:hint="eastAsia"/>
          <w:snapToGrid/>
          <w:spacing w:val="-6"/>
        </w:rPr>
        <w:t>，</w:t>
      </w:r>
      <w:r w:rsidR="00402AB6" w:rsidRPr="00402AB6">
        <w:rPr>
          <w:rFonts w:hAnsi="標楷體" w:hint="eastAsia"/>
          <w:snapToGrid/>
          <w:spacing w:val="-6"/>
        </w:rPr>
        <w:t>並</w:t>
      </w:r>
      <w:r w:rsidR="009D059D" w:rsidRPr="009D059D">
        <w:rPr>
          <w:rFonts w:hAnsi="標楷體" w:hint="eastAsia"/>
          <w:snapToGrid/>
          <w:spacing w:val="-6"/>
        </w:rPr>
        <w:t>委外研究「精進中央政府內地稅稅收估測模型」</w:t>
      </w:r>
      <w:r w:rsidR="00402AB6">
        <w:rPr>
          <w:rFonts w:hAnsi="標楷體" w:hint="eastAsia"/>
          <w:snapToGrid/>
          <w:spacing w:val="-6"/>
        </w:rPr>
        <w:t>，</w:t>
      </w:r>
      <w:r w:rsidR="00402AB6" w:rsidRPr="00402AB6">
        <w:rPr>
          <w:rFonts w:hAnsi="標楷體" w:hint="eastAsia"/>
          <w:snapToGrid/>
          <w:spacing w:val="-6"/>
        </w:rPr>
        <w:t>研議運用智慧系統建立中央政府稅課收入估測模型</w:t>
      </w:r>
      <w:r w:rsidR="00AA0FD7">
        <w:rPr>
          <w:rFonts w:hAnsi="標楷體" w:hint="eastAsia"/>
          <w:snapToGrid/>
          <w:spacing w:val="-6"/>
        </w:rPr>
        <w:t>等</w:t>
      </w:r>
      <w:r w:rsidR="00402AB6">
        <w:rPr>
          <w:rStyle w:val="af6"/>
          <w:rFonts w:hAnsi="標楷體"/>
          <w:snapToGrid/>
          <w:spacing w:val="-6"/>
        </w:rPr>
        <w:footnoteReference w:id="19"/>
      </w:r>
      <w:r w:rsidR="007349D5">
        <w:rPr>
          <w:rFonts w:hAnsi="標楷體" w:hint="eastAsia"/>
          <w:snapToGrid/>
          <w:spacing w:val="-6"/>
        </w:rPr>
        <w:t>，</w:t>
      </w:r>
      <w:r w:rsidR="00AD3900">
        <w:rPr>
          <w:rFonts w:hAnsi="標楷體" w:hint="eastAsia"/>
          <w:snapToGrid/>
          <w:spacing w:val="-6"/>
        </w:rPr>
        <w:t>然</w:t>
      </w:r>
      <w:r>
        <w:rPr>
          <w:rFonts w:hAnsi="標楷體" w:hint="eastAsia"/>
          <w:snapToGrid/>
          <w:spacing w:val="-6"/>
        </w:rPr>
        <w:t>執行結果，113年度中央政府稅課收入</w:t>
      </w:r>
      <w:r w:rsidRPr="00C464C1">
        <w:rPr>
          <w:rFonts w:hAnsi="標楷體" w:hint="eastAsia"/>
          <w:snapToGrid/>
          <w:spacing w:val="-6"/>
        </w:rPr>
        <w:t>誤差金額</w:t>
      </w:r>
      <w:r>
        <w:rPr>
          <w:rFonts w:hAnsi="標楷體" w:hint="eastAsia"/>
          <w:snapToGrid/>
          <w:spacing w:val="-6"/>
        </w:rPr>
        <w:t>高達</w:t>
      </w:r>
      <w:r w:rsidRPr="00C464C1">
        <w:rPr>
          <w:rFonts w:hAnsi="標楷體" w:hint="eastAsia"/>
          <w:snapToGrid/>
          <w:spacing w:val="-6"/>
        </w:rPr>
        <w:t>3,757億元</w:t>
      </w:r>
      <w:r>
        <w:rPr>
          <w:rFonts w:hAnsi="標楷體" w:hint="eastAsia"/>
          <w:snapToGrid/>
          <w:spacing w:val="-6"/>
        </w:rPr>
        <w:t>，亦高於112年度，</w:t>
      </w:r>
      <w:r w:rsidR="00FA7B73">
        <w:rPr>
          <w:rFonts w:hAnsi="標楷體" w:hint="eastAsia"/>
          <w:snapToGrid/>
          <w:spacing w:val="-6"/>
        </w:rPr>
        <w:t>顯示</w:t>
      </w:r>
      <w:r>
        <w:rPr>
          <w:rFonts w:hAnsi="標楷體" w:hint="eastAsia"/>
          <w:snapToGrid/>
          <w:spacing w:val="-6"/>
        </w:rPr>
        <w:t>稅收估測精準度</w:t>
      </w:r>
      <w:r w:rsidR="00747D16">
        <w:rPr>
          <w:rFonts w:hAnsi="標楷體" w:hint="eastAsia"/>
          <w:snapToGrid/>
          <w:spacing w:val="-6"/>
        </w:rPr>
        <w:t>容待</w:t>
      </w:r>
      <w:r w:rsidR="00FA7B73">
        <w:rPr>
          <w:rFonts w:hAnsi="標楷體" w:hint="eastAsia"/>
          <w:snapToGrid/>
          <w:spacing w:val="-6"/>
        </w:rPr>
        <w:t>檢討</w:t>
      </w:r>
      <w:r w:rsidR="00747D16">
        <w:rPr>
          <w:rFonts w:hAnsi="標楷體" w:hint="eastAsia"/>
          <w:snapToGrid/>
          <w:spacing w:val="-6"/>
        </w:rPr>
        <w:t>提升</w:t>
      </w:r>
      <w:r w:rsidR="00332E0E">
        <w:rPr>
          <w:rFonts w:hAnsi="標楷體" w:hint="eastAsia"/>
          <w:snapToGrid/>
          <w:spacing w:val="-6"/>
        </w:rPr>
        <w:t>。</w:t>
      </w:r>
    </w:p>
    <w:p w:rsidR="009D059D" w:rsidRPr="009D059D" w:rsidRDefault="00E32694" w:rsidP="009D059D">
      <w:pPr>
        <w:pStyle w:val="2"/>
        <w:ind w:left="850" w:firstLine="542"/>
        <w:rPr>
          <w:rFonts w:hAnsi="標楷體"/>
          <w:snapToGrid/>
          <w:spacing w:val="-6"/>
        </w:rPr>
      </w:pPr>
      <w:r>
        <w:rPr>
          <w:rFonts w:hAnsi="標楷體" w:hint="eastAsia"/>
          <w:snapToGrid/>
          <w:spacing w:val="-6"/>
        </w:rPr>
        <w:t>再者</w:t>
      </w:r>
      <w:r w:rsidR="00747D16">
        <w:rPr>
          <w:rFonts w:hAnsi="標楷體" w:hint="eastAsia"/>
          <w:snapToGrid/>
          <w:spacing w:val="-6"/>
        </w:rPr>
        <w:t>，</w:t>
      </w:r>
      <w:r>
        <w:rPr>
          <w:rFonts w:hAnsi="標楷體" w:hint="eastAsia"/>
          <w:snapToGrid/>
          <w:spacing w:val="-6"/>
        </w:rPr>
        <w:t>財政部表示</w:t>
      </w:r>
      <w:r w:rsidRPr="00E32694">
        <w:rPr>
          <w:rFonts w:hAnsi="標楷體" w:hint="eastAsia"/>
          <w:snapToGrid/>
          <w:spacing w:val="-6"/>
        </w:rPr>
        <w:t>將持續諮詢「稅收估測專案小組」相關機關代表、外部專家及學者意見，並參考委外研究報告建立之「精進中央政府內地稅稅收估測模型」</w:t>
      </w:r>
      <w:r>
        <w:rPr>
          <w:rFonts w:hAnsi="標楷體" w:hint="eastAsia"/>
          <w:snapToGrid/>
          <w:spacing w:val="-6"/>
        </w:rPr>
        <w:t>(</w:t>
      </w:r>
      <w:r w:rsidRPr="00E32694">
        <w:rPr>
          <w:rFonts w:hAnsi="標楷體" w:hint="eastAsia"/>
          <w:snapToGrid/>
          <w:spacing w:val="-6"/>
        </w:rPr>
        <w:t>採用時間序列分析之</w:t>
      </w:r>
      <w:r w:rsidRPr="00E32694">
        <w:rPr>
          <w:rFonts w:hAnsi="標楷體"/>
          <w:snapToGrid/>
          <w:spacing w:val="-6"/>
        </w:rPr>
        <w:t>ARDL</w:t>
      </w:r>
      <w:r w:rsidRPr="00E32694">
        <w:rPr>
          <w:rFonts w:hAnsi="標楷體" w:hint="eastAsia"/>
          <w:snapToGrid/>
          <w:spacing w:val="-6"/>
        </w:rPr>
        <w:t>多變數模型</w:t>
      </w:r>
      <w:r>
        <w:rPr>
          <w:rFonts w:hAnsi="標楷體" w:hint="eastAsia"/>
          <w:snapToGrid/>
          <w:spacing w:val="-6"/>
        </w:rPr>
        <w:t>)</w:t>
      </w:r>
      <w:r w:rsidRPr="00E32694">
        <w:rPr>
          <w:rFonts w:hAnsi="標楷體" w:hint="eastAsia"/>
          <w:snapToGrid/>
          <w:spacing w:val="-6"/>
        </w:rPr>
        <w:t>進行估測，同時採用</w:t>
      </w:r>
      <w:r>
        <w:rPr>
          <w:rFonts w:hAnsi="標楷體" w:hint="eastAsia"/>
          <w:snapToGrid/>
          <w:spacing w:val="-6"/>
        </w:rPr>
        <w:t>該</w:t>
      </w:r>
      <w:r w:rsidRPr="00E32694">
        <w:rPr>
          <w:rFonts w:hAnsi="標楷體" w:hint="eastAsia"/>
          <w:snapToGrid/>
          <w:spacing w:val="-6"/>
        </w:rPr>
        <w:t>部建立之「營業稅智慧系統中央政府稅課收入估測模型」</w:t>
      </w:r>
      <w:r>
        <w:rPr>
          <w:rStyle w:val="af6"/>
          <w:rFonts w:hAnsi="標楷體"/>
          <w:snapToGrid/>
          <w:spacing w:val="-6"/>
        </w:rPr>
        <w:footnoteReference w:id="20"/>
      </w:r>
      <w:r w:rsidRPr="00E32694">
        <w:rPr>
          <w:rFonts w:hAnsi="標楷體" w:hint="eastAsia"/>
          <w:snapToGrid/>
          <w:spacing w:val="-6"/>
        </w:rPr>
        <w:t>，</w:t>
      </w:r>
      <w:r>
        <w:rPr>
          <w:rFonts w:hAnsi="標楷體" w:hint="eastAsia"/>
          <w:snapToGrid/>
          <w:spacing w:val="-6"/>
        </w:rPr>
        <w:t>精進稅收估測。爰此，</w:t>
      </w:r>
      <w:r w:rsidR="00747D16" w:rsidRPr="00747D16">
        <w:rPr>
          <w:rFonts w:hAnsi="標楷體" w:hint="eastAsia"/>
          <w:snapToGrid/>
          <w:spacing w:val="-6"/>
        </w:rPr>
        <w:t>財金主管機關</w:t>
      </w:r>
      <w:r w:rsidR="00747D16">
        <w:rPr>
          <w:rFonts w:hAnsi="標楷體" w:hint="eastAsia"/>
          <w:snapToGrid/>
          <w:spacing w:val="-6"/>
        </w:rPr>
        <w:t>允</w:t>
      </w:r>
      <w:r w:rsidR="00AD3900">
        <w:rPr>
          <w:rFonts w:hAnsi="標楷體" w:hint="eastAsia"/>
          <w:snapToGrid/>
          <w:spacing w:val="-6"/>
        </w:rPr>
        <w:t>宜</w:t>
      </w:r>
      <w:r w:rsidR="002A651C">
        <w:rPr>
          <w:rFonts w:hAnsi="標楷體" w:hint="eastAsia"/>
          <w:snapToGrid/>
          <w:spacing w:val="-6"/>
        </w:rPr>
        <w:t>持續</w:t>
      </w:r>
      <w:r w:rsidR="00747D16" w:rsidRPr="00747D16">
        <w:rPr>
          <w:rFonts w:hAnsi="標楷體" w:hint="eastAsia"/>
          <w:snapToGrid/>
          <w:spacing w:val="-6"/>
        </w:rPr>
        <w:t>研謀精進估測模型</w:t>
      </w:r>
      <w:r w:rsidR="00747D16">
        <w:rPr>
          <w:rFonts w:hAnsi="標楷體" w:hint="eastAsia"/>
          <w:snapToGrid/>
          <w:spacing w:val="-6"/>
        </w:rPr>
        <w:t>，並</w:t>
      </w:r>
      <w:r w:rsidR="00747D16" w:rsidRPr="00747D16">
        <w:rPr>
          <w:rFonts w:hAnsi="標楷體" w:hint="eastAsia"/>
          <w:snapToGrid/>
          <w:spacing w:val="-6"/>
        </w:rPr>
        <w:t>細究</w:t>
      </w:r>
      <w:r w:rsidR="00747D16">
        <w:rPr>
          <w:rFonts w:hAnsi="標楷體" w:hint="eastAsia"/>
          <w:snapToGrid/>
          <w:spacing w:val="-6"/>
        </w:rPr>
        <w:t>近年主要稅目</w:t>
      </w:r>
      <w:r w:rsidR="00747D16" w:rsidRPr="00747D16">
        <w:rPr>
          <w:rFonts w:hAnsi="標楷體" w:hint="eastAsia"/>
          <w:snapToGrid/>
          <w:spacing w:val="-6"/>
        </w:rPr>
        <w:t>預估失準原因，</w:t>
      </w:r>
      <w:r w:rsidR="00747D16">
        <w:rPr>
          <w:rFonts w:hAnsi="標楷體" w:hint="eastAsia"/>
          <w:snapToGrid/>
          <w:spacing w:val="-6"/>
        </w:rPr>
        <w:t>綜合考量納入及滾動調整估測方</w:t>
      </w:r>
      <w:r>
        <w:rPr>
          <w:rFonts w:hAnsi="標楷體" w:hint="eastAsia"/>
          <w:snapToGrid/>
          <w:spacing w:val="-6"/>
        </w:rPr>
        <w:t>法</w:t>
      </w:r>
      <w:r w:rsidR="00747D16" w:rsidRPr="00747D16">
        <w:rPr>
          <w:rFonts w:hAnsi="標楷體" w:hint="eastAsia"/>
          <w:snapToGrid/>
          <w:spacing w:val="-6"/>
        </w:rPr>
        <w:t>，</w:t>
      </w:r>
      <w:r w:rsidR="00747D16">
        <w:rPr>
          <w:rFonts w:hAnsi="標楷體" w:hint="eastAsia"/>
          <w:snapToGrid/>
          <w:spacing w:val="-6"/>
        </w:rPr>
        <w:t>俾</w:t>
      </w:r>
      <w:r>
        <w:rPr>
          <w:rFonts w:hAnsi="標楷體" w:hint="eastAsia"/>
          <w:snapToGrid/>
          <w:spacing w:val="-6"/>
        </w:rPr>
        <w:t>有效</w:t>
      </w:r>
      <w:r w:rsidR="00747D16">
        <w:rPr>
          <w:rFonts w:hAnsi="標楷體" w:hint="eastAsia"/>
          <w:snapToGrid/>
          <w:spacing w:val="-6"/>
        </w:rPr>
        <w:t>提升未來年度稅收估測精準度</w:t>
      </w:r>
      <w:r w:rsidR="00FA7B73">
        <w:rPr>
          <w:rFonts w:hAnsi="標楷體" w:hint="eastAsia"/>
          <w:snapToGrid/>
          <w:spacing w:val="-6"/>
        </w:rPr>
        <w:t>。</w:t>
      </w:r>
    </w:p>
    <w:p w:rsidR="00C934F6" w:rsidRPr="00AD3900" w:rsidRDefault="00C934F6" w:rsidP="009A4485">
      <w:pPr>
        <w:pStyle w:val="a8"/>
        <w:ind w:firstLine="566"/>
      </w:pPr>
    </w:p>
    <w:p w:rsidR="00A00A3F" w:rsidRPr="00C055E2" w:rsidRDefault="00A00A3F" w:rsidP="00A00A3F">
      <w:pPr>
        <w:pStyle w:val="14"/>
        <w:ind w:left="567" w:hanging="567"/>
        <w:rPr>
          <w:rFonts w:hAnsi="標楷體"/>
        </w:rPr>
      </w:pPr>
      <w:bookmarkStart w:id="11" w:name="_Toc203481654"/>
      <w:r w:rsidRPr="00C055E2">
        <w:rPr>
          <w:rFonts w:hAnsi="標楷體" w:hint="eastAsia"/>
        </w:rPr>
        <w:t>三、近年因稅課收入預算低估而產生高額之歲計賸餘，</w:t>
      </w:r>
      <w:r w:rsidR="00036301" w:rsidRPr="00C055E2">
        <w:rPr>
          <w:rFonts w:hAnsi="標楷體" w:hint="eastAsia"/>
        </w:rPr>
        <w:t>雖</w:t>
      </w:r>
      <w:r w:rsidR="0087261F" w:rsidRPr="00C055E2">
        <w:rPr>
          <w:rFonts w:hAnsi="標楷體" w:hint="eastAsia"/>
        </w:rPr>
        <w:t>財政狀況持續改善，且</w:t>
      </w:r>
      <w:r w:rsidR="00036301" w:rsidRPr="00C055E2">
        <w:rPr>
          <w:rFonts w:hAnsi="標楷體" w:hint="eastAsia"/>
        </w:rPr>
        <w:t>部分</w:t>
      </w:r>
      <w:r w:rsidRPr="00C055E2">
        <w:rPr>
          <w:rFonts w:hAnsi="標楷體" w:hint="eastAsia"/>
        </w:rPr>
        <w:t>已用於減少當年度舉債、增加還債，惟迄113年底累計債務餘額</w:t>
      </w:r>
      <w:r w:rsidR="00036301" w:rsidRPr="00C055E2">
        <w:rPr>
          <w:rFonts w:hAnsi="標楷體" w:hint="eastAsia"/>
        </w:rPr>
        <w:t>持續上升</w:t>
      </w:r>
      <w:r w:rsidRPr="00C055E2">
        <w:rPr>
          <w:rFonts w:hAnsi="標楷體" w:hint="eastAsia"/>
        </w:rPr>
        <w:t>，允宜建立運用歲計賸餘償債機制，俾利健全財政</w:t>
      </w:r>
      <w:bookmarkEnd w:id="11"/>
    </w:p>
    <w:p w:rsidR="00CF0660" w:rsidRDefault="00444459" w:rsidP="00FE7AF9">
      <w:pPr>
        <w:ind w:left="566" w:firstLine="566"/>
      </w:pPr>
      <w:r>
        <w:rPr>
          <w:rFonts w:hint="eastAsia"/>
        </w:rPr>
        <w:t>近年因</w:t>
      </w:r>
      <w:r w:rsidRPr="00444459">
        <w:rPr>
          <w:rFonts w:hint="eastAsia"/>
        </w:rPr>
        <w:t>賦稅收入決算數屢高於預算數，自106年度起連續8年總決算歲入歲出均有賸餘，</w:t>
      </w:r>
      <w:r w:rsidR="008205C2">
        <w:rPr>
          <w:rFonts w:hint="eastAsia"/>
        </w:rPr>
        <w:t>於扣除債務還本後之收支賸餘，均累計至歲計賸餘，</w:t>
      </w:r>
      <w:r w:rsidRPr="00CF0660">
        <w:rPr>
          <w:rFonts w:hint="eastAsia"/>
        </w:rPr>
        <w:t>截至113年底中央政府累計賸餘</w:t>
      </w:r>
      <w:r w:rsidR="001947A6">
        <w:rPr>
          <w:rFonts w:hint="eastAsia"/>
        </w:rPr>
        <w:t>增至</w:t>
      </w:r>
      <w:r w:rsidRPr="00CF0660">
        <w:rPr>
          <w:rFonts w:hint="eastAsia"/>
        </w:rPr>
        <w:t>8,385億元</w:t>
      </w:r>
      <w:r w:rsidR="00CF0660" w:rsidRPr="00CF0660">
        <w:rPr>
          <w:rFonts w:hint="eastAsia"/>
        </w:rPr>
        <w:t>，</w:t>
      </w:r>
      <w:r w:rsidR="008205C2">
        <w:rPr>
          <w:rFonts w:hint="eastAsia"/>
        </w:rPr>
        <w:t>惟</w:t>
      </w:r>
      <w:r w:rsidR="00F119FF" w:rsidRPr="00F119FF">
        <w:rPr>
          <w:rFonts w:hint="eastAsia"/>
        </w:rPr>
        <w:t>近年中央政府債務實際數</w:t>
      </w:r>
      <w:r w:rsidR="00C84DFB">
        <w:rPr>
          <w:rFonts w:hint="eastAsia"/>
        </w:rPr>
        <w:t>仍</w:t>
      </w:r>
      <w:r w:rsidR="00F119FF" w:rsidRPr="00F119FF">
        <w:rPr>
          <w:rFonts w:hint="eastAsia"/>
        </w:rPr>
        <w:t>持續上升，</w:t>
      </w:r>
      <w:r w:rsidR="00F119FF" w:rsidRPr="008205C2">
        <w:rPr>
          <w:rFonts w:hint="eastAsia"/>
        </w:rPr>
        <w:t>迄113年底</w:t>
      </w:r>
      <w:r w:rsidR="00F119FF" w:rsidRPr="00F119FF">
        <w:rPr>
          <w:rFonts w:hint="eastAsia"/>
        </w:rPr>
        <w:t>累計債務未償債務餘額5兆8,580億元，</w:t>
      </w:r>
      <w:r w:rsidR="00AD3900">
        <w:rPr>
          <w:rFonts w:hint="eastAsia"/>
        </w:rPr>
        <w:t>金額頗鉅，</w:t>
      </w:r>
      <w:r w:rsidR="00036301" w:rsidRPr="00036301">
        <w:rPr>
          <w:rFonts w:hint="eastAsia"/>
        </w:rPr>
        <w:t>另尚有特別決算之債務保留數2,911億元</w:t>
      </w:r>
      <w:r w:rsidR="00036301">
        <w:rPr>
          <w:rFonts w:hint="eastAsia"/>
        </w:rPr>
        <w:t>，</w:t>
      </w:r>
      <w:r w:rsidR="008205C2" w:rsidRPr="008205C2">
        <w:rPr>
          <w:rFonts w:hint="eastAsia"/>
        </w:rPr>
        <w:t>允宜</w:t>
      </w:r>
      <w:r w:rsidR="00036301">
        <w:rPr>
          <w:rFonts w:hint="eastAsia"/>
        </w:rPr>
        <w:t>妥適規劃及</w:t>
      </w:r>
      <w:r w:rsidR="008205C2" w:rsidRPr="008205C2">
        <w:rPr>
          <w:rFonts w:hint="eastAsia"/>
        </w:rPr>
        <w:t>建立運用歲計賸餘償債機制，俾利健全財政</w:t>
      </w:r>
      <w:r w:rsidR="00CF0660" w:rsidRPr="00CF0660">
        <w:rPr>
          <w:rFonts w:hint="eastAsia"/>
        </w:rPr>
        <w:t>。</w:t>
      </w:r>
      <w:r w:rsidRPr="00406CFC">
        <w:rPr>
          <w:rFonts w:hAnsi="標楷體" w:hint="eastAsia"/>
        </w:rPr>
        <w:t>茲</w:t>
      </w:r>
      <w:r w:rsidRPr="00406CFC">
        <w:rPr>
          <w:rFonts w:hint="eastAsia"/>
        </w:rPr>
        <w:t>說明如下：</w:t>
      </w:r>
    </w:p>
    <w:p w:rsidR="00FE7AF9" w:rsidRDefault="00FE7AF9" w:rsidP="00FE7AF9">
      <w:pPr>
        <w:pStyle w:val="a4"/>
        <w:ind w:left="849" w:hanging="283"/>
        <w:rPr>
          <w:color w:val="000000"/>
        </w:rPr>
      </w:pPr>
      <w:r w:rsidRPr="00406CFC">
        <w:rPr>
          <w:rFonts w:hint="eastAsia"/>
          <w:b/>
          <w:snapToGrid/>
        </w:rPr>
        <w:t>(一)財政部</w:t>
      </w:r>
      <w:r w:rsidR="00E82781">
        <w:rPr>
          <w:rFonts w:hint="eastAsia"/>
          <w:b/>
          <w:snapToGrid/>
        </w:rPr>
        <w:t>表示</w:t>
      </w:r>
      <w:r w:rsidR="00FA57FD" w:rsidRPr="00FA57FD">
        <w:rPr>
          <w:rFonts w:hint="eastAsia"/>
          <w:b/>
          <w:snapToGrid/>
        </w:rPr>
        <w:t>歷年稅收優於預期均優先減少舉借、還債及累積至歲計賸餘</w:t>
      </w:r>
    </w:p>
    <w:p w:rsidR="002600F8" w:rsidRDefault="000438E5" w:rsidP="00FA57FD">
      <w:pPr>
        <w:pStyle w:val="2"/>
        <w:ind w:left="850" w:firstLine="566"/>
        <w:rPr>
          <w:rFonts w:hAnsi="標楷體"/>
        </w:rPr>
      </w:pPr>
      <w:r w:rsidRPr="000438E5">
        <w:rPr>
          <w:rFonts w:hAnsi="標楷體" w:hint="eastAsia"/>
        </w:rPr>
        <w:t>財政部表示歷年稅收優於預期均優先減少舉借、還債及累積至歲計賸餘</w:t>
      </w:r>
      <w:r>
        <w:rPr>
          <w:rFonts w:hAnsi="標楷體" w:hint="eastAsia"/>
        </w:rPr>
        <w:t>，</w:t>
      </w:r>
      <w:r w:rsidR="00304588">
        <w:rPr>
          <w:rFonts w:hAnsi="標楷體" w:hint="eastAsia"/>
        </w:rPr>
        <w:t>據該部說明，</w:t>
      </w:r>
      <w:r w:rsidR="00FA57FD" w:rsidRPr="00FA57FD">
        <w:rPr>
          <w:rFonts w:hAnsi="標楷體" w:hint="eastAsia"/>
        </w:rPr>
        <w:t>稅收優於預期依預算法第59條已有解庫，不得逕行坐抵或挪移墊用之規範，且公共債務法第12條第2項亦訂有視歲入執行狀況，於當年度預算原編列債務之償還數外，增加還本數額之規定</w:t>
      </w:r>
      <w:r>
        <w:rPr>
          <w:rFonts w:hAnsi="標楷體" w:hint="eastAsia"/>
        </w:rPr>
        <w:t>；</w:t>
      </w:r>
      <w:r w:rsidR="00FA57FD" w:rsidRPr="00FA57FD">
        <w:rPr>
          <w:rFonts w:hAnsi="標楷體" w:hint="eastAsia"/>
        </w:rPr>
        <w:t>以113年度為例，中央政府總預算稅課收入實徵數大於預算數3,757億元，</w:t>
      </w:r>
      <w:r w:rsidR="00FA57FD">
        <w:rPr>
          <w:rFonts w:hAnsi="標楷體" w:hint="eastAsia"/>
        </w:rPr>
        <w:t>該</w:t>
      </w:r>
      <w:r w:rsidR="00FA57FD" w:rsidRPr="00FA57FD">
        <w:rPr>
          <w:rFonts w:hAnsi="標楷體" w:hint="eastAsia"/>
        </w:rPr>
        <w:t>部已優先用於減少舉債</w:t>
      </w:r>
      <w:r w:rsidR="0057519E">
        <w:rPr>
          <w:rFonts w:hAnsi="標楷體" w:hint="eastAsia"/>
        </w:rPr>
        <w:t>(</w:t>
      </w:r>
      <w:r w:rsidR="00FA57FD" w:rsidRPr="00FA57FD">
        <w:rPr>
          <w:rFonts w:hAnsi="標楷體" w:hint="eastAsia"/>
        </w:rPr>
        <w:t>113年度原編列債務舉借未舉借），並依公共債務法規定執行債務還本預算數及增加還本</w:t>
      </w:r>
      <w:r w:rsidR="00FA57FD">
        <w:rPr>
          <w:rFonts w:hAnsi="標楷體" w:hint="eastAsia"/>
        </w:rPr>
        <w:t>(</w:t>
      </w:r>
      <w:r w:rsidR="00FA57FD" w:rsidRPr="00FA57FD">
        <w:rPr>
          <w:rFonts w:hAnsi="標楷體" w:hint="eastAsia"/>
        </w:rPr>
        <w:t>較預算數增加）。</w:t>
      </w:r>
      <w:r>
        <w:rPr>
          <w:rStyle w:val="af6"/>
          <w:rFonts w:hAnsi="標楷體"/>
        </w:rPr>
        <w:footnoteReference w:id="21"/>
      </w:r>
    </w:p>
    <w:p w:rsidR="0057519E" w:rsidRPr="0057519E" w:rsidRDefault="0057519E" w:rsidP="0057519E">
      <w:pPr>
        <w:pStyle w:val="a4"/>
        <w:ind w:left="849" w:hanging="283"/>
        <w:rPr>
          <w:b/>
          <w:snapToGrid/>
        </w:rPr>
      </w:pPr>
      <w:r w:rsidRPr="0057519E">
        <w:rPr>
          <w:rFonts w:hint="eastAsia"/>
          <w:b/>
          <w:snapToGrid/>
        </w:rPr>
        <w:t>(二)</w:t>
      </w:r>
      <w:r w:rsidR="00F439E2">
        <w:rPr>
          <w:rFonts w:hint="eastAsia"/>
          <w:b/>
          <w:snapToGrid/>
        </w:rPr>
        <w:t>106至113年度</w:t>
      </w:r>
      <w:r w:rsidR="00D5274A">
        <w:rPr>
          <w:rFonts w:hint="eastAsia"/>
          <w:b/>
          <w:snapToGrid/>
        </w:rPr>
        <w:t>雖減少舉債</w:t>
      </w:r>
      <w:r w:rsidR="00D5274A" w:rsidRPr="00D5274A">
        <w:rPr>
          <w:rFonts w:hint="eastAsia"/>
          <w:b/>
          <w:snapToGrid/>
        </w:rPr>
        <w:t>9,3</w:t>
      </w:r>
      <w:r w:rsidR="00D5274A">
        <w:rPr>
          <w:rFonts w:hint="eastAsia"/>
          <w:b/>
          <w:snapToGrid/>
        </w:rPr>
        <w:t>59</w:t>
      </w:r>
      <w:r w:rsidR="00D5274A" w:rsidRPr="00D5274A">
        <w:rPr>
          <w:rFonts w:hint="eastAsia"/>
          <w:b/>
          <w:snapToGrid/>
        </w:rPr>
        <w:t>億元，並執行債務還本</w:t>
      </w:r>
      <w:r w:rsidR="00C01267">
        <w:rPr>
          <w:rFonts w:hint="eastAsia"/>
          <w:b/>
          <w:snapToGrid/>
        </w:rPr>
        <w:t>8</w:t>
      </w:r>
      <w:r w:rsidR="00D5274A" w:rsidRPr="00D5274A">
        <w:rPr>
          <w:rFonts w:hint="eastAsia"/>
          <w:b/>
          <w:snapToGrid/>
        </w:rPr>
        <w:t>,</w:t>
      </w:r>
      <w:r w:rsidR="00C01267">
        <w:rPr>
          <w:rFonts w:hint="eastAsia"/>
          <w:b/>
          <w:snapToGrid/>
        </w:rPr>
        <w:t>588</w:t>
      </w:r>
      <w:r w:rsidR="00D5274A" w:rsidRPr="00D5274A">
        <w:rPr>
          <w:rFonts w:hint="eastAsia"/>
          <w:b/>
          <w:snapToGrid/>
        </w:rPr>
        <w:t>億元</w:t>
      </w:r>
      <w:r w:rsidR="00D5274A">
        <w:rPr>
          <w:rFonts w:hint="eastAsia"/>
          <w:b/>
          <w:snapToGrid/>
        </w:rPr>
        <w:t>，惟</w:t>
      </w:r>
      <w:r w:rsidR="00576AD7">
        <w:rPr>
          <w:rFonts w:hint="eastAsia"/>
          <w:b/>
          <w:snapToGrid/>
        </w:rPr>
        <w:t>尚</w:t>
      </w:r>
      <w:r w:rsidR="006A1A99">
        <w:rPr>
          <w:rFonts w:hint="eastAsia"/>
          <w:b/>
          <w:snapToGrid/>
        </w:rPr>
        <w:t>非每年均</w:t>
      </w:r>
      <w:r w:rsidR="00D5274A">
        <w:rPr>
          <w:rFonts w:hint="eastAsia"/>
          <w:b/>
          <w:snapToGrid/>
        </w:rPr>
        <w:t>增加債務還本</w:t>
      </w:r>
      <w:r w:rsidR="006A1A99">
        <w:rPr>
          <w:rFonts w:hint="eastAsia"/>
          <w:b/>
          <w:snapToGrid/>
        </w:rPr>
        <w:t>，</w:t>
      </w:r>
      <w:r w:rsidR="00576AD7">
        <w:rPr>
          <w:rFonts w:hint="eastAsia"/>
          <w:b/>
          <w:snapToGrid/>
        </w:rPr>
        <w:t>且</w:t>
      </w:r>
      <w:r w:rsidR="00576AD7" w:rsidRPr="00576AD7">
        <w:rPr>
          <w:rFonts w:hint="eastAsia"/>
          <w:b/>
          <w:snapToGrid/>
        </w:rPr>
        <w:t>經對照</w:t>
      </w:r>
      <w:r w:rsidR="00576AD7">
        <w:rPr>
          <w:rFonts w:hint="eastAsia"/>
          <w:b/>
          <w:snapToGrid/>
        </w:rPr>
        <w:t>近8年</w:t>
      </w:r>
      <w:r w:rsidR="00576AD7" w:rsidRPr="00576AD7">
        <w:rPr>
          <w:rFonts w:hint="eastAsia"/>
          <w:b/>
          <w:snapToGrid/>
        </w:rPr>
        <w:t>中央政府累計賸餘</w:t>
      </w:r>
      <w:r w:rsidR="00576AD7">
        <w:rPr>
          <w:rFonts w:hint="eastAsia"/>
          <w:b/>
          <w:snapToGrid/>
        </w:rPr>
        <w:t>逐年成長及</w:t>
      </w:r>
      <w:r w:rsidR="00576AD7" w:rsidRPr="00576AD7">
        <w:rPr>
          <w:rFonts w:hint="eastAsia"/>
          <w:b/>
          <w:snapToGrid/>
        </w:rPr>
        <w:t>大幅攀升</w:t>
      </w:r>
      <w:r w:rsidR="00576AD7">
        <w:rPr>
          <w:rFonts w:hint="eastAsia"/>
          <w:b/>
          <w:snapToGrid/>
        </w:rPr>
        <w:t>，而同期間</w:t>
      </w:r>
      <w:r w:rsidR="006A1A99">
        <w:rPr>
          <w:rFonts w:hint="eastAsia"/>
          <w:b/>
          <w:snapToGrid/>
        </w:rPr>
        <w:t>增加還本數</w:t>
      </w:r>
      <w:r w:rsidR="008477FE">
        <w:rPr>
          <w:rFonts w:hint="eastAsia"/>
          <w:b/>
          <w:snapToGrid/>
        </w:rPr>
        <w:t>僅近</w:t>
      </w:r>
      <w:r w:rsidR="00D5274A">
        <w:rPr>
          <w:rFonts w:hint="eastAsia"/>
          <w:b/>
          <w:snapToGrid/>
        </w:rPr>
        <w:t>1</w:t>
      </w:r>
      <w:r w:rsidR="00D5274A">
        <w:rPr>
          <w:b/>
          <w:snapToGrid/>
        </w:rPr>
        <w:t>,</w:t>
      </w:r>
      <w:r w:rsidR="008477FE">
        <w:rPr>
          <w:rFonts w:hint="eastAsia"/>
          <w:b/>
          <w:snapToGrid/>
        </w:rPr>
        <w:t>300</w:t>
      </w:r>
      <w:r w:rsidR="00D5274A">
        <w:rPr>
          <w:rFonts w:hint="eastAsia"/>
          <w:b/>
          <w:snapToGrid/>
        </w:rPr>
        <w:t>億元</w:t>
      </w:r>
      <w:r w:rsidR="000F5CBD" w:rsidRPr="000F5CBD">
        <w:rPr>
          <w:rFonts w:hint="eastAsia"/>
          <w:b/>
          <w:snapToGrid/>
        </w:rPr>
        <w:t>，</w:t>
      </w:r>
      <w:r w:rsidR="00576AD7">
        <w:rPr>
          <w:rFonts w:hint="eastAsia"/>
          <w:b/>
          <w:snapToGrid/>
        </w:rPr>
        <w:t>債務償還之執行能量容待</w:t>
      </w:r>
      <w:r w:rsidR="00D5274A">
        <w:rPr>
          <w:rFonts w:hint="eastAsia"/>
          <w:b/>
          <w:snapToGrid/>
        </w:rPr>
        <w:t>檢討提升</w:t>
      </w:r>
    </w:p>
    <w:p w:rsidR="00F87EDA" w:rsidRDefault="00A85ABD" w:rsidP="00F87EDA">
      <w:pPr>
        <w:pStyle w:val="2"/>
        <w:ind w:left="850" w:firstLine="566"/>
        <w:rPr>
          <w:rFonts w:hAnsi="標楷體"/>
        </w:rPr>
      </w:pPr>
      <w:r w:rsidRPr="00A85ABD">
        <w:rPr>
          <w:rFonts w:hAnsi="標楷體" w:hint="eastAsia"/>
        </w:rPr>
        <w:t>近年受惠稅課收入執行優於預期，</w:t>
      </w:r>
      <w:r w:rsidR="004711C9" w:rsidRPr="004711C9">
        <w:rPr>
          <w:rFonts w:hAnsi="標楷體" w:hint="eastAsia"/>
        </w:rPr>
        <w:t>自106年度起連續8年總決算歲入歲出均有賸</w:t>
      </w:r>
      <w:r w:rsidR="004711C9" w:rsidRPr="008C7FF7">
        <w:rPr>
          <w:rFonts w:hAnsi="標楷體" w:hint="eastAsia"/>
        </w:rPr>
        <w:t>餘，經</w:t>
      </w:r>
      <w:r w:rsidR="00872C56" w:rsidRPr="008C7FF7">
        <w:rPr>
          <w:rFonts w:hAnsi="標楷體" w:hint="eastAsia"/>
        </w:rPr>
        <w:t>彙整</w:t>
      </w:r>
      <w:r w:rsidRPr="008C7FF7">
        <w:rPr>
          <w:rFonts w:hAnsi="標楷體" w:hint="eastAsia"/>
        </w:rPr>
        <w:t>106至11</w:t>
      </w:r>
      <w:r w:rsidR="00D5274A" w:rsidRPr="008C7FF7">
        <w:rPr>
          <w:rFonts w:hAnsi="標楷體" w:hint="eastAsia"/>
        </w:rPr>
        <w:t>3</w:t>
      </w:r>
      <w:r w:rsidRPr="008C7FF7">
        <w:rPr>
          <w:rFonts w:hAnsi="標楷體" w:hint="eastAsia"/>
        </w:rPr>
        <w:t>年度</w:t>
      </w:r>
      <w:r w:rsidR="00872C56" w:rsidRPr="008C7FF7">
        <w:rPr>
          <w:rFonts w:hAnsi="標楷體" w:hint="eastAsia"/>
        </w:rPr>
        <w:t>中央政府債務</w:t>
      </w:r>
      <w:r w:rsidR="00D907D6" w:rsidRPr="008C7FF7">
        <w:rPr>
          <w:rFonts w:hAnsi="標楷體" w:hint="eastAsia"/>
        </w:rPr>
        <w:t>舉借及</w:t>
      </w:r>
      <w:r w:rsidR="00872C56" w:rsidRPr="008C7FF7">
        <w:rPr>
          <w:rFonts w:hAnsi="標楷體" w:hint="eastAsia"/>
        </w:rPr>
        <w:t>償還</w:t>
      </w:r>
      <w:r w:rsidR="00D907D6" w:rsidRPr="008C7FF7">
        <w:rPr>
          <w:rFonts w:hAnsi="標楷體" w:hint="eastAsia"/>
        </w:rPr>
        <w:t>情形</w:t>
      </w:r>
      <w:r w:rsidR="00872C56" w:rsidRPr="008C7FF7">
        <w:rPr>
          <w:rFonts w:hAnsi="標楷體" w:hint="eastAsia"/>
        </w:rPr>
        <w:t>(詳表3-3)</w:t>
      </w:r>
      <w:r w:rsidRPr="008C7FF7">
        <w:rPr>
          <w:rFonts w:hAnsi="標楷體" w:hint="eastAsia"/>
        </w:rPr>
        <w:t>，</w:t>
      </w:r>
      <w:r w:rsidR="00C85273" w:rsidRPr="008C7FF7">
        <w:rPr>
          <w:rFonts w:hAnsi="標楷體" w:hint="eastAsia"/>
        </w:rPr>
        <w:t>近8年中央政府</w:t>
      </w:r>
      <w:r w:rsidRPr="008C7FF7">
        <w:rPr>
          <w:rFonts w:hAnsi="標楷體" w:hint="eastAsia"/>
        </w:rPr>
        <w:t>計減少舉債9,3</w:t>
      </w:r>
      <w:r w:rsidR="00C85273" w:rsidRPr="008C7FF7">
        <w:rPr>
          <w:rFonts w:hAnsi="標楷體" w:hint="eastAsia"/>
        </w:rPr>
        <w:t>59</w:t>
      </w:r>
      <w:r w:rsidRPr="008C7FF7">
        <w:rPr>
          <w:rFonts w:hAnsi="標楷體" w:hint="eastAsia"/>
        </w:rPr>
        <w:t>億元，並</w:t>
      </w:r>
      <w:r w:rsidR="00B959D5">
        <w:rPr>
          <w:rFonts w:hAnsi="標楷體" w:hint="eastAsia"/>
        </w:rPr>
        <w:t>實際</w:t>
      </w:r>
      <w:r w:rsidRPr="008C7FF7">
        <w:rPr>
          <w:rFonts w:hAnsi="標楷體" w:hint="eastAsia"/>
        </w:rPr>
        <w:t>執行債務還本</w:t>
      </w:r>
      <w:r w:rsidR="00C01267">
        <w:rPr>
          <w:rStyle w:val="af6"/>
          <w:rFonts w:hAnsi="標楷體"/>
        </w:rPr>
        <w:footnoteReference w:id="22"/>
      </w:r>
      <w:r w:rsidRPr="008C7FF7">
        <w:rPr>
          <w:rFonts w:hAnsi="標楷體" w:hint="eastAsia"/>
        </w:rPr>
        <w:t>合計</w:t>
      </w:r>
      <w:r w:rsidR="00C01267">
        <w:rPr>
          <w:rFonts w:hAnsi="標楷體" w:hint="eastAsia"/>
        </w:rPr>
        <w:t>8</w:t>
      </w:r>
      <w:r w:rsidRPr="008C7FF7">
        <w:rPr>
          <w:rFonts w:hAnsi="標楷體" w:hint="eastAsia"/>
        </w:rPr>
        <w:t>,</w:t>
      </w:r>
      <w:r w:rsidR="00C01267">
        <w:rPr>
          <w:rFonts w:hAnsi="標楷體" w:hint="eastAsia"/>
        </w:rPr>
        <w:t>58</w:t>
      </w:r>
      <w:r w:rsidR="00C85273" w:rsidRPr="008C7FF7">
        <w:rPr>
          <w:rFonts w:hAnsi="標楷體" w:hint="eastAsia"/>
        </w:rPr>
        <w:t>8</w:t>
      </w:r>
      <w:r w:rsidRPr="008C7FF7">
        <w:rPr>
          <w:rFonts w:hAnsi="標楷體" w:hint="eastAsia"/>
        </w:rPr>
        <w:t>億元，減緩</w:t>
      </w:r>
      <w:r w:rsidR="00C85273" w:rsidRPr="008C7FF7">
        <w:rPr>
          <w:rFonts w:hAnsi="標楷體" w:hint="eastAsia"/>
        </w:rPr>
        <w:t>中央政府</w:t>
      </w:r>
      <w:r w:rsidRPr="008C7FF7">
        <w:rPr>
          <w:rFonts w:hAnsi="標楷體" w:hint="eastAsia"/>
        </w:rPr>
        <w:t>債務</w:t>
      </w:r>
      <w:r w:rsidR="008477FE">
        <w:rPr>
          <w:rFonts w:hAnsi="標楷體" w:hint="eastAsia"/>
        </w:rPr>
        <w:t>之</w:t>
      </w:r>
      <w:r w:rsidRPr="008C7FF7">
        <w:rPr>
          <w:rFonts w:hAnsi="標楷體" w:hint="eastAsia"/>
        </w:rPr>
        <w:t>增加</w:t>
      </w:r>
      <w:r w:rsidR="00C01267">
        <w:rPr>
          <w:rFonts w:hAnsi="標楷體" w:hint="eastAsia"/>
        </w:rPr>
        <w:t>；惟由同期間增加債務還本數觀之，係</w:t>
      </w:r>
      <w:r w:rsidR="00C01267" w:rsidRPr="008C7FF7">
        <w:rPr>
          <w:rFonts w:hAnsi="標楷體" w:hint="eastAsia"/>
        </w:rPr>
        <w:t>於106、108、及110至113年度</w:t>
      </w:r>
      <w:r w:rsidR="00C01267">
        <w:rPr>
          <w:rFonts w:hAnsi="標楷體" w:hint="eastAsia"/>
        </w:rPr>
        <w:t>分</w:t>
      </w:r>
      <w:r w:rsidR="00C01267" w:rsidRPr="00430405">
        <w:rPr>
          <w:rFonts w:hAnsi="標楷體" w:hint="eastAsia"/>
        </w:rPr>
        <w:t>別增加還本</w:t>
      </w:r>
      <w:r w:rsidR="00C01267">
        <w:rPr>
          <w:rFonts w:hAnsi="標楷體" w:hint="eastAsia"/>
        </w:rPr>
        <w:t>3億元、</w:t>
      </w:r>
      <w:r w:rsidR="00C01267" w:rsidRPr="00430405">
        <w:rPr>
          <w:rFonts w:hAnsi="標楷體" w:hint="eastAsia"/>
        </w:rPr>
        <w:t>50億元、350億元、540億元、150億元及200億元</w:t>
      </w:r>
      <w:r w:rsidR="00C01267">
        <w:rPr>
          <w:rFonts w:hAnsi="標楷體" w:hint="eastAsia"/>
        </w:rPr>
        <w:t>，</w:t>
      </w:r>
      <w:r w:rsidR="00D84A8E">
        <w:rPr>
          <w:rFonts w:hAnsi="標楷體" w:hint="eastAsia"/>
        </w:rPr>
        <w:t>並</w:t>
      </w:r>
      <w:r w:rsidR="00BC02FC" w:rsidRPr="008C7FF7">
        <w:rPr>
          <w:rFonts w:hAnsi="標楷體" w:hint="eastAsia"/>
        </w:rPr>
        <w:t>未每年度均</w:t>
      </w:r>
      <w:r w:rsidR="00C85273" w:rsidRPr="008C7FF7">
        <w:rPr>
          <w:rFonts w:hAnsi="標楷體" w:hint="eastAsia"/>
        </w:rPr>
        <w:t>增加還本，</w:t>
      </w:r>
      <w:r w:rsidR="00430405">
        <w:rPr>
          <w:rFonts w:hAnsi="標楷體" w:hint="eastAsia"/>
        </w:rPr>
        <w:t>該6年度</w:t>
      </w:r>
      <w:r w:rsidR="006A1A99" w:rsidRPr="008C7FF7">
        <w:rPr>
          <w:rFonts w:hAnsi="標楷體" w:hint="eastAsia"/>
        </w:rPr>
        <w:t>增加還本</w:t>
      </w:r>
      <w:r w:rsidR="00C85273" w:rsidRPr="008C7FF7">
        <w:rPr>
          <w:rFonts w:hAnsi="標楷體" w:hint="eastAsia"/>
        </w:rPr>
        <w:t>金額</w:t>
      </w:r>
      <w:r w:rsidR="008C7FF7" w:rsidRPr="008C7FF7">
        <w:rPr>
          <w:rFonts w:hAnsi="標楷體" w:hint="eastAsia"/>
        </w:rPr>
        <w:t>計</w:t>
      </w:r>
      <w:r w:rsidR="006A1A99" w:rsidRPr="008C7FF7">
        <w:rPr>
          <w:rFonts w:hAnsi="標楷體" w:hint="eastAsia"/>
        </w:rPr>
        <w:t>1,</w:t>
      </w:r>
      <w:r w:rsidR="00932A31">
        <w:rPr>
          <w:rFonts w:hAnsi="標楷體" w:hint="eastAsia"/>
        </w:rPr>
        <w:t>293</w:t>
      </w:r>
      <w:r w:rsidR="006A1A99" w:rsidRPr="008C7FF7">
        <w:rPr>
          <w:rFonts w:hAnsi="標楷體" w:hint="eastAsia"/>
        </w:rPr>
        <w:t>億元，</w:t>
      </w:r>
      <w:r w:rsidR="00D907D6" w:rsidRPr="008C7FF7">
        <w:rPr>
          <w:rFonts w:hAnsi="標楷體" w:hint="eastAsia"/>
        </w:rPr>
        <w:t>經對照近8年中央政府累計賸餘逐年成長</w:t>
      </w:r>
      <w:r w:rsidR="00576AD7">
        <w:rPr>
          <w:rFonts w:hAnsi="標楷體" w:hint="eastAsia"/>
        </w:rPr>
        <w:t>並</w:t>
      </w:r>
      <w:r w:rsidR="00D907D6" w:rsidRPr="008C7FF7">
        <w:rPr>
          <w:rFonts w:hAnsi="標楷體" w:hint="eastAsia"/>
        </w:rPr>
        <w:t>由106年度175億元大幅攀升至113年8,385億元(詳前開貳之</w:t>
      </w:r>
      <w:r w:rsidR="00D907D6" w:rsidRPr="008C7FF7">
        <w:rPr>
          <w:rFonts w:hint="eastAsia"/>
          <w:color w:val="000000"/>
        </w:rPr>
        <w:t>圖5</w:t>
      </w:r>
      <w:r w:rsidR="00D907D6" w:rsidRPr="008C7FF7">
        <w:rPr>
          <w:rFonts w:hAnsi="標楷體" w:hint="eastAsia"/>
        </w:rPr>
        <w:t>)，</w:t>
      </w:r>
      <w:r w:rsidR="008C7FF7" w:rsidRPr="008C7FF7">
        <w:rPr>
          <w:rFonts w:hAnsi="標楷體" w:hint="eastAsia"/>
        </w:rPr>
        <w:t>尚</w:t>
      </w:r>
      <w:r w:rsidR="00C01267">
        <w:rPr>
          <w:rFonts w:hAnsi="標楷體" w:hint="eastAsia"/>
        </w:rPr>
        <w:t>有成長空間</w:t>
      </w:r>
      <w:r w:rsidR="008C7FF7" w:rsidRPr="008C7FF7">
        <w:rPr>
          <w:rFonts w:hAnsi="標楷體" w:hint="eastAsia"/>
        </w:rPr>
        <w:t>，且近8年累計債務還本</w:t>
      </w:r>
      <w:r w:rsidR="00932A31">
        <w:rPr>
          <w:rFonts w:hAnsi="標楷體" w:hint="eastAsia"/>
        </w:rPr>
        <w:t>8</w:t>
      </w:r>
      <w:r w:rsidR="008C7FF7" w:rsidRPr="008C7FF7">
        <w:rPr>
          <w:rFonts w:hAnsi="標楷體" w:hint="eastAsia"/>
        </w:rPr>
        <w:t>,</w:t>
      </w:r>
      <w:r w:rsidR="00932A31">
        <w:rPr>
          <w:rFonts w:hAnsi="標楷體" w:hint="eastAsia"/>
        </w:rPr>
        <w:t>588</w:t>
      </w:r>
      <w:r w:rsidR="008C7FF7" w:rsidRPr="008C7FF7">
        <w:rPr>
          <w:rFonts w:hAnsi="標楷體" w:hint="eastAsia"/>
        </w:rPr>
        <w:t>億元，亦僅</w:t>
      </w:r>
      <w:r w:rsidR="008C7FF7">
        <w:rPr>
          <w:rFonts w:hAnsi="標楷體" w:hint="eastAsia"/>
        </w:rPr>
        <w:t>為同期間中央政府稅課收入實徵數</w:t>
      </w:r>
      <w:r w:rsidR="008C7FF7" w:rsidRPr="00C85273">
        <w:rPr>
          <w:rFonts w:hAnsi="標楷體"/>
        </w:rPr>
        <w:t>15</w:t>
      </w:r>
      <w:r w:rsidR="008C7FF7">
        <w:rPr>
          <w:rFonts w:hAnsi="標楷體" w:hint="eastAsia"/>
        </w:rPr>
        <w:t>兆</w:t>
      </w:r>
      <w:r w:rsidR="008C7FF7" w:rsidRPr="00C85273">
        <w:rPr>
          <w:rFonts w:hAnsi="標楷體"/>
        </w:rPr>
        <w:t>9,395</w:t>
      </w:r>
      <w:r w:rsidR="008C7FF7">
        <w:rPr>
          <w:rFonts w:hAnsi="標楷體" w:hint="eastAsia"/>
        </w:rPr>
        <w:t>億元之5.</w:t>
      </w:r>
      <w:r w:rsidR="00932A31">
        <w:rPr>
          <w:rFonts w:hAnsi="標楷體" w:hint="eastAsia"/>
        </w:rPr>
        <w:t>39</w:t>
      </w:r>
      <w:r w:rsidR="008C7FF7">
        <w:rPr>
          <w:rFonts w:hAnsi="標楷體" w:hint="eastAsia"/>
        </w:rPr>
        <w:t>%，顯示</w:t>
      </w:r>
      <w:r w:rsidR="00D907D6">
        <w:rPr>
          <w:rFonts w:hAnsi="標楷體" w:hint="eastAsia"/>
        </w:rPr>
        <w:t>中央政府</w:t>
      </w:r>
      <w:r w:rsidR="008C7FF7">
        <w:rPr>
          <w:rFonts w:hAnsi="標楷體" w:hint="eastAsia"/>
        </w:rPr>
        <w:t>執行債務償還</w:t>
      </w:r>
      <w:r w:rsidR="00932A31">
        <w:rPr>
          <w:rFonts w:hAnsi="標楷體" w:hint="eastAsia"/>
        </w:rPr>
        <w:t>及增加還本</w:t>
      </w:r>
      <w:r w:rsidR="00F6246A">
        <w:rPr>
          <w:rFonts w:hAnsi="標楷體" w:hint="eastAsia"/>
        </w:rPr>
        <w:t>之能量</w:t>
      </w:r>
      <w:r w:rsidR="008C7FF7">
        <w:rPr>
          <w:rFonts w:hAnsi="標楷體" w:hint="eastAsia"/>
        </w:rPr>
        <w:t>，</w:t>
      </w:r>
      <w:r w:rsidR="006A1A99" w:rsidRPr="006A1A99">
        <w:rPr>
          <w:rFonts w:hAnsi="標楷體" w:hint="eastAsia"/>
        </w:rPr>
        <w:t>容</w:t>
      </w:r>
      <w:r w:rsidR="00C01267">
        <w:rPr>
          <w:rFonts w:hAnsi="標楷體" w:hint="eastAsia"/>
        </w:rPr>
        <w:t>待</w:t>
      </w:r>
      <w:r w:rsidR="006A1A99" w:rsidRPr="006A1A99">
        <w:rPr>
          <w:rFonts w:hAnsi="標楷體" w:hint="eastAsia"/>
        </w:rPr>
        <w:t>檢討提升</w:t>
      </w:r>
      <w:r w:rsidR="008C7FF7">
        <w:rPr>
          <w:rFonts w:hAnsi="標楷體" w:hint="eastAsia"/>
        </w:rPr>
        <w:t>。</w:t>
      </w:r>
    </w:p>
    <w:p w:rsidR="00872C56" w:rsidRDefault="00872C56" w:rsidP="00872C56">
      <w:pPr>
        <w:pStyle w:val="20"/>
        <w:ind w:leftChars="29" w:left="1134" w:hangingChars="371" w:hanging="1052"/>
        <w:jc w:val="both"/>
        <w:rPr>
          <w:rFonts w:hAnsi="標楷體"/>
          <w:b/>
          <w:sz w:val="28"/>
        </w:rPr>
      </w:pPr>
      <w:r w:rsidRPr="00DC42CC">
        <w:rPr>
          <w:rFonts w:hint="eastAsia"/>
          <w:b/>
          <w:sz w:val="28"/>
        </w:rPr>
        <w:t>表</w:t>
      </w:r>
      <w:r>
        <w:rPr>
          <w:rFonts w:hint="eastAsia"/>
          <w:b/>
          <w:sz w:val="28"/>
        </w:rPr>
        <w:t>3</w:t>
      </w:r>
      <w:r w:rsidRPr="00DC42CC">
        <w:rPr>
          <w:rFonts w:hint="eastAsia"/>
          <w:b/>
          <w:sz w:val="28"/>
        </w:rPr>
        <w:t>-</w:t>
      </w:r>
      <w:r>
        <w:rPr>
          <w:rFonts w:hint="eastAsia"/>
          <w:b/>
          <w:sz w:val="28"/>
        </w:rPr>
        <w:t>3</w:t>
      </w:r>
      <w:r w:rsidRPr="00DC42CC">
        <w:rPr>
          <w:rFonts w:hint="eastAsia"/>
          <w:b/>
          <w:sz w:val="28"/>
        </w:rPr>
        <w:t xml:space="preserve">  </w:t>
      </w:r>
      <w:r w:rsidRPr="00DC42CC">
        <w:rPr>
          <w:rFonts w:hAnsi="標楷體" w:hint="eastAsia"/>
          <w:b/>
          <w:sz w:val="28"/>
        </w:rPr>
        <w:t>10</w:t>
      </w:r>
      <w:r>
        <w:rPr>
          <w:rFonts w:hAnsi="標楷體" w:hint="eastAsia"/>
          <w:b/>
          <w:sz w:val="28"/>
        </w:rPr>
        <w:t>6</w:t>
      </w:r>
      <w:r w:rsidRPr="00DC42CC">
        <w:rPr>
          <w:rFonts w:hAnsi="標楷體" w:hint="eastAsia"/>
          <w:b/>
          <w:sz w:val="28"/>
        </w:rPr>
        <w:t>至113年度</w:t>
      </w:r>
      <w:r>
        <w:rPr>
          <w:rFonts w:hAnsi="標楷體" w:hint="eastAsia"/>
          <w:b/>
          <w:sz w:val="28"/>
        </w:rPr>
        <w:t>中央政府</w:t>
      </w:r>
      <w:r w:rsidR="003F75FF">
        <w:rPr>
          <w:rFonts w:hAnsi="標楷體" w:hint="eastAsia"/>
          <w:b/>
          <w:sz w:val="28"/>
        </w:rPr>
        <w:t>債務舉借及</w:t>
      </w:r>
      <w:r w:rsidR="00552583">
        <w:rPr>
          <w:rFonts w:hAnsi="標楷體" w:hint="eastAsia"/>
          <w:b/>
          <w:sz w:val="28"/>
        </w:rPr>
        <w:t>償還</w:t>
      </w:r>
      <w:r w:rsidR="00D907D6">
        <w:rPr>
          <w:rFonts w:hAnsi="標楷體" w:hint="eastAsia"/>
          <w:b/>
          <w:sz w:val="28"/>
        </w:rPr>
        <w:t>之</w:t>
      </w:r>
      <w:r>
        <w:rPr>
          <w:rFonts w:hAnsi="標楷體" w:hint="eastAsia"/>
          <w:b/>
          <w:sz w:val="28"/>
        </w:rPr>
        <w:t>預</w:t>
      </w:r>
      <w:r w:rsidR="003F75FF">
        <w:rPr>
          <w:rFonts w:hAnsi="標楷體" w:hint="eastAsia"/>
          <w:b/>
          <w:sz w:val="28"/>
        </w:rPr>
        <w:t>、</w:t>
      </w:r>
      <w:r>
        <w:rPr>
          <w:rFonts w:hAnsi="標楷體" w:hint="eastAsia"/>
          <w:b/>
          <w:sz w:val="28"/>
        </w:rPr>
        <w:t>決算</w:t>
      </w:r>
      <w:r w:rsidRPr="00DC42CC">
        <w:rPr>
          <w:rFonts w:hAnsi="標楷體" w:hint="eastAsia"/>
          <w:b/>
          <w:sz w:val="28"/>
        </w:rPr>
        <w:t>概況表</w:t>
      </w:r>
    </w:p>
    <w:p w:rsidR="00872C56" w:rsidRPr="00DC42CC" w:rsidRDefault="00872C56" w:rsidP="00872C56">
      <w:pPr>
        <w:pStyle w:val="20"/>
        <w:ind w:leftChars="29" w:left="985" w:hangingChars="371" w:hanging="903"/>
        <w:jc w:val="right"/>
        <w:rPr>
          <w:rFonts w:hAnsi="標楷體"/>
          <w:szCs w:val="24"/>
        </w:rPr>
      </w:pPr>
      <w:r w:rsidRPr="00DC42CC">
        <w:rPr>
          <w:rFonts w:hAnsi="標楷體" w:hint="eastAsia"/>
          <w:b/>
        </w:rPr>
        <w:t xml:space="preserve">                                      </w:t>
      </w:r>
      <w:r w:rsidRPr="00DC42CC">
        <w:rPr>
          <w:rFonts w:hAnsi="標楷體" w:hint="eastAsia"/>
          <w:szCs w:val="24"/>
        </w:rPr>
        <w:t>單位：新臺幣</w:t>
      </w:r>
      <w:r>
        <w:rPr>
          <w:rFonts w:hAnsi="標楷體" w:hint="eastAsia"/>
          <w:szCs w:val="24"/>
        </w:rPr>
        <w:t>億</w:t>
      </w:r>
      <w:r w:rsidRPr="00DC42CC">
        <w:rPr>
          <w:rFonts w:hAnsi="標楷體" w:hint="eastAsia"/>
          <w:szCs w:val="24"/>
        </w:rPr>
        <w:t>元</w:t>
      </w:r>
    </w:p>
    <w:tbl>
      <w:tblPr>
        <w:tblW w:w="8563" w:type="dxa"/>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67"/>
        <w:gridCol w:w="1221"/>
        <w:gridCol w:w="1288"/>
        <w:gridCol w:w="1389"/>
        <w:gridCol w:w="1256"/>
        <w:gridCol w:w="1274"/>
        <w:gridCol w:w="1368"/>
      </w:tblGrid>
      <w:tr w:rsidR="003F75FF" w:rsidRPr="00587F54" w:rsidTr="005A3175">
        <w:trPr>
          <w:trHeight w:val="340"/>
          <w:tblHeader/>
        </w:trPr>
        <w:tc>
          <w:tcPr>
            <w:tcW w:w="767" w:type="dxa"/>
            <w:vMerge w:val="restart"/>
            <w:shd w:val="clear" w:color="auto" w:fill="auto"/>
            <w:vAlign w:val="center"/>
          </w:tcPr>
          <w:p w:rsidR="003F75FF" w:rsidRPr="00DC42CC" w:rsidRDefault="003F75FF" w:rsidP="0027773E">
            <w:pPr>
              <w:pStyle w:val="142"/>
              <w:jc w:val="center"/>
              <w:rPr>
                <w:rFonts w:hAnsi="標楷體"/>
                <w:b/>
                <w:spacing w:val="-20"/>
                <w:szCs w:val="24"/>
              </w:rPr>
            </w:pPr>
            <w:r w:rsidRPr="00DC42CC">
              <w:rPr>
                <w:rFonts w:hAnsi="標楷體" w:hint="eastAsia"/>
                <w:b/>
                <w:spacing w:val="-20"/>
                <w:szCs w:val="24"/>
              </w:rPr>
              <w:t>年度</w:t>
            </w:r>
          </w:p>
        </w:tc>
        <w:tc>
          <w:tcPr>
            <w:tcW w:w="3898" w:type="dxa"/>
            <w:gridSpan w:val="3"/>
            <w:shd w:val="clear" w:color="auto" w:fill="auto"/>
            <w:vAlign w:val="center"/>
          </w:tcPr>
          <w:p w:rsidR="003F75FF" w:rsidRPr="00071C2C" w:rsidRDefault="003F75FF" w:rsidP="003F75FF">
            <w:pPr>
              <w:pStyle w:val="142"/>
              <w:jc w:val="center"/>
              <w:rPr>
                <w:rFonts w:hAnsi="標楷體"/>
                <w:b/>
                <w:szCs w:val="24"/>
              </w:rPr>
            </w:pPr>
            <w:r>
              <w:rPr>
                <w:rFonts w:hAnsi="標楷體" w:hint="eastAsia"/>
                <w:b/>
                <w:szCs w:val="24"/>
              </w:rPr>
              <w:t>債務舉借</w:t>
            </w:r>
          </w:p>
        </w:tc>
        <w:tc>
          <w:tcPr>
            <w:tcW w:w="3898" w:type="dxa"/>
            <w:gridSpan w:val="3"/>
            <w:shd w:val="clear" w:color="auto" w:fill="auto"/>
            <w:vAlign w:val="center"/>
          </w:tcPr>
          <w:p w:rsidR="003F75FF" w:rsidRPr="00071C2C" w:rsidRDefault="003F75FF" w:rsidP="003F75FF">
            <w:pPr>
              <w:pStyle w:val="142"/>
              <w:jc w:val="center"/>
              <w:rPr>
                <w:rFonts w:hAnsi="標楷體"/>
                <w:b/>
                <w:szCs w:val="24"/>
              </w:rPr>
            </w:pPr>
            <w:r>
              <w:rPr>
                <w:rFonts w:hAnsi="標楷體" w:hint="eastAsia"/>
                <w:b/>
                <w:szCs w:val="24"/>
              </w:rPr>
              <w:t>債務償還</w:t>
            </w:r>
          </w:p>
        </w:tc>
      </w:tr>
      <w:tr w:rsidR="003F75FF" w:rsidRPr="00587F54" w:rsidTr="005A3175">
        <w:trPr>
          <w:trHeight w:val="340"/>
          <w:tblHeader/>
        </w:trPr>
        <w:tc>
          <w:tcPr>
            <w:tcW w:w="767" w:type="dxa"/>
            <w:vMerge/>
            <w:shd w:val="clear" w:color="auto" w:fill="auto"/>
            <w:vAlign w:val="center"/>
          </w:tcPr>
          <w:p w:rsidR="003F75FF" w:rsidRPr="00DC42CC" w:rsidRDefault="003F75FF" w:rsidP="003F75FF">
            <w:pPr>
              <w:pStyle w:val="142"/>
              <w:jc w:val="center"/>
              <w:rPr>
                <w:rFonts w:hAnsi="標楷體"/>
                <w:b/>
                <w:spacing w:val="-20"/>
                <w:szCs w:val="24"/>
              </w:rPr>
            </w:pPr>
          </w:p>
        </w:tc>
        <w:tc>
          <w:tcPr>
            <w:tcW w:w="1221" w:type="dxa"/>
            <w:shd w:val="clear" w:color="auto" w:fill="auto"/>
            <w:vAlign w:val="center"/>
          </w:tcPr>
          <w:p w:rsidR="003F75FF" w:rsidRPr="00071C2C" w:rsidRDefault="003F75FF" w:rsidP="003F75FF">
            <w:pPr>
              <w:pStyle w:val="142"/>
              <w:jc w:val="center"/>
              <w:rPr>
                <w:rFonts w:hAnsi="標楷體"/>
                <w:b/>
                <w:szCs w:val="24"/>
              </w:rPr>
            </w:pPr>
            <w:r>
              <w:rPr>
                <w:rFonts w:hAnsi="標楷體" w:hint="eastAsia"/>
                <w:b/>
                <w:spacing w:val="-6"/>
                <w:szCs w:val="24"/>
              </w:rPr>
              <w:t>預算數</w:t>
            </w:r>
          </w:p>
        </w:tc>
        <w:tc>
          <w:tcPr>
            <w:tcW w:w="1288" w:type="dxa"/>
            <w:shd w:val="clear" w:color="auto" w:fill="auto"/>
            <w:vAlign w:val="center"/>
          </w:tcPr>
          <w:p w:rsidR="003F75FF" w:rsidRPr="00071C2C" w:rsidRDefault="003F75FF" w:rsidP="003F75FF">
            <w:pPr>
              <w:pStyle w:val="142"/>
              <w:jc w:val="center"/>
              <w:rPr>
                <w:rFonts w:hAnsi="標楷體"/>
                <w:b/>
                <w:szCs w:val="24"/>
              </w:rPr>
            </w:pPr>
            <w:r>
              <w:rPr>
                <w:rFonts w:hAnsi="標楷體" w:hint="eastAsia"/>
                <w:b/>
                <w:szCs w:val="24"/>
              </w:rPr>
              <w:t>決算數</w:t>
            </w:r>
          </w:p>
        </w:tc>
        <w:tc>
          <w:tcPr>
            <w:tcW w:w="1389" w:type="dxa"/>
            <w:shd w:val="clear" w:color="auto" w:fill="auto"/>
            <w:vAlign w:val="center"/>
          </w:tcPr>
          <w:p w:rsidR="003F75FF" w:rsidRPr="00071C2C" w:rsidRDefault="003F75FF" w:rsidP="003F75FF">
            <w:pPr>
              <w:pStyle w:val="142"/>
              <w:ind w:leftChars="-22" w:left="-62" w:rightChars="-19" w:right="-54"/>
              <w:jc w:val="center"/>
              <w:rPr>
                <w:rFonts w:hAnsi="標楷體"/>
                <w:b/>
                <w:szCs w:val="24"/>
              </w:rPr>
            </w:pPr>
            <w:r>
              <w:rPr>
                <w:rFonts w:hAnsi="標楷體" w:hint="eastAsia"/>
                <w:b/>
                <w:szCs w:val="24"/>
              </w:rPr>
              <w:t>減少舉債數</w:t>
            </w:r>
          </w:p>
        </w:tc>
        <w:tc>
          <w:tcPr>
            <w:tcW w:w="1256" w:type="dxa"/>
            <w:shd w:val="clear" w:color="auto" w:fill="auto"/>
            <w:vAlign w:val="center"/>
          </w:tcPr>
          <w:p w:rsidR="003F75FF" w:rsidRPr="00071C2C" w:rsidRDefault="003F75FF" w:rsidP="003F75FF">
            <w:pPr>
              <w:pStyle w:val="142"/>
              <w:jc w:val="center"/>
              <w:rPr>
                <w:rFonts w:hAnsi="標楷體"/>
                <w:b/>
                <w:szCs w:val="24"/>
              </w:rPr>
            </w:pPr>
            <w:r>
              <w:rPr>
                <w:rFonts w:hAnsi="標楷體" w:hint="eastAsia"/>
                <w:b/>
                <w:spacing w:val="-6"/>
                <w:szCs w:val="24"/>
              </w:rPr>
              <w:t>預算數</w:t>
            </w:r>
          </w:p>
        </w:tc>
        <w:tc>
          <w:tcPr>
            <w:tcW w:w="1274" w:type="dxa"/>
            <w:shd w:val="clear" w:color="auto" w:fill="auto"/>
            <w:vAlign w:val="center"/>
          </w:tcPr>
          <w:p w:rsidR="003F75FF" w:rsidRPr="00071C2C" w:rsidRDefault="003F75FF" w:rsidP="003F75FF">
            <w:pPr>
              <w:pStyle w:val="142"/>
              <w:jc w:val="center"/>
              <w:rPr>
                <w:rFonts w:hAnsi="標楷體"/>
                <w:b/>
                <w:szCs w:val="24"/>
              </w:rPr>
            </w:pPr>
            <w:r>
              <w:rPr>
                <w:rFonts w:hAnsi="標楷體" w:hint="eastAsia"/>
                <w:b/>
                <w:szCs w:val="24"/>
              </w:rPr>
              <w:t>決算數</w:t>
            </w:r>
          </w:p>
        </w:tc>
        <w:tc>
          <w:tcPr>
            <w:tcW w:w="1368" w:type="dxa"/>
            <w:shd w:val="clear" w:color="auto" w:fill="auto"/>
            <w:vAlign w:val="center"/>
          </w:tcPr>
          <w:p w:rsidR="003F75FF" w:rsidRPr="00071C2C" w:rsidRDefault="003F75FF" w:rsidP="003F75FF">
            <w:pPr>
              <w:pStyle w:val="142"/>
              <w:ind w:leftChars="-22" w:left="-62" w:rightChars="-19" w:right="-54"/>
              <w:jc w:val="center"/>
              <w:rPr>
                <w:rFonts w:hAnsi="標楷體"/>
                <w:b/>
                <w:szCs w:val="24"/>
              </w:rPr>
            </w:pPr>
            <w:r>
              <w:rPr>
                <w:rFonts w:hAnsi="標楷體" w:hint="eastAsia"/>
                <w:b/>
                <w:szCs w:val="24"/>
              </w:rPr>
              <w:t>增加還本數</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106</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spacing w:val="-20"/>
                <w:szCs w:val="24"/>
              </w:rPr>
              <w:t>2,065</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8</w:t>
            </w:r>
            <w:r>
              <w:rPr>
                <w:rFonts w:hAnsi="標楷體"/>
                <w:spacing w:val="-20"/>
                <w:szCs w:val="24"/>
              </w:rPr>
              <w:t>30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,235</w:t>
            </w:r>
          </w:p>
        </w:tc>
        <w:tc>
          <w:tcPr>
            <w:tcW w:w="1256"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7</w:t>
            </w:r>
            <w:r>
              <w:rPr>
                <w:rFonts w:hAnsi="標楷體"/>
                <w:spacing w:val="-20"/>
                <w:szCs w:val="24"/>
              </w:rPr>
              <w:t>40</w:t>
            </w:r>
          </w:p>
        </w:tc>
        <w:tc>
          <w:tcPr>
            <w:tcW w:w="1274"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743</w:t>
            </w:r>
          </w:p>
        </w:tc>
        <w:tc>
          <w:tcPr>
            <w:tcW w:w="1368" w:type="dxa"/>
            <w:shd w:val="clear" w:color="auto" w:fill="auto"/>
            <w:vAlign w:val="center"/>
          </w:tcPr>
          <w:p w:rsidR="003F75FF" w:rsidRPr="00816150" w:rsidRDefault="003F75FF" w:rsidP="003F75FF">
            <w:pPr>
              <w:pStyle w:val="142"/>
              <w:jc w:val="right"/>
              <w:rPr>
                <w:rFonts w:hAnsi="標楷體"/>
                <w:spacing w:val="-20"/>
                <w:szCs w:val="24"/>
              </w:rPr>
            </w:pPr>
            <w:r>
              <w:rPr>
                <w:rFonts w:hAnsi="標楷體" w:hint="eastAsia"/>
                <w:spacing w:val="-20"/>
                <w:szCs w:val="24"/>
              </w:rPr>
              <w:t>3</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107</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spacing w:val="-20"/>
                <w:szCs w:val="24"/>
              </w:rPr>
              <w:t>1,267</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,267</w:t>
            </w:r>
          </w:p>
        </w:tc>
        <w:tc>
          <w:tcPr>
            <w:tcW w:w="1256"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7</w:t>
            </w:r>
            <w:r>
              <w:rPr>
                <w:rFonts w:hAnsi="標楷體"/>
                <w:spacing w:val="-20"/>
                <w:szCs w:val="24"/>
              </w:rPr>
              <w:t>92</w:t>
            </w:r>
          </w:p>
        </w:tc>
        <w:tc>
          <w:tcPr>
            <w:tcW w:w="1274"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792</w:t>
            </w:r>
          </w:p>
        </w:tc>
        <w:tc>
          <w:tcPr>
            <w:tcW w:w="1368" w:type="dxa"/>
            <w:shd w:val="clear" w:color="auto" w:fill="auto"/>
            <w:vAlign w:val="center"/>
          </w:tcPr>
          <w:p w:rsidR="003F75FF" w:rsidRPr="00816150" w:rsidRDefault="003F75FF" w:rsidP="003F75FF">
            <w:pPr>
              <w:pStyle w:val="142"/>
              <w:jc w:val="right"/>
              <w:rPr>
                <w:rFonts w:hAnsi="標楷體"/>
                <w:spacing w:val="-20"/>
                <w:szCs w:val="24"/>
              </w:rPr>
            </w:pPr>
            <w:r>
              <w:rPr>
                <w:rFonts w:hAnsi="標楷體" w:hint="eastAsia"/>
                <w:spacing w:val="-20"/>
                <w:szCs w:val="24"/>
              </w:rPr>
              <w:t>0</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108</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8</w:t>
            </w:r>
            <w:r>
              <w:rPr>
                <w:rFonts w:hAnsi="標楷體"/>
                <w:spacing w:val="-20"/>
                <w:szCs w:val="24"/>
              </w:rPr>
              <w:t>89</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8</w:t>
            </w:r>
            <w:r>
              <w:rPr>
                <w:rFonts w:hAnsi="標楷體"/>
                <w:spacing w:val="-20"/>
                <w:szCs w:val="24"/>
              </w:rPr>
              <w:t>89</w:t>
            </w:r>
          </w:p>
        </w:tc>
        <w:tc>
          <w:tcPr>
            <w:tcW w:w="1256"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8</w:t>
            </w:r>
            <w:r>
              <w:rPr>
                <w:rFonts w:hAnsi="標楷體"/>
                <w:spacing w:val="-20"/>
                <w:szCs w:val="24"/>
              </w:rPr>
              <w:t>35</w:t>
            </w:r>
          </w:p>
        </w:tc>
        <w:tc>
          <w:tcPr>
            <w:tcW w:w="1274"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885</w:t>
            </w:r>
          </w:p>
        </w:tc>
        <w:tc>
          <w:tcPr>
            <w:tcW w:w="1368" w:type="dxa"/>
            <w:shd w:val="clear" w:color="auto" w:fill="auto"/>
            <w:vAlign w:val="center"/>
          </w:tcPr>
          <w:p w:rsidR="003F75FF" w:rsidRPr="00816150" w:rsidRDefault="003F75FF" w:rsidP="003F75FF">
            <w:pPr>
              <w:pStyle w:val="142"/>
              <w:jc w:val="right"/>
              <w:rPr>
                <w:rFonts w:hAnsi="標楷體"/>
                <w:spacing w:val="-20"/>
                <w:szCs w:val="24"/>
              </w:rPr>
            </w:pPr>
            <w:r>
              <w:rPr>
                <w:rFonts w:hAnsi="標楷體" w:hint="eastAsia"/>
                <w:spacing w:val="-20"/>
                <w:szCs w:val="24"/>
              </w:rPr>
              <w:t>5</w:t>
            </w:r>
            <w:r>
              <w:rPr>
                <w:rFonts w:hAnsi="標楷體"/>
                <w:spacing w:val="-20"/>
                <w:szCs w:val="24"/>
              </w:rPr>
              <w:t>0</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109</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5</w:t>
            </w:r>
            <w:r>
              <w:rPr>
                <w:rFonts w:hAnsi="標楷體"/>
                <w:spacing w:val="-20"/>
                <w:szCs w:val="24"/>
              </w:rPr>
              <w:t>55</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5</w:t>
            </w:r>
            <w:r>
              <w:rPr>
                <w:rFonts w:hAnsi="標楷體"/>
                <w:spacing w:val="-20"/>
                <w:szCs w:val="24"/>
              </w:rPr>
              <w:t>55</w:t>
            </w:r>
          </w:p>
        </w:tc>
        <w:tc>
          <w:tcPr>
            <w:tcW w:w="1256"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8</w:t>
            </w:r>
            <w:r>
              <w:rPr>
                <w:rFonts w:hAnsi="標楷體"/>
                <w:spacing w:val="-20"/>
                <w:szCs w:val="24"/>
              </w:rPr>
              <w:t>50</w:t>
            </w:r>
          </w:p>
        </w:tc>
        <w:tc>
          <w:tcPr>
            <w:tcW w:w="1274"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85</w:t>
            </w:r>
            <w:r w:rsidR="00567823">
              <w:rPr>
                <w:rFonts w:hAnsi="標楷體"/>
                <w:spacing w:val="-20"/>
                <w:szCs w:val="24"/>
              </w:rPr>
              <w:t>0</w:t>
            </w:r>
          </w:p>
        </w:tc>
        <w:tc>
          <w:tcPr>
            <w:tcW w:w="1368" w:type="dxa"/>
            <w:shd w:val="clear" w:color="auto" w:fill="auto"/>
            <w:vAlign w:val="center"/>
          </w:tcPr>
          <w:p w:rsidR="003F75FF" w:rsidRPr="00816150" w:rsidRDefault="003F75FF" w:rsidP="003F75FF">
            <w:pPr>
              <w:pStyle w:val="142"/>
              <w:jc w:val="right"/>
              <w:rPr>
                <w:rFonts w:hAnsi="標楷體"/>
                <w:spacing w:val="-20"/>
                <w:szCs w:val="24"/>
              </w:rPr>
            </w:pPr>
            <w:r>
              <w:rPr>
                <w:rFonts w:hAnsi="標楷體" w:hint="eastAsia"/>
                <w:spacing w:val="-20"/>
                <w:szCs w:val="24"/>
              </w:rPr>
              <w:t>0</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110</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spacing w:val="-20"/>
                <w:szCs w:val="24"/>
              </w:rPr>
              <w:t>1,674</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,674</w:t>
            </w:r>
          </w:p>
        </w:tc>
        <w:tc>
          <w:tcPr>
            <w:tcW w:w="1256"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8</w:t>
            </w:r>
            <w:r>
              <w:rPr>
                <w:rFonts w:hAnsi="標楷體"/>
                <w:spacing w:val="-20"/>
                <w:szCs w:val="24"/>
              </w:rPr>
              <w:t>50</w:t>
            </w:r>
          </w:p>
        </w:tc>
        <w:tc>
          <w:tcPr>
            <w:tcW w:w="1274"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w:t>
            </w:r>
            <w:r>
              <w:rPr>
                <w:rFonts w:hAnsi="標楷體" w:hint="eastAsia"/>
                <w:spacing w:val="-20"/>
                <w:szCs w:val="24"/>
              </w:rPr>
              <w:t>200</w:t>
            </w:r>
          </w:p>
        </w:tc>
        <w:tc>
          <w:tcPr>
            <w:tcW w:w="1368" w:type="dxa"/>
            <w:shd w:val="clear" w:color="auto" w:fill="auto"/>
            <w:vAlign w:val="center"/>
          </w:tcPr>
          <w:p w:rsidR="003F75FF" w:rsidRPr="00816150" w:rsidRDefault="003F75FF" w:rsidP="003F75FF">
            <w:pPr>
              <w:pStyle w:val="142"/>
              <w:jc w:val="right"/>
              <w:rPr>
                <w:rFonts w:hAnsi="標楷體"/>
                <w:spacing w:val="-20"/>
                <w:szCs w:val="24"/>
              </w:rPr>
            </w:pPr>
            <w:r>
              <w:rPr>
                <w:rFonts w:hAnsi="標楷體" w:hint="eastAsia"/>
                <w:spacing w:val="-20"/>
                <w:szCs w:val="24"/>
              </w:rPr>
              <w:t>3</w:t>
            </w:r>
            <w:r>
              <w:rPr>
                <w:rFonts w:hAnsi="標楷體"/>
                <w:spacing w:val="-20"/>
                <w:szCs w:val="24"/>
              </w:rPr>
              <w:t>50</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111</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4</w:t>
            </w:r>
            <w:r>
              <w:rPr>
                <w:rFonts w:hAnsi="標楷體"/>
                <w:spacing w:val="-20"/>
                <w:szCs w:val="24"/>
              </w:rPr>
              <w:t>39</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4</w:t>
            </w:r>
            <w:r>
              <w:rPr>
                <w:rFonts w:hAnsi="標楷體"/>
                <w:spacing w:val="-20"/>
                <w:szCs w:val="24"/>
              </w:rPr>
              <w:t>39</w:t>
            </w:r>
          </w:p>
        </w:tc>
        <w:tc>
          <w:tcPr>
            <w:tcW w:w="1256"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9</w:t>
            </w:r>
            <w:r>
              <w:rPr>
                <w:rFonts w:hAnsi="標楷體"/>
                <w:spacing w:val="-20"/>
                <w:szCs w:val="24"/>
              </w:rPr>
              <w:t>60</w:t>
            </w:r>
          </w:p>
        </w:tc>
        <w:tc>
          <w:tcPr>
            <w:tcW w:w="1274"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,500</w:t>
            </w:r>
          </w:p>
        </w:tc>
        <w:tc>
          <w:tcPr>
            <w:tcW w:w="1368" w:type="dxa"/>
            <w:shd w:val="clear" w:color="auto" w:fill="auto"/>
            <w:vAlign w:val="center"/>
          </w:tcPr>
          <w:p w:rsidR="003F75FF" w:rsidRPr="00816150" w:rsidRDefault="003F75FF" w:rsidP="003F75FF">
            <w:pPr>
              <w:pStyle w:val="142"/>
              <w:jc w:val="right"/>
              <w:rPr>
                <w:rFonts w:hAnsi="標楷體"/>
                <w:spacing w:val="-20"/>
                <w:szCs w:val="24"/>
              </w:rPr>
            </w:pPr>
            <w:r>
              <w:rPr>
                <w:rFonts w:hAnsi="標楷體" w:hint="eastAsia"/>
                <w:spacing w:val="-20"/>
                <w:szCs w:val="24"/>
              </w:rPr>
              <w:t>5</w:t>
            </w:r>
            <w:r>
              <w:rPr>
                <w:rFonts w:hAnsi="標楷體"/>
                <w:spacing w:val="-20"/>
                <w:szCs w:val="24"/>
              </w:rPr>
              <w:t>40</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112</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,732</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,732</w:t>
            </w:r>
          </w:p>
        </w:tc>
        <w:tc>
          <w:tcPr>
            <w:tcW w:w="1256"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,110</w:t>
            </w:r>
          </w:p>
        </w:tc>
        <w:tc>
          <w:tcPr>
            <w:tcW w:w="1274"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,260</w:t>
            </w:r>
          </w:p>
        </w:tc>
        <w:tc>
          <w:tcPr>
            <w:tcW w:w="1368" w:type="dxa"/>
            <w:shd w:val="clear" w:color="auto" w:fill="auto"/>
            <w:vAlign w:val="center"/>
          </w:tcPr>
          <w:p w:rsidR="003F75FF" w:rsidRPr="00816150"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50</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113</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,568</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,568</w:t>
            </w:r>
          </w:p>
        </w:tc>
        <w:tc>
          <w:tcPr>
            <w:tcW w:w="1256" w:type="dxa"/>
            <w:shd w:val="clear" w:color="auto" w:fill="auto"/>
            <w:vAlign w:val="center"/>
          </w:tcPr>
          <w:p w:rsidR="003F75FF" w:rsidRPr="00974457" w:rsidRDefault="003F75FF" w:rsidP="00B959D5">
            <w:pPr>
              <w:pStyle w:val="142"/>
              <w:jc w:val="right"/>
              <w:rPr>
                <w:rFonts w:hAnsi="標楷體"/>
                <w:spacing w:val="-20"/>
                <w:szCs w:val="24"/>
              </w:rPr>
            </w:pPr>
            <w:r>
              <w:rPr>
                <w:rFonts w:hAnsi="標楷體" w:hint="eastAsia"/>
                <w:spacing w:val="-20"/>
                <w:szCs w:val="24"/>
              </w:rPr>
              <w:t>1</w:t>
            </w:r>
            <w:r>
              <w:rPr>
                <w:rFonts w:hAnsi="標楷體"/>
                <w:spacing w:val="-20"/>
                <w:szCs w:val="24"/>
              </w:rPr>
              <w:t>,15</w:t>
            </w:r>
            <w:r w:rsidR="00B959D5">
              <w:rPr>
                <w:rFonts w:hAnsi="標楷體" w:hint="eastAsia"/>
                <w:spacing w:val="-20"/>
                <w:szCs w:val="24"/>
              </w:rPr>
              <w:t>8</w:t>
            </w:r>
          </w:p>
        </w:tc>
        <w:tc>
          <w:tcPr>
            <w:tcW w:w="1274" w:type="dxa"/>
            <w:shd w:val="clear" w:color="auto" w:fill="auto"/>
            <w:vAlign w:val="center"/>
          </w:tcPr>
          <w:p w:rsidR="003F75FF" w:rsidRPr="00034761" w:rsidRDefault="003F75FF" w:rsidP="0068308F">
            <w:pPr>
              <w:pStyle w:val="142"/>
              <w:jc w:val="right"/>
              <w:rPr>
                <w:rFonts w:hAnsi="標楷體"/>
                <w:spacing w:val="-20"/>
                <w:szCs w:val="24"/>
              </w:rPr>
            </w:pPr>
            <w:r>
              <w:rPr>
                <w:rFonts w:hAnsi="標楷體" w:hint="eastAsia"/>
                <w:spacing w:val="-20"/>
                <w:szCs w:val="24"/>
              </w:rPr>
              <w:t>1</w:t>
            </w:r>
            <w:r>
              <w:rPr>
                <w:rFonts w:hAnsi="標楷體"/>
                <w:spacing w:val="-20"/>
                <w:szCs w:val="24"/>
              </w:rPr>
              <w:t>,</w:t>
            </w:r>
            <w:r w:rsidR="0068308F">
              <w:rPr>
                <w:rFonts w:hAnsi="標楷體" w:hint="eastAsia"/>
                <w:spacing w:val="-20"/>
                <w:szCs w:val="24"/>
              </w:rPr>
              <w:t>35</w:t>
            </w:r>
            <w:r>
              <w:rPr>
                <w:rFonts w:hAnsi="標楷體"/>
                <w:spacing w:val="-20"/>
                <w:szCs w:val="24"/>
              </w:rPr>
              <w:t>8</w:t>
            </w:r>
          </w:p>
        </w:tc>
        <w:tc>
          <w:tcPr>
            <w:tcW w:w="1368" w:type="dxa"/>
            <w:shd w:val="clear" w:color="auto" w:fill="auto"/>
            <w:vAlign w:val="center"/>
          </w:tcPr>
          <w:p w:rsidR="003F75FF" w:rsidRPr="00816150" w:rsidRDefault="0068308F" w:rsidP="003F75FF">
            <w:pPr>
              <w:pStyle w:val="142"/>
              <w:jc w:val="right"/>
              <w:rPr>
                <w:rFonts w:hAnsi="標楷體"/>
                <w:spacing w:val="-20"/>
                <w:szCs w:val="24"/>
              </w:rPr>
            </w:pPr>
            <w:r>
              <w:rPr>
                <w:rFonts w:hAnsi="標楷體" w:hint="eastAsia"/>
                <w:spacing w:val="-20"/>
                <w:szCs w:val="24"/>
              </w:rPr>
              <w:t>200</w:t>
            </w:r>
          </w:p>
        </w:tc>
      </w:tr>
      <w:tr w:rsidR="00593A28" w:rsidRPr="00587F54" w:rsidTr="005A3175">
        <w:trPr>
          <w:trHeight w:val="340"/>
        </w:trPr>
        <w:tc>
          <w:tcPr>
            <w:tcW w:w="767" w:type="dxa"/>
            <w:shd w:val="clear" w:color="auto" w:fill="auto"/>
            <w:vAlign w:val="center"/>
          </w:tcPr>
          <w:p w:rsidR="00593A28" w:rsidRPr="00D8223C" w:rsidRDefault="00593A28" w:rsidP="00593A28">
            <w:pPr>
              <w:pStyle w:val="142"/>
              <w:jc w:val="center"/>
              <w:rPr>
                <w:rFonts w:hAnsi="標楷體"/>
                <w:spacing w:val="-20"/>
                <w:szCs w:val="24"/>
              </w:rPr>
            </w:pPr>
            <w:r>
              <w:rPr>
                <w:rFonts w:hAnsi="標楷體" w:hint="eastAsia"/>
                <w:spacing w:val="-20"/>
                <w:szCs w:val="24"/>
              </w:rPr>
              <w:t>小計</w:t>
            </w:r>
          </w:p>
        </w:tc>
        <w:tc>
          <w:tcPr>
            <w:tcW w:w="1221" w:type="dxa"/>
            <w:shd w:val="clear" w:color="auto" w:fill="auto"/>
            <w:vAlign w:val="center"/>
          </w:tcPr>
          <w:p w:rsidR="00593A28" w:rsidRPr="00593A28" w:rsidRDefault="00593A28" w:rsidP="00593A28">
            <w:pPr>
              <w:pStyle w:val="142"/>
              <w:jc w:val="right"/>
              <w:rPr>
                <w:rFonts w:hAnsi="標楷體"/>
                <w:spacing w:val="-20"/>
                <w:szCs w:val="24"/>
              </w:rPr>
            </w:pPr>
            <w:r w:rsidRPr="00593A28">
              <w:rPr>
                <w:rFonts w:hAnsi="標楷體"/>
                <w:spacing w:val="-20"/>
                <w:szCs w:val="24"/>
              </w:rPr>
              <w:t>10,189</w:t>
            </w:r>
          </w:p>
        </w:tc>
        <w:tc>
          <w:tcPr>
            <w:tcW w:w="1288" w:type="dxa"/>
            <w:shd w:val="clear" w:color="auto" w:fill="auto"/>
            <w:vAlign w:val="center"/>
          </w:tcPr>
          <w:p w:rsidR="00593A28" w:rsidRPr="00593A28" w:rsidRDefault="00593A28" w:rsidP="00593A28">
            <w:pPr>
              <w:pStyle w:val="142"/>
              <w:jc w:val="right"/>
              <w:rPr>
                <w:rFonts w:hAnsi="標楷體"/>
                <w:spacing w:val="-20"/>
                <w:szCs w:val="24"/>
              </w:rPr>
            </w:pPr>
            <w:r w:rsidRPr="00593A28">
              <w:rPr>
                <w:rFonts w:hAnsi="標楷體"/>
                <w:spacing w:val="-20"/>
                <w:szCs w:val="24"/>
              </w:rPr>
              <w:t>830</w:t>
            </w:r>
          </w:p>
        </w:tc>
        <w:tc>
          <w:tcPr>
            <w:tcW w:w="1389" w:type="dxa"/>
            <w:shd w:val="clear" w:color="auto" w:fill="auto"/>
            <w:vAlign w:val="center"/>
          </w:tcPr>
          <w:p w:rsidR="00593A28" w:rsidRPr="00593A28" w:rsidRDefault="00593A28" w:rsidP="00593A28">
            <w:pPr>
              <w:pStyle w:val="142"/>
              <w:jc w:val="right"/>
              <w:rPr>
                <w:rFonts w:hAnsi="標楷體"/>
                <w:spacing w:val="-20"/>
                <w:szCs w:val="24"/>
              </w:rPr>
            </w:pPr>
            <w:r w:rsidRPr="00593A28">
              <w:rPr>
                <w:rFonts w:hAnsi="標楷體"/>
                <w:spacing w:val="-20"/>
                <w:szCs w:val="24"/>
              </w:rPr>
              <w:t>9,359</w:t>
            </w:r>
          </w:p>
        </w:tc>
        <w:tc>
          <w:tcPr>
            <w:tcW w:w="1256" w:type="dxa"/>
            <w:shd w:val="clear" w:color="auto" w:fill="auto"/>
            <w:vAlign w:val="center"/>
          </w:tcPr>
          <w:p w:rsidR="00593A28" w:rsidRPr="00593A28" w:rsidRDefault="00593A28" w:rsidP="00430405">
            <w:pPr>
              <w:pStyle w:val="142"/>
              <w:jc w:val="right"/>
              <w:rPr>
                <w:rFonts w:hAnsi="標楷體"/>
                <w:spacing w:val="-20"/>
                <w:szCs w:val="24"/>
              </w:rPr>
            </w:pPr>
            <w:r w:rsidRPr="00593A28">
              <w:rPr>
                <w:rFonts w:hAnsi="標楷體"/>
                <w:spacing w:val="-20"/>
                <w:szCs w:val="24"/>
              </w:rPr>
              <w:t>7,2</w:t>
            </w:r>
            <w:r w:rsidR="00430405">
              <w:rPr>
                <w:rFonts w:hAnsi="標楷體" w:hint="eastAsia"/>
                <w:spacing w:val="-20"/>
                <w:szCs w:val="24"/>
              </w:rPr>
              <w:t>95</w:t>
            </w:r>
          </w:p>
        </w:tc>
        <w:tc>
          <w:tcPr>
            <w:tcW w:w="1274" w:type="dxa"/>
            <w:shd w:val="clear" w:color="auto" w:fill="auto"/>
            <w:vAlign w:val="center"/>
          </w:tcPr>
          <w:p w:rsidR="00593A28" w:rsidRPr="00593A28" w:rsidRDefault="00430405" w:rsidP="00430405">
            <w:pPr>
              <w:pStyle w:val="142"/>
              <w:jc w:val="right"/>
              <w:rPr>
                <w:rFonts w:hAnsi="標楷體"/>
                <w:spacing w:val="-20"/>
                <w:szCs w:val="24"/>
              </w:rPr>
            </w:pPr>
            <w:r>
              <w:rPr>
                <w:rFonts w:hAnsi="標楷體" w:hint="eastAsia"/>
                <w:spacing w:val="-20"/>
                <w:szCs w:val="24"/>
              </w:rPr>
              <w:t>8</w:t>
            </w:r>
            <w:r w:rsidR="00593A28" w:rsidRPr="00593A28">
              <w:rPr>
                <w:rFonts w:hAnsi="標楷體"/>
                <w:spacing w:val="-20"/>
                <w:szCs w:val="24"/>
              </w:rPr>
              <w:t>,</w:t>
            </w:r>
            <w:r>
              <w:rPr>
                <w:rFonts w:hAnsi="標楷體" w:hint="eastAsia"/>
                <w:spacing w:val="-20"/>
                <w:szCs w:val="24"/>
              </w:rPr>
              <w:t>58</w:t>
            </w:r>
            <w:r w:rsidR="00593A28" w:rsidRPr="00593A28">
              <w:rPr>
                <w:rFonts w:hAnsi="標楷體"/>
                <w:spacing w:val="-20"/>
                <w:szCs w:val="24"/>
              </w:rPr>
              <w:t>8</w:t>
            </w:r>
          </w:p>
        </w:tc>
        <w:tc>
          <w:tcPr>
            <w:tcW w:w="1368" w:type="dxa"/>
            <w:shd w:val="clear" w:color="auto" w:fill="auto"/>
            <w:vAlign w:val="center"/>
          </w:tcPr>
          <w:p w:rsidR="00593A28" w:rsidRPr="00593A28" w:rsidRDefault="00593A28" w:rsidP="00430405">
            <w:pPr>
              <w:pStyle w:val="142"/>
              <w:jc w:val="right"/>
              <w:rPr>
                <w:rFonts w:hAnsi="標楷體"/>
                <w:spacing w:val="-20"/>
                <w:szCs w:val="24"/>
              </w:rPr>
            </w:pPr>
            <w:r w:rsidRPr="00593A28">
              <w:rPr>
                <w:rFonts w:hAnsi="標楷體"/>
                <w:spacing w:val="-20"/>
                <w:szCs w:val="24"/>
              </w:rPr>
              <w:t>1,</w:t>
            </w:r>
            <w:r w:rsidR="00430405">
              <w:rPr>
                <w:rFonts w:hAnsi="標楷體" w:hint="eastAsia"/>
                <w:spacing w:val="-20"/>
                <w:szCs w:val="24"/>
              </w:rPr>
              <w:t>293</w:t>
            </w:r>
          </w:p>
        </w:tc>
      </w:tr>
    </w:tbl>
    <w:p w:rsidR="00552583" w:rsidRDefault="00552583" w:rsidP="00932A31">
      <w:pPr>
        <w:pStyle w:val="142"/>
        <w:ind w:leftChars="23" w:left="1230" w:hangingChars="479" w:hanging="1165"/>
        <w:jc w:val="both"/>
        <w:rPr>
          <w:rFonts w:hAnsi="標楷體"/>
          <w:szCs w:val="24"/>
        </w:rPr>
      </w:pPr>
      <w:r w:rsidRPr="000F332F">
        <w:rPr>
          <w:rFonts w:hAnsi="標楷體" w:hint="eastAsia"/>
          <w:szCs w:val="24"/>
        </w:rPr>
        <w:t>說    明：</w:t>
      </w:r>
      <w:r w:rsidRPr="00530140">
        <w:rPr>
          <w:rFonts w:hAnsi="標楷體" w:hint="eastAsia"/>
          <w:szCs w:val="24"/>
        </w:rPr>
        <w:t>除113年度</w:t>
      </w:r>
      <w:r w:rsidR="00932A31">
        <w:rPr>
          <w:rFonts w:hAnsi="標楷體" w:hint="eastAsia"/>
          <w:szCs w:val="24"/>
        </w:rPr>
        <w:t>債務舉借決算數</w:t>
      </w:r>
      <w:r w:rsidRPr="00530140">
        <w:rPr>
          <w:rFonts w:hAnsi="標楷體" w:hint="eastAsia"/>
          <w:szCs w:val="24"/>
        </w:rPr>
        <w:t>為院編決算數</w:t>
      </w:r>
      <w:r w:rsidR="00932A31">
        <w:rPr>
          <w:rFonts w:hAnsi="標楷體" w:hint="eastAsia"/>
          <w:szCs w:val="24"/>
        </w:rPr>
        <w:t>；113年度總預算編列債務還本數1</w:t>
      </w:r>
      <w:r w:rsidR="00932A31">
        <w:rPr>
          <w:rFonts w:hAnsi="標楷體"/>
          <w:szCs w:val="24"/>
        </w:rPr>
        <w:t>,</w:t>
      </w:r>
      <w:r w:rsidR="00932A31">
        <w:rPr>
          <w:rFonts w:hAnsi="標楷體" w:hint="eastAsia"/>
          <w:szCs w:val="24"/>
        </w:rPr>
        <w:t>150億元未達當年度稅課收入5%，予以補足差額8億元，共計1</w:t>
      </w:r>
      <w:r w:rsidR="00932A31">
        <w:rPr>
          <w:rFonts w:hAnsi="標楷體"/>
          <w:szCs w:val="24"/>
        </w:rPr>
        <w:t>,158</w:t>
      </w:r>
      <w:r w:rsidR="00932A31">
        <w:rPr>
          <w:rFonts w:hAnsi="標楷體" w:hint="eastAsia"/>
          <w:szCs w:val="24"/>
        </w:rPr>
        <w:t>億元；113年度增加還本數200億元，合計還本1</w:t>
      </w:r>
      <w:r w:rsidR="00932A31">
        <w:rPr>
          <w:rFonts w:hAnsi="標楷體"/>
          <w:szCs w:val="24"/>
        </w:rPr>
        <w:t>,</w:t>
      </w:r>
      <w:r w:rsidR="00932A31">
        <w:rPr>
          <w:rFonts w:hAnsi="標楷體" w:hint="eastAsia"/>
          <w:szCs w:val="24"/>
        </w:rPr>
        <w:t>358億元，未加計償還承接民營化基金債務591億元</w:t>
      </w:r>
      <w:r w:rsidRPr="00530140">
        <w:rPr>
          <w:rFonts w:hAnsi="標楷體" w:hint="eastAsia"/>
          <w:szCs w:val="24"/>
        </w:rPr>
        <w:t>外，其餘</w:t>
      </w:r>
      <w:r w:rsidR="00932A31" w:rsidRPr="00932A31">
        <w:rPr>
          <w:rFonts w:hAnsi="標楷體" w:hint="eastAsia"/>
          <w:szCs w:val="24"/>
        </w:rPr>
        <w:t>106至113年度</w:t>
      </w:r>
      <w:r w:rsidRPr="00530140">
        <w:rPr>
          <w:rFonts w:hAnsi="標楷體" w:hint="eastAsia"/>
          <w:szCs w:val="24"/>
        </w:rPr>
        <w:t>為</w:t>
      </w:r>
      <w:r w:rsidR="002246B9">
        <w:rPr>
          <w:rFonts w:hAnsi="標楷體" w:hint="eastAsia"/>
          <w:szCs w:val="24"/>
        </w:rPr>
        <w:t>法定預算數及</w:t>
      </w:r>
      <w:r w:rsidRPr="00530140">
        <w:rPr>
          <w:rFonts w:hAnsi="標楷體" w:hint="eastAsia"/>
          <w:szCs w:val="24"/>
        </w:rPr>
        <w:t>決算審定數。</w:t>
      </w:r>
    </w:p>
    <w:p w:rsidR="00AC17B3" w:rsidRDefault="00552583" w:rsidP="00552583">
      <w:pPr>
        <w:pStyle w:val="142"/>
        <w:ind w:left="1189" w:hangingChars="489" w:hanging="1189"/>
        <w:rPr>
          <w:rFonts w:hAnsi="標楷體"/>
          <w:spacing w:val="-6"/>
          <w:szCs w:val="24"/>
        </w:rPr>
      </w:pPr>
      <w:r w:rsidRPr="00D0060A">
        <w:rPr>
          <w:rFonts w:hAnsi="標楷體" w:hint="eastAsia"/>
          <w:szCs w:val="24"/>
        </w:rPr>
        <w:t>資料來源：</w:t>
      </w:r>
      <w:r w:rsidR="00A355CE" w:rsidRPr="00A355CE">
        <w:rPr>
          <w:rFonts w:hAnsi="標楷體" w:hint="eastAsia"/>
          <w:szCs w:val="24"/>
        </w:rPr>
        <w:t>財政部</w:t>
      </w:r>
      <w:r w:rsidR="001E34B8">
        <w:rPr>
          <w:rFonts w:hAnsi="標楷體" w:hint="eastAsia"/>
          <w:szCs w:val="24"/>
        </w:rPr>
        <w:t>及財政部國庫署</w:t>
      </w:r>
      <w:r w:rsidR="00430405">
        <w:rPr>
          <w:rFonts w:hAnsi="標楷體" w:hint="eastAsia"/>
          <w:szCs w:val="24"/>
        </w:rPr>
        <w:t>網站</w:t>
      </w:r>
      <w:r w:rsidR="0002609B">
        <w:rPr>
          <w:rFonts w:hAnsi="標楷體" w:hint="eastAsia"/>
          <w:szCs w:val="24"/>
        </w:rPr>
        <w:t>，</w:t>
      </w:r>
      <w:r w:rsidR="0002609B" w:rsidRPr="00AC17B3">
        <w:rPr>
          <w:rFonts w:hAnsi="標楷體"/>
          <w:spacing w:val="-6"/>
          <w:szCs w:val="24"/>
        </w:rPr>
        <w:t>https://www.mof.gov.tw/</w:t>
      </w:r>
      <w:r w:rsidR="0002609B" w:rsidRPr="00AC17B3">
        <w:rPr>
          <w:rFonts w:hAnsi="標楷體" w:hint="eastAsia"/>
          <w:spacing w:val="-6"/>
          <w:szCs w:val="24"/>
        </w:rPr>
        <w:t>及</w:t>
      </w:r>
      <w:r w:rsidR="0002609B" w:rsidRPr="00AC17B3">
        <w:rPr>
          <w:rFonts w:hAnsi="標楷體"/>
          <w:spacing w:val="-6"/>
          <w:szCs w:val="24"/>
        </w:rPr>
        <w:t>https://www.</w:t>
      </w:r>
    </w:p>
    <w:p w:rsidR="00552583" w:rsidRDefault="00AC17B3" w:rsidP="005A3175">
      <w:pPr>
        <w:pStyle w:val="142"/>
        <w:ind w:leftChars="1" w:left="1161" w:hangingChars="501" w:hanging="1158"/>
        <w:rPr>
          <w:rFonts w:hAnsi="標楷體"/>
          <w:szCs w:val="24"/>
        </w:rPr>
      </w:pPr>
      <w:r>
        <w:rPr>
          <w:rFonts w:hAnsi="標楷體" w:hint="eastAsia"/>
          <w:spacing w:val="-6"/>
          <w:szCs w:val="24"/>
        </w:rPr>
        <w:t xml:space="preserve">           </w:t>
      </w:r>
      <w:r w:rsidR="0002609B" w:rsidRPr="00AC17B3">
        <w:rPr>
          <w:rFonts w:hAnsi="標楷體"/>
          <w:spacing w:val="-6"/>
          <w:szCs w:val="24"/>
        </w:rPr>
        <w:t>nta.gov.tw/</w:t>
      </w:r>
      <w:r w:rsidR="0002609B" w:rsidRPr="00AC17B3">
        <w:rPr>
          <w:rFonts w:hAnsi="標楷體" w:hint="eastAsia"/>
          <w:spacing w:val="-6"/>
          <w:szCs w:val="24"/>
        </w:rPr>
        <w:t>(最後瀏覽日</w:t>
      </w:r>
      <w:r w:rsidR="0002609B" w:rsidRPr="00AC17B3">
        <w:rPr>
          <w:rFonts w:hAnsi="標楷體"/>
          <w:spacing w:val="-6"/>
          <w:szCs w:val="24"/>
        </w:rPr>
        <w:t>:</w:t>
      </w:r>
      <w:r w:rsidR="0002609B" w:rsidRPr="00AC17B3">
        <w:rPr>
          <w:rFonts w:hAnsi="標楷體" w:hint="eastAsia"/>
          <w:spacing w:val="-6"/>
          <w:szCs w:val="24"/>
        </w:rPr>
        <w:t>114年7月3日)</w:t>
      </w:r>
      <w:r w:rsidR="001E34B8">
        <w:rPr>
          <w:rFonts w:hAnsi="標楷體" w:hint="eastAsia"/>
          <w:szCs w:val="24"/>
        </w:rPr>
        <w:t>、</w:t>
      </w:r>
      <w:r w:rsidR="00552583" w:rsidRPr="004374B4">
        <w:rPr>
          <w:rFonts w:hAnsi="標楷體" w:hint="eastAsia"/>
          <w:szCs w:val="24"/>
        </w:rPr>
        <w:t>行政院編113年度中央政府總決算</w:t>
      </w:r>
      <w:r w:rsidR="00552583" w:rsidRPr="00D0060A">
        <w:rPr>
          <w:rFonts w:hAnsi="標楷體" w:hint="eastAsia"/>
          <w:szCs w:val="24"/>
        </w:rPr>
        <w:t>。</w:t>
      </w:r>
    </w:p>
    <w:p w:rsidR="00410784" w:rsidRPr="00410784" w:rsidRDefault="00410784" w:rsidP="00410784">
      <w:pPr>
        <w:pStyle w:val="a4"/>
        <w:ind w:left="849" w:hanging="283"/>
        <w:rPr>
          <w:b/>
          <w:snapToGrid/>
        </w:rPr>
      </w:pPr>
      <w:r>
        <w:rPr>
          <w:rFonts w:hint="eastAsia"/>
          <w:b/>
          <w:snapToGrid/>
        </w:rPr>
        <w:t>(三)</w:t>
      </w:r>
      <w:r w:rsidR="00A12550">
        <w:rPr>
          <w:rFonts w:hint="eastAsia"/>
          <w:b/>
          <w:snapToGrid/>
        </w:rPr>
        <w:t>近年中央政府</w:t>
      </w:r>
      <w:r w:rsidR="00A12550" w:rsidRPr="006B37A4">
        <w:rPr>
          <w:rFonts w:hint="eastAsia"/>
          <w:b/>
          <w:snapToGrid/>
        </w:rPr>
        <w:t>債務實際數</w:t>
      </w:r>
      <w:r w:rsidR="00A12550">
        <w:rPr>
          <w:rFonts w:hint="eastAsia"/>
          <w:b/>
          <w:snapToGrid/>
        </w:rPr>
        <w:t>持續</w:t>
      </w:r>
      <w:r w:rsidR="00A12550" w:rsidRPr="006B37A4">
        <w:rPr>
          <w:rFonts w:hint="eastAsia"/>
          <w:b/>
          <w:snapToGrid/>
        </w:rPr>
        <w:t>上升</w:t>
      </w:r>
      <w:r w:rsidR="00A12550">
        <w:rPr>
          <w:rFonts w:hint="eastAsia"/>
          <w:b/>
          <w:snapToGrid/>
        </w:rPr>
        <w:t>，截至</w:t>
      </w:r>
      <w:r w:rsidR="00A12550" w:rsidRPr="00410784">
        <w:rPr>
          <w:rFonts w:hint="eastAsia"/>
          <w:b/>
          <w:snapToGrid/>
        </w:rPr>
        <w:t>113年底累計債務</w:t>
      </w:r>
      <w:r w:rsidR="00A12550" w:rsidRPr="00E37614">
        <w:rPr>
          <w:rFonts w:hint="eastAsia"/>
          <w:b/>
          <w:snapToGrid/>
        </w:rPr>
        <w:t>未償債務餘額5兆8,580億元</w:t>
      </w:r>
      <w:r w:rsidR="00A12550" w:rsidRPr="00946DE7">
        <w:rPr>
          <w:rFonts w:hint="eastAsia"/>
          <w:b/>
          <w:snapToGrid/>
        </w:rPr>
        <w:t>，另尚有特別決算之債務保留數2,911億元</w:t>
      </w:r>
      <w:r w:rsidR="00A12550">
        <w:rPr>
          <w:rFonts w:hint="eastAsia"/>
          <w:b/>
          <w:snapToGrid/>
        </w:rPr>
        <w:t>，</w:t>
      </w:r>
      <w:r w:rsidR="000417BA" w:rsidRPr="000417BA">
        <w:rPr>
          <w:rFonts w:hint="eastAsia"/>
          <w:b/>
          <w:snapToGrid/>
        </w:rPr>
        <w:t>允宜妥適規劃及建立運用歲計賸餘償債機制</w:t>
      </w:r>
    </w:p>
    <w:p w:rsidR="006777CD" w:rsidRDefault="006777CD" w:rsidP="00410784">
      <w:pPr>
        <w:pStyle w:val="2"/>
        <w:ind w:left="850" w:firstLine="566"/>
        <w:rPr>
          <w:rFonts w:hAnsi="標楷體"/>
        </w:rPr>
      </w:pPr>
      <w:r>
        <w:rPr>
          <w:rFonts w:hAnsi="標楷體" w:hint="eastAsia"/>
        </w:rPr>
        <w:t>依</w:t>
      </w:r>
      <w:r w:rsidRPr="006777CD">
        <w:rPr>
          <w:rFonts w:hAnsi="標楷體" w:hint="eastAsia"/>
        </w:rPr>
        <w:t>財政部</w:t>
      </w:r>
      <w:r w:rsidR="007A212B">
        <w:rPr>
          <w:rFonts w:hAnsi="標楷體" w:hint="eastAsia"/>
        </w:rPr>
        <w:t>國庫署</w:t>
      </w:r>
      <w:r w:rsidRPr="006777CD">
        <w:rPr>
          <w:rFonts w:hAnsi="標楷體" w:hint="eastAsia"/>
        </w:rPr>
        <w:t>國債鐘資料，</w:t>
      </w:r>
      <w:r w:rsidR="007A212B">
        <w:rPr>
          <w:rFonts w:hAnsi="標楷體" w:hint="eastAsia"/>
        </w:rPr>
        <w:t>106</w:t>
      </w:r>
      <w:r w:rsidRPr="006777CD">
        <w:rPr>
          <w:rFonts w:hAnsi="標楷體" w:hint="eastAsia"/>
        </w:rPr>
        <w:t>年底中央政府一年以上公共債務未償餘額實際數</w:t>
      </w:r>
      <w:r w:rsidR="007A212B">
        <w:rPr>
          <w:rFonts w:hAnsi="標楷體" w:hint="eastAsia"/>
        </w:rPr>
        <w:t>5</w:t>
      </w:r>
      <w:r w:rsidRPr="006777CD">
        <w:rPr>
          <w:rFonts w:hAnsi="標楷體" w:hint="eastAsia"/>
        </w:rPr>
        <w:t>兆</w:t>
      </w:r>
      <w:r w:rsidR="007A212B">
        <w:rPr>
          <w:rFonts w:hAnsi="標楷體" w:hint="eastAsia"/>
        </w:rPr>
        <w:t>3</w:t>
      </w:r>
      <w:r w:rsidRPr="006777CD">
        <w:rPr>
          <w:rFonts w:hAnsi="標楷體" w:hint="eastAsia"/>
        </w:rPr>
        <w:t>,</w:t>
      </w:r>
      <w:r w:rsidR="007A212B">
        <w:rPr>
          <w:rFonts w:hAnsi="標楷體" w:hint="eastAsia"/>
        </w:rPr>
        <w:t>615</w:t>
      </w:r>
      <w:r w:rsidRPr="006777CD">
        <w:rPr>
          <w:rFonts w:hAnsi="標楷體" w:hint="eastAsia"/>
        </w:rPr>
        <w:t>億元，109年底成長</w:t>
      </w:r>
      <w:r w:rsidR="007A212B">
        <w:rPr>
          <w:rFonts w:hAnsi="標楷體" w:hint="eastAsia"/>
        </w:rPr>
        <w:t>至</w:t>
      </w:r>
      <w:r w:rsidRPr="006777CD">
        <w:rPr>
          <w:rFonts w:hAnsi="標楷體" w:hint="eastAsia"/>
        </w:rPr>
        <w:t>5兆4,778億元，11</w:t>
      </w:r>
      <w:r w:rsidR="00D71801">
        <w:rPr>
          <w:rFonts w:hAnsi="標楷體" w:hint="eastAsia"/>
        </w:rPr>
        <w:t>1至113</w:t>
      </w:r>
      <w:r w:rsidRPr="006777CD">
        <w:rPr>
          <w:rFonts w:hAnsi="標楷體" w:hint="eastAsia"/>
        </w:rPr>
        <w:t>年</w:t>
      </w:r>
      <w:r w:rsidR="00D71801">
        <w:rPr>
          <w:rFonts w:hAnsi="標楷體" w:hint="eastAsia"/>
        </w:rPr>
        <w:t>底分別增至</w:t>
      </w:r>
      <w:r w:rsidRPr="006777CD">
        <w:rPr>
          <w:rFonts w:hAnsi="標楷體" w:hint="eastAsia"/>
        </w:rPr>
        <w:t>5兆6,</w:t>
      </w:r>
      <w:r w:rsidR="00D71801">
        <w:rPr>
          <w:rFonts w:hAnsi="標楷體" w:hint="eastAsia"/>
        </w:rPr>
        <w:t>998</w:t>
      </w:r>
      <w:r w:rsidRPr="006777CD">
        <w:rPr>
          <w:rFonts w:hAnsi="標楷體" w:hint="eastAsia"/>
        </w:rPr>
        <w:t>億元</w:t>
      </w:r>
      <w:r w:rsidR="00D71801">
        <w:rPr>
          <w:rFonts w:hAnsi="標楷體" w:hint="eastAsia"/>
        </w:rPr>
        <w:t>、</w:t>
      </w:r>
      <w:r w:rsidR="00D71801" w:rsidRPr="006777CD">
        <w:rPr>
          <w:rFonts w:hAnsi="標楷體" w:hint="eastAsia"/>
        </w:rPr>
        <w:t>5兆</w:t>
      </w:r>
      <w:r w:rsidR="00D71801">
        <w:rPr>
          <w:rFonts w:hAnsi="標楷體" w:hint="eastAsia"/>
        </w:rPr>
        <w:t>8</w:t>
      </w:r>
      <w:r w:rsidR="00D71801" w:rsidRPr="006777CD">
        <w:rPr>
          <w:rFonts w:hAnsi="標楷體" w:hint="eastAsia"/>
        </w:rPr>
        <w:t>,</w:t>
      </w:r>
      <w:r w:rsidR="00D71801">
        <w:rPr>
          <w:rFonts w:hAnsi="標楷體" w:hint="eastAsia"/>
        </w:rPr>
        <w:t>188</w:t>
      </w:r>
      <w:r w:rsidR="00D71801" w:rsidRPr="006777CD">
        <w:rPr>
          <w:rFonts w:hAnsi="標楷體" w:hint="eastAsia"/>
        </w:rPr>
        <w:t>億元</w:t>
      </w:r>
      <w:r w:rsidR="00D71801">
        <w:rPr>
          <w:rFonts w:hAnsi="標楷體" w:hint="eastAsia"/>
        </w:rPr>
        <w:t>、</w:t>
      </w:r>
      <w:r w:rsidR="00D71801" w:rsidRPr="006777CD">
        <w:rPr>
          <w:rFonts w:hAnsi="標楷體" w:hint="eastAsia"/>
        </w:rPr>
        <w:t>5兆</w:t>
      </w:r>
      <w:r w:rsidR="00D71801">
        <w:rPr>
          <w:rFonts w:hAnsi="標楷體" w:hint="eastAsia"/>
        </w:rPr>
        <w:t>8</w:t>
      </w:r>
      <w:r w:rsidR="00D71801" w:rsidRPr="006777CD">
        <w:rPr>
          <w:rFonts w:hAnsi="標楷體" w:hint="eastAsia"/>
        </w:rPr>
        <w:t>,</w:t>
      </w:r>
      <w:r w:rsidR="00D71801">
        <w:rPr>
          <w:rFonts w:hAnsi="標楷體" w:hint="eastAsia"/>
        </w:rPr>
        <w:t>580</w:t>
      </w:r>
      <w:r w:rsidR="00D71801" w:rsidRPr="006777CD">
        <w:rPr>
          <w:rFonts w:hAnsi="標楷體" w:hint="eastAsia"/>
        </w:rPr>
        <w:t>億元</w:t>
      </w:r>
      <w:r w:rsidRPr="006777CD">
        <w:rPr>
          <w:rFonts w:hAnsi="標楷體" w:hint="eastAsia"/>
        </w:rPr>
        <w:t>，截至11</w:t>
      </w:r>
      <w:r w:rsidR="00D71801">
        <w:rPr>
          <w:rFonts w:hAnsi="標楷體" w:hint="eastAsia"/>
        </w:rPr>
        <w:t>4</w:t>
      </w:r>
      <w:r w:rsidRPr="006777CD">
        <w:rPr>
          <w:rFonts w:hAnsi="標楷體" w:hint="eastAsia"/>
        </w:rPr>
        <w:t>年</w:t>
      </w:r>
      <w:r w:rsidR="00D71801">
        <w:rPr>
          <w:rFonts w:hAnsi="標楷體" w:hint="eastAsia"/>
        </w:rPr>
        <w:t>5</w:t>
      </w:r>
      <w:r w:rsidRPr="006777CD">
        <w:rPr>
          <w:rFonts w:hAnsi="標楷體" w:hint="eastAsia"/>
        </w:rPr>
        <w:t>月底止，債務實際數</w:t>
      </w:r>
      <w:r w:rsidR="00D71801">
        <w:rPr>
          <w:rFonts w:hAnsi="標楷體" w:hint="eastAsia"/>
        </w:rPr>
        <w:t>再增為</w:t>
      </w:r>
      <w:r w:rsidRPr="006777CD">
        <w:rPr>
          <w:rFonts w:hAnsi="標楷體" w:hint="eastAsia"/>
        </w:rPr>
        <w:t>5兆</w:t>
      </w:r>
      <w:r w:rsidR="00D71801">
        <w:rPr>
          <w:rFonts w:hAnsi="標楷體" w:hint="eastAsia"/>
        </w:rPr>
        <w:t>9</w:t>
      </w:r>
      <w:r w:rsidRPr="006777CD">
        <w:rPr>
          <w:rFonts w:hAnsi="標楷體" w:hint="eastAsia"/>
        </w:rPr>
        <w:t>,</w:t>
      </w:r>
      <w:r w:rsidR="00D71801">
        <w:rPr>
          <w:rFonts w:hAnsi="標楷體" w:hint="eastAsia"/>
        </w:rPr>
        <w:t>794</w:t>
      </w:r>
      <w:r w:rsidRPr="006777CD">
        <w:rPr>
          <w:rFonts w:hAnsi="標楷體" w:hint="eastAsia"/>
        </w:rPr>
        <w:t>億元，續呈上升趨勢</w:t>
      </w:r>
      <w:r w:rsidR="000417BA" w:rsidRPr="000417BA">
        <w:rPr>
          <w:rFonts w:hAnsi="標楷體" w:hint="eastAsia"/>
        </w:rPr>
        <w:t>，</w:t>
      </w:r>
      <w:r w:rsidR="000417BA">
        <w:rPr>
          <w:rFonts w:hAnsi="標楷體" w:hint="eastAsia"/>
        </w:rPr>
        <w:t>同期間</w:t>
      </w:r>
      <w:r w:rsidR="000417BA" w:rsidRPr="006777CD">
        <w:rPr>
          <w:rFonts w:hAnsi="標楷體" w:hint="eastAsia"/>
        </w:rPr>
        <w:t>平均每人負擔債務由</w:t>
      </w:r>
      <w:r w:rsidR="000417BA">
        <w:rPr>
          <w:rFonts w:hAnsi="標楷體" w:hint="eastAsia"/>
        </w:rPr>
        <w:t>106</w:t>
      </w:r>
      <w:r w:rsidR="000417BA" w:rsidRPr="006777CD">
        <w:rPr>
          <w:rFonts w:hAnsi="標楷體" w:hint="eastAsia"/>
        </w:rPr>
        <w:t>年底之2</w:t>
      </w:r>
      <w:r w:rsidR="000417BA">
        <w:rPr>
          <w:rFonts w:hAnsi="標楷體" w:hint="eastAsia"/>
        </w:rPr>
        <w:t>2.9</w:t>
      </w:r>
      <w:r w:rsidR="000417BA" w:rsidRPr="006777CD">
        <w:rPr>
          <w:rFonts w:hAnsi="標楷體" w:hint="eastAsia"/>
        </w:rPr>
        <w:t>萬元</w:t>
      </w:r>
      <w:r w:rsidR="000417BA">
        <w:rPr>
          <w:rFonts w:hAnsi="標楷體" w:hint="eastAsia"/>
        </w:rPr>
        <w:t>上升</w:t>
      </w:r>
      <w:r w:rsidR="000417BA" w:rsidRPr="006777CD">
        <w:rPr>
          <w:rFonts w:hAnsi="標楷體" w:hint="eastAsia"/>
        </w:rPr>
        <w:t>至11</w:t>
      </w:r>
      <w:r w:rsidR="000417BA">
        <w:rPr>
          <w:rFonts w:hAnsi="標楷體" w:hint="eastAsia"/>
        </w:rPr>
        <w:t>4</w:t>
      </w:r>
      <w:r w:rsidR="000417BA" w:rsidRPr="006777CD">
        <w:rPr>
          <w:rFonts w:hAnsi="標楷體" w:hint="eastAsia"/>
        </w:rPr>
        <w:t>年</w:t>
      </w:r>
      <w:r w:rsidR="000417BA">
        <w:rPr>
          <w:rFonts w:hAnsi="標楷體" w:hint="eastAsia"/>
        </w:rPr>
        <w:t>5</w:t>
      </w:r>
      <w:r w:rsidR="000417BA" w:rsidRPr="006777CD">
        <w:rPr>
          <w:rFonts w:hAnsi="標楷體" w:hint="eastAsia"/>
        </w:rPr>
        <w:t>月底止</w:t>
      </w:r>
      <w:r w:rsidR="000417BA">
        <w:rPr>
          <w:rFonts w:hAnsi="標楷體" w:hint="eastAsia"/>
        </w:rPr>
        <w:t>之</w:t>
      </w:r>
      <w:r w:rsidR="000417BA" w:rsidRPr="006777CD">
        <w:rPr>
          <w:rFonts w:hAnsi="標楷體" w:hint="eastAsia"/>
        </w:rPr>
        <w:t>26.</w:t>
      </w:r>
      <w:r w:rsidR="000417BA">
        <w:rPr>
          <w:rFonts w:hAnsi="標楷體" w:hint="eastAsia"/>
        </w:rPr>
        <w:t>4</w:t>
      </w:r>
      <w:r w:rsidR="000417BA" w:rsidRPr="006777CD">
        <w:rPr>
          <w:rFonts w:hAnsi="標楷體" w:hint="eastAsia"/>
        </w:rPr>
        <w:t>萬元</w:t>
      </w:r>
      <w:r w:rsidR="00D71801">
        <w:rPr>
          <w:rFonts w:hAnsi="標楷體" w:hint="eastAsia"/>
        </w:rPr>
        <w:t>，</w:t>
      </w:r>
      <w:r w:rsidR="000417BA">
        <w:rPr>
          <w:rFonts w:hAnsi="標楷體" w:hint="eastAsia"/>
        </w:rPr>
        <w:t>顯示</w:t>
      </w:r>
      <w:r w:rsidR="000417BA" w:rsidRPr="000417BA">
        <w:rPr>
          <w:rFonts w:hAnsi="標楷體" w:hint="eastAsia"/>
        </w:rPr>
        <w:t>近8年中央政府債務實際數持續</w:t>
      </w:r>
      <w:r w:rsidR="000417BA">
        <w:rPr>
          <w:rFonts w:hAnsi="標楷體" w:hint="eastAsia"/>
        </w:rPr>
        <w:t>成長</w:t>
      </w:r>
      <w:r w:rsidRPr="006777CD">
        <w:rPr>
          <w:rFonts w:hAnsi="標楷體" w:hint="eastAsia"/>
        </w:rPr>
        <w:t>。</w:t>
      </w:r>
    </w:p>
    <w:p w:rsidR="000417BA" w:rsidRPr="000F5CBD" w:rsidRDefault="00946DE7" w:rsidP="000417BA">
      <w:pPr>
        <w:pStyle w:val="2"/>
        <w:ind w:left="850" w:firstLine="566"/>
        <w:rPr>
          <w:rFonts w:hAnsi="標楷體"/>
        </w:rPr>
      </w:pPr>
      <w:r>
        <w:rPr>
          <w:rFonts w:hAnsi="標楷體" w:hint="eastAsia"/>
        </w:rPr>
        <w:t>按</w:t>
      </w:r>
      <w:r w:rsidR="009679D4" w:rsidRPr="009679D4">
        <w:rPr>
          <w:rFonts w:hAnsi="標楷體" w:hint="eastAsia"/>
        </w:rPr>
        <w:t>中央政府自106年度起連續8年總決算歲入歲出均有賸餘，</w:t>
      </w:r>
      <w:r w:rsidR="0087261F" w:rsidRPr="0087261F">
        <w:rPr>
          <w:rFonts w:hAnsi="標楷體" w:hint="eastAsia"/>
        </w:rPr>
        <w:t>財政狀況持續改善</w:t>
      </w:r>
      <w:r w:rsidR="0087261F">
        <w:rPr>
          <w:rFonts w:hAnsi="標楷體" w:hint="eastAsia"/>
        </w:rPr>
        <w:t>，且</w:t>
      </w:r>
      <w:r w:rsidR="009679D4">
        <w:rPr>
          <w:rFonts w:hAnsi="標楷體" w:hint="eastAsia"/>
        </w:rPr>
        <w:t>如前述</w:t>
      </w:r>
      <w:r w:rsidR="008A277A">
        <w:rPr>
          <w:rFonts w:hAnsi="標楷體" w:hint="eastAsia"/>
        </w:rPr>
        <w:t>部分</w:t>
      </w:r>
      <w:r w:rsidR="009679D4">
        <w:rPr>
          <w:rFonts w:hAnsi="標楷體" w:hint="eastAsia"/>
        </w:rPr>
        <w:t>用於減少舉債或增加債務還本，</w:t>
      </w:r>
      <w:r w:rsidR="005F5B99" w:rsidRPr="005F5B99">
        <w:rPr>
          <w:rFonts w:hAnsi="標楷體" w:hint="eastAsia"/>
        </w:rPr>
        <w:t>惟近年</w:t>
      </w:r>
      <w:r w:rsidR="0087261F">
        <w:rPr>
          <w:rFonts w:hAnsi="標楷體" w:hint="eastAsia"/>
        </w:rPr>
        <w:t>因</w:t>
      </w:r>
      <w:r w:rsidR="005F5B99" w:rsidRPr="005F5B99">
        <w:rPr>
          <w:rFonts w:hAnsi="標楷體" w:hint="eastAsia"/>
        </w:rPr>
        <w:t>推動前瞻基礎建設等計畫，編列多項特別預算，</w:t>
      </w:r>
      <w:r w:rsidR="0087261F">
        <w:rPr>
          <w:rFonts w:hAnsi="標楷體" w:hint="eastAsia"/>
        </w:rPr>
        <w:t>且</w:t>
      </w:r>
      <w:r w:rsidR="005F5B99" w:rsidRPr="005F5B99">
        <w:rPr>
          <w:rFonts w:hAnsi="標楷體" w:hint="eastAsia"/>
        </w:rPr>
        <w:t>須舉借債務彌平</w:t>
      </w:r>
      <w:r w:rsidR="0087261F">
        <w:rPr>
          <w:rFonts w:hAnsi="標楷體" w:hint="eastAsia"/>
        </w:rPr>
        <w:t>差短</w:t>
      </w:r>
      <w:r w:rsidR="002F30C1">
        <w:rPr>
          <w:rFonts w:hAnsi="標楷體" w:hint="eastAsia"/>
        </w:rPr>
        <w:t>(詳表3-4)</w:t>
      </w:r>
      <w:r w:rsidR="005F5B99" w:rsidRPr="005F5B99">
        <w:rPr>
          <w:rFonts w:hAnsi="標楷體" w:hint="eastAsia"/>
        </w:rPr>
        <w:t>，</w:t>
      </w:r>
      <w:r w:rsidR="002F30C1">
        <w:rPr>
          <w:rFonts w:hAnsi="標楷體" w:hint="eastAsia"/>
        </w:rPr>
        <w:t>執行結果，</w:t>
      </w:r>
      <w:r w:rsidR="002F30C1" w:rsidRPr="0087261F">
        <w:rPr>
          <w:rFonts w:hAnsi="標楷體" w:hint="eastAsia"/>
        </w:rPr>
        <w:t>前瞻基礎建設計畫</w:t>
      </w:r>
      <w:r w:rsidR="002F30C1">
        <w:rPr>
          <w:rFonts w:hAnsi="標楷體" w:hint="eastAsia"/>
        </w:rPr>
        <w:t>第1至第4期分別舉債1</w:t>
      </w:r>
      <w:r w:rsidR="002F30C1" w:rsidRPr="0087261F">
        <w:rPr>
          <w:rFonts w:hAnsi="標楷體" w:hint="eastAsia"/>
        </w:rPr>
        <w:t>,0</w:t>
      </w:r>
      <w:r w:rsidR="002F30C1">
        <w:rPr>
          <w:rFonts w:hAnsi="標楷體" w:hint="eastAsia"/>
        </w:rPr>
        <w:t>09</w:t>
      </w:r>
      <w:r w:rsidR="002F30C1" w:rsidRPr="0087261F">
        <w:rPr>
          <w:rFonts w:hAnsi="標楷體" w:hint="eastAsia"/>
        </w:rPr>
        <w:t>億元</w:t>
      </w:r>
      <w:r w:rsidR="002F30C1">
        <w:rPr>
          <w:rFonts w:hAnsi="標楷體" w:hint="eastAsia"/>
        </w:rPr>
        <w:t>、2</w:t>
      </w:r>
      <w:r w:rsidR="002F30C1" w:rsidRPr="005F5B99">
        <w:rPr>
          <w:rFonts w:hAnsi="標楷體" w:hint="eastAsia"/>
        </w:rPr>
        <w:t>,</w:t>
      </w:r>
      <w:r w:rsidR="002F30C1">
        <w:rPr>
          <w:rFonts w:hAnsi="標楷體" w:hint="eastAsia"/>
        </w:rPr>
        <w:t>140</w:t>
      </w:r>
      <w:r w:rsidR="002F30C1" w:rsidRPr="005F5B99">
        <w:rPr>
          <w:rFonts w:hAnsi="標楷體" w:hint="eastAsia"/>
        </w:rPr>
        <w:t>億元</w:t>
      </w:r>
      <w:r w:rsidR="002F30C1">
        <w:rPr>
          <w:rFonts w:hAnsi="標楷體" w:hint="eastAsia"/>
        </w:rPr>
        <w:t>、2</w:t>
      </w:r>
      <w:r w:rsidR="002F30C1" w:rsidRPr="005F5B99">
        <w:rPr>
          <w:rFonts w:hAnsi="標楷體" w:hint="eastAsia"/>
        </w:rPr>
        <w:t>,</w:t>
      </w:r>
      <w:r w:rsidR="002F30C1">
        <w:rPr>
          <w:rFonts w:hAnsi="標楷體" w:hint="eastAsia"/>
        </w:rPr>
        <w:t>246</w:t>
      </w:r>
      <w:r w:rsidR="002F30C1" w:rsidRPr="005F5B99">
        <w:rPr>
          <w:rFonts w:hAnsi="標楷體" w:hint="eastAsia"/>
        </w:rPr>
        <w:t>億元</w:t>
      </w:r>
      <w:r w:rsidR="002F30C1">
        <w:rPr>
          <w:rFonts w:hAnsi="標楷體" w:hint="eastAsia"/>
        </w:rPr>
        <w:t>、2</w:t>
      </w:r>
      <w:r w:rsidR="002F30C1" w:rsidRPr="005F5B99">
        <w:rPr>
          <w:rFonts w:hAnsi="標楷體" w:hint="eastAsia"/>
        </w:rPr>
        <w:t>,</w:t>
      </w:r>
      <w:r w:rsidR="002F30C1">
        <w:rPr>
          <w:rFonts w:hAnsi="標楷體" w:hint="eastAsia"/>
        </w:rPr>
        <w:t>067</w:t>
      </w:r>
      <w:r w:rsidR="002F30C1" w:rsidRPr="005F5B99">
        <w:rPr>
          <w:rFonts w:hAnsi="標楷體" w:hint="eastAsia"/>
        </w:rPr>
        <w:t>億元</w:t>
      </w:r>
      <w:r w:rsidR="002F30C1">
        <w:rPr>
          <w:rFonts w:hAnsi="標楷體" w:hint="eastAsia"/>
        </w:rPr>
        <w:t>，</w:t>
      </w:r>
      <w:r w:rsidR="005F5B99" w:rsidRPr="005F5B99">
        <w:rPr>
          <w:rFonts w:hAnsi="標楷體" w:hint="eastAsia"/>
        </w:rPr>
        <w:t>嚴重特殊傳染性肺炎防治及紓困振興特別預算</w:t>
      </w:r>
      <w:r w:rsidR="0087261F">
        <w:rPr>
          <w:rFonts w:hAnsi="標楷體" w:hint="eastAsia"/>
        </w:rPr>
        <w:t>(109至112年度)</w:t>
      </w:r>
      <w:r w:rsidR="005F5B99" w:rsidRPr="005F5B99">
        <w:rPr>
          <w:rFonts w:hAnsi="標楷體" w:hint="eastAsia"/>
        </w:rPr>
        <w:t>舉債</w:t>
      </w:r>
      <w:r w:rsidR="0087261F">
        <w:rPr>
          <w:rFonts w:hAnsi="標楷體" w:hint="eastAsia"/>
        </w:rPr>
        <w:t>8</w:t>
      </w:r>
      <w:r w:rsidR="005F5B99" w:rsidRPr="005F5B99">
        <w:rPr>
          <w:rFonts w:hAnsi="標楷體" w:hint="eastAsia"/>
        </w:rPr>
        <w:t>,</w:t>
      </w:r>
      <w:r w:rsidR="0087261F">
        <w:rPr>
          <w:rFonts w:hAnsi="標楷體" w:hint="eastAsia"/>
        </w:rPr>
        <w:t>026</w:t>
      </w:r>
      <w:r w:rsidR="005F5B99" w:rsidRPr="005F5B99">
        <w:rPr>
          <w:rFonts w:hAnsi="標楷體" w:hint="eastAsia"/>
        </w:rPr>
        <w:t>億元</w:t>
      </w:r>
      <w:r w:rsidR="002F30C1">
        <w:rPr>
          <w:rFonts w:hAnsi="標楷體" w:hint="eastAsia"/>
        </w:rPr>
        <w:t>等</w:t>
      </w:r>
      <w:r w:rsidR="005F5B99" w:rsidRPr="005F5B99">
        <w:rPr>
          <w:rFonts w:hAnsi="標楷體" w:hint="eastAsia"/>
        </w:rPr>
        <w:t>，致</w:t>
      </w:r>
      <w:r w:rsidR="00B11F95" w:rsidRPr="009679D4">
        <w:rPr>
          <w:rFonts w:hAnsi="標楷體" w:hint="eastAsia"/>
        </w:rPr>
        <w:t>中央政府</w:t>
      </w:r>
      <w:r w:rsidR="005F5B99" w:rsidRPr="005F5B99">
        <w:rPr>
          <w:rFonts w:hAnsi="標楷體" w:hint="eastAsia"/>
        </w:rPr>
        <w:t>債務餘額未減反增</w:t>
      </w:r>
      <w:r w:rsidR="00B11F95">
        <w:rPr>
          <w:rFonts w:hAnsi="標楷體" w:hint="eastAsia"/>
        </w:rPr>
        <w:t>。</w:t>
      </w:r>
      <w:r w:rsidR="000417BA">
        <w:rPr>
          <w:rFonts w:hAnsi="標楷體" w:hint="eastAsia"/>
        </w:rPr>
        <w:t>又</w:t>
      </w:r>
      <w:r w:rsidR="000417BA" w:rsidRPr="00410784">
        <w:rPr>
          <w:rFonts w:hAnsi="標楷體" w:hint="eastAsia"/>
        </w:rPr>
        <w:t>依行政院編113年度中央政府總決算，</w:t>
      </w:r>
      <w:r w:rsidR="000417BA" w:rsidRPr="00FC0087">
        <w:rPr>
          <w:rFonts w:hAnsi="標楷體" w:hint="eastAsia"/>
        </w:rPr>
        <w:t>中央政府截至</w:t>
      </w:r>
      <w:r w:rsidR="000417BA">
        <w:rPr>
          <w:rFonts w:hAnsi="標楷體" w:hint="eastAsia"/>
        </w:rPr>
        <w:t>113</w:t>
      </w:r>
      <w:r w:rsidR="000417BA" w:rsidRPr="00FC0087">
        <w:rPr>
          <w:rFonts w:hAnsi="標楷體" w:hint="eastAsia"/>
        </w:rPr>
        <w:t>年度債務未償還餘額實際數5兆8,580億元（含公債5兆7,981億元及長期借款599億元）</w:t>
      </w:r>
      <w:r w:rsidR="000417BA">
        <w:rPr>
          <w:rStyle w:val="af6"/>
          <w:rFonts w:hAnsi="標楷體"/>
        </w:rPr>
        <w:footnoteReference w:id="23"/>
      </w:r>
      <w:r w:rsidR="000417BA" w:rsidRPr="00FC0087">
        <w:rPr>
          <w:rFonts w:hAnsi="標楷體" w:hint="eastAsia"/>
        </w:rPr>
        <w:t>，加計中央政府特別決算</w:t>
      </w:r>
      <w:r w:rsidR="000417BA">
        <w:rPr>
          <w:rStyle w:val="af6"/>
          <w:rFonts w:hAnsi="標楷體"/>
        </w:rPr>
        <w:footnoteReference w:id="24"/>
      </w:r>
      <w:r w:rsidR="000417BA" w:rsidRPr="00FC0087">
        <w:rPr>
          <w:rFonts w:hAnsi="標楷體" w:hint="eastAsia"/>
        </w:rPr>
        <w:t>之債務保留數2,911億元</w:t>
      </w:r>
      <w:r w:rsidR="00C01267">
        <w:rPr>
          <w:rFonts w:hAnsi="標楷體" w:hint="eastAsia"/>
        </w:rPr>
        <w:t>後</w:t>
      </w:r>
      <w:r w:rsidR="000417BA" w:rsidRPr="00FC0087">
        <w:rPr>
          <w:rFonts w:hAnsi="標楷體" w:hint="eastAsia"/>
        </w:rPr>
        <w:t>，中央政府截至</w:t>
      </w:r>
      <w:r w:rsidR="000417BA">
        <w:rPr>
          <w:rFonts w:hAnsi="標楷體" w:hint="eastAsia"/>
        </w:rPr>
        <w:t>113</w:t>
      </w:r>
      <w:r w:rsidR="000417BA" w:rsidRPr="00FC0087">
        <w:rPr>
          <w:rFonts w:hAnsi="標楷體" w:hint="eastAsia"/>
        </w:rPr>
        <w:t>年底長期債務未償餘額為6兆1,491億元</w:t>
      </w:r>
      <w:r w:rsidR="00F6246A">
        <w:rPr>
          <w:rFonts w:hAnsi="標楷體" w:hint="eastAsia"/>
        </w:rPr>
        <w:t>。</w:t>
      </w:r>
      <w:r w:rsidR="00D55159">
        <w:rPr>
          <w:rFonts w:hAnsi="標楷體" w:hint="eastAsia"/>
        </w:rPr>
        <w:t>鑑於</w:t>
      </w:r>
      <w:r w:rsidR="000417BA">
        <w:rPr>
          <w:rFonts w:hAnsi="標楷體" w:hint="eastAsia"/>
        </w:rPr>
        <w:t>特別決算之債務保留數，於未來執行</w:t>
      </w:r>
      <w:r w:rsidR="000417BA" w:rsidRPr="00946DE7">
        <w:rPr>
          <w:rFonts w:hAnsi="標楷體" w:hint="eastAsia"/>
        </w:rPr>
        <w:t>時</w:t>
      </w:r>
      <w:r w:rsidR="00C01267">
        <w:rPr>
          <w:rFonts w:hAnsi="標楷體" w:hint="eastAsia"/>
        </w:rPr>
        <w:t>，亦</w:t>
      </w:r>
      <w:r w:rsidR="000417BA" w:rsidRPr="00946DE7">
        <w:rPr>
          <w:rFonts w:hAnsi="標楷體" w:hint="eastAsia"/>
        </w:rPr>
        <w:t>將</w:t>
      </w:r>
      <w:r w:rsidR="000417BA">
        <w:rPr>
          <w:rFonts w:hAnsi="標楷體" w:hint="eastAsia"/>
        </w:rPr>
        <w:t>累增</w:t>
      </w:r>
      <w:r w:rsidR="000417BA" w:rsidRPr="00946DE7">
        <w:rPr>
          <w:rFonts w:hAnsi="標楷體" w:hint="eastAsia"/>
        </w:rPr>
        <w:t>中央政府</w:t>
      </w:r>
      <w:r w:rsidR="000417BA">
        <w:rPr>
          <w:rFonts w:hAnsi="標楷體" w:hint="eastAsia"/>
        </w:rPr>
        <w:t>長期債務</w:t>
      </w:r>
      <w:r w:rsidR="000417BA" w:rsidRPr="00946DE7">
        <w:rPr>
          <w:rFonts w:hAnsi="標楷體" w:hint="eastAsia"/>
        </w:rPr>
        <w:t>餘額</w:t>
      </w:r>
      <w:r w:rsidR="000417BA">
        <w:rPr>
          <w:rFonts w:hAnsi="標楷體" w:hint="eastAsia"/>
        </w:rPr>
        <w:t>，</w:t>
      </w:r>
      <w:r w:rsidR="000417BA" w:rsidRPr="00946DE7">
        <w:rPr>
          <w:rFonts w:hAnsi="標楷體" w:hint="eastAsia"/>
        </w:rPr>
        <w:t>允宜</w:t>
      </w:r>
      <w:r w:rsidR="000417BA">
        <w:rPr>
          <w:rFonts w:hAnsi="標楷體" w:hint="eastAsia"/>
        </w:rPr>
        <w:t>妥適規劃及</w:t>
      </w:r>
      <w:r w:rsidR="000417BA" w:rsidRPr="00946DE7">
        <w:rPr>
          <w:rFonts w:hAnsi="標楷體" w:hint="eastAsia"/>
        </w:rPr>
        <w:t>建立運用歲計賸餘償債機制，以落實財政健全</w:t>
      </w:r>
      <w:r w:rsidR="000417BA">
        <w:rPr>
          <w:rFonts w:hAnsi="標楷體" w:hint="eastAsia"/>
        </w:rPr>
        <w:t>。</w:t>
      </w:r>
    </w:p>
    <w:p w:rsidR="002F30C1" w:rsidRDefault="002F30C1" w:rsidP="002F30C1">
      <w:pPr>
        <w:pStyle w:val="20"/>
        <w:ind w:leftChars="29" w:left="1134" w:hangingChars="371" w:hanging="1052"/>
        <w:jc w:val="both"/>
        <w:rPr>
          <w:rFonts w:hAnsi="標楷體"/>
          <w:b/>
          <w:sz w:val="28"/>
        </w:rPr>
      </w:pPr>
      <w:r w:rsidRPr="00DC42CC">
        <w:rPr>
          <w:rFonts w:hint="eastAsia"/>
          <w:b/>
          <w:sz w:val="28"/>
        </w:rPr>
        <w:t>表</w:t>
      </w:r>
      <w:r>
        <w:rPr>
          <w:rFonts w:hint="eastAsia"/>
          <w:b/>
          <w:sz w:val="28"/>
        </w:rPr>
        <w:t>3</w:t>
      </w:r>
      <w:r w:rsidRPr="00DC42CC">
        <w:rPr>
          <w:rFonts w:hint="eastAsia"/>
          <w:b/>
          <w:sz w:val="28"/>
        </w:rPr>
        <w:t>-</w:t>
      </w:r>
      <w:r>
        <w:rPr>
          <w:rFonts w:hint="eastAsia"/>
          <w:b/>
          <w:sz w:val="28"/>
        </w:rPr>
        <w:t>4</w:t>
      </w:r>
      <w:r w:rsidRPr="00DC42CC">
        <w:rPr>
          <w:rFonts w:hint="eastAsia"/>
          <w:b/>
          <w:sz w:val="28"/>
        </w:rPr>
        <w:t xml:space="preserve">  </w:t>
      </w:r>
      <w:r>
        <w:rPr>
          <w:rFonts w:hint="eastAsia"/>
          <w:b/>
          <w:sz w:val="28"/>
        </w:rPr>
        <w:t>近年</w:t>
      </w:r>
      <w:r>
        <w:rPr>
          <w:rFonts w:hAnsi="標楷體" w:hint="eastAsia"/>
          <w:b/>
          <w:sz w:val="28"/>
        </w:rPr>
        <w:t>中央政府</w:t>
      </w:r>
      <w:r>
        <w:rPr>
          <w:rFonts w:hint="eastAsia"/>
          <w:b/>
          <w:sz w:val="28"/>
        </w:rPr>
        <w:t>特別預算債務舉借</w:t>
      </w:r>
      <w:r>
        <w:rPr>
          <w:rFonts w:hAnsi="標楷體" w:hint="eastAsia"/>
          <w:b/>
          <w:sz w:val="28"/>
        </w:rPr>
        <w:t>之預、決算</w:t>
      </w:r>
      <w:r w:rsidRPr="00DC42CC">
        <w:rPr>
          <w:rFonts w:hAnsi="標楷體" w:hint="eastAsia"/>
          <w:b/>
          <w:sz w:val="28"/>
        </w:rPr>
        <w:t>概況表</w:t>
      </w:r>
    </w:p>
    <w:p w:rsidR="002F30C1" w:rsidRPr="00DC42CC" w:rsidRDefault="002F30C1" w:rsidP="002F30C1">
      <w:pPr>
        <w:pStyle w:val="20"/>
        <w:ind w:leftChars="29" w:left="985" w:hangingChars="371" w:hanging="903"/>
        <w:jc w:val="right"/>
        <w:rPr>
          <w:rFonts w:hAnsi="標楷體"/>
          <w:szCs w:val="24"/>
        </w:rPr>
      </w:pPr>
      <w:r w:rsidRPr="00DC42CC">
        <w:rPr>
          <w:rFonts w:hAnsi="標楷體" w:hint="eastAsia"/>
          <w:b/>
        </w:rPr>
        <w:t xml:space="preserve">                                      </w:t>
      </w:r>
      <w:r w:rsidRPr="00DC42CC">
        <w:rPr>
          <w:rFonts w:hAnsi="標楷體" w:hint="eastAsia"/>
          <w:szCs w:val="24"/>
        </w:rPr>
        <w:t>單位：新臺幣</w:t>
      </w:r>
      <w:r>
        <w:rPr>
          <w:rFonts w:hAnsi="標楷體" w:hint="eastAsia"/>
          <w:szCs w:val="24"/>
        </w:rPr>
        <w:t>億</w:t>
      </w:r>
      <w:r w:rsidRPr="00DC42CC">
        <w:rPr>
          <w:rFonts w:hAnsi="標楷體" w:hint="eastAsia"/>
          <w:szCs w:val="24"/>
        </w:rPr>
        <w:t>元</w:t>
      </w:r>
    </w:p>
    <w:tbl>
      <w:tblPr>
        <w:tblW w:w="8563" w:type="dxa"/>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295"/>
        <w:gridCol w:w="1134"/>
        <w:gridCol w:w="1134"/>
      </w:tblGrid>
      <w:tr w:rsidR="00DA606F" w:rsidRPr="00587F54" w:rsidTr="00F249CD">
        <w:trPr>
          <w:trHeight w:val="340"/>
          <w:tblHeader/>
        </w:trPr>
        <w:tc>
          <w:tcPr>
            <w:tcW w:w="6295" w:type="dxa"/>
            <w:vMerge w:val="restart"/>
            <w:shd w:val="clear" w:color="auto" w:fill="auto"/>
            <w:vAlign w:val="center"/>
          </w:tcPr>
          <w:p w:rsidR="00DA606F" w:rsidRPr="002F30C1" w:rsidRDefault="00DA606F" w:rsidP="00DA606F">
            <w:pPr>
              <w:pStyle w:val="142"/>
              <w:jc w:val="center"/>
              <w:rPr>
                <w:rFonts w:hAnsi="標楷體"/>
                <w:b/>
                <w:spacing w:val="-6"/>
                <w:szCs w:val="24"/>
              </w:rPr>
            </w:pPr>
            <w:r>
              <w:rPr>
                <w:rFonts w:hAnsi="標楷體" w:hint="eastAsia"/>
                <w:b/>
                <w:spacing w:val="-6"/>
                <w:szCs w:val="24"/>
              </w:rPr>
              <w:t>特別預算別</w:t>
            </w:r>
          </w:p>
        </w:tc>
        <w:tc>
          <w:tcPr>
            <w:tcW w:w="2268" w:type="dxa"/>
            <w:gridSpan w:val="2"/>
            <w:shd w:val="clear" w:color="auto" w:fill="auto"/>
            <w:vAlign w:val="center"/>
          </w:tcPr>
          <w:p w:rsidR="00DA606F" w:rsidRPr="002F30C1" w:rsidRDefault="00DA606F" w:rsidP="002F30C1">
            <w:pPr>
              <w:pStyle w:val="142"/>
              <w:jc w:val="center"/>
              <w:rPr>
                <w:rFonts w:hAnsi="標楷體"/>
                <w:b/>
                <w:spacing w:val="-6"/>
                <w:szCs w:val="24"/>
              </w:rPr>
            </w:pPr>
            <w:r>
              <w:rPr>
                <w:rFonts w:hAnsi="標楷體" w:hint="eastAsia"/>
                <w:b/>
                <w:spacing w:val="-6"/>
                <w:szCs w:val="24"/>
              </w:rPr>
              <w:t>債務舉借數</w:t>
            </w:r>
          </w:p>
        </w:tc>
      </w:tr>
      <w:tr w:rsidR="00DA606F" w:rsidRPr="00587F54" w:rsidTr="00F249CD">
        <w:trPr>
          <w:trHeight w:val="340"/>
          <w:tblHeader/>
        </w:trPr>
        <w:tc>
          <w:tcPr>
            <w:tcW w:w="6295" w:type="dxa"/>
            <w:vMerge/>
            <w:shd w:val="clear" w:color="auto" w:fill="auto"/>
            <w:vAlign w:val="center"/>
          </w:tcPr>
          <w:p w:rsidR="00DA606F" w:rsidRPr="00DA606F" w:rsidRDefault="00DA606F" w:rsidP="00DA606F">
            <w:pPr>
              <w:pStyle w:val="142"/>
              <w:rPr>
                <w:rFonts w:hAnsi="標楷體"/>
                <w:spacing w:val="-6"/>
                <w:szCs w:val="24"/>
              </w:rPr>
            </w:pPr>
          </w:p>
        </w:tc>
        <w:tc>
          <w:tcPr>
            <w:tcW w:w="1134" w:type="dxa"/>
            <w:shd w:val="clear" w:color="auto" w:fill="auto"/>
            <w:vAlign w:val="center"/>
          </w:tcPr>
          <w:p w:rsidR="00DA606F" w:rsidRPr="002F30C1" w:rsidRDefault="00DA606F" w:rsidP="00EC0D8D">
            <w:pPr>
              <w:pStyle w:val="142"/>
              <w:jc w:val="center"/>
              <w:rPr>
                <w:rFonts w:hAnsi="標楷體"/>
                <w:b/>
                <w:spacing w:val="-6"/>
                <w:szCs w:val="24"/>
              </w:rPr>
            </w:pPr>
            <w:r>
              <w:rPr>
                <w:rFonts w:hAnsi="標楷體" w:hint="eastAsia"/>
                <w:b/>
                <w:spacing w:val="-6"/>
                <w:szCs w:val="24"/>
              </w:rPr>
              <w:t>預算數</w:t>
            </w:r>
          </w:p>
        </w:tc>
        <w:tc>
          <w:tcPr>
            <w:tcW w:w="1134" w:type="dxa"/>
            <w:shd w:val="clear" w:color="auto" w:fill="auto"/>
            <w:vAlign w:val="center"/>
          </w:tcPr>
          <w:p w:rsidR="00DA606F" w:rsidRPr="002F30C1" w:rsidRDefault="00DA606F" w:rsidP="00EC0D8D">
            <w:pPr>
              <w:pStyle w:val="142"/>
              <w:jc w:val="center"/>
              <w:rPr>
                <w:rFonts w:hAnsi="標楷體"/>
                <w:b/>
                <w:spacing w:val="-6"/>
                <w:szCs w:val="24"/>
              </w:rPr>
            </w:pPr>
            <w:r w:rsidRPr="002F30C1">
              <w:rPr>
                <w:rFonts w:hAnsi="標楷體" w:hint="eastAsia"/>
                <w:b/>
                <w:spacing w:val="-6"/>
                <w:szCs w:val="24"/>
              </w:rPr>
              <w:t>決算數</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流域綜合治理計畫第</w:t>
            </w:r>
            <w:r w:rsidRPr="00DA606F">
              <w:rPr>
                <w:rFonts w:hAnsi="標楷體"/>
                <w:spacing w:val="-6"/>
                <w:szCs w:val="24"/>
              </w:rPr>
              <w:t>1</w:t>
            </w:r>
            <w:r w:rsidRPr="00DA606F">
              <w:rPr>
                <w:rFonts w:hAnsi="標楷體" w:hint="eastAsia"/>
                <w:spacing w:val="-6"/>
                <w:szCs w:val="24"/>
              </w:rPr>
              <w:t>期</w:t>
            </w:r>
            <w:r w:rsidRPr="00DA606F">
              <w:rPr>
                <w:rFonts w:hAnsi="標楷體"/>
                <w:spacing w:val="-6"/>
                <w:szCs w:val="24"/>
              </w:rPr>
              <w:t>(103~104</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126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119 </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流域綜合治理計畫第</w:t>
            </w:r>
            <w:r w:rsidRPr="00DA606F">
              <w:rPr>
                <w:rFonts w:hAnsi="標楷體"/>
                <w:spacing w:val="-6"/>
                <w:szCs w:val="24"/>
              </w:rPr>
              <w:t>2</w:t>
            </w:r>
            <w:r w:rsidRPr="00DA606F">
              <w:rPr>
                <w:rFonts w:hAnsi="標楷體" w:hint="eastAsia"/>
                <w:spacing w:val="-6"/>
                <w:szCs w:val="24"/>
              </w:rPr>
              <w:t>期</w:t>
            </w:r>
            <w:r w:rsidRPr="00DA606F">
              <w:rPr>
                <w:rFonts w:hAnsi="標楷體"/>
                <w:spacing w:val="-6"/>
                <w:szCs w:val="24"/>
              </w:rPr>
              <w:t>(105~106</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100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62 </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流域綜合治理計畫第</w:t>
            </w:r>
            <w:r w:rsidRPr="00DA606F">
              <w:rPr>
                <w:rFonts w:hAnsi="標楷體"/>
                <w:spacing w:val="-6"/>
                <w:szCs w:val="24"/>
              </w:rPr>
              <w:t>3</w:t>
            </w:r>
            <w:r w:rsidRPr="00DA606F">
              <w:rPr>
                <w:rFonts w:hAnsi="標楷體" w:hint="eastAsia"/>
                <w:spacing w:val="-6"/>
                <w:szCs w:val="24"/>
              </w:rPr>
              <w:t>期</w:t>
            </w:r>
            <w:r w:rsidRPr="00DA606F">
              <w:rPr>
                <w:rFonts w:hAnsi="標楷體"/>
                <w:spacing w:val="-6"/>
                <w:szCs w:val="24"/>
              </w:rPr>
              <w:t>(107~108</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104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94 </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前瞻基礎建設計畫第</w:t>
            </w:r>
            <w:r w:rsidRPr="00DA606F">
              <w:rPr>
                <w:rFonts w:hAnsi="標楷體"/>
                <w:spacing w:val="-6"/>
                <w:szCs w:val="24"/>
              </w:rPr>
              <w:t>1</w:t>
            </w:r>
            <w:r w:rsidRPr="00DA606F">
              <w:rPr>
                <w:rFonts w:hAnsi="標楷體" w:hint="eastAsia"/>
                <w:spacing w:val="-6"/>
                <w:szCs w:val="24"/>
              </w:rPr>
              <w:t>期</w:t>
            </w:r>
            <w:r w:rsidRPr="00DA606F">
              <w:rPr>
                <w:rFonts w:hAnsi="標楷體"/>
                <w:spacing w:val="-6"/>
                <w:szCs w:val="24"/>
              </w:rPr>
              <w:t>(106~107</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1,071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1,009 </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前瞻基礎建設計畫第</w:t>
            </w:r>
            <w:r w:rsidRPr="00DA606F">
              <w:rPr>
                <w:rFonts w:hAnsi="標楷體"/>
                <w:spacing w:val="-6"/>
                <w:szCs w:val="24"/>
              </w:rPr>
              <w:t>2</w:t>
            </w:r>
            <w:r w:rsidRPr="00DA606F">
              <w:rPr>
                <w:rFonts w:hAnsi="標楷體" w:hint="eastAsia"/>
                <w:spacing w:val="-6"/>
                <w:szCs w:val="24"/>
              </w:rPr>
              <w:t>期</w:t>
            </w:r>
            <w:r w:rsidRPr="00DA606F">
              <w:rPr>
                <w:rFonts w:hAnsi="標楷體"/>
                <w:spacing w:val="-6"/>
                <w:szCs w:val="24"/>
              </w:rPr>
              <w:t>(108~109</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2,230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2,140 </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前瞻基礎建設計畫第</w:t>
            </w:r>
            <w:r w:rsidRPr="00DA606F">
              <w:rPr>
                <w:rFonts w:hAnsi="標楷體"/>
                <w:spacing w:val="-6"/>
                <w:szCs w:val="24"/>
              </w:rPr>
              <w:t>3</w:t>
            </w:r>
            <w:r w:rsidRPr="00DA606F">
              <w:rPr>
                <w:rFonts w:hAnsi="標楷體" w:hint="eastAsia"/>
                <w:spacing w:val="-6"/>
                <w:szCs w:val="24"/>
              </w:rPr>
              <w:t>期</w:t>
            </w:r>
            <w:r w:rsidRPr="00DA606F">
              <w:rPr>
                <w:rFonts w:hAnsi="標楷體"/>
                <w:spacing w:val="-6"/>
                <w:szCs w:val="24"/>
              </w:rPr>
              <w:t>(110~111</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2,298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2,246 </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前瞻基礎建設計畫第</w:t>
            </w:r>
            <w:r w:rsidRPr="00DA606F">
              <w:rPr>
                <w:rFonts w:hAnsi="標楷體"/>
                <w:spacing w:val="-6"/>
                <w:szCs w:val="24"/>
              </w:rPr>
              <w:t>4</w:t>
            </w:r>
            <w:r w:rsidRPr="00DA606F">
              <w:rPr>
                <w:rFonts w:hAnsi="標楷體" w:hint="eastAsia"/>
                <w:spacing w:val="-6"/>
                <w:szCs w:val="24"/>
              </w:rPr>
              <w:t>期</w:t>
            </w:r>
            <w:r w:rsidRPr="00DA606F">
              <w:rPr>
                <w:rFonts w:hAnsi="標楷體"/>
                <w:spacing w:val="-6"/>
                <w:szCs w:val="24"/>
              </w:rPr>
              <w:t>(112~113</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2,098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2,067 </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前瞻基礎建設計畫第</w:t>
            </w:r>
            <w:r w:rsidRPr="00DA606F">
              <w:rPr>
                <w:rFonts w:hAnsi="標楷體"/>
                <w:spacing w:val="-6"/>
                <w:szCs w:val="24"/>
              </w:rPr>
              <w:t>5</w:t>
            </w:r>
            <w:r w:rsidRPr="00DA606F">
              <w:rPr>
                <w:rFonts w:hAnsi="標楷體" w:hint="eastAsia"/>
                <w:spacing w:val="-6"/>
                <w:szCs w:val="24"/>
              </w:rPr>
              <w:t>期</w:t>
            </w:r>
            <w:r w:rsidRPr="00DA606F">
              <w:rPr>
                <w:rFonts w:hAnsi="標楷體"/>
                <w:spacing w:val="-6"/>
                <w:szCs w:val="24"/>
              </w:rPr>
              <w:t>(114</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703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新式戰機採購</w:t>
            </w:r>
            <w:r w:rsidRPr="00DA606F">
              <w:rPr>
                <w:rFonts w:hAnsi="標楷體"/>
                <w:spacing w:val="-6"/>
                <w:szCs w:val="24"/>
              </w:rPr>
              <w:t>(109~115</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2,322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嚴重特殊傳染性肺炎防治及紓困振興</w:t>
            </w:r>
            <w:r w:rsidRPr="00DA606F">
              <w:rPr>
                <w:rFonts w:hAnsi="標楷體"/>
                <w:spacing w:val="-6"/>
                <w:szCs w:val="24"/>
              </w:rPr>
              <w:t>(109~112</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8,093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8,026 </w:t>
            </w:r>
          </w:p>
        </w:tc>
      </w:tr>
      <w:tr w:rsidR="00DA606F" w:rsidRPr="00587F54" w:rsidTr="00F249CD">
        <w:trPr>
          <w:trHeight w:val="340"/>
        </w:trPr>
        <w:tc>
          <w:tcPr>
            <w:tcW w:w="6295" w:type="dxa"/>
            <w:shd w:val="clear" w:color="auto" w:fill="auto"/>
            <w:vAlign w:val="center"/>
          </w:tcPr>
          <w:p w:rsidR="00DA606F" w:rsidRPr="00DA606F" w:rsidRDefault="00DA606F" w:rsidP="00DA606F">
            <w:pPr>
              <w:pStyle w:val="142"/>
              <w:rPr>
                <w:rFonts w:hAnsi="標楷體"/>
                <w:spacing w:val="-6"/>
                <w:szCs w:val="24"/>
              </w:rPr>
            </w:pPr>
            <w:r w:rsidRPr="00DA606F">
              <w:rPr>
                <w:rFonts w:hAnsi="標楷體" w:hint="eastAsia"/>
                <w:spacing w:val="-6"/>
                <w:szCs w:val="24"/>
              </w:rPr>
              <w:t>海空戰力提升計畫採購</w:t>
            </w:r>
            <w:r w:rsidRPr="00DA606F">
              <w:rPr>
                <w:rFonts w:hAnsi="標楷體"/>
                <w:spacing w:val="-6"/>
                <w:szCs w:val="24"/>
              </w:rPr>
              <w:t>(111~115</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DA606F" w:rsidRPr="00DA606F" w:rsidRDefault="007231F1" w:rsidP="00DA606F">
            <w:pPr>
              <w:pStyle w:val="142"/>
              <w:jc w:val="right"/>
              <w:rPr>
                <w:rFonts w:hAnsi="標楷體"/>
                <w:spacing w:val="-20"/>
                <w:szCs w:val="24"/>
              </w:rPr>
            </w:pPr>
            <w:r w:rsidRPr="00DA606F">
              <w:rPr>
                <w:rFonts w:hAnsi="標楷體"/>
                <w:spacing w:val="-20"/>
                <w:szCs w:val="24"/>
              </w:rPr>
              <w:t>2,370</w:t>
            </w:r>
            <w:r w:rsidR="00DA606F" w:rsidRPr="00DA606F">
              <w:rPr>
                <w:rFonts w:hAnsi="標楷體"/>
                <w:spacing w:val="-20"/>
                <w:szCs w:val="24"/>
              </w:rPr>
              <w:t xml:space="preserve"> </w:t>
            </w:r>
          </w:p>
        </w:tc>
        <w:tc>
          <w:tcPr>
            <w:tcW w:w="1134" w:type="dxa"/>
            <w:shd w:val="clear" w:color="auto" w:fill="auto"/>
            <w:vAlign w:val="center"/>
          </w:tcPr>
          <w:p w:rsidR="00DA606F" w:rsidRPr="00DA606F" w:rsidRDefault="00DA606F" w:rsidP="00DA606F">
            <w:pPr>
              <w:pStyle w:val="142"/>
              <w:jc w:val="right"/>
              <w:rPr>
                <w:rFonts w:hAnsi="標楷體"/>
                <w:spacing w:val="-20"/>
                <w:szCs w:val="24"/>
              </w:rPr>
            </w:pPr>
            <w:r w:rsidRPr="00DA606F">
              <w:rPr>
                <w:rFonts w:hAnsi="標楷體"/>
                <w:spacing w:val="-20"/>
                <w:szCs w:val="24"/>
              </w:rPr>
              <w:t>-</w:t>
            </w:r>
          </w:p>
        </w:tc>
      </w:tr>
      <w:tr w:rsidR="00DA606F" w:rsidRPr="00587F54" w:rsidTr="00F249CD">
        <w:trPr>
          <w:trHeight w:val="340"/>
        </w:trPr>
        <w:tc>
          <w:tcPr>
            <w:tcW w:w="6295" w:type="dxa"/>
            <w:shd w:val="clear" w:color="auto" w:fill="auto"/>
            <w:vAlign w:val="center"/>
          </w:tcPr>
          <w:p w:rsidR="00DA606F" w:rsidRPr="00DA606F" w:rsidRDefault="00DA606F" w:rsidP="00DA606F">
            <w:pPr>
              <w:pStyle w:val="142"/>
              <w:rPr>
                <w:rFonts w:hAnsi="標楷體"/>
                <w:spacing w:val="-6"/>
                <w:szCs w:val="24"/>
              </w:rPr>
            </w:pPr>
            <w:r w:rsidRPr="00DA606F">
              <w:rPr>
                <w:rFonts w:hAnsi="標楷體" w:hint="eastAsia"/>
                <w:spacing w:val="-6"/>
                <w:szCs w:val="24"/>
              </w:rPr>
              <w:t>疫後強化經濟與社會韌性及全民共享經濟成果</w:t>
            </w:r>
            <w:r w:rsidRPr="00DA606F">
              <w:rPr>
                <w:rFonts w:hAnsi="標楷體"/>
                <w:spacing w:val="-6"/>
                <w:szCs w:val="24"/>
              </w:rPr>
              <w:t>(112~114</w:t>
            </w:r>
            <w:r w:rsidRPr="00DA606F">
              <w:rPr>
                <w:rFonts w:hAnsi="標楷體" w:hint="eastAsia"/>
                <w:spacing w:val="-6"/>
                <w:szCs w:val="24"/>
              </w:rPr>
              <w:t>年度)</w:t>
            </w:r>
          </w:p>
        </w:tc>
        <w:tc>
          <w:tcPr>
            <w:tcW w:w="1134" w:type="dxa"/>
            <w:shd w:val="clear" w:color="auto" w:fill="auto"/>
            <w:vAlign w:val="center"/>
          </w:tcPr>
          <w:p w:rsidR="00DA606F" w:rsidRPr="00DA606F" w:rsidRDefault="007231F1" w:rsidP="007231F1">
            <w:pPr>
              <w:pStyle w:val="142"/>
              <w:jc w:val="right"/>
              <w:rPr>
                <w:rFonts w:hAnsi="標楷體"/>
                <w:spacing w:val="-20"/>
                <w:szCs w:val="24"/>
              </w:rPr>
            </w:pPr>
            <w:r>
              <w:rPr>
                <w:rFonts w:hAnsi="標楷體" w:hint="eastAsia"/>
                <w:spacing w:val="-20"/>
                <w:szCs w:val="24"/>
              </w:rPr>
              <w:t>0</w:t>
            </w:r>
            <w:r w:rsidR="00DA606F" w:rsidRPr="00DA606F">
              <w:rPr>
                <w:rFonts w:hAnsi="標楷體"/>
                <w:spacing w:val="-20"/>
                <w:szCs w:val="24"/>
              </w:rPr>
              <w:t xml:space="preserve"> </w:t>
            </w:r>
          </w:p>
        </w:tc>
        <w:tc>
          <w:tcPr>
            <w:tcW w:w="1134" w:type="dxa"/>
            <w:shd w:val="clear" w:color="auto" w:fill="auto"/>
            <w:vAlign w:val="center"/>
          </w:tcPr>
          <w:p w:rsidR="00DA606F" w:rsidRPr="00DA606F" w:rsidRDefault="00DA606F" w:rsidP="00DA606F">
            <w:pPr>
              <w:pStyle w:val="142"/>
              <w:jc w:val="right"/>
              <w:rPr>
                <w:rFonts w:hAnsi="標楷體"/>
                <w:spacing w:val="-20"/>
                <w:szCs w:val="24"/>
              </w:rPr>
            </w:pPr>
            <w:r w:rsidRPr="00DA606F">
              <w:rPr>
                <w:rFonts w:hAnsi="標楷體"/>
                <w:spacing w:val="-20"/>
                <w:szCs w:val="24"/>
              </w:rPr>
              <w:t>-</w:t>
            </w:r>
          </w:p>
        </w:tc>
      </w:tr>
    </w:tbl>
    <w:p w:rsidR="00F80BA4" w:rsidRPr="005712C2" w:rsidRDefault="00F80BA4" w:rsidP="00F80BA4">
      <w:pPr>
        <w:pStyle w:val="142"/>
        <w:ind w:leftChars="27" w:left="1523" w:hangingChars="595" w:hanging="1447"/>
        <w:rPr>
          <w:rFonts w:hAnsi="標楷體"/>
          <w:szCs w:val="24"/>
        </w:rPr>
      </w:pPr>
      <w:r w:rsidRPr="005712C2">
        <w:rPr>
          <w:rFonts w:hAnsi="標楷體" w:hint="eastAsia"/>
          <w:szCs w:val="24"/>
        </w:rPr>
        <w:t>說</w:t>
      </w:r>
      <w:r>
        <w:rPr>
          <w:rFonts w:hAnsi="標楷體" w:hint="eastAsia"/>
          <w:szCs w:val="24"/>
        </w:rPr>
        <w:t xml:space="preserve">    </w:t>
      </w:r>
      <w:r w:rsidRPr="005712C2">
        <w:rPr>
          <w:rFonts w:hAnsi="標楷體" w:hint="eastAsia"/>
          <w:szCs w:val="24"/>
        </w:rPr>
        <w:t>明：1.表</w:t>
      </w:r>
      <w:r>
        <w:rPr>
          <w:rFonts w:hAnsi="標楷體" w:hint="eastAsia"/>
          <w:szCs w:val="24"/>
        </w:rPr>
        <w:t>列</w:t>
      </w:r>
      <w:r w:rsidRPr="005712C2">
        <w:rPr>
          <w:rFonts w:hAnsi="標楷體" w:hint="eastAsia"/>
          <w:szCs w:val="24"/>
        </w:rPr>
        <w:t>決算數係依審計部各特別決算審核報告及行政院主計總處特別決算填列，並依嗣後審計部及行政院核定註銷保留數調整。</w:t>
      </w:r>
      <w:r>
        <w:rPr>
          <w:rFonts w:hAnsi="標楷體" w:hint="eastAsia"/>
          <w:szCs w:val="24"/>
        </w:rPr>
        <w:t>又</w:t>
      </w:r>
      <w:r w:rsidRPr="005712C2">
        <w:rPr>
          <w:rFonts w:hAnsi="標楷體" w:hint="eastAsia"/>
          <w:szCs w:val="24"/>
        </w:rPr>
        <w:t>易淹水地區水患治理計畫第3期、流域綜合治理計畫第1至第3期、前瞻基礎建設計畫第1期第3期、嚴重特殊傳染性肺炎防治及紓困振興為審定決算數。前瞻基礎建設計畫第4期為院編決算數。</w:t>
      </w:r>
    </w:p>
    <w:p w:rsidR="00F80BA4" w:rsidRPr="00F80BA4" w:rsidRDefault="00F80BA4" w:rsidP="00F80BA4">
      <w:pPr>
        <w:spacing w:line="280" w:lineRule="exact"/>
        <w:ind w:leftChars="444" w:left="1498" w:rightChars="-8" w:right="-23" w:hangingChars="99" w:hanging="241"/>
        <w:rPr>
          <w:rFonts w:hAnsi="標楷體"/>
          <w:sz w:val="24"/>
          <w:szCs w:val="24"/>
        </w:rPr>
      </w:pPr>
      <w:r w:rsidRPr="00F80BA4">
        <w:rPr>
          <w:rFonts w:hAnsi="標楷體" w:hint="eastAsia"/>
          <w:sz w:val="24"/>
          <w:szCs w:val="24"/>
        </w:rPr>
        <w:t>2.新式戰機採購、海空戰力提升計畫採購、前瞻基礎建設計畫第4期及疫後強化經濟與社會韌性及全民共享經濟成果特別預算尚未辦理決算；前瞻基礎建設計畫第5期為預算案數。</w:t>
      </w:r>
    </w:p>
    <w:p w:rsidR="00F80BA4" w:rsidRPr="00F80BA4" w:rsidRDefault="00F80BA4" w:rsidP="00F80BA4">
      <w:pPr>
        <w:spacing w:line="280" w:lineRule="exact"/>
        <w:ind w:leftChars="444" w:left="1498" w:rightChars="-8" w:right="-23" w:hangingChars="99" w:hanging="241"/>
        <w:rPr>
          <w:rFonts w:hAnsi="標楷體"/>
          <w:sz w:val="24"/>
          <w:szCs w:val="24"/>
        </w:rPr>
      </w:pPr>
      <w:r w:rsidRPr="00F80BA4">
        <w:rPr>
          <w:rFonts w:hAnsi="標楷體" w:hint="eastAsia"/>
          <w:sz w:val="24"/>
          <w:szCs w:val="24"/>
        </w:rPr>
        <w:t>3.疫後強化經濟與社會韌性及全民共享經濟成果特別預算依其特別條例第5條及行政院112年5月15日函，因以前年度歲計賸餘已足額全數支應該特別預算歲出，確定不舉借債務，配合調整其各年度債務舉借預算數。</w:t>
      </w:r>
    </w:p>
    <w:p w:rsidR="002F30C1" w:rsidRDefault="002F30C1" w:rsidP="002F30C1">
      <w:pPr>
        <w:pStyle w:val="142"/>
        <w:ind w:left="1189" w:hangingChars="489" w:hanging="1189"/>
        <w:rPr>
          <w:rFonts w:hAnsi="標楷體"/>
          <w:szCs w:val="24"/>
        </w:rPr>
      </w:pPr>
      <w:r w:rsidRPr="00D0060A">
        <w:rPr>
          <w:rFonts w:hAnsi="標楷體" w:hint="eastAsia"/>
          <w:szCs w:val="24"/>
        </w:rPr>
        <w:t>資料來源：</w:t>
      </w:r>
      <w:r w:rsidRPr="00A355CE">
        <w:rPr>
          <w:rFonts w:hAnsi="標楷體" w:hint="eastAsia"/>
          <w:szCs w:val="24"/>
        </w:rPr>
        <w:t>財政部</w:t>
      </w:r>
      <w:r>
        <w:rPr>
          <w:rFonts w:hAnsi="標楷體" w:hint="eastAsia"/>
          <w:szCs w:val="24"/>
        </w:rPr>
        <w:t>國庫署</w:t>
      </w:r>
      <w:r w:rsidR="008A277A">
        <w:rPr>
          <w:rFonts w:hAnsi="標楷體" w:hint="eastAsia"/>
          <w:szCs w:val="24"/>
        </w:rPr>
        <w:t>網站</w:t>
      </w:r>
      <w:r w:rsidR="005315D7">
        <w:rPr>
          <w:rFonts w:hAnsi="標楷體" w:hint="eastAsia"/>
          <w:szCs w:val="24"/>
        </w:rPr>
        <w:t>，</w:t>
      </w:r>
      <w:r w:rsidR="005315D7" w:rsidRPr="005315D7">
        <w:rPr>
          <w:rFonts w:hAnsi="標楷體"/>
          <w:szCs w:val="24"/>
        </w:rPr>
        <w:t>https://www.nta.gov.tw/</w:t>
      </w:r>
      <w:r w:rsidR="005315D7">
        <w:rPr>
          <w:rFonts w:hAnsi="標楷體" w:hint="eastAsia"/>
          <w:szCs w:val="24"/>
        </w:rPr>
        <w:t>(最後瀏覽日</w:t>
      </w:r>
      <w:r w:rsidR="005315D7" w:rsidRPr="005315D7">
        <w:rPr>
          <w:rFonts w:hAnsi="標楷體"/>
          <w:szCs w:val="24"/>
        </w:rPr>
        <w:t>:</w:t>
      </w:r>
      <w:r w:rsidR="005315D7">
        <w:rPr>
          <w:rFonts w:hAnsi="標楷體" w:hint="eastAsia"/>
          <w:szCs w:val="24"/>
        </w:rPr>
        <w:t>114年7月3日)</w:t>
      </w:r>
      <w:r w:rsidRPr="00D0060A">
        <w:rPr>
          <w:rFonts w:hAnsi="標楷體" w:hint="eastAsia"/>
          <w:szCs w:val="24"/>
        </w:rPr>
        <w:t>。</w:t>
      </w:r>
    </w:p>
    <w:p w:rsidR="000417BA" w:rsidRDefault="000417BA" w:rsidP="00A176BA">
      <w:pPr>
        <w:pStyle w:val="14"/>
        <w:ind w:left="567" w:hanging="567"/>
      </w:pPr>
    </w:p>
    <w:p w:rsidR="00A176BA" w:rsidRPr="002D5357" w:rsidRDefault="00A176BA" w:rsidP="00A176BA">
      <w:pPr>
        <w:pStyle w:val="14"/>
        <w:ind w:left="567" w:hanging="567"/>
      </w:pPr>
      <w:bookmarkStart w:id="12" w:name="_Toc203481655"/>
      <w:r w:rsidRPr="002D5357">
        <w:rPr>
          <w:rFonts w:hint="eastAsia"/>
        </w:rPr>
        <w:t>肆、結論</w:t>
      </w:r>
      <w:bookmarkEnd w:id="12"/>
    </w:p>
    <w:p w:rsidR="00FF2467" w:rsidRDefault="009D6E43" w:rsidP="00FF2467">
      <w:pPr>
        <w:pStyle w:val="a8"/>
        <w:spacing w:line="480" w:lineRule="exact"/>
        <w:ind w:firstLine="566"/>
      </w:pPr>
      <w:r w:rsidRPr="009D6E43">
        <w:rPr>
          <w:rFonts w:hint="eastAsia"/>
        </w:rPr>
        <w:t>稅課收入乃中央政府收入之主要來源，稅收估測準確性攸關財政收支平衡、施政延續性及國家整體資源有效運用，</w:t>
      </w:r>
      <w:r w:rsidR="00AE339C" w:rsidRPr="009D6E43">
        <w:rPr>
          <w:rFonts w:hint="eastAsia"/>
        </w:rPr>
        <w:t>然</w:t>
      </w:r>
      <w:r w:rsidRPr="009D6E43">
        <w:rPr>
          <w:rFonts w:hint="eastAsia"/>
        </w:rPr>
        <w:t>近年</w:t>
      </w:r>
      <w:r w:rsidR="00AE339C" w:rsidRPr="009D6E43">
        <w:rPr>
          <w:rFonts w:hint="eastAsia"/>
        </w:rPr>
        <w:t>屢發生稅收鉅額低估情事，不僅不利於籌編年度預算時即能妥善規劃稅收用途，外界亦迭有「稅收超徵、還稅於民」之聲，</w:t>
      </w:r>
      <w:r w:rsidRPr="009D6E43">
        <w:rPr>
          <w:rFonts w:hint="eastAsia"/>
        </w:rPr>
        <w:t>經</w:t>
      </w:r>
      <w:r w:rsidR="00AE339C" w:rsidRPr="009D6E43">
        <w:rPr>
          <w:rFonts w:hint="eastAsia"/>
        </w:rPr>
        <w:t>探討近年中央政府總預算歲入結構變動及歲計賸餘運用情形</w:t>
      </w:r>
      <w:r w:rsidRPr="009D6E43">
        <w:rPr>
          <w:rFonts w:hint="eastAsia"/>
        </w:rPr>
        <w:t>後</w:t>
      </w:r>
      <w:r w:rsidR="00AE339C" w:rsidRPr="009D6E43">
        <w:rPr>
          <w:rFonts w:hint="eastAsia"/>
        </w:rPr>
        <w:t>，</w:t>
      </w:r>
      <w:r w:rsidR="00FF2467" w:rsidRPr="009D6E43">
        <w:rPr>
          <w:rFonts w:hint="eastAsia"/>
        </w:rPr>
        <w:t>爰提出以下</w:t>
      </w:r>
      <w:r w:rsidR="00FF2467" w:rsidRPr="00DF3AC7">
        <w:rPr>
          <w:rFonts w:hint="eastAsia"/>
        </w:rPr>
        <w:t>建議，</w:t>
      </w:r>
      <w:r w:rsidR="00FF2467">
        <w:rPr>
          <w:rFonts w:hint="eastAsia"/>
        </w:rPr>
        <w:t>俾供相關</w:t>
      </w:r>
      <w:r w:rsidR="00FF2467" w:rsidRPr="00FC2BFB">
        <w:rPr>
          <w:rFonts w:hint="eastAsia"/>
        </w:rPr>
        <w:t>主政機關</w:t>
      </w:r>
      <w:r w:rsidR="00FF2467">
        <w:rPr>
          <w:rFonts w:hint="eastAsia"/>
        </w:rPr>
        <w:t>參考：</w:t>
      </w:r>
    </w:p>
    <w:p w:rsidR="00FF2467" w:rsidRDefault="00FF2467" w:rsidP="00C266AD">
      <w:pPr>
        <w:pStyle w:val="a8"/>
        <w:ind w:left="566" w:hangingChars="200" w:hanging="566"/>
      </w:pPr>
      <w:r w:rsidRPr="00290279">
        <w:rPr>
          <w:rFonts w:hint="eastAsia"/>
        </w:rPr>
        <w:t>一、</w:t>
      </w:r>
      <w:r w:rsidR="00C266AD" w:rsidRPr="00C266AD">
        <w:rPr>
          <w:rFonts w:hint="eastAsia"/>
        </w:rPr>
        <w:t>依總統於114年3月21日公布之財政收支劃分法修正條文，中央政府之稅課收入將大幅減少，允宜審慎規劃各項歲出計畫，俾利施政項目之順利推動或延續</w:t>
      </w:r>
      <w:r w:rsidR="00C266AD">
        <w:rPr>
          <w:rFonts w:hint="eastAsia"/>
        </w:rPr>
        <w:t>，且中央</w:t>
      </w:r>
      <w:r w:rsidR="00C266AD" w:rsidRPr="00C266AD">
        <w:rPr>
          <w:rFonts w:hint="eastAsia"/>
        </w:rPr>
        <w:t>及地方事權移轉涉整體性政策規劃，</w:t>
      </w:r>
      <w:r w:rsidR="00C266AD">
        <w:rPr>
          <w:rFonts w:hint="eastAsia"/>
        </w:rPr>
        <w:t>允</w:t>
      </w:r>
      <w:r w:rsidR="00C266AD" w:rsidRPr="00C266AD">
        <w:rPr>
          <w:rFonts w:hint="eastAsia"/>
        </w:rPr>
        <w:t>應通盤一致性檢視</w:t>
      </w:r>
      <w:r w:rsidR="00C266AD">
        <w:rPr>
          <w:rFonts w:hint="eastAsia"/>
        </w:rPr>
        <w:t>及</w:t>
      </w:r>
      <w:r w:rsidR="00C266AD" w:rsidRPr="00C266AD">
        <w:rPr>
          <w:rFonts w:hint="eastAsia"/>
        </w:rPr>
        <w:t>研議與地方政府間之權責劃分相關事宜，以資因應</w:t>
      </w:r>
      <w:r w:rsidR="00C266AD">
        <w:rPr>
          <w:rFonts w:hint="eastAsia"/>
        </w:rPr>
        <w:t>。</w:t>
      </w:r>
    </w:p>
    <w:p w:rsidR="00C266AD" w:rsidRDefault="00C266AD" w:rsidP="00C266AD">
      <w:pPr>
        <w:pStyle w:val="a8"/>
        <w:ind w:left="566" w:hangingChars="200" w:hanging="566"/>
      </w:pPr>
      <w:r>
        <w:rPr>
          <w:rFonts w:hint="eastAsia"/>
        </w:rPr>
        <w:t>二、</w:t>
      </w:r>
      <w:r w:rsidR="00AE339C" w:rsidRPr="00AE339C">
        <w:rPr>
          <w:rFonts w:hint="eastAsia"/>
        </w:rPr>
        <w:t>財政部為使稅收估測更貼近實際，近年成立「財政部稅收估測專案小組」，並進行委外研究及建立估測模型進行估測等，然113年度中央政府稅課收入誤差金額高達3,757億元且高於112年度，</w:t>
      </w:r>
      <w:r w:rsidR="00AB357A">
        <w:rPr>
          <w:rFonts w:hint="eastAsia"/>
        </w:rPr>
        <w:t>而</w:t>
      </w:r>
      <w:r w:rsidR="00A84FF6" w:rsidRPr="00A84FF6">
        <w:rPr>
          <w:rFonts w:hint="eastAsia"/>
        </w:rPr>
        <w:t>所得稅、證券交易稅，以及營業稅等3項稅目屢為近年稅課收入預算低估數最鉅者，</w:t>
      </w:r>
      <w:r w:rsidR="00AE339C" w:rsidRPr="00A84FF6">
        <w:rPr>
          <w:rFonts w:hint="eastAsia"/>
        </w:rPr>
        <w:t>有待財金主管機關細究預估失準原因，並研謀精進估測模型，以縮減稅收誤差</w:t>
      </w:r>
      <w:r w:rsidR="00AE339C">
        <w:rPr>
          <w:rFonts w:hint="eastAsia"/>
        </w:rPr>
        <w:t>。</w:t>
      </w:r>
    </w:p>
    <w:p w:rsidR="00C266AD" w:rsidRPr="00C266AD" w:rsidRDefault="00C266AD" w:rsidP="00C266AD">
      <w:pPr>
        <w:pStyle w:val="a8"/>
        <w:ind w:left="566" w:hangingChars="200" w:hanging="566"/>
      </w:pPr>
      <w:r>
        <w:rPr>
          <w:rFonts w:hint="eastAsia"/>
        </w:rPr>
        <w:t>三、</w:t>
      </w:r>
      <w:r w:rsidRPr="00C266AD">
        <w:rPr>
          <w:rFonts w:hint="eastAsia"/>
        </w:rPr>
        <w:t>近年因稅課收入預算低估而產生高額之歲計賸餘，雖財政狀況持續改善，且部分已用於減少當年度舉債、增加還債，惟</w:t>
      </w:r>
      <w:r w:rsidR="00A84FF6" w:rsidRPr="00C266AD">
        <w:rPr>
          <w:rFonts w:hint="eastAsia"/>
        </w:rPr>
        <w:t>近8年</w:t>
      </w:r>
      <w:r w:rsidR="00AB357A">
        <w:rPr>
          <w:rFonts w:hint="eastAsia"/>
        </w:rPr>
        <w:t>(106至113年度)</w:t>
      </w:r>
      <w:r w:rsidR="00A84FF6" w:rsidRPr="00C266AD">
        <w:rPr>
          <w:rFonts w:hint="eastAsia"/>
        </w:rPr>
        <w:t>中央政府債務實際數持續上升，截至113年底累計債務未償債務餘額</w:t>
      </w:r>
      <w:r w:rsidR="00A84FF6">
        <w:rPr>
          <w:rFonts w:hint="eastAsia"/>
        </w:rPr>
        <w:t>達</w:t>
      </w:r>
      <w:r w:rsidR="00A84FF6" w:rsidRPr="00C266AD">
        <w:rPr>
          <w:rFonts w:hint="eastAsia"/>
        </w:rPr>
        <w:t>5兆8,580億元</w:t>
      </w:r>
      <w:r w:rsidR="00A84FF6">
        <w:rPr>
          <w:rFonts w:hint="eastAsia"/>
        </w:rPr>
        <w:t>，</w:t>
      </w:r>
      <w:r w:rsidRPr="00C266AD">
        <w:rPr>
          <w:rFonts w:hint="eastAsia"/>
        </w:rPr>
        <w:t>債務償還之執行能量容待檢討提升，允宜妥適規劃及建立運用歲計賸餘償債機制，俾利健全財政</w:t>
      </w:r>
      <w:r>
        <w:rPr>
          <w:rFonts w:hint="eastAsia"/>
        </w:rPr>
        <w:t>。</w:t>
      </w:r>
    </w:p>
    <w:bookmarkEnd w:id="1"/>
    <w:bookmarkEnd w:id="2"/>
    <w:p w:rsidR="00097719" w:rsidRPr="009D47A5" w:rsidRDefault="0078383B" w:rsidP="00444459">
      <w:pPr>
        <w:pStyle w:val="ab"/>
        <w:rPr>
          <w:rFonts w:hAnsi="標楷體"/>
          <w:snapToGrid/>
        </w:rPr>
      </w:pPr>
      <w:r w:rsidRPr="002D5357">
        <w:rPr>
          <w:rFonts w:hint="eastAsia"/>
        </w:rPr>
        <w:t xml:space="preserve">（分機：8657 </w:t>
      </w:r>
      <w:r w:rsidR="000417BA">
        <w:rPr>
          <w:rFonts w:hint="eastAsia"/>
        </w:rPr>
        <w:t>黃惠雯</w:t>
      </w:r>
      <w:r w:rsidR="004A1135" w:rsidRPr="002D5357">
        <w:rPr>
          <w:rFonts w:hint="eastAsia"/>
        </w:rPr>
        <w:t>）</w:t>
      </w:r>
    </w:p>
    <w:sectPr w:rsidR="00097719" w:rsidRPr="009D47A5" w:rsidSect="003237B0">
      <w:headerReference w:type="even" r:id="rId19"/>
      <w:headerReference w:type="default" r:id="rId20"/>
      <w:footerReference w:type="even" r:id="rId21"/>
      <w:footerReference w:type="default" r:id="rId22"/>
      <w:headerReference w:type="first" r:id="rId23"/>
      <w:footerReference w:type="first" r:id="rId2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1A9" w:rsidRDefault="007F21A9" w:rsidP="000E45C8">
      <w:pPr>
        <w:spacing w:line="240" w:lineRule="auto"/>
        <w:ind w:left="560" w:firstLine="560"/>
      </w:pPr>
    </w:p>
    <w:p w:rsidR="007F21A9" w:rsidRDefault="007F21A9" w:rsidP="000E45C8">
      <w:pPr>
        <w:ind w:left="560" w:firstLine="560"/>
      </w:pPr>
    </w:p>
  </w:endnote>
  <w:endnote w:type="continuationSeparator" w:id="0">
    <w:p w:rsidR="007F21A9" w:rsidRDefault="007F21A9" w:rsidP="000E45C8">
      <w:pPr>
        <w:ind w:left="560" w:firstLine="560"/>
      </w:pPr>
    </w:p>
    <w:p w:rsidR="007F21A9" w:rsidRDefault="007F21A9" w:rsidP="000E45C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Pr="00874A6C" w:rsidRDefault="00A82976" w:rsidP="000E45C8">
    <w:pPr>
      <w:pStyle w:val="af2"/>
      <w:ind w:left="560" w:firstLine="400"/>
    </w:pPr>
  </w:p>
  <w:p w:rsidR="00A82976" w:rsidRDefault="00A82976" w:rsidP="000E45C8">
    <w:pPr>
      <w:ind w:left="560" w:firstLine="560"/>
    </w:pPr>
  </w:p>
  <w:p w:rsidR="00A82976" w:rsidRDefault="00A82976" w:rsidP="000E45C8">
    <w:pPr>
      <w:spacing w:line="240" w:lineRule="auto"/>
      <w:ind w:left="560" w:firstLine="560"/>
    </w:pPr>
    <w:r>
      <w:continuationSeparator/>
    </w:r>
  </w:p>
  <w:p w:rsidR="00A82976" w:rsidRDefault="00A82976" w:rsidP="000E45C8">
    <w:pPr>
      <w:ind w:left="560" w:firstLine="560"/>
    </w:pPr>
  </w:p>
  <w:p w:rsidR="00A82976" w:rsidRDefault="00A82976" w:rsidP="000E45C8">
    <w:pPr>
      <w:spacing w:line="240" w:lineRule="auto"/>
      <w:ind w:left="560" w:firstLine="560"/>
    </w:pPr>
    <w:r>
      <w:separator/>
    </w:r>
  </w:p>
  <w:p w:rsidR="00A82976" w:rsidRDefault="00A82976" w:rsidP="000E45C8">
    <w:pPr>
      <w:ind w:left="560" w:firstLine="560"/>
    </w:pPr>
  </w:p>
  <w:p w:rsidR="00A82976" w:rsidRDefault="00A82976" w:rsidP="000E45C8">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pStyle w:val="ae"/>
      <w:ind w:left="560" w:firstLine="400"/>
      <w:jc w:val="center"/>
    </w:pPr>
    <w:r>
      <w:fldChar w:fldCharType="begin"/>
    </w:r>
    <w:r>
      <w:instrText>PAGE   \* MERGEFORMAT</w:instrText>
    </w:r>
    <w:r>
      <w:fldChar w:fldCharType="separate"/>
    </w:r>
    <w:r w:rsidR="005814D1" w:rsidRPr="005814D1">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p w:rsidR="00A82976" w:rsidRDefault="00A82976" w:rsidP="000E45C8">
    <w:pPr>
      <w:ind w:left="560" w:firstLine="560"/>
    </w:pPr>
  </w:p>
  <w:p w:rsidR="00A82976" w:rsidRDefault="00A82976" w:rsidP="000E45C8">
    <w:pPr>
      <w:ind w:left="560" w:firstLine="560"/>
    </w:pPr>
    <w:r>
      <w:rPr>
        <w:rStyle w:val="af0"/>
      </w:rPr>
      <w:t>A</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2072D7">
    <w:pPr>
      <w:pStyle w:val="ae"/>
      <w:ind w:left="560" w:firstLine="400"/>
      <w:jc w:val="center"/>
    </w:pPr>
    <w:r>
      <w:fldChar w:fldCharType="begin"/>
    </w:r>
    <w:r>
      <w:instrText>PAGE   \* MERGEFORMAT</w:instrText>
    </w:r>
    <w:r>
      <w:fldChar w:fldCharType="separate"/>
    </w:r>
    <w:r w:rsidR="005814D1" w:rsidRPr="005814D1">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1A9" w:rsidRPr="00191DAA" w:rsidRDefault="007F21A9" w:rsidP="005415D6">
      <w:pPr>
        <w:pStyle w:val="ae"/>
        <w:ind w:left="560" w:firstLine="400"/>
        <w:rPr>
          <w:u w:val="single"/>
        </w:rPr>
      </w:pPr>
      <w:r w:rsidRPr="00191DAA">
        <w:rPr>
          <w:rFonts w:hint="eastAsia"/>
          <w:u w:val="single"/>
        </w:rPr>
        <w:t xml:space="preserve">                         </w:t>
      </w:r>
    </w:p>
  </w:footnote>
  <w:footnote w:type="continuationSeparator" w:id="0">
    <w:p w:rsidR="007F21A9" w:rsidRDefault="007F21A9" w:rsidP="000E45C8">
      <w:pPr>
        <w:spacing w:line="240" w:lineRule="auto"/>
        <w:ind w:left="560" w:firstLine="560"/>
      </w:pPr>
    </w:p>
    <w:p w:rsidR="007F21A9" w:rsidRPr="00DD780F" w:rsidRDefault="007F21A9" w:rsidP="000E45C8">
      <w:pPr>
        <w:ind w:left="560" w:firstLine="560"/>
        <w:rPr>
          <w:vertAlign w:val="subscript"/>
        </w:rPr>
      </w:pPr>
      <w:r w:rsidRPr="00DD780F">
        <w:rPr>
          <w:vertAlign w:val="subscript"/>
        </w:rPr>
        <w:t>……</w:t>
      </w:r>
    </w:p>
  </w:footnote>
  <w:footnote w:type="continuationNotice" w:id="1">
    <w:p w:rsidR="007F21A9" w:rsidRDefault="007F21A9" w:rsidP="005E0602">
      <w:pPr>
        <w:spacing w:line="240" w:lineRule="auto"/>
        <w:ind w:left="560" w:firstLine="560"/>
      </w:pPr>
    </w:p>
  </w:footnote>
  <w:footnote w:id="2">
    <w:p w:rsidR="00A82976" w:rsidRPr="00965751" w:rsidRDefault="00A82976" w:rsidP="008F09CA">
      <w:pPr>
        <w:pStyle w:val="142"/>
        <w:ind w:left="83" w:hangingChars="34" w:hanging="83"/>
        <w:jc w:val="both"/>
      </w:pPr>
      <w:r>
        <w:rPr>
          <w:rStyle w:val="af6"/>
        </w:rPr>
        <w:footnoteRef/>
      </w:r>
      <w:r w:rsidRPr="00965751">
        <w:rPr>
          <w:rFonts w:hint="eastAsia"/>
        </w:rPr>
        <w:t>財劃法第</w:t>
      </w:r>
      <w:r>
        <w:rPr>
          <w:rFonts w:hint="eastAsia"/>
        </w:rPr>
        <w:t>8</w:t>
      </w:r>
      <w:r w:rsidRPr="00965751">
        <w:rPr>
          <w:rFonts w:hint="eastAsia"/>
        </w:rPr>
        <w:t>條第</w:t>
      </w:r>
      <w:r>
        <w:rPr>
          <w:rFonts w:hint="eastAsia"/>
        </w:rPr>
        <w:t>1</w:t>
      </w:r>
      <w:r w:rsidRPr="00965751">
        <w:rPr>
          <w:rFonts w:hint="eastAsia"/>
        </w:rPr>
        <w:t>項</w:t>
      </w:r>
      <w:r>
        <w:rPr>
          <w:rFonts w:hint="eastAsia"/>
        </w:rPr>
        <w:t>規定</w:t>
      </w:r>
      <w:r w:rsidRPr="00965751">
        <w:rPr>
          <w:rFonts w:hint="eastAsia"/>
        </w:rPr>
        <w:t>：「</w:t>
      </w:r>
      <w:r>
        <w:rPr>
          <w:rFonts w:hint="eastAsia"/>
        </w:rPr>
        <w:t>下列各稅為國稅：一、所得稅。二、遺產及贈與稅。三、關稅。四、營業稅。五、貨物稅。六、菸酒稅。七、證券交易稅。八、期貨交易稅。</w:t>
      </w:r>
      <w:r w:rsidRPr="00965751">
        <w:rPr>
          <w:rFonts w:hint="eastAsia"/>
        </w:rPr>
        <w:t>」</w:t>
      </w:r>
    </w:p>
  </w:footnote>
  <w:footnote w:id="3">
    <w:p w:rsidR="00A82976" w:rsidRDefault="00A82976" w:rsidP="00016812">
      <w:pPr>
        <w:pStyle w:val="142"/>
        <w:ind w:left="83" w:hangingChars="34" w:hanging="83"/>
        <w:jc w:val="both"/>
      </w:pPr>
      <w:r>
        <w:rPr>
          <w:rStyle w:val="af6"/>
        </w:rPr>
        <w:footnoteRef/>
      </w:r>
      <w:r w:rsidRPr="003A69BB">
        <w:rPr>
          <w:rFonts w:hint="eastAsia"/>
        </w:rPr>
        <w:t>財劃法第8條第</w:t>
      </w:r>
      <w:r>
        <w:rPr>
          <w:rFonts w:hint="eastAsia"/>
        </w:rPr>
        <w:t>2</w:t>
      </w:r>
      <w:r w:rsidRPr="003A69BB">
        <w:rPr>
          <w:rFonts w:hint="eastAsia"/>
        </w:rPr>
        <w:t>項</w:t>
      </w:r>
      <w:r>
        <w:rPr>
          <w:rFonts w:hint="eastAsia"/>
        </w:rPr>
        <w:t>規定</w:t>
      </w:r>
      <w:r w:rsidRPr="003A69BB">
        <w:rPr>
          <w:rFonts w:hint="eastAsia"/>
        </w:rPr>
        <w:t>：「前項第</w:t>
      </w:r>
      <w:r>
        <w:rPr>
          <w:rFonts w:hint="eastAsia"/>
        </w:rPr>
        <w:t>1</w:t>
      </w:r>
      <w:r w:rsidRPr="003A69BB">
        <w:rPr>
          <w:rFonts w:hint="eastAsia"/>
        </w:rPr>
        <w:t>款之所得稅總收入</w:t>
      </w:r>
      <w:r w:rsidRPr="00725BE2">
        <w:rPr>
          <w:rFonts w:hint="eastAsia"/>
          <w:b/>
        </w:rPr>
        <w:t>百分之</w:t>
      </w:r>
      <w:r w:rsidRPr="00BB35DD">
        <w:rPr>
          <w:rFonts w:hint="eastAsia"/>
          <w:b/>
        </w:rPr>
        <w:t>十一</w:t>
      </w:r>
      <w:r w:rsidRPr="003A69BB">
        <w:rPr>
          <w:rFonts w:hint="eastAsia"/>
        </w:rPr>
        <w:t>、第</w:t>
      </w:r>
      <w:r>
        <w:rPr>
          <w:rFonts w:hint="eastAsia"/>
        </w:rPr>
        <w:t>4</w:t>
      </w:r>
      <w:r w:rsidRPr="003A69BB">
        <w:rPr>
          <w:rFonts w:hint="eastAsia"/>
        </w:rPr>
        <w:t>款之營業稅總收入減除</w:t>
      </w:r>
      <w:r w:rsidRPr="00BB35DD">
        <w:rPr>
          <w:rFonts w:hint="eastAsia"/>
          <w:b/>
        </w:rPr>
        <w:t>百分之一點五作為稽徵經費及</w:t>
      </w:r>
      <w:r w:rsidRPr="003A69BB">
        <w:rPr>
          <w:rFonts w:hint="eastAsia"/>
        </w:rPr>
        <w:t>依法提撥之統一發票給獎獎金後之</w:t>
      </w:r>
      <w:r w:rsidRPr="00BB35DD">
        <w:rPr>
          <w:rFonts w:hint="eastAsia"/>
          <w:b/>
        </w:rPr>
        <w:t>全部收入</w:t>
      </w:r>
      <w:r w:rsidRPr="003A69BB">
        <w:rPr>
          <w:rFonts w:hint="eastAsia"/>
        </w:rPr>
        <w:t>及第</w:t>
      </w:r>
      <w:r>
        <w:rPr>
          <w:rFonts w:hint="eastAsia"/>
        </w:rPr>
        <w:t>5</w:t>
      </w:r>
      <w:r w:rsidRPr="003A69BB">
        <w:rPr>
          <w:rFonts w:hint="eastAsia"/>
        </w:rPr>
        <w:t>款之貨物稅總收入百分之十，應由中央統籌分配直轄市、縣（市）及鄉（鎮、市）。」</w:t>
      </w:r>
    </w:p>
    <w:p w:rsidR="00A82976" w:rsidRPr="003A69BB" w:rsidRDefault="00A82976" w:rsidP="00016812">
      <w:pPr>
        <w:pStyle w:val="142"/>
        <w:ind w:left="55" w:hangingChars="34" w:hanging="55"/>
        <w:jc w:val="both"/>
      </w:pPr>
      <w:r w:rsidRPr="00016812">
        <w:rPr>
          <w:rFonts w:hint="eastAsia"/>
          <w:sz w:val="16"/>
          <w:szCs w:val="16"/>
        </w:rPr>
        <w:t xml:space="preserve"> </w:t>
      </w:r>
      <w:r>
        <w:rPr>
          <w:rFonts w:hint="eastAsia"/>
        </w:rPr>
        <w:t>修正前財劃法</w:t>
      </w:r>
      <w:r w:rsidRPr="00BB35DD">
        <w:rPr>
          <w:rFonts w:hint="eastAsia"/>
        </w:rPr>
        <w:t>第8條第2項</w:t>
      </w:r>
      <w:r>
        <w:rPr>
          <w:rFonts w:hint="eastAsia"/>
        </w:rPr>
        <w:t>規定</w:t>
      </w:r>
      <w:r w:rsidRPr="00BB35DD">
        <w:rPr>
          <w:rFonts w:hint="eastAsia"/>
        </w:rPr>
        <w:t>：「前項第</w:t>
      </w:r>
      <w:r>
        <w:rPr>
          <w:rFonts w:hint="eastAsia"/>
        </w:rPr>
        <w:t>1</w:t>
      </w:r>
      <w:r w:rsidRPr="00BB35DD">
        <w:rPr>
          <w:rFonts w:hint="eastAsia"/>
        </w:rPr>
        <w:t>款之所得稅總收入</w:t>
      </w:r>
      <w:r w:rsidRPr="00725BE2">
        <w:rPr>
          <w:rFonts w:hint="eastAsia"/>
          <w:b/>
        </w:rPr>
        <w:t>百分之</w:t>
      </w:r>
      <w:r w:rsidRPr="00BB35DD">
        <w:rPr>
          <w:rFonts w:hint="eastAsia"/>
          <w:b/>
        </w:rPr>
        <w:t>十</w:t>
      </w:r>
      <w:r w:rsidRPr="00BB35DD">
        <w:rPr>
          <w:rFonts w:hint="eastAsia"/>
        </w:rPr>
        <w:t>、第</w:t>
      </w:r>
      <w:r>
        <w:rPr>
          <w:rFonts w:hint="eastAsia"/>
        </w:rPr>
        <w:t>4</w:t>
      </w:r>
      <w:r w:rsidRPr="00BB35DD">
        <w:rPr>
          <w:rFonts w:hint="eastAsia"/>
        </w:rPr>
        <w:t>款之營業稅總收入減除依法提撥之統一發票給獎獎金後之</w:t>
      </w:r>
      <w:r w:rsidRPr="00BB35DD">
        <w:rPr>
          <w:rFonts w:hint="eastAsia"/>
          <w:b/>
        </w:rPr>
        <w:t>百分之四十</w:t>
      </w:r>
      <w:r w:rsidRPr="00BB35DD">
        <w:rPr>
          <w:rFonts w:hint="eastAsia"/>
        </w:rPr>
        <w:t>及第</w:t>
      </w:r>
      <w:r>
        <w:rPr>
          <w:rFonts w:hint="eastAsia"/>
        </w:rPr>
        <w:t>5</w:t>
      </w:r>
      <w:r w:rsidRPr="00BB35DD">
        <w:rPr>
          <w:rFonts w:hint="eastAsia"/>
        </w:rPr>
        <w:t>款之貨物稅總收入百分之十，應由中央統籌分配直轄市、縣（市）及鄉（鎮、市）。」</w:t>
      </w:r>
    </w:p>
  </w:footnote>
  <w:footnote w:id="4">
    <w:p w:rsidR="00A82976" w:rsidRPr="00E303D9" w:rsidRDefault="00A82976" w:rsidP="00016812">
      <w:pPr>
        <w:pStyle w:val="142"/>
        <w:ind w:left="83" w:hangingChars="34" w:hanging="83"/>
        <w:jc w:val="both"/>
      </w:pPr>
      <w:r w:rsidRPr="00093307">
        <w:rPr>
          <w:vertAlign w:val="superscript"/>
        </w:rPr>
        <w:footnoteRef/>
      </w:r>
      <w:r>
        <w:rPr>
          <w:rFonts w:hint="eastAsia"/>
        </w:rPr>
        <w:t>參財政部之</w:t>
      </w:r>
      <w:r w:rsidRPr="00E303D9">
        <w:rPr>
          <w:rFonts w:hint="eastAsia"/>
        </w:rPr>
        <w:t>109年稅收徵起情形分析</w:t>
      </w:r>
      <w:r>
        <w:rPr>
          <w:rFonts w:hint="eastAsia"/>
        </w:rPr>
        <w:t>。</w:t>
      </w:r>
    </w:p>
  </w:footnote>
  <w:footnote w:id="5">
    <w:p w:rsidR="00A82976" w:rsidRPr="00D87CD0" w:rsidRDefault="00A82976" w:rsidP="00016812">
      <w:pPr>
        <w:pStyle w:val="142"/>
        <w:ind w:left="83" w:hangingChars="34" w:hanging="83"/>
        <w:jc w:val="both"/>
      </w:pPr>
      <w:r>
        <w:rPr>
          <w:rStyle w:val="af6"/>
        </w:rPr>
        <w:footnoteRef/>
      </w:r>
      <w:r>
        <w:rPr>
          <w:rFonts w:hint="eastAsia"/>
        </w:rPr>
        <w:t>依</w:t>
      </w:r>
      <w:r w:rsidRPr="00654704">
        <w:rPr>
          <w:rFonts w:hint="eastAsia"/>
        </w:rPr>
        <w:t>財政部</w:t>
      </w:r>
      <w:r>
        <w:rPr>
          <w:rFonts w:hint="eastAsia"/>
        </w:rPr>
        <w:t>各年</w:t>
      </w:r>
      <w:r w:rsidRPr="00654704">
        <w:rPr>
          <w:rFonts w:hint="eastAsia"/>
        </w:rPr>
        <w:t>稅收徵起情形分析</w:t>
      </w:r>
      <w:r>
        <w:rPr>
          <w:rFonts w:hint="eastAsia"/>
        </w:rPr>
        <w:t>，</w:t>
      </w:r>
      <w:r w:rsidRPr="00654704">
        <w:rPr>
          <w:rFonts w:hint="eastAsia"/>
        </w:rPr>
        <w:t>110及111年度上市櫃公司獲利成長及隨營所稅暫繳稅款回補；112年度上市櫃公司獲利成長及股利、薪資與利息所得同步走升；113年度最低稅負申報額、薪資及利息所得增加推升綜所稅，加以AI相關類股引領臺股價量齊揚，證交稅表現亮眼</w:t>
      </w:r>
      <w:r>
        <w:rPr>
          <w:rFonts w:hint="eastAsia"/>
        </w:rPr>
        <w:t>，使各該</w:t>
      </w:r>
      <w:r w:rsidRPr="00654704">
        <w:rPr>
          <w:rFonts w:hint="eastAsia"/>
        </w:rPr>
        <w:t>年度</w:t>
      </w:r>
      <w:r>
        <w:rPr>
          <w:rFonts w:hint="eastAsia"/>
        </w:rPr>
        <w:t>稅收</w:t>
      </w:r>
      <w:r w:rsidRPr="00654704">
        <w:rPr>
          <w:rFonts w:hint="eastAsia"/>
        </w:rPr>
        <w:t>超</w:t>
      </w:r>
      <w:r>
        <w:rPr>
          <w:rFonts w:hint="eastAsia"/>
        </w:rPr>
        <w:t>出</w:t>
      </w:r>
      <w:r w:rsidRPr="00654704">
        <w:rPr>
          <w:rFonts w:hint="eastAsia"/>
        </w:rPr>
        <w:t>預算數</w:t>
      </w:r>
      <w:r>
        <w:rPr>
          <w:rFonts w:hint="eastAsia"/>
        </w:rPr>
        <w:t>。</w:t>
      </w:r>
    </w:p>
  </w:footnote>
  <w:footnote w:id="6">
    <w:p w:rsidR="00A82976" w:rsidRPr="00A42997" w:rsidRDefault="00A82976" w:rsidP="00016812">
      <w:pPr>
        <w:pStyle w:val="142"/>
        <w:ind w:left="83" w:hangingChars="34" w:hanging="83"/>
        <w:jc w:val="both"/>
      </w:pPr>
      <w:r>
        <w:rPr>
          <w:rStyle w:val="af6"/>
        </w:rPr>
        <w:footnoteRef/>
      </w:r>
      <w:r w:rsidRPr="00BB4988">
        <w:rPr>
          <w:rFonts w:hint="eastAsia"/>
        </w:rPr>
        <w:t>依財政部113年稅收徵起情形分析，</w:t>
      </w:r>
      <w:r>
        <w:rPr>
          <w:rFonts w:hint="eastAsia"/>
        </w:rPr>
        <w:t>我國113</w:t>
      </w:r>
      <w:r w:rsidRPr="00A42997">
        <w:rPr>
          <w:rFonts w:hint="eastAsia"/>
        </w:rPr>
        <w:t>年租稅負擔率雖為近26年最高，惟較民國70及80年代均值(16.5%)低</w:t>
      </w:r>
      <w:r>
        <w:rPr>
          <w:rFonts w:hint="eastAsia"/>
        </w:rPr>
        <w:t>。</w:t>
      </w:r>
    </w:p>
  </w:footnote>
  <w:footnote w:id="7">
    <w:p w:rsidR="00A82976" w:rsidRPr="00C40E91" w:rsidRDefault="00A82976" w:rsidP="00016812">
      <w:pPr>
        <w:pStyle w:val="142"/>
        <w:ind w:left="83" w:hangingChars="34" w:hanging="83"/>
        <w:jc w:val="both"/>
      </w:pPr>
      <w:r w:rsidRPr="00275C49">
        <w:rPr>
          <w:rStyle w:val="af6"/>
        </w:rPr>
        <w:footnoteRef/>
      </w:r>
      <w:r>
        <w:rPr>
          <w:rFonts w:hint="eastAsia"/>
        </w:rPr>
        <w:t>2023年租稅負擔率(含社會安全捐)，美國25.2%、加拿大34.8%、英國35.3%、德國38.1</w:t>
      </w:r>
      <w:r>
        <w:t>%</w:t>
      </w:r>
      <w:r>
        <w:rPr>
          <w:rFonts w:hint="eastAsia"/>
        </w:rPr>
        <w:t>、法國43.8%。</w:t>
      </w:r>
    </w:p>
  </w:footnote>
  <w:footnote w:id="8">
    <w:p w:rsidR="00A82976" w:rsidRPr="003C1917" w:rsidRDefault="00A82976" w:rsidP="00E31C6C">
      <w:pPr>
        <w:pStyle w:val="142"/>
        <w:ind w:left="83" w:hangingChars="34" w:hanging="83"/>
        <w:jc w:val="both"/>
      </w:pPr>
      <w:r>
        <w:rPr>
          <w:rStyle w:val="af6"/>
        </w:rPr>
        <w:footnoteRef/>
      </w:r>
      <w:r>
        <w:rPr>
          <w:rFonts w:hint="eastAsia"/>
        </w:rPr>
        <w:t>行政院編113年度中央政府總決算(第1冊)，丙92-94頁，其中102至106年度歲計餘絀為0。</w:t>
      </w:r>
    </w:p>
  </w:footnote>
  <w:footnote w:id="9">
    <w:p w:rsidR="00A82976" w:rsidRPr="00FB2D94" w:rsidRDefault="00A82976" w:rsidP="00016812">
      <w:pPr>
        <w:pStyle w:val="142"/>
        <w:ind w:left="83" w:hangingChars="34" w:hanging="83"/>
        <w:jc w:val="both"/>
      </w:pPr>
      <w:r>
        <w:rPr>
          <w:rStyle w:val="af6"/>
        </w:rPr>
        <w:footnoteRef/>
      </w:r>
      <w:r>
        <w:rPr>
          <w:rFonts w:hint="eastAsia"/>
        </w:rPr>
        <w:t>44、46、47、53至69、74、76至79、84、87、88、88年下半年及89、90、93、95、96、107至113年度。</w:t>
      </w:r>
    </w:p>
  </w:footnote>
  <w:footnote w:id="10">
    <w:p w:rsidR="00A82976" w:rsidRPr="00C0499A" w:rsidRDefault="00A82976" w:rsidP="003818AC">
      <w:pPr>
        <w:pStyle w:val="142"/>
        <w:spacing w:line="260" w:lineRule="exact"/>
        <w:ind w:left="83" w:hangingChars="34" w:hanging="83"/>
        <w:jc w:val="both"/>
      </w:pPr>
      <w:r>
        <w:rPr>
          <w:rStyle w:val="af6"/>
        </w:rPr>
        <w:footnoteRef/>
      </w:r>
      <w:r>
        <w:rPr>
          <w:rFonts w:hint="eastAsia"/>
        </w:rPr>
        <w:t>以往各年度之調整項目大致相同。此外</w:t>
      </w:r>
      <w:r w:rsidRPr="001A7C95">
        <w:rPr>
          <w:rFonts w:hint="eastAsia"/>
        </w:rPr>
        <w:t>，註銷歲入保留數部分主要為註銷以往保留多年未能順利執行之釋股預算，113年度為台灣電力股份有限公司199.8億元及中油股份有限公司100億元。</w:t>
      </w:r>
    </w:p>
  </w:footnote>
  <w:footnote w:id="11">
    <w:p w:rsidR="00A82976" w:rsidRPr="00963FDD" w:rsidRDefault="00A82976" w:rsidP="000C056A">
      <w:pPr>
        <w:pStyle w:val="142"/>
        <w:spacing w:line="260" w:lineRule="exact"/>
        <w:ind w:left="141" w:hangingChars="58" w:hanging="141"/>
        <w:jc w:val="both"/>
      </w:pPr>
      <w:r>
        <w:rPr>
          <w:rStyle w:val="af6"/>
        </w:rPr>
        <w:footnoteRef/>
      </w:r>
      <w:r w:rsidRPr="00963FDD">
        <w:rPr>
          <w:rFonts w:hint="eastAsia"/>
        </w:rPr>
        <w:t>中央政府新式戰機採購特別預算預計移用</w:t>
      </w:r>
      <w:r>
        <w:rPr>
          <w:rFonts w:hint="eastAsia"/>
        </w:rPr>
        <w:t>數150億元、</w:t>
      </w:r>
      <w:r w:rsidRPr="00963FDD">
        <w:rPr>
          <w:rFonts w:hint="eastAsia"/>
        </w:rPr>
        <w:t>中央政府疫後強化經濟與社會韌性及全民共享經濟成果特別預算預計移用數</w:t>
      </w:r>
      <w:r>
        <w:rPr>
          <w:rFonts w:hint="eastAsia"/>
        </w:rPr>
        <w:t>3,798.8億元，合計3,948.8億元。</w:t>
      </w:r>
    </w:p>
  </w:footnote>
  <w:footnote w:id="12">
    <w:p w:rsidR="00A82976" w:rsidRPr="00002AEC" w:rsidRDefault="00A82976" w:rsidP="000C056A">
      <w:pPr>
        <w:pStyle w:val="142"/>
        <w:spacing w:line="260" w:lineRule="exact"/>
        <w:ind w:left="141" w:hangingChars="58" w:hanging="141"/>
        <w:jc w:val="both"/>
      </w:pPr>
      <w:r>
        <w:rPr>
          <w:rStyle w:val="af6"/>
        </w:rPr>
        <w:footnoteRef/>
      </w:r>
      <w:r w:rsidRPr="007A4960">
        <w:rPr>
          <w:rFonts w:hint="eastAsia"/>
        </w:rPr>
        <w:t>行政院編113年度中央政府總決算(第1冊)，</w:t>
      </w:r>
      <w:r>
        <w:rPr>
          <w:rFonts w:hint="eastAsia"/>
        </w:rPr>
        <w:t>甲7頁。</w:t>
      </w:r>
    </w:p>
  </w:footnote>
  <w:footnote w:id="13">
    <w:p w:rsidR="00A82976" w:rsidRPr="00CF4247" w:rsidRDefault="00A82976" w:rsidP="000C056A">
      <w:pPr>
        <w:pStyle w:val="142"/>
        <w:spacing w:line="260" w:lineRule="exact"/>
        <w:ind w:left="141" w:hangingChars="58" w:hanging="141"/>
        <w:jc w:val="both"/>
      </w:pPr>
      <w:r>
        <w:rPr>
          <w:rStyle w:val="af6"/>
        </w:rPr>
        <w:footnoteRef/>
      </w:r>
      <w:r>
        <w:rPr>
          <w:rFonts w:hint="eastAsia"/>
        </w:rPr>
        <w:t>114年度</w:t>
      </w:r>
      <w:r w:rsidRPr="00CF4247">
        <w:rPr>
          <w:rFonts w:hint="eastAsia"/>
        </w:rPr>
        <w:t>中央政府總</w:t>
      </w:r>
      <w:r>
        <w:rPr>
          <w:rFonts w:hint="eastAsia"/>
        </w:rPr>
        <w:t>預算案</w:t>
      </w:r>
      <w:r w:rsidRPr="00DA0E6F">
        <w:rPr>
          <w:rFonts w:hint="eastAsia"/>
        </w:rPr>
        <w:t>歲入歲出賸餘數209億元，扣除債務還本數1,415億元後，以舉借債務706億元及移用以前年度歲計賸餘500億元彌平。經</w:t>
      </w:r>
      <w:r>
        <w:rPr>
          <w:rFonts w:hint="eastAsia"/>
        </w:rPr>
        <w:t>立法</w:t>
      </w:r>
      <w:r w:rsidRPr="00DA0E6F">
        <w:rPr>
          <w:rFonts w:hint="eastAsia"/>
        </w:rPr>
        <w:t>院審議</w:t>
      </w:r>
      <w:r>
        <w:rPr>
          <w:rFonts w:hint="eastAsia"/>
        </w:rPr>
        <w:t>結果</w:t>
      </w:r>
      <w:r w:rsidRPr="00DA0E6F">
        <w:rPr>
          <w:rFonts w:hint="eastAsia"/>
        </w:rPr>
        <w:t>，歲入增列114億元為3兆1,648億元，歲出減列2,076億元為2兆9,249億元，歲入歲出賸餘2,399億元，扣除債務還本數1,415億元，收支賸餘數為984億元，無需舉借債務或移用以前年度歲計賸餘。</w:t>
      </w:r>
    </w:p>
  </w:footnote>
  <w:footnote w:id="14">
    <w:p w:rsidR="00A82976" w:rsidRPr="00DA0C07" w:rsidRDefault="00A82976" w:rsidP="000C056A">
      <w:pPr>
        <w:pStyle w:val="142"/>
        <w:spacing w:line="260" w:lineRule="exact"/>
        <w:ind w:left="141" w:hangingChars="58" w:hanging="141"/>
        <w:jc w:val="both"/>
      </w:pPr>
      <w:r>
        <w:rPr>
          <w:rStyle w:val="af6"/>
        </w:rPr>
        <w:footnoteRef/>
      </w:r>
      <w:r w:rsidRPr="00DA0C07">
        <w:rPr>
          <w:rFonts w:hint="eastAsia"/>
        </w:rPr>
        <w:t>將所得稅提撥中央統籌分配之比例由10%修正提高為11%、營業稅由扣除統一發票給獎獎金後之40%，修正提高為扣除1.5%作為稽徵經費及統一發票給獎獎金後之全部收入，均應由中央統籌分配直轄市、縣(市)及鄉(鎮、市)</w:t>
      </w:r>
      <w:r>
        <w:rPr>
          <w:rFonts w:hint="eastAsia"/>
        </w:rPr>
        <w:t>。</w:t>
      </w:r>
    </w:p>
  </w:footnote>
  <w:footnote w:id="15">
    <w:p w:rsidR="00A82976" w:rsidRPr="000E6A78" w:rsidRDefault="00A82976" w:rsidP="000C056A">
      <w:pPr>
        <w:pStyle w:val="142"/>
        <w:spacing w:line="260" w:lineRule="exact"/>
        <w:ind w:left="141" w:hangingChars="58" w:hanging="141"/>
        <w:jc w:val="both"/>
        <w:rPr>
          <w:rFonts w:hAnsi="標楷體"/>
          <w:szCs w:val="24"/>
        </w:rPr>
      </w:pPr>
      <w:r w:rsidRPr="000E6A78">
        <w:rPr>
          <w:rStyle w:val="af6"/>
          <w:rFonts w:hAnsi="標楷體"/>
          <w:szCs w:val="24"/>
        </w:rPr>
        <w:footnoteRef/>
      </w:r>
      <w:r w:rsidRPr="000E6A78">
        <w:rPr>
          <w:rFonts w:hAnsi="標楷體" w:hint="eastAsia"/>
          <w:szCs w:val="24"/>
        </w:rPr>
        <w:t>預算法第1條第3項</w:t>
      </w:r>
      <w:r>
        <w:rPr>
          <w:rFonts w:hAnsi="標楷體" w:hint="eastAsia"/>
          <w:szCs w:val="24"/>
        </w:rPr>
        <w:t>規定</w:t>
      </w:r>
      <w:r w:rsidRPr="000E6A78">
        <w:rPr>
          <w:rFonts w:hAnsi="標楷體" w:hint="eastAsia"/>
          <w:szCs w:val="24"/>
        </w:rPr>
        <w:t>：「預算之編製及執行應以財務管理為基礎，並遵守總體經濟均衡之原則。」</w:t>
      </w:r>
    </w:p>
  </w:footnote>
  <w:footnote w:id="16">
    <w:p w:rsidR="00A82976" w:rsidRPr="000E6A78" w:rsidRDefault="00A82976" w:rsidP="000C056A">
      <w:pPr>
        <w:pStyle w:val="142"/>
        <w:spacing w:line="260" w:lineRule="exact"/>
        <w:ind w:left="141" w:hangingChars="58" w:hanging="141"/>
        <w:jc w:val="both"/>
        <w:rPr>
          <w:rFonts w:hAnsi="標楷體"/>
          <w:szCs w:val="24"/>
        </w:rPr>
      </w:pPr>
      <w:r w:rsidRPr="000E6A78">
        <w:rPr>
          <w:rStyle w:val="af6"/>
          <w:rFonts w:hAnsi="標楷體"/>
          <w:szCs w:val="24"/>
        </w:rPr>
        <w:footnoteRef/>
      </w:r>
      <w:r w:rsidRPr="000E6A78">
        <w:rPr>
          <w:rFonts w:hAnsi="標楷體" w:hint="eastAsia"/>
          <w:szCs w:val="24"/>
        </w:rPr>
        <w:t>預算法第28條</w:t>
      </w:r>
      <w:r>
        <w:rPr>
          <w:rFonts w:hAnsi="標楷體" w:hint="eastAsia"/>
          <w:szCs w:val="24"/>
        </w:rPr>
        <w:t>第4款規定</w:t>
      </w:r>
      <w:r w:rsidRPr="000E6A78">
        <w:rPr>
          <w:rFonts w:hAnsi="標楷體" w:hint="eastAsia"/>
          <w:szCs w:val="24"/>
        </w:rPr>
        <w:t>：「中央主計機關、中央經濟建設計畫主管機關、審計機關、中央財政主管機關及其他有關機關應於籌劃擬編概算前，依下列所定範圍，將可供決定下年度施政方針之參考資料送行政院：</w:t>
      </w:r>
      <w:r w:rsidRPr="0068333E">
        <w:rPr>
          <w:rFonts w:hAnsi="標楷體" w:hint="eastAsia"/>
        </w:rPr>
        <w:t>…</w:t>
      </w:r>
      <w:r w:rsidRPr="00F42C75">
        <w:rPr>
          <w:rFonts w:hAnsi="標楷體" w:hint="eastAsia"/>
          <w:szCs w:val="24"/>
        </w:rPr>
        <w:t>四、中央財政主管機關應供給以前年度收入狀況，財務上增進效能與減少不經濟支出之建議及下年度財政措施，與最大可能之收入額度。</w:t>
      </w:r>
      <w:r w:rsidRPr="0068333E">
        <w:rPr>
          <w:rFonts w:hAnsi="標楷體" w:hint="eastAsia"/>
        </w:rPr>
        <w:t>…</w:t>
      </w:r>
      <w:r w:rsidRPr="000E6A78">
        <w:rPr>
          <w:rFonts w:hAnsi="標楷體" w:hint="eastAsia"/>
          <w:szCs w:val="24"/>
        </w:rPr>
        <w:t>。」</w:t>
      </w:r>
    </w:p>
  </w:footnote>
  <w:footnote w:id="17">
    <w:p w:rsidR="00A82976" w:rsidRPr="00F409B6" w:rsidRDefault="00A82976" w:rsidP="000C056A">
      <w:pPr>
        <w:pStyle w:val="142"/>
        <w:spacing w:line="260" w:lineRule="exact"/>
        <w:ind w:left="141" w:hangingChars="58" w:hanging="141"/>
        <w:jc w:val="both"/>
        <w:rPr>
          <w:rFonts w:hAnsi="標楷體"/>
          <w:szCs w:val="24"/>
        </w:rPr>
      </w:pPr>
      <w:r w:rsidRPr="00F409B6">
        <w:rPr>
          <w:rStyle w:val="af6"/>
          <w:rFonts w:hAnsi="標楷體"/>
          <w:szCs w:val="24"/>
        </w:rPr>
        <w:footnoteRef/>
      </w:r>
      <w:r w:rsidRPr="00F409B6">
        <w:rPr>
          <w:rFonts w:hAnsi="標楷體" w:hint="eastAsia"/>
          <w:szCs w:val="24"/>
        </w:rPr>
        <w:t>參財政部統計處各年稅收徵起情形分析。</w:t>
      </w:r>
    </w:p>
  </w:footnote>
  <w:footnote w:id="18">
    <w:p w:rsidR="00A82976" w:rsidRPr="00AA0FD7" w:rsidRDefault="00A82976" w:rsidP="000C056A">
      <w:pPr>
        <w:pStyle w:val="142"/>
        <w:spacing w:line="260" w:lineRule="exact"/>
        <w:ind w:left="141" w:hangingChars="58" w:hanging="141"/>
        <w:jc w:val="both"/>
        <w:rPr>
          <w:rFonts w:hAnsi="標楷體"/>
          <w:szCs w:val="24"/>
        </w:rPr>
      </w:pPr>
      <w:r>
        <w:rPr>
          <w:rStyle w:val="af6"/>
        </w:rPr>
        <w:footnoteRef/>
      </w:r>
      <w:r w:rsidRPr="00AA0FD7">
        <w:rPr>
          <w:rFonts w:hAnsi="標楷體" w:hint="eastAsia"/>
          <w:szCs w:val="24"/>
        </w:rPr>
        <w:t>參財政部114年3月10日</w:t>
      </w:r>
      <w:r w:rsidRPr="0050031D">
        <w:rPr>
          <w:rFonts w:hAnsi="標楷體" w:hint="eastAsia"/>
          <w:szCs w:val="24"/>
        </w:rPr>
        <w:t>於</w:t>
      </w:r>
      <w:r>
        <w:rPr>
          <w:rFonts w:hAnsi="標楷體" w:hint="eastAsia"/>
          <w:szCs w:val="24"/>
        </w:rPr>
        <w:t>立法</w:t>
      </w:r>
      <w:r w:rsidRPr="0050031D">
        <w:rPr>
          <w:rFonts w:hAnsi="標楷體" w:hint="eastAsia"/>
          <w:szCs w:val="24"/>
        </w:rPr>
        <w:t>院第11屆第3會期財政委員會</w:t>
      </w:r>
      <w:r>
        <w:rPr>
          <w:rFonts w:hAnsi="標楷體" w:hint="eastAsia"/>
          <w:szCs w:val="24"/>
        </w:rPr>
        <w:t>「稅收超徵還稅於民」公聽會之書面意見。</w:t>
      </w:r>
    </w:p>
  </w:footnote>
  <w:footnote w:id="19">
    <w:p w:rsidR="00A82976" w:rsidRPr="00402AB6" w:rsidRDefault="00A82976" w:rsidP="000C056A">
      <w:pPr>
        <w:pStyle w:val="142"/>
        <w:spacing w:line="260" w:lineRule="exact"/>
        <w:ind w:left="141" w:hangingChars="58" w:hanging="141"/>
        <w:jc w:val="both"/>
      </w:pPr>
      <w:r>
        <w:rPr>
          <w:rStyle w:val="af6"/>
        </w:rPr>
        <w:footnoteRef/>
      </w:r>
      <w:r w:rsidRPr="00402AB6">
        <w:rPr>
          <w:rFonts w:hAnsi="標楷體" w:hint="eastAsia"/>
          <w:szCs w:val="24"/>
        </w:rPr>
        <w:t>參財政部國庫署112年10月14日</w:t>
      </w:r>
      <w:r>
        <w:rPr>
          <w:rFonts w:hAnsi="標楷體" w:hint="eastAsia"/>
          <w:szCs w:val="24"/>
        </w:rPr>
        <w:t>「</w:t>
      </w:r>
      <w:r w:rsidRPr="00402AB6">
        <w:rPr>
          <w:rFonts w:hAnsi="標楷體" w:hint="eastAsia"/>
          <w:szCs w:val="24"/>
        </w:rPr>
        <w:t>有關報載今年稅收又超徵千億學者批黑箱作業及超徵稅收作特別預算財源與事實不符</w:t>
      </w:r>
      <w:r>
        <w:rPr>
          <w:rFonts w:hAnsi="標楷體" w:hint="eastAsia"/>
          <w:szCs w:val="24"/>
        </w:rPr>
        <w:t>」</w:t>
      </w:r>
      <w:r w:rsidRPr="00402AB6">
        <w:rPr>
          <w:rFonts w:hAnsi="標楷體" w:hint="eastAsia"/>
          <w:szCs w:val="24"/>
        </w:rPr>
        <w:t>新聞稿(</w:t>
      </w:r>
      <w:r w:rsidRPr="00402AB6">
        <w:rPr>
          <w:rFonts w:hAnsi="標楷體"/>
          <w:szCs w:val="24"/>
        </w:rPr>
        <w:t>https://www.nta.gov.tw/singlehtml/238?cntId=f96caa6d0eb447188ad8941e5c414f92</w:t>
      </w:r>
      <w:r w:rsidRPr="00402AB6">
        <w:rPr>
          <w:rFonts w:hAnsi="標楷體" w:hint="eastAsia"/>
          <w:szCs w:val="24"/>
        </w:rPr>
        <w:t>)</w:t>
      </w:r>
      <w:r>
        <w:rPr>
          <w:rFonts w:hAnsi="標楷體" w:hint="eastAsia"/>
          <w:szCs w:val="24"/>
        </w:rPr>
        <w:t>。</w:t>
      </w:r>
    </w:p>
  </w:footnote>
  <w:footnote w:id="20">
    <w:p w:rsidR="00A82976" w:rsidRPr="00E32694" w:rsidRDefault="00A82976" w:rsidP="000C056A">
      <w:pPr>
        <w:pStyle w:val="142"/>
        <w:spacing w:line="260" w:lineRule="exact"/>
        <w:ind w:left="141" w:hangingChars="58" w:hanging="141"/>
        <w:jc w:val="both"/>
      </w:pPr>
      <w:r>
        <w:rPr>
          <w:rStyle w:val="af6"/>
        </w:rPr>
        <w:footnoteRef/>
      </w:r>
      <w:r>
        <w:rPr>
          <w:rFonts w:hint="eastAsia"/>
        </w:rPr>
        <w:t>同註17。</w:t>
      </w:r>
    </w:p>
  </w:footnote>
  <w:footnote w:id="21">
    <w:p w:rsidR="00A82976" w:rsidRDefault="00A82976" w:rsidP="000C056A">
      <w:pPr>
        <w:pStyle w:val="142"/>
        <w:spacing w:line="260" w:lineRule="exact"/>
        <w:ind w:left="141" w:hangingChars="58" w:hanging="141"/>
        <w:jc w:val="both"/>
      </w:pPr>
      <w:r>
        <w:rPr>
          <w:rStyle w:val="af6"/>
        </w:rPr>
        <w:footnoteRef/>
      </w:r>
      <w:r>
        <w:rPr>
          <w:rFonts w:hint="eastAsia"/>
        </w:rPr>
        <w:t>參財政部114年3月24日於立法院第11屆第3會期財政委員會第4次全體會議之書面資料。</w:t>
      </w:r>
    </w:p>
  </w:footnote>
  <w:footnote w:id="22">
    <w:p w:rsidR="00A82976" w:rsidRPr="00D84A8E" w:rsidRDefault="00A82976" w:rsidP="000C056A">
      <w:pPr>
        <w:pStyle w:val="142"/>
        <w:spacing w:line="260" w:lineRule="exact"/>
        <w:ind w:left="141" w:hangingChars="58" w:hanging="141"/>
        <w:jc w:val="both"/>
      </w:pPr>
      <w:r>
        <w:rPr>
          <w:rStyle w:val="af6"/>
        </w:rPr>
        <w:footnoteRef/>
      </w:r>
      <w:r>
        <w:rPr>
          <w:rFonts w:hint="eastAsia"/>
        </w:rPr>
        <w:t>依</w:t>
      </w:r>
      <w:r w:rsidRPr="00D84A8E">
        <w:rPr>
          <w:rFonts w:hint="eastAsia"/>
        </w:rPr>
        <w:t>公共債務法第12條</w:t>
      </w:r>
      <w:r>
        <w:rPr>
          <w:rFonts w:hint="eastAsia"/>
        </w:rPr>
        <w:t>第2項</w:t>
      </w:r>
      <w:r w:rsidRPr="00D84A8E">
        <w:rPr>
          <w:rFonts w:hint="eastAsia"/>
        </w:rPr>
        <w:t>規定，中央得審視歲入執行狀況，於其當年度預算原編列債務之償還數外，增加還本數額。</w:t>
      </w:r>
    </w:p>
  </w:footnote>
  <w:footnote w:id="23">
    <w:p w:rsidR="00A82976" w:rsidRPr="00410784" w:rsidRDefault="00A82976" w:rsidP="000C056A">
      <w:pPr>
        <w:pStyle w:val="142"/>
        <w:spacing w:line="260" w:lineRule="exact"/>
        <w:ind w:left="141" w:hangingChars="58" w:hanging="141"/>
        <w:jc w:val="both"/>
      </w:pPr>
      <w:r>
        <w:rPr>
          <w:rStyle w:val="af6"/>
        </w:rPr>
        <w:footnoteRef/>
      </w:r>
      <w:r w:rsidRPr="007A4960">
        <w:rPr>
          <w:rFonts w:hint="eastAsia"/>
        </w:rPr>
        <w:t>行政院編113年度中央政府總決算(第1冊)，</w:t>
      </w:r>
      <w:r>
        <w:rPr>
          <w:rFonts w:hint="eastAsia"/>
        </w:rPr>
        <w:t>甲14頁。</w:t>
      </w:r>
    </w:p>
  </w:footnote>
  <w:footnote w:id="24">
    <w:p w:rsidR="00A82976" w:rsidRPr="00186FB9" w:rsidRDefault="00A82976" w:rsidP="000C056A">
      <w:pPr>
        <w:pStyle w:val="142"/>
        <w:spacing w:line="260" w:lineRule="exact"/>
        <w:ind w:left="141" w:hangingChars="58" w:hanging="141"/>
        <w:jc w:val="both"/>
      </w:pPr>
      <w:r>
        <w:rPr>
          <w:rStyle w:val="af6"/>
        </w:rPr>
        <w:footnoteRef/>
      </w:r>
      <w:r>
        <w:rPr>
          <w:rFonts w:hint="eastAsia"/>
        </w:rPr>
        <w:t>包含</w:t>
      </w:r>
      <w:r w:rsidRPr="00186FB9">
        <w:rPr>
          <w:rFonts w:hint="eastAsia"/>
        </w:rPr>
        <w:t>中央政府前瞻基礎建設計畫第1期特別決算、中央政府流域綜合治理計畫第3期特別決算、中央政府前瞻基礎建設計畫第2期特別決算、中央政府前瞻基礎建設計畫第3期特別決算、中央政府嚴重特殊傳染性肺炎防治及紓困振興特別決算及中央政府前瞻基礎建設計畫第4期特別決算</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36427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364278">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p w:rsidR="00A82976" w:rsidRDefault="00A82976" w:rsidP="000E45C8">
    <w:pPr>
      <w:ind w:left="560" w:firstLine="560"/>
    </w:pPr>
  </w:p>
  <w:p w:rsidR="00A82976" w:rsidRDefault="00A82976" w:rsidP="000E45C8">
    <w:pPr>
      <w:ind w:left="560" w:firstLine="560"/>
    </w:pPr>
    <w:r>
      <w:rPr>
        <w:rStyle w:val="af0"/>
      </w:rPr>
      <w:fldChar w:fldCharType="begin"/>
    </w:r>
    <w:r>
      <w:rPr>
        <w:rStyle w:val="af0"/>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F33C4D">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10C48"/>
    <w:multiLevelType w:val="hybridMultilevel"/>
    <w:tmpl w:val="EED02824"/>
    <w:lvl w:ilvl="0" w:tplc="2AC2B7DC">
      <w:start w:val="1"/>
      <w:numFmt w:val="decimal"/>
      <w:lvlText w:val="(%1)"/>
      <w:lvlJc w:val="left"/>
      <w:pPr>
        <w:ind w:left="585" w:hanging="36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 w15:restartNumberingAfterBreak="0">
    <w:nsid w:val="058B4E29"/>
    <w:multiLevelType w:val="hybridMultilevel"/>
    <w:tmpl w:val="9E48A9E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925E58"/>
    <w:multiLevelType w:val="hybridMultilevel"/>
    <w:tmpl w:val="90D6FE70"/>
    <w:lvl w:ilvl="0" w:tplc="1346A064">
      <w:start w:val="1"/>
      <w:numFmt w:val="decimal"/>
      <w:lvlText w:val="%1."/>
      <w:lvlJc w:val="left"/>
      <w:pPr>
        <w:ind w:left="1212" w:hanging="360"/>
      </w:pPr>
      <w:rPr>
        <w:rFonts w:hAnsi="Times New Roman"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15:restartNumberingAfterBreak="0">
    <w:nsid w:val="06E47697"/>
    <w:multiLevelType w:val="hybridMultilevel"/>
    <w:tmpl w:val="10F6172A"/>
    <w:lvl w:ilvl="0" w:tplc="A4A6E6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E92365"/>
    <w:multiLevelType w:val="hybridMultilevel"/>
    <w:tmpl w:val="DFB26480"/>
    <w:lvl w:ilvl="0" w:tplc="2F38DA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BB0FA5"/>
    <w:multiLevelType w:val="hybridMultilevel"/>
    <w:tmpl w:val="32462B1E"/>
    <w:lvl w:ilvl="0" w:tplc="BE844EF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346AF"/>
    <w:multiLevelType w:val="hybridMultilevel"/>
    <w:tmpl w:val="DCD2E0E8"/>
    <w:lvl w:ilvl="0" w:tplc="BD0C0FF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5431AC"/>
    <w:multiLevelType w:val="hybridMultilevel"/>
    <w:tmpl w:val="86CE17B2"/>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401DD4"/>
    <w:multiLevelType w:val="hybridMultilevel"/>
    <w:tmpl w:val="4754BF0E"/>
    <w:lvl w:ilvl="0" w:tplc="F028F5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1F203F66"/>
    <w:multiLevelType w:val="hybridMultilevel"/>
    <w:tmpl w:val="A31AA61A"/>
    <w:lvl w:ilvl="0" w:tplc="65E681EC">
      <w:start w:val="1"/>
      <w:numFmt w:val="taiwaneseCountingThousand"/>
      <w:lvlText w:val="(%1)"/>
      <w:lvlJc w:val="left"/>
      <w:pPr>
        <w:ind w:left="1502" w:hanging="576"/>
      </w:pPr>
      <w:rPr>
        <w:rFonts w:hint="default"/>
        <w:b/>
        <w:color w:val="0070C0"/>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1" w15:restartNumberingAfterBreak="0">
    <w:nsid w:val="23FA5426"/>
    <w:multiLevelType w:val="hybridMultilevel"/>
    <w:tmpl w:val="EEB68670"/>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3B5CFC"/>
    <w:multiLevelType w:val="hybridMultilevel"/>
    <w:tmpl w:val="70F27962"/>
    <w:lvl w:ilvl="0" w:tplc="FA5659D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0B32EA"/>
    <w:multiLevelType w:val="hybridMultilevel"/>
    <w:tmpl w:val="B02C2A08"/>
    <w:lvl w:ilvl="0" w:tplc="D0E8D988">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4" w15:restartNumberingAfterBreak="0">
    <w:nsid w:val="2E187F72"/>
    <w:multiLevelType w:val="hybridMultilevel"/>
    <w:tmpl w:val="65C6D22A"/>
    <w:lvl w:ilvl="0" w:tplc="843434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920F71"/>
    <w:multiLevelType w:val="hybridMultilevel"/>
    <w:tmpl w:val="49CEEED4"/>
    <w:lvl w:ilvl="0" w:tplc="C4044A42">
      <w:start w:val="1"/>
      <w:numFmt w:val="decimal"/>
      <w:lvlText w:val="%1."/>
      <w:lvlJc w:val="left"/>
      <w:pPr>
        <w:ind w:left="280" w:hanging="360"/>
      </w:pPr>
      <w:rPr>
        <w:rFonts w:hint="default"/>
      </w:rPr>
    </w:lvl>
    <w:lvl w:ilvl="1" w:tplc="04090019" w:tentative="1">
      <w:start w:val="1"/>
      <w:numFmt w:val="ideographTraditional"/>
      <w:lvlText w:val="%2、"/>
      <w:lvlJc w:val="left"/>
      <w:pPr>
        <w:ind w:left="880" w:hanging="480"/>
      </w:pPr>
    </w:lvl>
    <w:lvl w:ilvl="2" w:tplc="0409001B" w:tentative="1">
      <w:start w:val="1"/>
      <w:numFmt w:val="lowerRoman"/>
      <w:lvlText w:val="%3."/>
      <w:lvlJc w:val="right"/>
      <w:pPr>
        <w:ind w:left="1360" w:hanging="480"/>
      </w:pPr>
    </w:lvl>
    <w:lvl w:ilvl="3" w:tplc="0409000F" w:tentative="1">
      <w:start w:val="1"/>
      <w:numFmt w:val="decimal"/>
      <w:lvlText w:val="%4."/>
      <w:lvlJc w:val="left"/>
      <w:pPr>
        <w:ind w:left="1840" w:hanging="480"/>
      </w:pPr>
    </w:lvl>
    <w:lvl w:ilvl="4" w:tplc="04090019" w:tentative="1">
      <w:start w:val="1"/>
      <w:numFmt w:val="ideographTraditional"/>
      <w:lvlText w:val="%5、"/>
      <w:lvlJc w:val="left"/>
      <w:pPr>
        <w:ind w:left="2320" w:hanging="480"/>
      </w:pPr>
    </w:lvl>
    <w:lvl w:ilvl="5" w:tplc="0409001B" w:tentative="1">
      <w:start w:val="1"/>
      <w:numFmt w:val="lowerRoman"/>
      <w:lvlText w:val="%6."/>
      <w:lvlJc w:val="right"/>
      <w:pPr>
        <w:ind w:left="2800" w:hanging="480"/>
      </w:pPr>
    </w:lvl>
    <w:lvl w:ilvl="6" w:tplc="0409000F" w:tentative="1">
      <w:start w:val="1"/>
      <w:numFmt w:val="decimal"/>
      <w:lvlText w:val="%7."/>
      <w:lvlJc w:val="left"/>
      <w:pPr>
        <w:ind w:left="3280" w:hanging="480"/>
      </w:pPr>
    </w:lvl>
    <w:lvl w:ilvl="7" w:tplc="04090019" w:tentative="1">
      <w:start w:val="1"/>
      <w:numFmt w:val="ideographTraditional"/>
      <w:lvlText w:val="%8、"/>
      <w:lvlJc w:val="left"/>
      <w:pPr>
        <w:ind w:left="3760" w:hanging="480"/>
      </w:pPr>
    </w:lvl>
    <w:lvl w:ilvl="8" w:tplc="0409001B" w:tentative="1">
      <w:start w:val="1"/>
      <w:numFmt w:val="lowerRoman"/>
      <w:lvlText w:val="%9."/>
      <w:lvlJc w:val="right"/>
      <w:pPr>
        <w:ind w:left="4240" w:hanging="480"/>
      </w:pPr>
    </w:lvl>
  </w:abstractNum>
  <w:abstractNum w:abstractNumId="16"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7" w15:restartNumberingAfterBreak="0">
    <w:nsid w:val="478F71DA"/>
    <w:multiLevelType w:val="hybridMultilevel"/>
    <w:tmpl w:val="D67611D0"/>
    <w:lvl w:ilvl="0" w:tplc="E1480F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EE2BC4"/>
    <w:multiLevelType w:val="hybridMultilevel"/>
    <w:tmpl w:val="7AE6700A"/>
    <w:lvl w:ilvl="0" w:tplc="AE0EF056">
      <w:start w:val="1"/>
      <w:numFmt w:val="decimal"/>
      <w:lvlText w:val="%1."/>
      <w:lvlJc w:val="left"/>
      <w:pPr>
        <w:ind w:left="694" w:hanging="360"/>
      </w:pPr>
      <w:rPr>
        <w:rFonts w:hAnsi="Times New Roman" w:hint="default"/>
      </w:rPr>
    </w:lvl>
    <w:lvl w:ilvl="1" w:tplc="04090019" w:tentative="1">
      <w:start w:val="1"/>
      <w:numFmt w:val="ideographTraditional"/>
      <w:lvlText w:val="%2、"/>
      <w:lvlJc w:val="left"/>
      <w:pPr>
        <w:ind w:left="1116" w:hanging="480"/>
      </w:pPr>
    </w:lvl>
    <w:lvl w:ilvl="2" w:tplc="0409001B" w:tentative="1">
      <w:start w:val="1"/>
      <w:numFmt w:val="lowerRoman"/>
      <w:lvlText w:val="%3."/>
      <w:lvlJc w:val="right"/>
      <w:pPr>
        <w:ind w:left="1596" w:hanging="480"/>
      </w:pPr>
    </w:lvl>
    <w:lvl w:ilvl="3" w:tplc="0409000F" w:tentative="1">
      <w:start w:val="1"/>
      <w:numFmt w:val="decimal"/>
      <w:lvlText w:val="%4."/>
      <w:lvlJc w:val="left"/>
      <w:pPr>
        <w:ind w:left="2076" w:hanging="480"/>
      </w:pPr>
    </w:lvl>
    <w:lvl w:ilvl="4" w:tplc="04090019" w:tentative="1">
      <w:start w:val="1"/>
      <w:numFmt w:val="ideographTraditional"/>
      <w:lvlText w:val="%5、"/>
      <w:lvlJc w:val="left"/>
      <w:pPr>
        <w:ind w:left="2556" w:hanging="480"/>
      </w:pPr>
    </w:lvl>
    <w:lvl w:ilvl="5" w:tplc="0409001B" w:tentative="1">
      <w:start w:val="1"/>
      <w:numFmt w:val="lowerRoman"/>
      <w:lvlText w:val="%6."/>
      <w:lvlJc w:val="right"/>
      <w:pPr>
        <w:ind w:left="3036" w:hanging="480"/>
      </w:pPr>
    </w:lvl>
    <w:lvl w:ilvl="6" w:tplc="0409000F" w:tentative="1">
      <w:start w:val="1"/>
      <w:numFmt w:val="decimal"/>
      <w:lvlText w:val="%7."/>
      <w:lvlJc w:val="left"/>
      <w:pPr>
        <w:ind w:left="3516" w:hanging="480"/>
      </w:pPr>
    </w:lvl>
    <w:lvl w:ilvl="7" w:tplc="04090019" w:tentative="1">
      <w:start w:val="1"/>
      <w:numFmt w:val="ideographTraditional"/>
      <w:lvlText w:val="%8、"/>
      <w:lvlJc w:val="left"/>
      <w:pPr>
        <w:ind w:left="3996" w:hanging="480"/>
      </w:pPr>
    </w:lvl>
    <w:lvl w:ilvl="8" w:tplc="0409001B" w:tentative="1">
      <w:start w:val="1"/>
      <w:numFmt w:val="lowerRoman"/>
      <w:lvlText w:val="%9."/>
      <w:lvlJc w:val="right"/>
      <w:pPr>
        <w:ind w:left="4476" w:hanging="480"/>
      </w:pPr>
    </w:lvl>
  </w:abstractNum>
  <w:abstractNum w:abstractNumId="19" w15:restartNumberingAfterBreak="0">
    <w:nsid w:val="55057221"/>
    <w:multiLevelType w:val="hybridMultilevel"/>
    <w:tmpl w:val="6AF0D094"/>
    <w:lvl w:ilvl="0" w:tplc="15A26216">
      <w:start w:val="1"/>
      <w:numFmt w:val="taiwaneseCountingThousand"/>
      <w:lvlText w:val="(%1)"/>
      <w:lvlJc w:val="left"/>
      <w:pPr>
        <w:ind w:left="926" w:hanging="360"/>
      </w:pPr>
      <w:rPr>
        <w:rFonts w:hint="default"/>
        <w:b/>
        <w:color w:val="0070C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56D43C39"/>
    <w:multiLevelType w:val="hybridMultilevel"/>
    <w:tmpl w:val="367CC43E"/>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BA514A4"/>
    <w:multiLevelType w:val="hybridMultilevel"/>
    <w:tmpl w:val="BA8E83B2"/>
    <w:lvl w:ilvl="0" w:tplc="BDC47E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D22A3B"/>
    <w:multiLevelType w:val="hybridMultilevel"/>
    <w:tmpl w:val="6650AC5E"/>
    <w:lvl w:ilvl="0" w:tplc="0930B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4331C4"/>
    <w:multiLevelType w:val="hybridMultilevel"/>
    <w:tmpl w:val="6F4AFBBE"/>
    <w:lvl w:ilvl="0" w:tplc="5AFA7A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66CB4F3A"/>
    <w:multiLevelType w:val="hybridMultilevel"/>
    <w:tmpl w:val="4B3CA80C"/>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3B0351"/>
    <w:multiLevelType w:val="hybridMultilevel"/>
    <w:tmpl w:val="416E8B2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525118"/>
    <w:multiLevelType w:val="hybridMultilevel"/>
    <w:tmpl w:val="22569914"/>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0A534C6"/>
    <w:multiLevelType w:val="hybridMultilevel"/>
    <w:tmpl w:val="ACF23AAC"/>
    <w:lvl w:ilvl="0" w:tplc="D48A65BE">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1190944"/>
    <w:multiLevelType w:val="hybridMultilevel"/>
    <w:tmpl w:val="3258ABD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4873894"/>
    <w:multiLevelType w:val="hybridMultilevel"/>
    <w:tmpl w:val="AA4EE456"/>
    <w:lvl w:ilvl="0" w:tplc="AE0EF056">
      <w:start w:val="1"/>
      <w:numFmt w:val="decimal"/>
      <w:lvlText w:val="%1."/>
      <w:lvlJc w:val="left"/>
      <w:pPr>
        <w:ind w:left="538" w:hanging="360"/>
      </w:pPr>
      <w:rPr>
        <w:rFonts w:hAnsi="Times New Roman"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32" w15:restartNumberingAfterBreak="0">
    <w:nsid w:val="755B72AE"/>
    <w:multiLevelType w:val="hybridMultilevel"/>
    <w:tmpl w:val="BB76379C"/>
    <w:lvl w:ilvl="0" w:tplc="BED8E6C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3"/>
  </w:num>
  <w:num w:numId="2">
    <w:abstractNumId w:val="24"/>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7"/>
  </w:num>
  <w:num w:numId="9">
    <w:abstractNumId w:val="24"/>
  </w:num>
  <w:num w:numId="10">
    <w:abstractNumId w:val="7"/>
  </w:num>
  <w:num w:numId="11">
    <w:abstractNumId w:val="26"/>
  </w:num>
  <w:num w:numId="12">
    <w:abstractNumId w:val="1"/>
  </w:num>
  <w:num w:numId="13">
    <w:abstractNumId w:val="12"/>
  </w:num>
  <w:num w:numId="14">
    <w:abstractNumId w:val="29"/>
  </w:num>
  <w:num w:numId="15">
    <w:abstractNumId w:val="3"/>
  </w:num>
  <w:num w:numId="16">
    <w:abstractNumId w:val="20"/>
  </w:num>
  <w:num w:numId="17">
    <w:abstractNumId w:val="11"/>
  </w:num>
  <w:num w:numId="18">
    <w:abstractNumId w:val="25"/>
  </w:num>
  <w:num w:numId="19">
    <w:abstractNumId w:val="6"/>
  </w:num>
  <w:num w:numId="20">
    <w:abstractNumId w:val="5"/>
  </w:num>
  <w:num w:numId="21">
    <w:abstractNumId w:val="8"/>
  </w:num>
  <w:num w:numId="22">
    <w:abstractNumId w:val="28"/>
  </w:num>
  <w:num w:numId="23">
    <w:abstractNumId w:val="19"/>
  </w:num>
  <w:num w:numId="24">
    <w:abstractNumId w:val="10"/>
  </w:num>
  <w:num w:numId="25">
    <w:abstractNumId w:val="14"/>
  </w:num>
  <w:num w:numId="26">
    <w:abstractNumId w:val="17"/>
  </w:num>
  <w:num w:numId="27">
    <w:abstractNumId w:val="0"/>
  </w:num>
  <w:num w:numId="28">
    <w:abstractNumId w:val="22"/>
  </w:num>
  <w:num w:numId="29">
    <w:abstractNumId w:val="21"/>
  </w:num>
  <w:num w:numId="30">
    <w:abstractNumId w:val="15"/>
  </w:num>
  <w:num w:numId="31">
    <w:abstractNumId w:val="32"/>
  </w:num>
  <w:num w:numId="32">
    <w:abstractNumId w:val="2"/>
  </w:num>
  <w:num w:numId="33">
    <w:abstractNumId w:val="23"/>
  </w:num>
  <w:num w:numId="34">
    <w:abstractNumId w:val="3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AD"/>
    <w:rsid w:val="00000380"/>
    <w:rsid w:val="0000066D"/>
    <w:rsid w:val="00000905"/>
    <w:rsid w:val="00000AFC"/>
    <w:rsid w:val="00000B0E"/>
    <w:rsid w:val="00001340"/>
    <w:rsid w:val="0000140E"/>
    <w:rsid w:val="000018F0"/>
    <w:rsid w:val="00001A4D"/>
    <w:rsid w:val="0000201A"/>
    <w:rsid w:val="0000201C"/>
    <w:rsid w:val="0000203A"/>
    <w:rsid w:val="00002185"/>
    <w:rsid w:val="000026E3"/>
    <w:rsid w:val="00002AEC"/>
    <w:rsid w:val="00002DDC"/>
    <w:rsid w:val="000034C9"/>
    <w:rsid w:val="00003AE7"/>
    <w:rsid w:val="00004015"/>
    <w:rsid w:val="00004065"/>
    <w:rsid w:val="00004069"/>
    <w:rsid w:val="000041D8"/>
    <w:rsid w:val="00004392"/>
    <w:rsid w:val="00004A0F"/>
    <w:rsid w:val="00004A9F"/>
    <w:rsid w:val="00004D8A"/>
    <w:rsid w:val="00004EDA"/>
    <w:rsid w:val="00005306"/>
    <w:rsid w:val="000053A3"/>
    <w:rsid w:val="0000553E"/>
    <w:rsid w:val="000055A7"/>
    <w:rsid w:val="00005679"/>
    <w:rsid w:val="0000586F"/>
    <w:rsid w:val="000060D0"/>
    <w:rsid w:val="000061A3"/>
    <w:rsid w:val="00006543"/>
    <w:rsid w:val="00006646"/>
    <w:rsid w:val="00006689"/>
    <w:rsid w:val="000068C0"/>
    <w:rsid w:val="00006C8C"/>
    <w:rsid w:val="00006EA4"/>
    <w:rsid w:val="00006FBF"/>
    <w:rsid w:val="0000721C"/>
    <w:rsid w:val="0000737A"/>
    <w:rsid w:val="000073E4"/>
    <w:rsid w:val="00007690"/>
    <w:rsid w:val="000077F0"/>
    <w:rsid w:val="00007830"/>
    <w:rsid w:val="0000791C"/>
    <w:rsid w:val="00007B95"/>
    <w:rsid w:val="00007C6A"/>
    <w:rsid w:val="00007FB2"/>
    <w:rsid w:val="00007FEF"/>
    <w:rsid w:val="00010102"/>
    <w:rsid w:val="00010226"/>
    <w:rsid w:val="000108C4"/>
    <w:rsid w:val="00010F67"/>
    <w:rsid w:val="000110D7"/>
    <w:rsid w:val="0001116A"/>
    <w:rsid w:val="0001120C"/>
    <w:rsid w:val="00011357"/>
    <w:rsid w:val="0001179D"/>
    <w:rsid w:val="00011904"/>
    <w:rsid w:val="00011BE9"/>
    <w:rsid w:val="00011DA1"/>
    <w:rsid w:val="00012310"/>
    <w:rsid w:val="00012326"/>
    <w:rsid w:val="00012736"/>
    <w:rsid w:val="00012B61"/>
    <w:rsid w:val="00012E30"/>
    <w:rsid w:val="0001349E"/>
    <w:rsid w:val="000134B4"/>
    <w:rsid w:val="000134E3"/>
    <w:rsid w:val="00013536"/>
    <w:rsid w:val="000138E6"/>
    <w:rsid w:val="000140B1"/>
    <w:rsid w:val="000141A7"/>
    <w:rsid w:val="000141E0"/>
    <w:rsid w:val="00014250"/>
    <w:rsid w:val="000143D0"/>
    <w:rsid w:val="0001459A"/>
    <w:rsid w:val="000145B4"/>
    <w:rsid w:val="00014603"/>
    <w:rsid w:val="0001472F"/>
    <w:rsid w:val="00014B63"/>
    <w:rsid w:val="00014B69"/>
    <w:rsid w:val="00015453"/>
    <w:rsid w:val="00015496"/>
    <w:rsid w:val="0001551B"/>
    <w:rsid w:val="00015963"/>
    <w:rsid w:val="000162E8"/>
    <w:rsid w:val="0001643C"/>
    <w:rsid w:val="0001654C"/>
    <w:rsid w:val="00016812"/>
    <w:rsid w:val="00016985"/>
    <w:rsid w:val="00016EB2"/>
    <w:rsid w:val="0001738A"/>
    <w:rsid w:val="000174ED"/>
    <w:rsid w:val="000176BA"/>
    <w:rsid w:val="000178C7"/>
    <w:rsid w:val="000179A9"/>
    <w:rsid w:val="00017DE8"/>
    <w:rsid w:val="00020276"/>
    <w:rsid w:val="00020629"/>
    <w:rsid w:val="000208C4"/>
    <w:rsid w:val="000208D1"/>
    <w:rsid w:val="00020A5F"/>
    <w:rsid w:val="00020A9E"/>
    <w:rsid w:val="00020C3E"/>
    <w:rsid w:val="00020CA5"/>
    <w:rsid w:val="000211BE"/>
    <w:rsid w:val="000211C9"/>
    <w:rsid w:val="0002133C"/>
    <w:rsid w:val="00021388"/>
    <w:rsid w:val="000214A1"/>
    <w:rsid w:val="000216AA"/>
    <w:rsid w:val="00022579"/>
    <w:rsid w:val="0002286D"/>
    <w:rsid w:val="00022967"/>
    <w:rsid w:val="000229D6"/>
    <w:rsid w:val="00022B95"/>
    <w:rsid w:val="00022C4D"/>
    <w:rsid w:val="0002334C"/>
    <w:rsid w:val="0002354C"/>
    <w:rsid w:val="00023814"/>
    <w:rsid w:val="00023BD0"/>
    <w:rsid w:val="00023F97"/>
    <w:rsid w:val="0002407B"/>
    <w:rsid w:val="000242A6"/>
    <w:rsid w:val="00024AE4"/>
    <w:rsid w:val="00024B6B"/>
    <w:rsid w:val="00024F46"/>
    <w:rsid w:val="000250A8"/>
    <w:rsid w:val="00025CF0"/>
    <w:rsid w:val="0002609B"/>
    <w:rsid w:val="0002615B"/>
    <w:rsid w:val="00026B64"/>
    <w:rsid w:val="00026D0A"/>
    <w:rsid w:val="00026EBB"/>
    <w:rsid w:val="0002702F"/>
    <w:rsid w:val="00027136"/>
    <w:rsid w:val="0002767C"/>
    <w:rsid w:val="0002783E"/>
    <w:rsid w:val="000278EA"/>
    <w:rsid w:val="00027F6C"/>
    <w:rsid w:val="00030029"/>
    <w:rsid w:val="00030125"/>
    <w:rsid w:val="00030381"/>
    <w:rsid w:val="00030543"/>
    <w:rsid w:val="000305E9"/>
    <w:rsid w:val="00030851"/>
    <w:rsid w:val="00030B1C"/>
    <w:rsid w:val="00030FF8"/>
    <w:rsid w:val="00031113"/>
    <w:rsid w:val="00031A74"/>
    <w:rsid w:val="00031C1A"/>
    <w:rsid w:val="00031D1C"/>
    <w:rsid w:val="00031FCE"/>
    <w:rsid w:val="00032649"/>
    <w:rsid w:val="0003266A"/>
    <w:rsid w:val="00032893"/>
    <w:rsid w:val="000334BD"/>
    <w:rsid w:val="000336C4"/>
    <w:rsid w:val="00033F4A"/>
    <w:rsid w:val="00033F5B"/>
    <w:rsid w:val="00033FFA"/>
    <w:rsid w:val="00034241"/>
    <w:rsid w:val="00034370"/>
    <w:rsid w:val="000343FF"/>
    <w:rsid w:val="00034761"/>
    <w:rsid w:val="00035121"/>
    <w:rsid w:val="00035406"/>
    <w:rsid w:val="000354DE"/>
    <w:rsid w:val="00035C2C"/>
    <w:rsid w:val="0003618B"/>
    <w:rsid w:val="00036251"/>
    <w:rsid w:val="000362CA"/>
    <w:rsid w:val="000362F2"/>
    <w:rsid w:val="00036301"/>
    <w:rsid w:val="000369DF"/>
    <w:rsid w:val="00036A16"/>
    <w:rsid w:val="00036C4D"/>
    <w:rsid w:val="00036E06"/>
    <w:rsid w:val="00036EEC"/>
    <w:rsid w:val="00037181"/>
    <w:rsid w:val="000371F6"/>
    <w:rsid w:val="00037676"/>
    <w:rsid w:val="000377B7"/>
    <w:rsid w:val="0003795B"/>
    <w:rsid w:val="00037972"/>
    <w:rsid w:val="00037E48"/>
    <w:rsid w:val="000403B4"/>
    <w:rsid w:val="00040475"/>
    <w:rsid w:val="00040740"/>
    <w:rsid w:val="0004086C"/>
    <w:rsid w:val="00040887"/>
    <w:rsid w:val="000409AC"/>
    <w:rsid w:val="00040E98"/>
    <w:rsid w:val="0004123E"/>
    <w:rsid w:val="0004149C"/>
    <w:rsid w:val="000417BA"/>
    <w:rsid w:val="00041C69"/>
    <w:rsid w:val="00041F44"/>
    <w:rsid w:val="000422F8"/>
    <w:rsid w:val="00042329"/>
    <w:rsid w:val="0004260A"/>
    <w:rsid w:val="00042CAD"/>
    <w:rsid w:val="00042CF1"/>
    <w:rsid w:val="00042E7F"/>
    <w:rsid w:val="00043702"/>
    <w:rsid w:val="000438E5"/>
    <w:rsid w:val="00043A73"/>
    <w:rsid w:val="00043D7F"/>
    <w:rsid w:val="0004458C"/>
    <w:rsid w:val="00044769"/>
    <w:rsid w:val="00044AE8"/>
    <w:rsid w:val="00044B37"/>
    <w:rsid w:val="00045028"/>
    <w:rsid w:val="00045D35"/>
    <w:rsid w:val="00046223"/>
    <w:rsid w:val="00046346"/>
    <w:rsid w:val="00046482"/>
    <w:rsid w:val="000464AA"/>
    <w:rsid w:val="00046979"/>
    <w:rsid w:val="00046C41"/>
    <w:rsid w:val="000473A5"/>
    <w:rsid w:val="000475F5"/>
    <w:rsid w:val="00047605"/>
    <w:rsid w:val="00047927"/>
    <w:rsid w:val="00047935"/>
    <w:rsid w:val="000500D3"/>
    <w:rsid w:val="000502A7"/>
    <w:rsid w:val="00050396"/>
    <w:rsid w:val="000506D8"/>
    <w:rsid w:val="0005070A"/>
    <w:rsid w:val="00050E18"/>
    <w:rsid w:val="00050F9A"/>
    <w:rsid w:val="00051128"/>
    <w:rsid w:val="0005119E"/>
    <w:rsid w:val="0005140E"/>
    <w:rsid w:val="00051A41"/>
    <w:rsid w:val="00051BE4"/>
    <w:rsid w:val="00051C92"/>
    <w:rsid w:val="00052434"/>
    <w:rsid w:val="00052589"/>
    <w:rsid w:val="0005272C"/>
    <w:rsid w:val="00052B47"/>
    <w:rsid w:val="00053052"/>
    <w:rsid w:val="000533C4"/>
    <w:rsid w:val="0005362E"/>
    <w:rsid w:val="00053B48"/>
    <w:rsid w:val="00053BB3"/>
    <w:rsid w:val="00053C1B"/>
    <w:rsid w:val="00054531"/>
    <w:rsid w:val="000547DC"/>
    <w:rsid w:val="00054F23"/>
    <w:rsid w:val="000550E4"/>
    <w:rsid w:val="0005513C"/>
    <w:rsid w:val="000551B2"/>
    <w:rsid w:val="00055418"/>
    <w:rsid w:val="00055C0E"/>
    <w:rsid w:val="00055F6C"/>
    <w:rsid w:val="000563D2"/>
    <w:rsid w:val="0005653B"/>
    <w:rsid w:val="000566C2"/>
    <w:rsid w:val="00056B31"/>
    <w:rsid w:val="00056C24"/>
    <w:rsid w:val="00056FE2"/>
    <w:rsid w:val="00057181"/>
    <w:rsid w:val="000571A8"/>
    <w:rsid w:val="00057790"/>
    <w:rsid w:val="0005798A"/>
    <w:rsid w:val="00057CB7"/>
    <w:rsid w:val="00060341"/>
    <w:rsid w:val="00060410"/>
    <w:rsid w:val="0006068D"/>
    <w:rsid w:val="00060693"/>
    <w:rsid w:val="00060718"/>
    <w:rsid w:val="00060719"/>
    <w:rsid w:val="00060829"/>
    <w:rsid w:val="00060B0B"/>
    <w:rsid w:val="00060C06"/>
    <w:rsid w:val="00060FDC"/>
    <w:rsid w:val="00061464"/>
    <w:rsid w:val="0006172E"/>
    <w:rsid w:val="000617E3"/>
    <w:rsid w:val="0006184D"/>
    <w:rsid w:val="0006199B"/>
    <w:rsid w:val="00061CA9"/>
    <w:rsid w:val="00061DEB"/>
    <w:rsid w:val="000625FB"/>
    <w:rsid w:val="00062819"/>
    <w:rsid w:val="00062A4F"/>
    <w:rsid w:val="00062C74"/>
    <w:rsid w:val="00062D87"/>
    <w:rsid w:val="00062D94"/>
    <w:rsid w:val="00063183"/>
    <w:rsid w:val="0006370B"/>
    <w:rsid w:val="00063A32"/>
    <w:rsid w:val="00063C07"/>
    <w:rsid w:val="00063F0E"/>
    <w:rsid w:val="000641E2"/>
    <w:rsid w:val="00064427"/>
    <w:rsid w:val="000646B5"/>
    <w:rsid w:val="000647A5"/>
    <w:rsid w:val="00064C65"/>
    <w:rsid w:val="00065A88"/>
    <w:rsid w:val="00065CB4"/>
    <w:rsid w:val="000660E2"/>
    <w:rsid w:val="00066164"/>
    <w:rsid w:val="00066361"/>
    <w:rsid w:val="00066837"/>
    <w:rsid w:val="0006683C"/>
    <w:rsid w:val="000669AD"/>
    <w:rsid w:val="00066D2B"/>
    <w:rsid w:val="00067007"/>
    <w:rsid w:val="00067139"/>
    <w:rsid w:val="000674DA"/>
    <w:rsid w:val="0006798F"/>
    <w:rsid w:val="00067BAB"/>
    <w:rsid w:val="00067BAD"/>
    <w:rsid w:val="00067CBA"/>
    <w:rsid w:val="0007019E"/>
    <w:rsid w:val="00070486"/>
    <w:rsid w:val="0007072A"/>
    <w:rsid w:val="00070816"/>
    <w:rsid w:val="00070B8C"/>
    <w:rsid w:val="00071240"/>
    <w:rsid w:val="00071C2C"/>
    <w:rsid w:val="00071F2D"/>
    <w:rsid w:val="00072162"/>
    <w:rsid w:val="000721F6"/>
    <w:rsid w:val="00072260"/>
    <w:rsid w:val="000723E8"/>
    <w:rsid w:val="00072EFC"/>
    <w:rsid w:val="00072FB9"/>
    <w:rsid w:val="0007317F"/>
    <w:rsid w:val="00073311"/>
    <w:rsid w:val="00073364"/>
    <w:rsid w:val="0007340E"/>
    <w:rsid w:val="0007359A"/>
    <w:rsid w:val="00073919"/>
    <w:rsid w:val="00073AF5"/>
    <w:rsid w:val="0007417E"/>
    <w:rsid w:val="0007424A"/>
    <w:rsid w:val="000748C0"/>
    <w:rsid w:val="00074978"/>
    <w:rsid w:val="00074ACD"/>
    <w:rsid w:val="00074D21"/>
    <w:rsid w:val="00074D43"/>
    <w:rsid w:val="00074E86"/>
    <w:rsid w:val="00075109"/>
    <w:rsid w:val="00075526"/>
    <w:rsid w:val="00075606"/>
    <w:rsid w:val="00075634"/>
    <w:rsid w:val="00075763"/>
    <w:rsid w:val="00075780"/>
    <w:rsid w:val="0007587F"/>
    <w:rsid w:val="00075B8E"/>
    <w:rsid w:val="00076CB4"/>
    <w:rsid w:val="0007755D"/>
    <w:rsid w:val="00077934"/>
    <w:rsid w:val="00077EF1"/>
    <w:rsid w:val="0008026E"/>
    <w:rsid w:val="000805EC"/>
    <w:rsid w:val="00080775"/>
    <w:rsid w:val="00080946"/>
    <w:rsid w:val="00080C15"/>
    <w:rsid w:val="0008103D"/>
    <w:rsid w:val="00081196"/>
    <w:rsid w:val="0008157B"/>
    <w:rsid w:val="000815DE"/>
    <w:rsid w:val="00081815"/>
    <w:rsid w:val="00081C28"/>
    <w:rsid w:val="0008237E"/>
    <w:rsid w:val="00082600"/>
    <w:rsid w:val="0008262D"/>
    <w:rsid w:val="00083193"/>
    <w:rsid w:val="00083464"/>
    <w:rsid w:val="0008410F"/>
    <w:rsid w:val="000841AB"/>
    <w:rsid w:val="000843E6"/>
    <w:rsid w:val="0008453B"/>
    <w:rsid w:val="0008488B"/>
    <w:rsid w:val="00084FA9"/>
    <w:rsid w:val="00085144"/>
    <w:rsid w:val="00085181"/>
    <w:rsid w:val="000851E6"/>
    <w:rsid w:val="0008534A"/>
    <w:rsid w:val="0008558A"/>
    <w:rsid w:val="00085826"/>
    <w:rsid w:val="00085DD8"/>
    <w:rsid w:val="00086088"/>
    <w:rsid w:val="000861B0"/>
    <w:rsid w:val="000868C4"/>
    <w:rsid w:val="00086A32"/>
    <w:rsid w:val="00086C79"/>
    <w:rsid w:val="00086FB5"/>
    <w:rsid w:val="0008709B"/>
    <w:rsid w:val="0008715D"/>
    <w:rsid w:val="00087362"/>
    <w:rsid w:val="000877DC"/>
    <w:rsid w:val="00087C79"/>
    <w:rsid w:val="00087D28"/>
    <w:rsid w:val="00090172"/>
    <w:rsid w:val="000902D1"/>
    <w:rsid w:val="00090B17"/>
    <w:rsid w:val="00090D84"/>
    <w:rsid w:val="00090EB4"/>
    <w:rsid w:val="00090EB9"/>
    <w:rsid w:val="00091163"/>
    <w:rsid w:val="000914E6"/>
    <w:rsid w:val="00091A18"/>
    <w:rsid w:val="00091DDD"/>
    <w:rsid w:val="00092064"/>
    <w:rsid w:val="000921A5"/>
    <w:rsid w:val="000923F5"/>
    <w:rsid w:val="00092501"/>
    <w:rsid w:val="00092F34"/>
    <w:rsid w:val="00092F56"/>
    <w:rsid w:val="0009309F"/>
    <w:rsid w:val="00093307"/>
    <w:rsid w:val="00093711"/>
    <w:rsid w:val="00093932"/>
    <w:rsid w:val="00093956"/>
    <w:rsid w:val="00093A72"/>
    <w:rsid w:val="00093C58"/>
    <w:rsid w:val="0009400C"/>
    <w:rsid w:val="000940DF"/>
    <w:rsid w:val="00094152"/>
    <w:rsid w:val="0009420C"/>
    <w:rsid w:val="0009451A"/>
    <w:rsid w:val="00094687"/>
    <w:rsid w:val="0009492A"/>
    <w:rsid w:val="00094F54"/>
    <w:rsid w:val="0009507A"/>
    <w:rsid w:val="000953A9"/>
    <w:rsid w:val="0009543C"/>
    <w:rsid w:val="0009558A"/>
    <w:rsid w:val="00095680"/>
    <w:rsid w:val="0009586D"/>
    <w:rsid w:val="00095A79"/>
    <w:rsid w:val="00095B02"/>
    <w:rsid w:val="00095D8C"/>
    <w:rsid w:val="00097719"/>
    <w:rsid w:val="00097A1F"/>
    <w:rsid w:val="00097C39"/>
    <w:rsid w:val="00097E04"/>
    <w:rsid w:val="000A028C"/>
    <w:rsid w:val="000A02A6"/>
    <w:rsid w:val="000A03F8"/>
    <w:rsid w:val="000A126B"/>
    <w:rsid w:val="000A1662"/>
    <w:rsid w:val="000A1854"/>
    <w:rsid w:val="000A1A02"/>
    <w:rsid w:val="000A1C95"/>
    <w:rsid w:val="000A1D0F"/>
    <w:rsid w:val="000A205F"/>
    <w:rsid w:val="000A23D3"/>
    <w:rsid w:val="000A2FDF"/>
    <w:rsid w:val="000A30C7"/>
    <w:rsid w:val="000A3591"/>
    <w:rsid w:val="000A388B"/>
    <w:rsid w:val="000A3FA8"/>
    <w:rsid w:val="000A40C1"/>
    <w:rsid w:val="000A41CA"/>
    <w:rsid w:val="000A4A31"/>
    <w:rsid w:val="000A4D81"/>
    <w:rsid w:val="000A4EBA"/>
    <w:rsid w:val="000A4F16"/>
    <w:rsid w:val="000A511A"/>
    <w:rsid w:val="000A522A"/>
    <w:rsid w:val="000A5445"/>
    <w:rsid w:val="000A54F0"/>
    <w:rsid w:val="000A580A"/>
    <w:rsid w:val="000A5B6E"/>
    <w:rsid w:val="000A5CC8"/>
    <w:rsid w:val="000A5D23"/>
    <w:rsid w:val="000A5F13"/>
    <w:rsid w:val="000A61A0"/>
    <w:rsid w:val="000A658D"/>
    <w:rsid w:val="000A68EF"/>
    <w:rsid w:val="000A6A2F"/>
    <w:rsid w:val="000A6CBC"/>
    <w:rsid w:val="000A6E1C"/>
    <w:rsid w:val="000A6E6C"/>
    <w:rsid w:val="000A6EE9"/>
    <w:rsid w:val="000A6F08"/>
    <w:rsid w:val="000A702B"/>
    <w:rsid w:val="000A741C"/>
    <w:rsid w:val="000A74DC"/>
    <w:rsid w:val="000A764E"/>
    <w:rsid w:val="000A76F8"/>
    <w:rsid w:val="000A7975"/>
    <w:rsid w:val="000B047C"/>
    <w:rsid w:val="000B06DE"/>
    <w:rsid w:val="000B0705"/>
    <w:rsid w:val="000B0BF3"/>
    <w:rsid w:val="000B0D7B"/>
    <w:rsid w:val="000B133D"/>
    <w:rsid w:val="000B13CC"/>
    <w:rsid w:val="000B1685"/>
    <w:rsid w:val="000B1999"/>
    <w:rsid w:val="000B1E2E"/>
    <w:rsid w:val="000B22F4"/>
    <w:rsid w:val="000B26A0"/>
    <w:rsid w:val="000B28E3"/>
    <w:rsid w:val="000B2B83"/>
    <w:rsid w:val="000B2B95"/>
    <w:rsid w:val="000B2CA4"/>
    <w:rsid w:val="000B316D"/>
    <w:rsid w:val="000B3495"/>
    <w:rsid w:val="000B34E0"/>
    <w:rsid w:val="000B4135"/>
    <w:rsid w:val="000B4182"/>
    <w:rsid w:val="000B4323"/>
    <w:rsid w:val="000B43B9"/>
    <w:rsid w:val="000B4899"/>
    <w:rsid w:val="000B499B"/>
    <w:rsid w:val="000B4BDF"/>
    <w:rsid w:val="000B4C56"/>
    <w:rsid w:val="000B4E5D"/>
    <w:rsid w:val="000B4FCA"/>
    <w:rsid w:val="000B5141"/>
    <w:rsid w:val="000B5392"/>
    <w:rsid w:val="000B5A58"/>
    <w:rsid w:val="000B5C3A"/>
    <w:rsid w:val="000B5D78"/>
    <w:rsid w:val="000B5EB4"/>
    <w:rsid w:val="000B6248"/>
    <w:rsid w:val="000B672B"/>
    <w:rsid w:val="000B691B"/>
    <w:rsid w:val="000B69AC"/>
    <w:rsid w:val="000B6A0C"/>
    <w:rsid w:val="000B7541"/>
    <w:rsid w:val="000B7821"/>
    <w:rsid w:val="000B7835"/>
    <w:rsid w:val="000B7A48"/>
    <w:rsid w:val="000B7D15"/>
    <w:rsid w:val="000B7DC2"/>
    <w:rsid w:val="000B7ECE"/>
    <w:rsid w:val="000B7EED"/>
    <w:rsid w:val="000B7F79"/>
    <w:rsid w:val="000C056A"/>
    <w:rsid w:val="000C0AA7"/>
    <w:rsid w:val="000C122E"/>
    <w:rsid w:val="000C1C24"/>
    <w:rsid w:val="000C1C96"/>
    <w:rsid w:val="000C1D7C"/>
    <w:rsid w:val="000C1E03"/>
    <w:rsid w:val="000C1F25"/>
    <w:rsid w:val="000C2128"/>
    <w:rsid w:val="000C21C1"/>
    <w:rsid w:val="000C2215"/>
    <w:rsid w:val="000C22B8"/>
    <w:rsid w:val="000C284A"/>
    <w:rsid w:val="000C2D62"/>
    <w:rsid w:val="000C2E53"/>
    <w:rsid w:val="000C2FEA"/>
    <w:rsid w:val="000C353E"/>
    <w:rsid w:val="000C39D1"/>
    <w:rsid w:val="000C3EA8"/>
    <w:rsid w:val="000C416E"/>
    <w:rsid w:val="000C49AD"/>
    <w:rsid w:val="000C4A1F"/>
    <w:rsid w:val="000C5066"/>
    <w:rsid w:val="000C565D"/>
    <w:rsid w:val="000C5AD3"/>
    <w:rsid w:val="000C5CB6"/>
    <w:rsid w:val="000C5E49"/>
    <w:rsid w:val="000C5EFF"/>
    <w:rsid w:val="000C675B"/>
    <w:rsid w:val="000C67E0"/>
    <w:rsid w:val="000C6857"/>
    <w:rsid w:val="000C689D"/>
    <w:rsid w:val="000C6A25"/>
    <w:rsid w:val="000C6E78"/>
    <w:rsid w:val="000C6EE1"/>
    <w:rsid w:val="000C727E"/>
    <w:rsid w:val="000C7397"/>
    <w:rsid w:val="000C749D"/>
    <w:rsid w:val="000C7B3C"/>
    <w:rsid w:val="000C7ECA"/>
    <w:rsid w:val="000D068C"/>
    <w:rsid w:val="000D0951"/>
    <w:rsid w:val="000D0B11"/>
    <w:rsid w:val="000D0C7E"/>
    <w:rsid w:val="000D1005"/>
    <w:rsid w:val="000D10C8"/>
    <w:rsid w:val="000D1593"/>
    <w:rsid w:val="000D15CA"/>
    <w:rsid w:val="000D1BD1"/>
    <w:rsid w:val="000D1E3E"/>
    <w:rsid w:val="000D20DD"/>
    <w:rsid w:val="000D21FC"/>
    <w:rsid w:val="000D282B"/>
    <w:rsid w:val="000D28CE"/>
    <w:rsid w:val="000D2A93"/>
    <w:rsid w:val="000D2CA0"/>
    <w:rsid w:val="000D308C"/>
    <w:rsid w:val="000D328C"/>
    <w:rsid w:val="000D38E5"/>
    <w:rsid w:val="000D3C20"/>
    <w:rsid w:val="000D3D28"/>
    <w:rsid w:val="000D40FC"/>
    <w:rsid w:val="000D476B"/>
    <w:rsid w:val="000D4E33"/>
    <w:rsid w:val="000D5255"/>
    <w:rsid w:val="000D5755"/>
    <w:rsid w:val="000D58FB"/>
    <w:rsid w:val="000D5CA1"/>
    <w:rsid w:val="000D5ED7"/>
    <w:rsid w:val="000D60C7"/>
    <w:rsid w:val="000D617B"/>
    <w:rsid w:val="000D65D5"/>
    <w:rsid w:val="000D67D2"/>
    <w:rsid w:val="000D6EDB"/>
    <w:rsid w:val="000D71ED"/>
    <w:rsid w:val="000D7443"/>
    <w:rsid w:val="000D7B76"/>
    <w:rsid w:val="000D7D71"/>
    <w:rsid w:val="000E0352"/>
    <w:rsid w:val="000E0360"/>
    <w:rsid w:val="000E0C82"/>
    <w:rsid w:val="000E0FE3"/>
    <w:rsid w:val="000E1235"/>
    <w:rsid w:val="000E14C8"/>
    <w:rsid w:val="000E158A"/>
    <w:rsid w:val="000E1627"/>
    <w:rsid w:val="000E167B"/>
    <w:rsid w:val="000E18B7"/>
    <w:rsid w:val="000E22D0"/>
    <w:rsid w:val="000E2390"/>
    <w:rsid w:val="000E261E"/>
    <w:rsid w:val="000E264D"/>
    <w:rsid w:val="000E27E2"/>
    <w:rsid w:val="000E3452"/>
    <w:rsid w:val="000E3929"/>
    <w:rsid w:val="000E3D25"/>
    <w:rsid w:val="000E4183"/>
    <w:rsid w:val="000E45C8"/>
    <w:rsid w:val="000E4697"/>
    <w:rsid w:val="000E4AA1"/>
    <w:rsid w:val="000E4C37"/>
    <w:rsid w:val="000E51F9"/>
    <w:rsid w:val="000E5B96"/>
    <w:rsid w:val="000E5E08"/>
    <w:rsid w:val="000E609F"/>
    <w:rsid w:val="000E6910"/>
    <w:rsid w:val="000E6A78"/>
    <w:rsid w:val="000E7013"/>
    <w:rsid w:val="000E71A6"/>
    <w:rsid w:val="000E731D"/>
    <w:rsid w:val="000E757B"/>
    <w:rsid w:val="000E75B6"/>
    <w:rsid w:val="000E78C9"/>
    <w:rsid w:val="000E7BF9"/>
    <w:rsid w:val="000E7C32"/>
    <w:rsid w:val="000F02AD"/>
    <w:rsid w:val="000F06EC"/>
    <w:rsid w:val="000F0862"/>
    <w:rsid w:val="000F0BD4"/>
    <w:rsid w:val="000F10A4"/>
    <w:rsid w:val="000F10D1"/>
    <w:rsid w:val="000F1153"/>
    <w:rsid w:val="000F1661"/>
    <w:rsid w:val="000F19C7"/>
    <w:rsid w:val="000F19E6"/>
    <w:rsid w:val="000F19FD"/>
    <w:rsid w:val="000F1DEA"/>
    <w:rsid w:val="000F2011"/>
    <w:rsid w:val="000F2640"/>
    <w:rsid w:val="000F26EA"/>
    <w:rsid w:val="000F26F3"/>
    <w:rsid w:val="000F2A62"/>
    <w:rsid w:val="000F332F"/>
    <w:rsid w:val="000F3343"/>
    <w:rsid w:val="000F398D"/>
    <w:rsid w:val="000F4142"/>
    <w:rsid w:val="000F422F"/>
    <w:rsid w:val="000F427B"/>
    <w:rsid w:val="000F48F8"/>
    <w:rsid w:val="000F4920"/>
    <w:rsid w:val="000F4EE3"/>
    <w:rsid w:val="000F516F"/>
    <w:rsid w:val="000F52CE"/>
    <w:rsid w:val="000F5CBD"/>
    <w:rsid w:val="000F5E60"/>
    <w:rsid w:val="000F5EA7"/>
    <w:rsid w:val="000F62CB"/>
    <w:rsid w:val="000F62FA"/>
    <w:rsid w:val="000F682C"/>
    <w:rsid w:val="000F6D9A"/>
    <w:rsid w:val="000F7134"/>
    <w:rsid w:val="000F71B0"/>
    <w:rsid w:val="000F7543"/>
    <w:rsid w:val="000F7759"/>
    <w:rsid w:val="000F7856"/>
    <w:rsid w:val="000F7BD0"/>
    <w:rsid w:val="00100EC2"/>
    <w:rsid w:val="00101C8F"/>
    <w:rsid w:val="00101D6E"/>
    <w:rsid w:val="00101E99"/>
    <w:rsid w:val="001023BA"/>
    <w:rsid w:val="0010277C"/>
    <w:rsid w:val="00102DD8"/>
    <w:rsid w:val="00102E04"/>
    <w:rsid w:val="0010309D"/>
    <w:rsid w:val="001030AE"/>
    <w:rsid w:val="001030D4"/>
    <w:rsid w:val="00103451"/>
    <w:rsid w:val="00103460"/>
    <w:rsid w:val="00103855"/>
    <w:rsid w:val="00103BAB"/>
    <w:rsid w:val="001043A3"/>
    <w:rsid w:val="0010473A"/>
    <w:rsid w:val="0010488E"/>
    <w:rsid w:val="001048E8"/>
    <w:rsid w:val="00104A12"/>
    <w:rsid w:val="00104ED0"/>
    <w:rsid w:val="00105336"/>
    <w:rsid w:val="00105378"/>
    <w:rsid w:val="00105559"/>
    <w:rsid w:val="001055CF"/>
    <w:rsid w:val="0010562C"/>
    <w:rsid w:val="00105977"/>
    <w:rsid w:val="00105AC4"/>
    <w:rsid w:val="00105AFD"/>
    <w:rsid w:val="00105E82"/>
    <w:rsid w:val="00105EFF"/>
    <w:rsid w:val="0010600B"/>
    <w:rsid w:val="001061B8"/>
    <w:rsid w:val="0010634F"/>
    <w:rsid w:val="0010663F"/>
    <w:rsid w:val="001066CC"/>
    <w:rsid w:val="001066F7"/>
    <w:rsid w:val="0010685F"/>
    <w:rsid w:val="00106C15"/>
    <w:rsid w:val="00106C6C"/>
    <w:rsid w:val="00107574"/>
    <w:rsid w:val="00107C6A"/>
    <w:rsid w:val="00107D63"/>
    <w:rsid w:val="00107DE6"/>
    <w:rsid w:val="00107E24"/>
    <w:rsid w:val="00107E50"/>
    <w:rsid w:val="00110002"/>
    <w:rsid w:val="001101EB"/>
    <w:rsid w:val="001103AE"/>
    <w:rsid w:val="0011058F"/>
    <w:rsid w:val="00110F98"/>
    <w:rsid w:val="0011112D"/>
    <w:rsid w:val="00111C87"/>
    <w:rsid w:val="00111DCC"/>
    <w:rsid w:val="00111E2B"/>
    <w:rsid w:val="001120FD"/>
    <w:rsid w:val="00112279"/>
    <w:rsid w:val="00112431"/>
    <w:rsid w:val="00112441"/>
    <w:rsid w:val="0011244F"/>
    <w:rsid w:val="001124A4"/>
    <w:rsid w:val="00112650"/>
    <w:rsid w:val="00112689"/>
    <w:rsid w:val="001127A3"/>
    <w:rsid w:val="001127AB"/>
    <w:rsid w:val="001128CD"/>
    <w:rsid w:val="0011297A"/>
    <w:rsid w:val="00112AEE"/>
    <w:rsid w:val="00112EE3"/>
    <w:rsid w:val="00113132"/>
    <w:rsid w:val="001135F8"/>
    <w:rsid w:val="00113830"/>
    <w:rsid w:val="00114207"/>
    <w:rsid w:val="001142A6"/>
    <w:rsid w:val="00114376"/>
    <w:rsid w:val="001148E7"/>
    <w:rsid w:val="001149FE"/>
    <w:rsid w:val="00114FE5"/>
    <w:rsid w:val="00115642"/>
    <w:rsid w:val="001157B1"/>
    <w:rsid w:val="001158D3"/>
    <w:rsid w:val="00115C51"/>
    <w:rsid w:val="00115D49"/>
    <w:rsid w:val="00115F9C"/>
    <w:rsid w:val="00116206"/>
    <w:rsid w:val="001165F5"/>
    <w:rsid w:val="00116682"/>
    <w:rsid w:val="001168C0"/>
    <w:rsid w:val="00116B3D"/>
    <w:rsid w:val="00117038"/>
    <w:rsid w:val="00117444"/>
    <w:rsid w:val="00117596"/>
    <w:rsid w:val="001177EC"/>
    <w:rsid w:val="00117B58"/>
    <w:rsid w:val="001207BB"/>
    <w:rsid w:val="00120D9C"/>
    <w:rsid w:val="00120E26"/>
    <w:rsid w:val="00121671"/>
    <w:rsid w:val="00121821"/>
    <w:rsid w:val="00121B61"/>
    <w:rsid w:val="00121C63"/>
    <w:rsid w:val="00121D1A"/>
    <w:rsid w:val="0012204A"/>
    <w:rsid w:val="001221C8"/>
    <w:rsid w:val="00122288"/>
    <w:rsid w:val="001222D1"/>
    <w:rsid w:val="00122439"/>
    <w:rsid w:val="0012268B"/>
    <w:rsid w:val="001228F8"/>
    <w:rsid w:val="00122D28"/>
    <w:rsid w:val="00123284"/>
    <w:rsid w:val="001234C0"/>
    <w:rsid w:val="001236C5"/>
    <w:rsid w:val="00123EB6"/>
    <w:rsid w:val="001241B7"/>
    <w:rsid w:val="0012431F"/>
    <w:rsid w:val="001247A0"/>
    <w:rsid w:val="00124840"/>
    <w:rsid w:val="00124D0E"/>
    <w:rsid w:val="00124F27"/>
    <w:rsid w:val="00125036"/>
    <w:rsid w:val="001250FB"/>
    <w:rsid w:val="001255E9"/>
    <w:rsid w:val="00125689"/>
    <w:rsid w:val="00125B0D"/>
    <w:rsid w:val="00125CDB"/>
    <w:rsid w:val="00125D1B"/>
    <w:rsid w:val="00125EA6"/>
    <w:rsid w:val="00126044"/>
    <w:rsid w:val="00126595"/>
    <w:rsid w:val="0012666A"/>
    <w:rsid w:val="001267A2"/>
    <w:rsid w:val="001269E2"/>
    <w:rsid w:val="00126B58"/>
    <w:rsid w:val="001275FF"/>
    <w:rsid w:val="001279E9"/>
    <w:rsid w:val="00127A34"/>
    <w:rsid w:val="00127B75"/>
    <w:rsid w:val="00127BAB"/>
    <w:rsid w:val="00127DEA"/>
    <w:rsid w:val="00127F87"/>
    <w:rsid w:val="00130197"/>
    <w:rsid w:val="0013022C"/>
    <w:rsid w:val="00130299"/>
    <w:rsid w:val="00130343"/>
    <w:rsid w:val="001303DC"/>
    <w:rsid w:val="001305E6"/>
    <w:rsid w:val="0013060F"/>
    <w:rsid w:val="0013080F"/>
    <w:rsid w:val="0013085A"/>
    <w:rsid w:val="00130DF2"/>
    <w:rsid w:val="00131858"/>
    <w:rsid w:val="00131929"/>
    <w:rsid w:val="00131F0E"/>
    <w:rsid w:val="001320D4"/>
    <w:rsid w:val="00132810"/>
    <w:rsid w:val="00132E6D"/>
    <w:rsid w:val="00133025"/>
    <w:rsid w:val="00133191"/>
    <w:rsid w:val="001331FD"/>
    <w:rsid w:val="00133353"/>
    <w:rsid w:val="00133999"/>
    <w:rsid w:val="00133D2C"/>
    <w:rsid w:val="00133E00"/>
    <w:rsid w:val="001346D8"/>
    <w:rsid w:val="001348CF"/>
    <w:rsid w:val="0013496C"/>
    <w:rsid w:val="00134D3B"/>
    <w:rsid w:val="00134D4E"/>
    <w:rsid w:val="00134E87"/>
    <w:rsid w:val="00135210"/>
    <w:rsid w:val="0013526F"/>
    <w:rsid w:val="0013549D"/>
    <w:rsid w:val="0013553D"/>
    <w:rsid w:val="001356C3"/>
    <w:rsid w:val="00135709"/>
    <w:rsid w:val="00135BC6"/>
    <w:rsid w:val="00136085"/>
    <w:rsid w:val="001360FB"/>
    <w:rsid w:val="001362C7"/>
    <w:rsid w:val="0013686C"/>
    <w:rsid w:val="00136B09"/>
    <w:rsid w:val="0013736D"/>
    <w:rsid w:val="00137518"/>
    <w:rsid w:val="001375CA"/>
    <w:rsid w:val="00137776"/>
    <w:rsid w:val="00137C74"/>
    <w:rsid w:val="00137CE2"/>
    <w:rsid w:val="00137D05"/>
    <w:rsid w:val="00137D5B"/>
    <w:rsid w:val="00137D6A"/>
    <w:rsid w:val="001407A4"/>
    <w:rsid w:val="00140AB4"/>
    <w:rsid w:val="00140DFA"/>
    <w:rsid w:val="00140EF1"/>
    <w:rsid w:val="00140F9B"/>
    <w:rsid w:val="00141415"/>
    <w:rsid w:val="00141724"/>
    <w:rsid w:val="00141ABD"/>
    <w:rsid w:val="00141D76"/>
    <w:rsid w:val="0014212D"/>
    <w:rsid w:val="001421FF"/>
    <w:rsid w:val="0014242C"/>
    <w:rsid w:val="001425A0"/>
    <w:rsid w:val="001429E1"/>
    <w:rsid w:val="00142B7A"/>
    <w:rsid w:val="00142BD0"/>
    <w:rsid w:val="0014377E"/>
    <w:rsid w:val="00143B10"/>
    <w:rsid w:val="00143CFD"/>
    <w:rsid w:val="00143EC5"/>
    <w:rsid w:val="001448AE"/>
    <w:rsid w:val="0014547C"/>
    <w:rsid w:val="001454A3"/>
    <w:rsid w:val="00145692"/>
    <w:rsid w:val="00145C5E"/>
    <w:rsid w:val="00145EED"/>
    <w:rsid w:val="00145FCE"/>
    <w:rsid w:val="001461B2"/>
    <w:rsid w:val="00146939"/>
    <w:rsid w:val="00146A47"/>
    <w:rsid w:val="00146DCE"/>
    <w:rsid w:val="00147107"/>
    <w:rsid w:val="001472C2"/>
    <w:rsid w:val="00147496"/>
    <w:rsid w:val="00147727"/>
    <w:rsid w:val="00147824"/>
    <w:rsid w:val="00147E33"/>
    <w:rsid w:val="001502B5"/>
    <w:rsid w:val="00150623"/>
    <w:rsid w:val="001507AF"/>
    <w:rsid w:val="001507F2"/>
    <w:rsid w:val="00150A5D"/>
    <w:rsid w:val="00150B21"/>
    <w:rsid w:val="00150BD9"/>
    <w:rsid w:val="00150FCC"/>
    <w:rsid w:val="001513D2"/>
    <w:rsid w:val="00151845"/>
    <w:rsid w:val="001518E7"/>
    <w:rsid w:val="00151B7C"/>
    <w:rsid w:val="00151E23"/>
    <w:rsid w:val="00152554"/>
    <w:rsid w:val="00152687"/>
    <w:rsid w:val="0015288E"/>
    <w:rsid w:val="001529FA"/>
    <w:rsid w:val="00152A3A"/>
    <w:rsid w:val="00152B06"/>
    <w:rsid w:val="00152B5A"/>
    <w:rsid w:val="00152CF8"/>
    <w:rsid w:val="00152D46"/>
    <w:rsid w:val="00152E54"/>
    <w:rsid w:val="00152F82"/>
    <w:rsid w:val="00152FC8"/>
    <w:rsid w:val="00153035"/>
    <w:rsid w:val="00153131"/>
    <w:rsid w:val="0015393F"/>
    <w:rsid w:val="001540A8"/>
    <w:rsid w:val="001544D3"/>
    <w:rsid w:val="001544E6"/>
    <w:rsid w:val="001545BF"/>
    <w:rsid w:val="0015473C"/>
    <w:rsid w:val="001548B5"/>
    <w:rsid w:val="00154A58"/>
    <w:rsid w:val="00154E09"/>
    <w:rsid w:val="00154E46"/>
    <w:rsid w:val="001552EE"/>
    <w:rsid w:val="00155324"/>
    <w:rsid w:val="00155C83"/>
    <w:rsid w:val="00155DC6"/>
    <w:rsid w:val="00155DDB"/>
    <w:rsid w:val="00155E0B"/>
    <w:rsid w:val="0015608E"/>
    <w:rsid w:val="00156D39"/>
    <w:rsid w:val="001570AF"/>
    <w:rsid w:val="00157137"/>
    <w:rsid w:val="0015774F"/>
    <w:rsid w:val="00157AC3"/>
    <w:rsid w:val="00157B8F"/>
    <w:rsid w:val="00157BC3"/>
    <w:rsid w:val="00157D35"/>
    <w:rsid w:val="00160067"/>
    <w:rsid w:val="0016013E"/>
    <w:rsid w:val="00160A80"/>
    <w:rsid w:val="00160CC7"/>
    <w:rsid w:val="00160E8D"/>
    <w:rsid w:val="00161805"/>
    <w:rsid w:val="00161933"/>
    <w:rsid w:val="00161A34"/>
    <w:rsid w:val="00161A93"/>
    <w:rsid w:val="00161C99"/>
    <w:rsid w:val="001623C6"/>
    <w:rsid w:val="0016306B"/>
    <w:rsid w:val="001634CF"/>
    <w:rsid w:val="0016385F"/>
    <w:rsid w:val="001638D4"/>
    <w:rsid w:val="00163DEE"/>
    <w:rsid w:val="00163F60"/>
    <w:rsid w:val="00164035"/>
    <w:rsid w:val="0016404E"/>
    <w:rsid w:val="001642B4"/>
    <w:rsid w:val="001643EB"/>
    <w:rsid w:val="00164E08"/>
    <w:rsid w:val="0016523A"/>
    <w:rsid w:val="001653E4"/>
    <w:rsid w:val="00165408"/>
    <w:rsid w:val="001654AE"/>
    <w:rsid w:val="001655EF"/>
    <w:rsid w:val="0016585D"/>
    <w:rsid w:val="00165C3A"/>
    <w:rsid w:val="00166001"/>
    <w:rsid w:val="001663FE"/>
    <w:rsid w:val="001666D7"/>
    <w:rsid w:val="00166C4A"/>
    <w:rsid w:val="00166D32"/>
    <w:rsid w:val="00166E75"/>
    <w:rsid w:val="00166FB5"/>
    <w:rsid w:val="00167163"/>
    <w:rsid w:val="001677F4"/>
    <w:rsid w:val="001678FE"/>
    <w:rsid w:val="00167B6C"/>
    <w:rsid w:val="00167BE7"/>
    <w:rsid w:val="00167C2D"/>
    <w:rsid w:val="00167D4E"/>
    <w:rsid w:val="00170090"/>
    <w:rsid w:val="0017017E"/>
    <w:rsid w:val="001705C9"/>
    <w:rsid w:val="001709DF"/>
    <w:rsid w:val="00170BFE"/>
    <w:rsid w:val="00170E36"/>
    <w:rsid w:val="00170E91"/>
    <w:rsid w:val="0017132A"/>
    <w:rsid w:val="0017151C"/>
    <w:rsid w:val="001718F7"/>
    <w:rsid w:val="001719C8"/>
    <w:rsid w:val="00171A72"/>
    <w:rsid w:val="00171A78"/>
    <w:rsid w:val="00171DCE"/>
    <w:rsid w:val="00171F00"/>
    <w:rsid w:val="00171F93"/>
    <w:rsid w:val="0017213D"/>
    <w:rsid w:val="001724B4"/>
    <w:rsid w:val="00172773"/>
    <w:rsid w:val="0017302B"/>
    <w:rsid w:val="00173216"/>
    <w:rsid w:val="0017361D"/>
    <w:rsid w:val="0017373C"/>
    <w:rsid w:val="001737DC"/>
    <w:rsid w:val="001738D6"/>
    <w:rsid w:val="00173CD8"/>
    <w:rsid w:val="00173DE0"/>
    <w:rsid w:val="00173EF8"/>
    <w:rsid w:val="00174333"/>
    <w:rsid w:val="001744F0"/>
    <w:rsid w:val="00174842"/>
    <w:rsid w:val="0017488F"/>
    <w:rsid w:val="001749E2"/>
    <w:rsid w:val="00174A32"/>
    <w:rsid w:val="00174BF8"/>
    <w:rsid w:val="00174D26"/>
    <w:rsid w:val="0017529F"/>
    <w:rsid w:val="00175588"/>
    <w:rsid w:val="0017569E"/>
    <w:rsid w:val="00175A16"/>
    <w:rsid w:val="00175C9F"/>
    <w:rsid w:val="00175CF6"/>
    <w:rsid w:val="00175FF5"/>
    <w:rsid w:val="00176163"/>
    <w:rsid w:val="00176C18"/>
    <w:rsid w:val="00176D3E"/>
    <w:rsid w:val="00176E6D"/>
    <w:rsid w:val="00176EAF"/>
    <w:rsid w:val="00176F6D"/>
    <w:rsid w:val="0017726E"/>
    <w:rsid w:val="00177530"/>
    <w:rsid w:val="001775B3"/>
    <w:rsid w:val="001778AB"/>
    <w:rsid w:val="00180187"/>
    <w:rsid w:val="001801C7"/>
    <w:rsid w:val="00180338"/>
    <w:rsid w:val="001806D6"/>
    <w:rsid w:val="00180E30"/>
    <w:rsid w:val="001810B4"/>
    <w:rsid w:val="0018117B"/>
    <w:rsid w:val="001811D4"/>
    <w:rsid w:val="0018187B"/>
    <w:rsid w:val="001818A1"/>
    <w:rsid w:val="00181E01"/>
    <w:rsid w:val="00181E05"/>
    <w:rsid w:val="00181ED6"/>
    <w:rsid w:val="001821AB"/>
    <w:rsid w:val="001825B5"/>
    <w:rsid w:val="001828F5"/>
    <w:rsid w:val="00182DA9"/>
    <w:rsid w:val="0018352C"/>
    <w:rsid w:val="0018387B"/>
    <w:rsid w:val="00183AD7"/>
    <w:rsid w:val="00183C4E"/>
    <w:rsid w:val="00184071"/>
    <w:rsid w:val="00184296"/>
    <w:rsid w:val="001842A9"/>
    <w:rsid w:val="001845D0"/>
    <w:rsid w:val="00184A08"/>
    <w:rsid w:val="00184CD5"/>
    <w:rsid w:val="00185219"/>
    <w:rsid w:val="001856C8"/>
    <w:rsid w:val="00185CC8"/>
    <w:rsid w:val="00185F3D"/>
    <w:rsid w:val="00186332"/>
    <w:rsid w:val="0018644A"/>
    <w:rsid w:val="001865EA"/>
    <w:rsid w:val="001869EF"/>
    <w:rsid w:val="00186FB9"/>
    <w:rsid w:val="00187127"/>
    <w:rsid w:val="00187941"/>
    <w:rsid w:val="00187AFF"/>
    <w:rsid w:val="00187B49"/>
    <w:rsid w:val="00190493"/>
    <w:rsid w:val="001907B4"/>
    <w:rsid w:val="00190884"/>
    <w:rsid w:val="00190986"/>
    <w:rsid w:val="00190DAC"/>
    <w:rsid w:val="0019120A"/>
    <w:rsid w:val="0019154C"/>
    <w:rsid w:val="00191BB3"/>
    <w:rsid w:val="00191DAA"/>
    <w:rsid w:val="00191F02"/>
    <w:rsid w:val="001920F9"/>
    <w:rsid w:val="001928AE"/>
    <w:rsid w:val="00192B5E"/>
    <w:rsid w:val="00192D18"/>
    <w:rsid w:val="00192D80"/>
    <w:rsid w:val="001936BF"/>
    <w:rsid w:val="00193844"/>
    <w:rsid w:val="00193A36"/>
    <w:rsid w:val="00193A8B"/>
    <w:rsid w:val="00193B84"/>
    <w:rsid w:val="00193BCF"/>
    <w:rsid w:val="00193CB7"/>
    <w:rsid w:val="00193EB6"/>
    <w:rsid w:val="00194512"/>
    <w:rsid w:val="001947A6"/>
    <w:rsid w:val="00194ACD"/>
    <w:rsid w:val="00194CAD"/>
    <w:rsid w:val="001959BA"/>
    <w:rsid w:val="00195E7C"/>
    <w:rsid w:val="00195ECB"/>
    <w:rsid w:val="00196018"/>
    <w:rsid w:val="001961BB"/>
    <w:rsid w:val="001961F3"/>
    <w:rsid w:val="001962DA"/>
    <w:rsid w:val="001963B3"/>
    <w:rsid w:val="001963E6"/>
    <w:rsid w:val="00196828"/>
    <w:rsid w:val="0019683E"/>
    <w:rsid w:val="00196C5A"/>
    <w:rsid w:val="00196CDB"/>
    <w:rsid w:val="00196E25"/>
    <w:rsid w:val="00196FC5"/>
    <w:rsid w:val="0019732A"/>
    <w:rsid w:val="00197340"/>
    <w:rsid w:val="00197385"/>
    <w:rsid w:val="00197921"/>
    <w:rsid w:val="001979DF"/>
    <w:rsid w:val="00197A27"/>
    <w:rsid w:val="00197A35"/>
    <w:rsid w:val="001A03E0"/>
    <w:rsid w:val="001A06C0"/>
    <w:rsid w:val="001A08BA"/>
    <w:rsid w:val="001A0BE9"/>
    <w:rsid w:val="001A0C70"/>
    <w:rsid w:val="001A0C7D"/>
    <w:rsid w:val="001A17C9"/>
    <w:rsid w:val="001A197B"/>
    <w:rsid w:val="001A1B88"/>
    <w:rsid w:val="001A1C6F"/>
    <w:rsid w:val="001A2327"/>
    <w:rsid w:val="001A264D"/>
    <w:rsid w:val="001A2775"/>
    <w:rsid w:val="001A2BD2"/>
    <w:rsid w:val="001A319A"/>
    <w:rsid w:val="001A31F5"/>
    <w:rsid w:val="001A349F"/>
    <w:rsid w:val="001A36A6"/>
    <w:rsid w:val="001A3AED"/>
    <w:rsid w:val="001A3C3C"/>
    <w:rsid w:val="001A4539"/>
    <w:rsid w:val="001A4724"/>
    <w:rsid w:val="001A4859"/>
    <w:rsid w:val="001A4884"/>
    <w:rsid w:val="001A49F7"/>
    <w:rsid w:val="001A4F45"/>
    <w:rsid w:val="001A4FDA"/>
    <w:rsid w:val="001A54B2"/>
    <w:rsid w:val="001A55E4"/>
    <w:rsid w:val="001A56BF"/>
    <w:rsid w:val="001A5AD2"/>
    <w:rsid w:val="001A5F6F"/>
    <w:rsid w:val="001A5FAE"/>
    <w:rsid w:val="001A6375"/>
    <w:rsid w:val="001A6385"/>
    <w:rsid w:val="001A66D1"/>
    <w:rsid w:val="001A6A74"/>
    <w:rsid w:val="001A6ADC"/>
    <w:rsid w:val="001A6B4A"/>
    <w:rsid w:val="001A6CCF"/>
    <w:rsid w:val="001A6D6C"/>
    <w:rsid w:val="001A6D6D"/>
    <w:rsid w:val="001A712D"/>
    <w:rsid w:val="001A73B1"/>
    <w:rsid w:val="001A77A7"/>
    <w:rsid w:val="001A7A0E"/>
    <w:rsid w:val="001A7B0F"/>
    <w:rsid w:val="001A7C95"/>
    <w:rsid w:val="001A7E06"/>
    <w:rsid w:val="001A7FCA"/>
    <w:rsid w:val="001B017B"/>
    <w:rsid w:val="001B03B7"/>
    <w:rsid w:val="001B0412"/>
    <w:rsid w:val="001B0E12"/>
    <w:rsid w:val="001B1352"/>
    <w:rsid w:val="001B1572"/>
    <w:rsid w:val="001B1AAA"/>
    <w:rsid w:val="001B1CE1"/>
    <w:rsid w:val="001B205B"/>
    <w:rsid w:val="001B21B4"/>
    <w:rsid w:val="001B282E"/>
    <w:rsid w:val="001B2B92"/>
    <w:rsid w:val="001B35D5"/>
    <w:rsid w:val="001B3787"/>
    <w:rsid w:val="001B37B7"/>
    <w:rsid w:val="001B37FA"/>
    <w:rsid w:val="001B3B58"/>
    <w:rsid w:val="001B3D87"/>
    <w:rsid w:val="001B3E54"/>
    <w:rsid w:val="001B43AD"/>
    <w:rsid w:val="001B45C5"/>
    <w:rsid w:val="001B46EB"/>
    <w:rsid w:val="001B4E54"/>
    <w:rsid w:val="001B5090"/>
    <w:rsid w:val="001B52D8"/>
    <w:rsid w:val="001B559E"/>
    <w:rsid w:val="001B630A"/>
    <w:rsid w:val="001B674C"/>
    <w:rsid w:val="001B6B7C"/>
    <w:rsid w:val="001B6DAF"/>
    <w:rsid w:val="001B72AD"/>
    <w:rsid w:val="001B7568"/>
    <w:rsid w:val="001B773C"/>
    <w:rsid w:val="001B77AC"/>
    <w:rsid w:val="001B7865"/>
    <w:rsid w:val="001B7AE2"/>
    <w:rsid w:val="001B7B42"/>
    <w:rsid w:val="001C003E"/>
    <w:rsid w:val="001C0572"/>
    <w:rsid w:val="001C07EB"/>
    <w:rsid w:val="001C0B9C"/>
    <w:rsid w:val="001C1333"/>
    <w:rsid w:val="001C13B7"/>
    <w:rsid w:val="001C173A"/>
    <w:rsid w:val="001C17DE"/>
    <w:rsid w:val="001C1887"/>
    <w:rsid w:val="001C189A"/>
    <w:rsid w:val="001C1B25"/>
    <w:rsid w:val="001C1DF2"/>
    <w:rsid w:val="001C1EB0"/>
    <w:rsid w:val="001C20F7"/>
    <w:rsid w:val="001C2107"/>
    <w:rsid w:val="001C2274"/>
    <w:rsid w:val="001C280F"/>
    <w:rsid w:val="001C287D"/>
    <w:rsid w:val="001C2D23"/>
    <w:rsid w:val="001C2F7A"/>
    <w:rsid w:val="001C30CD"/>
    <w:rsid w:val="001C340E"/>
    <w:rsid w:val="001C36CB"/>
    <w:rsid w:val="001C394F"/>
    <w:rsid w:val="001C3A54"/>
    <w:rsid w:val="001C421D"/>
    <w:rsid w:val="001C42EC"/>
    <w:rsid w:val="001C42EF"/>
    <w:rsid w:val="001C45DB"/>
    <w:rsid w:val="001C4710"/>
    <w:rsid w:val="001C48AD"/>
    <w:rsid w:val="001C4909"/>
    <w:rsid w:val="001C4AE9"/>
    <w:rsid w:val="001C4CBF"/>
    <w:rsid w:val="001C52E2"/>
    <w:rsid w:val="001C56B3"/>
    <w:rsid w:val="001C5BC6"/>
    <w:rsid w:val="001C5EBE"/>
    <w:rsid w:val="001C654E"/>
    <w:rsid w:val="001C6E6A"/>
    <w:rsid w:val="001C72FF"/>
    <w:rsid w:val="001C77D7"/>
    <w:rsid w:val="001C793A"/>
    <w:rsid w:val="001C79E2"/>
    <w:rsid w:val="001C7C75"/>
    <w:rsid w:val="001D0427"/>
    <w:rsid w:val="001D0A18"/>
    <w:rsid w:val="001D0AAD"/>
    <w:rsid w:val="001D0DB7"/>
    <w:rsid w:val="001D0F39"/>
    <w:rsid w:val="001D0FE8"/>
    <w:rsid w:val="001D1281"/>
    <w:rsid w:val="001D12EF"/>
    <w:rsid w:val="001D13AA"/>
    <w:rsid w:val="001D1C41"/>
    <w:rsid w:val="001D20A1"/>
    <w:rsid w:val="001D23E2"/>
    <w:rsid w:val="001D25D3"/>
    <w:rsid w:val="001D2D0B"/>
    <w:rsid w:val="001D31E9"/>
    <w:rsid w:val="001D3314"/>
    <w:rsid w:val="001D3A72"/>
    <w:rsid w:val="001D3BC9"/>
    <w:rsid w:val="001D3FF5"/>
    <w:rsid w:val="001D40D1"/>
    <w:rsid w:val="001D4105"/>
    <w:rsid w:val="001D425B"/>
    <w:rsid w:val="001D4A07"/>
    <w:rsid w:val="001D4F60"/>
    <w:rsid w:val="001D53D9"/>
    <w:rsid w:val="001D55EE"/>
    <w:rsid w:val="001D57AC"/>
    <w:rsid w:val="001D5C9A"/>
    <w:rsid w:val="001D5D6D"/>
    <w:rsid w:val="001D5D6E"/>
    <w:rsid w:val="001D657C"/>
    <w:rsid w:val="001D7346"/>
    <w:rsid w:val="001D74C5"/>
    <w:rsid w:val="001D791B"/>
    <w:rsid w:val="001D7980"/>
    <w:rsid w:val="001D7B7F"/>
    <w:rsid w:val="001E013F"/>
    <w:rsid w:val="001E034B"/>
    <w:rsid w:val="001E039E"/>
    <w:rsid w:val="001E09D0"/>
    <w:rsid w:val="001E0C27"/>
    <w:rsid w:val="001E0CF5"/>
    <w:rsid w:val="001E1538"/>
    <w:rsid w:val="001E183F"/>
    <w:rsid w:val="001E1D7E"/>
    <w:rsid w:val="001E1EC7"/>
    <w:rsid w:val="001E1F82"/>
    <w:rsid w:val="001E21DC"/>
    <w:rsid w:val="001E296C"/>
    <w:rsid w:val="001E2B96"/>
    <w:rsid w:val="001E2EFC"/>
    <w:rsid w:val="001E34B8"/>
    <w:rsid w:val="001E35AF"/>
    <w:rsid w:val="001E3693"/>
    <w:rsid w:val="001E4015"/>
    <w:rsid w:val="001E443C"/>
    <w:rsid w:val="001E46D9"/>
    <w:rsid w:val="001E47DD"/>
    <w:rsid w:val="001E48A3"/>
    <w:rsid w:val="001E5255"/>
    <w:rsid w:val="001E5375"/>
    <w:rsid w:val="001E5462"/>
    <w:rsid w:val="001E552B"/>
    <w:rsid w:val="001E567F"/>
    <w:rsid w:val="001E593B"/>
    <w:rsid w:val="001E5992"/>
    <w:rsid w:val="001E5D0B"/>
    <w:rsid w:val="001E6073"/>
    <w:rsid w:val="001E6163"/>
    <w:rsid w:val="001E627B"/>
    <w:rsid w:val="001E62A6"/>
    <w:rsid w:val="001E630F"/>
    <w:rsid w:val="001E6E7D"/>
    <w:rsid w:val="001E721D"/>
    <w:rsid w:val="001E7711"/>
    <w:rsid w:val="001E79C7"/>
    <w:rsid w:val="001F001C"/>
    <w:rsid w:val="001F01B8"/>
    <w:rsid w:val="001F0318"/>
    <w:rsid w:val="001F0434"/>
    <w:rsid w:val="001F0457"/>
    <w:rsid w:val="001F0630"/>
    <w:rsid w:val="001F0C3B"/>
    <w:rsid w:val="001F0EC5"/>
    <w:rsid w:val="001F10C5"/>
    <w:rsid w:val="001F1391"/>
    <w:rsid w:val="001F1618"/>
    <w:rsid w:val="001F2165"/>
    <w:rsid w:val="001F265D"/>
    <w:rsid w:val="001F2AE6"/>
    <w:rsid w:val="001F3172"/>
    <w:rsid w:val="001F330B"/>
    <w:rsid w:val="001F3397"/>
    <w:rsid w:val="001F3D25"/>
    <w:rsid w:val="001F43DA"/>
    <w:rsid w:val="001F446A"/>
    <w:rsid w:val="001F4A24"/>
    <w:rsid w:val="001F5126"/>
    <w:rsid w:val="001F544B"/>
    <w:rsid w:val="001F558B"/>
    <w:rsid w:val="001F572A"/>
    <w:rsid w:val="001F5944"/>
    <w:rsid w:val="001F5E77"/>
    <w:rsid w:val="001F629A"/>
    <w:rsid w:val="001F6362"/>
    <w:rsid w:val="001F68BB"/>
    <w:rsid w:val="001F6D9D"/>
    <w:rsid w:val="001F6E1C"/>
    <w:rsid w:val="001F7133"/>
    <w:rsid w:val="001F7523"/>
    <w:rsid w:val="001F7AE9"/>
    <w:rsid w:val="001F7D06"/>
    <w:rsid w:val="00200177"/>
    <w:rsid w:val="002005A0"/>
    <w:rsid w:val="0020113E"/>
    <w:rsid w:val="0020193E"/>
    <w:rsid w:val="00201F12"/>
    <w:rsid w:val="002023E1"/>
    <w:rsid w:val="002025A6"/>
    <w:rsid w:val="002026D7"/>
    <w:rsid w:val="00202775"/>
    <w:rsid w:val="00202CAC"/>
    <w:rsid w:val="00202E28"/>
    <w:rsid w:val="0020332F"/>
    <w:rsid w:val="00203674"/>
    <w:rsid w:val="00203898"/>
    <w:rsid w:val="00203974"/>
    <w:rsid w:val="00203D5C"/>
    <w:rsid w:val="00204270"/>
    <w:rsid w:val="00204398"/>
    <w:rsid w:val="002044B5"/>
    <w:rsid w:val="0020454A"/>
    <w:rsid w:val="002049C0"/>
    <w:rsid w:val="00204C4F"/>
    <w:rsid w:val="002054AC"/>
    <w:rsid w:val="002055CD"/>
    <w:rsid w:val="002055F9"/>
    <w:rsid w:val="002057BD"/>
    <w:rsid w:val="002059E0"/>
    <w:rsid w:val="00206030"/>
    <w:rsid w:val="00206191"/>
    <w:rsid w:val="002066E5"/>
    <w:rsid w:val="002068D3"/>
    <w:rsid w:val="002072D7"/>
    <w:rsid w:val="0020754F"/>
    <w:rsid w:val="0020760A"/>
    <w:rsid w:val="0020766D"/>
    <w:rsid w:val="00207773"/>
    <w:rsid w:val="002100D0"/>
    <w:rsid w:val="00210103"/>
    <w:rsid w:val="002102F5"/>
    <w:rsid w:val="0021044A"/>
    <w:rsid w:val="00210585"/>
    <w:rsid w:val="0021070F"/>
    <w:rsid w:val="00210F07"/>
    <w:rsid w:val="002114FE"/>
    <w:rsid w:val="0021166F"/>
    <w:rsid w:val="00211677"/>
    <w:rsid w:val="0021208A"/>
    <w:rsid w:val="00212228"/>
    <w:rsid w:val="002124F9"/>
    <w:rsid w:val="00212BED"/>
    <w:rsid w:val="00213534"/>
    <w:rsid w:val="00213B7D"/>
    <w:rsid w:val="00213BCF"/>
    <w:rsid w:val="00213ED9"/>
    <w:rsid w:val="00213F75"/>
    <w:rsid w:val="00214199"/>
    <w:rsid w:val="00214237"/>
    <w:rsid w:val="0021475A"/>
    <w:rsid w:val="00214B7C"/>
    <w:rsid w:val="0021508D"/>
    <w:rsid w:val="002159B6"/>
    <w:rsid w:val="002159CA"/>
    <w:rsid w:val="00215AF9"/>
    <w:rsid w:val="00215EA0"/>
    <w:rsid w:val="00216159"/>
    <w:rsid w:val="002164AC"/>
    <w:rsid w:val="00216D39"/>
    <w:rsid w:val="00216FA2"/>
    <w:rsid w:val="00216FB2"/>
    <w:rsid w:val="00217546"/>
    <w:rsid w:val="00217549"/>
    <w:rsid w:val="0021769E"/>
    <w:rsid w:val="00217728"/>
    <w:rsid w:val="00217875"/>
    <w:rsid w:val="00217D2A"/>
    <w:rsid w:val="00220165"/>
    <w:rsid w:val="0022029B"/>
    <w:rsid w:val="002204BE"/>
    <w:rsid w:val="00220706"/>
    <w:rsid w:val="00220AFF"/>
    <w:rsid w:val="00220EB0"/>
    <w:rsid w:val="002213C7"/>
    <w:rsid w:val="002213CB"/>
    <w:rsid w:val="0022144D"/>
    <w:rsid w:val="0022157D"/>
    <w:rsid w:val="0022166B"/>
    <w:rsid w:val="0022168D"/>
    <w:rsid w:val="002216BD"/>
    <w:rsid w:val="002217BC"/>
    <w:rsid w:val="0022186E"/>
    <w:rsid w:val="00221E7B"/>
    <w:rsid w:val="00221EC8"/>
    <w:rsid w:val="00222108"/>
    <w:rsid w:val="00222251"/>
    <w:rsid w:val="00222441"/>
    <w:rsid w:val="00222849"/>
    <w:rsid w:val="00222B1D"/>
    <w:rsid w:val="00222C17"/>
    <w:rsid w:val="00222D07"/>
    <w:rsid w:val="00223034"/>
    <w:rsid w:val="00223121"/>
    <w:rsid w:val="00223324"/>
    <w:rsid w:val="00223589"/>
    <w:rsid w:val="002237CD"/>
    <w:rsid w:val="0022380D"/>
    <w:rsid w:val="00223972"/>
    <w:rsid w:val="00223C5B"/>
    <w:rsid w:val="00224141"/>
    <w:rsid w:val="002241A1"/>
    <w:rsid w:val="00224385"/>
    <w:rsid w:val="002246B9"/>
    <w:rsid w:val="00224749"/>
    <w:rsid w:val="0022489B"/>
    <w:rsid w:val="0022492B"/>
    <w:rsid w:val="0022493D"/>
    <w:rsid w:val="0022498F"/>
    <w:rsid w:val="00224999"/>
    <w:rsid w:val="00224AB7"/>
    <w:rsid w:val="00224DF4"/>
    <w:rsid w:val="00225042"/>
    <w:rsid w:val="00225127"/>
    <w:rsid w:val="0022574D"/>
    <w:rsid w:val="0022576A"/>
    <w:rsid w:val="00225D66"/>
    <w:rsid w:val="00225F9D"/>
    <w:rsid w:val="0022615F"/>
    <w:rsid w:val="0022630E"/>
    <w:rsid w:val="002263F2"/>
    <w:rsid w:val="002263FD"/>
    <w:rsid w:val="002264F5"/>
    <w:rsid w:val="002268EC"/>
    <w:rsid w:val="00226C16"/>
    <w:rsid w:val="00226D21"/>
    <w:rsid w:val="00226DE9"/>
    <w:rsid w:val="00227261"/>
    <w:rsid w:val="0022728C"/>
    <w:rsid w:val="002277A0"/>
    <w:rsid w:val="00227E82"/>
    <w:rsid w:val="0023031C"/>
    <w:rsid w:val="0023061A"/>
    <w:rsid w:val="00231C8F"/>
    <w:rsid w:val="00231D9D"/>
    <w:rsid w:val="00231F14"/>
    <w:rsid w:val="00231F55"/>
    <w:rsid w:val="00232088"/>
    <w:rsid w:val="00232235"/>
    <w:rsid w:val="00232253"/>
    <w:rsid w:val="00232422"/>
    <w:rsid w:val="002328FE"/>
    <w:rsid w:val="0023296D"/>
    <w:rsid w:val="002329BD"/>
    <w:rsid w:val="00232DE6"/>
    <w:rsid w:val="00233247"/>
    <w:rsid w:val="002332AE"/>
    <w:rsid w:val="0023351B"/>
    <w:rsid w:val="00233A31"/>
    <w:rsid w:val="00233D01"/>
    <w:rsid w:val="00233EC8"/>
    <w:rsid w:val="0023405C"/>
    <w:rsid w:val="0023484B"/>
    <w:rsid w:val="0023498D"/>
    <w:rsid w:val="00234AB4"/>
    <w:rsid w:val="00234C78"/>
    <w:rsid w:val="00234DAA"/>
    <w:rsid w:val="00235120"/>
    <w:rsid w:val="002352BC"/>
    <w:rsid w:val="0023537E"/>
    <w:rsid w:val="002357D5"/>
    <w:rsid w:val="00235D81"/>
    <w:rsid w:val="0023606E"/>
    <w:rsid w:val="00236319"/>
    <w:rsid w:val="0023697D"/>
    <w:rsid w:val="002369E4"/>
    <w:rsid w:val="00236AB4"/>
    <w:rsid w:val="002371D7"/>
    <w:rsid w:val="00237411"/>
    <w:rsid w:val="002375E1"/>
    <w:rsid w:val="002378BE"/>
    <w:rsid w:val="00237D39"/>
    <w:rsid w:val="00240115"/>
    <w:rsid w:val="002410FA"/>
    <w:rsid w:val="00241122"/>
    <w:rsid w:val="00241693"/>
    <w:rsid w:val="00241ABB"/>
    <w:rsid w:val="00241E3B"/>
    <w:rsid w:val="00242115"/>
    <w:rsid w:val="00242210"/>
    <w:rsid w:val="002423E6"/>
    <w:rsid w:val="002428F2"/>
    <w:rsid w:val="002429F3"/>
    <w:rsid w:val="00242CC8"/>
    <w:rsid w:val="00242CF5"/>
    <w:rsid w:val="00242D93"/>
    <w:rsid w:val="00242DD2"/>
    <w:rsid w:val="00243496"/>
    <w:rsid w:val="00243758"/>
    <w:rsid w:val="00243899"/>
    <w:rsid w:val="00243916"/>
    <w:rsid w:val="00243DB5"/>
    <w:rsid w:val="002440AB"/>
    <w:rsid w:val="002444E6"/>
    <w:rsid w:val="002448B6"/>
    <w:rsid w:val="00244DFB"/>
    <w:rsid w:val="002450C1"/>
    <w:rsid w:val="0024553D"/>
    <w:rsid w:val="002459C1"/>
    <w:rsid w:val="00245ECA"/>
    <w:rsid w:val="00245F96"/>
    <w:rsid w:val="00246749"/>
    <w:rsid w:val="00246C79"/>
    <w:rsid w:val="00247DE1"/>
    <w:rsid w:val="00250044"/>
    <w:rsid w:val="0025009A"/>
    <w:rsid w:val="0025014B"/>
    <w:rsid w:val="00250592"/>
    <w:rsid w:val="0025145C"/>
    <w:rsid w:val="00251911"/>
    <w:rsid w:val="00251D79"/>
    <w:rsid w:val="00251DB0"/>
    <w:rsid w:val="00252549"/>
    <w:rsid w:val="00252729"/>
    <w:rsid w:val="0025283C"/>
    <w:rsid w:val="00252D34"/>
    <w:rsid w:val="00252D57"/>
    <w:rsid w:val="00252D73"/>
    <w:rsid w:val="00253075"/>
    <w:rsid w:val="00253516"/>
    <w:rsid w:val="00253583"/>
    <w:rsid w:val="0025386F"/>
    <w:rsid w:val="0025393D"/>
    <w:rsid w:val="00253AB8"/>
    <w:rsid w:val="00253D1C"/>
    <w:rsid w:val="00253D78"/>
    <w:rsid w:val="00254296"/>
    <w:rsid w:val="00254655"/>
    <w:rsid w:val="00254937"/>
    <w:rsid w:val="00254954"/>
    <w:rsid w:val="002552B1"/>
    <w:rsid w:val="002552F7"/>
    <w:rsid w:val="00255431"/>
    <w:rsid w:val="00255620"/>
    <w:rsid w:val="00255982"/>
    <w:rsid w:val="00255CE4"/>
    <w:rsid w:val="00255E33"/>
    <w:rsid w:val="00255FEC"/>
    <w:rsid w:val="002563C7"/>
    <w:rsid w:val="00256742"/>
    <w:rsid w:val="002567F2"/>
    <w:rsid w:val="00256856"/>
    <w:rsid w:val="002573A5"/>
    <w:rsid w:val="00257429"/>
    <w:rsid w:val="002577B0"/>
    <w:rsid w:val="0025797E"/>
    <w:rsid w:val="00257CD3"/>
    <w:rsid w:val="00257F88"/>
    <w:rsid w:val="002600F8"/>
    <w:rsid w:val="002602CC"/>
    <w:rsid w:val="00260335"/>
    <w:rsid w:val="0026045F"/>
    <w:rsid w:val="0026047F"/>
    <w:rsid w:val="002610DC"/>
    <w:rsid w:val="0026113B"/>
    <w:rsid w:val="002612EF"/>
    <w:rsid w:val="00261698"/>
    <w:rsid w:val="00261D75"/>
    <w:rsid w:val="00261F2F"/>
    <w:rsid w:val="00261F63"/>
    <w:rsid w:val="00262047"/>
    <w:rsid w:val="0026220A"/>
    <w:rsid w:val="00262945"/>
    <w:rsid w:val="00262EB0"/>
    <w:rsid w:val="00262F99"/>
    <w:rsid w:val="0026335F"/>
    <w:rsid w:val="002634B1"/>
    <w:rsid w:val="00263595"/>
    <w:rsid w:val="00263676"/>
    <w:rsid w:val="002637A4"/>
    <w:rsid w:val="0026385D"/>
    <w:rsid w:val="00263E27"/>
    <w:rsid w:val="0026428F"/>
    <w:rsid w:val="002644BB"/>
    <w:rsid w:val="00264580"/>
    <w:rsid w:val="002648CC"/>
    <w:rsid w:val="00264947"/>
    <w:rsid w:val="00264BEE"/>
    <w:rsid w:val="0026590E"/>
    <w:rsid w:val="00265A69"/>
    <w:rsid w:val="00265E56"/>
    <w:rsid w:val="0026612E"/>
    <w:rsid w:val="00266164"/>
    <w:rsid w:val="002667E7"/>
    <w:rsid w:val="00266E3D"/>
    <w:rsid w:val="0026760F"/>
    <w:rsid w:val="0026776D"/>
    <w:rsid w:val="00267939"/>
    <w:rsid w:val="00267B64"/>
    <w:rsid w:val="00267D01"/>
    <w:rsid w:val="002702A9"/>
    <w:rsid w:val="00270903"/>
    <w:rsid w:val="002709F4"/>
    <w:rsid w:val="00270BA3"/>
    <w:rsid w:val="00270EA0"/>
    <w:rsid w:val="002716DE"/>
    <w:rsid w:val="0027179D"/>
    <w:rsid w:val="00271E27"/>
    <w:rsid w:val="00271E9B"/>
    <w:rsid w:val="002723E9"/>
    <w:rsid w:val="002724D7"/>
    <w:rsid w:val="0027252C"/>
    <w:rsid w:val="00272C02"/>
    <w:rsid w:val="00272C9C"/>
    <w:rsid w:val="00272CF2"/>
    <w:rsid w:val="00272D8D"/>
    <w:rsid w:val="002732C9"/>
    <w:rsid w:val="00274259"/>
    <w:rsid w:val="0027437D"/>
    <w:rsid w:val="0027451C"/>
    <w:rsid w:val="00274DBE"/>
    <w:rsid w:val="00274E32"/>
    <w:rsid w:val="0027523B"/>
    <w:rsid w:val="00275247"/>
    <w:rsid w:val="0027570A"/>
    <w:rsid w:val="0027570C"/>
    <w:rsid w:val="00275813"/>
    <w:rsid w:val="002759C9"/>
    <w:rsid w:val="00275BAD"/>
    <w:rsid w:val="00275C49"/>
    <w:rsid w:val="00275D2B"/>
    <w:rsid w:val="0027602F"/>
    <w:rsid w:val="00276105"/>
    <w:rsid w:val="002762F8"/>
    <w:rsid w:val="0027668F"/>
    <w:rsid w:val="002767E8"/>
    <w:rsid w:val="00276A0A"/>
    <w:rsid w:val="00276CE7"/>
    <w:rsid w:val="00276D97"/>
    <w:rsid w:val="00276DA0"/>
    <w:rsid w:val="002771FF"/>
    <w:rsid w:val="0027756F"/>
    <w:rsid w:val="002776E0"/>
    <w:rsid w:val="0027773E"/>
    <w:rsid w:val="00277A1F"/>
    <w:rsid w:val="00277CBC"/>
    <w:rsid w:val="0028049F"/>
    <w:rsid w:val="00280594"/>
    <w:rsid w:val="002807BA"/>
    <w:rsid w:val="00280895"/>
    <w:rsid w:val="00280A07"/>
    <w:rsid w:val="00280A66"/>
    <w:rsid w:val="00280AB1"/>
    <w:rsid w:val="0028162A"/>
    <w:rsid w:val="002816F4"/>
    <w:rsid w:val="00281851"/>
    <w:rsid w:val="00281BAD"/>
    <w:rsid w:val="00281EB3"/>
    <w:rsid w:val="00282699"/>
    <w:rsid w:val="00282BD2"/>
    <w:rsid w:val="00282CD1"/>
    <w:rsid w:val="00282D5E"/>
    <w:rsid w:val="00282E2D"/>
    <w:rsid w:val="00282E37"/>
    <w:rsid w:val="0028330E"/>
    <w:rsid w:val="00283F57"/>
    <w:rsid w:val="002842FF"/>
    <w:rsid w:val="0028480D"/>
    <w:rsid w:val="00284858"/>
    <w:rsid w:val="00284DD9"/>
    <w:rsid w:val="0028523D"/>
    <w:rsid w:val="00285249"/>
    <w:rsid w:val="00285364"/>
    <w:rsid w:val="002857A3"/>
    <w:rsid w:val="00285A74"/>
    <w:rsid w:val="00285B28"/>
    <w:rsid w:val="00285B5A"/>
    <w:rsid w:val="00285BD3"/>
    <w:rsid w:val="00285E8E"/>
    <w:rsid w:val="002862A7"/>
    <w:rsid w:val="0028640A"/>
    <w:rsid w:val="00286E9C"/>
    <w:rsid w:val="00287351"/>
    <w:rsid w:val="002874FD"/>
    <w:rsid w:val="00287AB6"/>
    <w:rsid w:val="00287C55"/>
    <w:rsid w:val="00287C64"/>
    <w:rsid w:val="00287D95"/>
    <w:rsid w:val="002905E2"/>
    <w:rsid w:val="002906FC"/>
    <w:rsid w:val="0029086A"/>
    <w:rsid w:val="002908CB"/>
    <w:rsid w:val="00290919"/>
    <w:rsid w:val="00290A70"/>
    <w:rsid w:val="00290C49"/>
    <w:rsid w:val="00290C7C"/>
    <w:rsid w:val="00290D1A"/>
    <w:rsid w:val="00290FAA"/>
    <w:rsid w:val="00291409"/>
    <w:rsid w:val="0029148E"/>
    <w:rsid w:val="0029159D"/>
    <w:rsid w:val="002918DA"/>
    <w:rsid w:val="00291E91"/>
    <w:rsid w:val="002921B2"/>
    <w:rsid w:val="002924CD"/>
    <w:rsid w:val="002925B5"/>
    <w:rsid w:val="00292F21"/>
    <w:rsid w:val="002931B2"/>
    <w:rsid w:val="0029353B"/>
    <w:rsid w:val="00293698"/>
    <w:rsid w:val="00293AFE"/>
    <w:rsid w:val="00293F18"/>
    <w:rsid w:val="00294234"/>
    <w:rsid w:val="002945AF"/>
    <w:rsid w:val="002946A4"/>
    <w:rsid w:val="00294716"/>
    <w:rsid w:val="00294824"/>
    <w:rsid w:val="00294BDF"/>
    <w:rsid w:val="00294FFC"/>
    <w:rsid w:val="00295174"/>
    <w:rsid w:val="002954A4"/>
    <w:rsid w:val="0029555A"/>
    <w:rsid w:val="00295608"/>
    <w:rsid w:val="0029595B"/>
    <w:rsid w:val="00295B60"/>
    <w:rsid w:val="00295CE9"/>
    <w:rsid w:val="00295E2E"/>
    <w:rsid w:val="00296562"/>
    <w:rsid w:val="00296AF2"/>
    <w:rsid w:val="00296EC8"/>
    <w:rsid w:val="002970F8"/>
    <w:rsid w:val="00297186"/>
    <w:rsid w:val="002973B3"/>
    <w:rsid w:val="00297454"/>
    <w:rsid w:val="00297DBC"/>
    <w:rsid w:val="00297E8E"/>
    <w:rsid w:val="002A00AD"/>
    <w:rsid w:val="002A03FD"/>
    <w:rsid w:val="002A0413"/>
    <w:rsid w:val="002A06C0"/>
    <w:rsid w:val="002A07BD"/>
    <w:rsid w:val="002A1360"/>
    <w:rsid w:val="002A1389"/>
    <w:rsid w:val="002A16CB"/>
    <w:rsid w:val="002A19CC"/>
    <w:rsid w:val="002A1BCC"/>
    <w:rsid w:val="002A1BED"/>
    <w:rsid w:val="002A1D70"/>
    <w:rsid w:val="002A21B9"/>
    <w:rsid w:val="002A278E"/>
    <w:rsid w:val="002A290C"/>
    <w:rsid w:val="002A2966"/>
    <w:rsid w:val="002A302B"/>
    <w:rsid w:val="002A33DB"/>
    <w:rsid w:val="002A33F3"/>
    <w:rsid w:val="002A36E7"/>
    <w:rsid w:val="002A36EE"/>
    <w:rsid w:val="002A4033"/>
    <w:rsid w:val="002A4053"/>
    <w:rsid w:val="002A40C1"/>
    <w:rsid w:val="002A4346"/>
    <w:rsid w:val="002A43CA"/>
    <w:rsid w:val="002A443D"/>
    <w:rsid w:val="002A46E1"/>
    <w:rsid w:val="002A47A2"/>
    <w:rsid w:val="002A4860"/>
    <w:rsid w:val="002A49E5"/>
    <w:rsid w:val="002A51A1"/>
    <w:rsid w:val="002A56E9"/>
    <w:rsid w:val="002A5958"/>
    <w:rsid w:val="002A5B7E"/>
    <w:rsid w:val="002A5B7F"/>
    <w:rsid w:val="002A5F60"/>
    <w:rsid w:val="002A6053"/>
    <w:rsid w:val="002A6107"/>
    <w:rsid w:val="002A6224"/>
    <w:rsid w:val="002A651C"/>
    <w:rsid w:val="002A6762"/>
    <w:rsid w:val="002A67E3"/>
    <w:rsid w:val="002A681D"/>
    <w:rsid w:val="002A68D6"/>
    <w:rsid w:val="002A6CA3"/>
    <w:rsid w:val="002A786D"/>
    <w:rsid w:val="002A790D"/>
    <w:rsid w:val="002A7A01"/>
    <w:rsid w:val="002A7B80"/>
    <w:rsid w:val="002A7DE0"/>
    <w:rsid w:val="002A7F76"/>
    <w:rsid w:val="002A7FF8"/>
    <w:rsid w:val="002B01A2"/>
    <w:rsid w:val="002B02A0"/>
    <w:rsid w:val="002B03A2"/>
    <w:rsid w:val="002B0512"/>
    <w:rsid w:val="002B0903"/>
    <w:rsid w:val="002B09C3"/>
    <w:rsid w:val="002B0E9E"/>
    <w:rsid w:val="002B0F78"/>
    <w:rsid w:val="002B1017"/>
    <w:rsid w:val="002B11E0"/>
    <w:rsid w:val="002B15B9"/>
    <w:rsid w:val="002B1AC4"/>
    <w:rsid w:val="002B1BD8"/>
    <w:rsid w:val="002B1EE1"/>
    <w:rsid w:val="002B1F8E"/>
    <w:rsid w:val="002B21B2"/>
    <w:rsid w:val="002B25A3"/>
    <w:rsid w:val="002B2611"/>
    <w:rsid w:val="002B2652"/>
    <w:rsid w:val="002B290D"/>
    <w:rsid w:val="002B3270"/>
    <w:rsid w:val="002B35CE"/>
    <w:rsid w:val="002B3E29"/>
    <w:rsid w:val="002B3F16"/>
    <w:rsid w:val="002B405D"/>
    <w:rsid w:val="002B40B4"/>
    <w:rsid w:val="002B4540"/>
    <w:rsid w:val="002B4821"/>
    <w:rsid w:val="002B499C"/>
    <w:rsid w:val="002B54C4"/>
    <w:rsid w:val="002B56FA"/>
    <w:rsid w:val="002B5773"/>
    <w:rsid w:val="002B5CDE"/>
    <w:rsid w:val="002B5DB7"/>
    <w:rsid w:val="002B64C3"/>
    <w:rsid w:val="002B652B"/>
    <w:rsid w:val="002B6546"/>
    <w:rsid w:val="002B6E20"/>
    <w:rsid w:val="002B7375"/>
    <w:rsid w:val="002B77D0"/>
    <w:rsid w:val="002B78DA"/>
    <w:rsid w:val="002B78FC"/>
    <w:rsid w:val="002B7BE1"/>
    <w:rsid w:val="002B7D82"/>
    <w:rsid w:val="002C0102"/>
    <w:rsid w:val="002C042C"/>
    <w:rsid w:val="002C0D63"/>
    <w:rsid w:val="002C10B8"/>
    <w:rsid w:val="002C12F9"/>
    <w:rsid w:val="002C1644"/>
    <w:rsid w:val="002C16EC"/>
    <w:rsid w:val="002C1CC1"/>
    <w:rsid w:val="002C1D7C"/>
    <w:rsid w:val="002C1EBA"/>
    <w:rsid w:val="002C2130"/>
    <w:rsid w:val="002C23F3"/>
    <w:rsid w:val="002C3570"/>
    <w:rsid w:val="002C376B"/>
    <w:rsid w:val="002C37F6"/>
    <w:rsid w:val="002C3D85"/>
    <w:rsid w:val="002C3DFF"/>
    <w:rsid w:val="002C403F"/>
    <w:rsid w:val="002C417B"/>
    <w:rsid w:val="002C432C"/>
    <w:rsid w:val="002C4745"/>
    <w:rsid w:val="002C47CE"/>
    <w:rsid w:val="002C4CBD"/>
    <w:rsid w:val="002C4D8A"/>
    <w:rsid w:val="002C5121"/>
    <w:rsid w:val="002C53D6"/>
    <w:rsid w:val="002C5424"/>
    <w:rsid w:val="002C5635"/>
    <w:rsid w:val="002C5B2F"/>
    <w:rsid w:val="002C5DEE"/>
    <w:rsid w:val="002C6305"/>
    <w:rsid w:val="002C6402"/>
    <w:rsid w:val="002C674F"/>
    <w:rsid w:val="002C681E"/>
    <w:rsid w:val="002C69DF"/>
    <w:rsid w:val="002C6AD6"/>
    <w:rsid w:val="002C6B94"/>
    <w:rsid w:val="002C6CF8"/>
    <w:rsid w:val="002C6EB4"/>
    <w:rsid w:val="002C70B6"/>
    <w:rsid w:val="002C7600"/>
    <w:rsid w:val="002C7B06"/>
    <w:rsid w:val="002C7E53"/>
    <w:rsid w:val="002C7F2D"/>
    <w:rsid w:val="002D0331"/>
    <w:rsid w:val="002D0BBA"/>
    <w:rsid w:val="002D0BDD"/>
    <w:rsid w:val="002D1283"/>
    <w:rsid w:val="002D17B9"/>
    <w:rsid w:val="002D1F9D"/>
    <w:rsid w:val="002D2222"/>
    <w:rsid w:val="002D23B9"/>
    <w:rsid w:val="002D2AA9"/>
    <w:rsid w:val="002D2B83"/>
    <w:rsid w:val="002D31FE"/>
    <w:rsid w:val="002D3272"/>
    <w:rsid w:val="002D3552"/>
    <w:rsid w:val="002D36CB"/>
    <w:rsid w:val="002D38C6"/>
    <w:rsid w:val="002D3936"/>
    <w:rsid w:val="002D3A25"/>
    <w:rsid w:val="002D3F1C"/>
    <w:rsid w:val="002D4042"/>
    <w:rsid w:val="002D4433"/>
    <w:rsid w:val="002D4506"/>
    <w:rsid w:val="002D49D7"/>
    <w:rsid w:val="002D4F5B"/>
    <w:rsid w:val="002D5357"/>
    <w:rsid w:val="002D5697"/>
    <w:rsid w:val="002D5B01"/>
    <w:rsid w:val="002D5C5E"/>
    <w:rsid w:val="002D5DBD"/>
    <w:rsid w:val="002D5EF7"/>
    <w:rsid w:val="002D64B0"/>
    <w:rsid w:val="002D656A"/>
    <w:rsid w:val="002D6721"/>
    <w:rsid w:val="002D6CF6"/>
    <w:rsid w:val="002D6E5F"/>
    <w:rsid w:val="002D71BB"/>
    <w:rsid w:val="002D71DE"/>
    <w:rsid w:val="002D7211"/>
    <w:rsid w:val="002D7294"/>
    <w:rsid w:val="002D7353"/>
    <w:rsid w:val="002D73F1"/>
    <w:rsid w:val="002D754F"/>
    <w:rsid w:val="002D75A9"/>
    <w:rsid w:val="002D7B71"/>
    <w:rsid w:val="002D7B82"/>
    <w:rsid w:val="002E004D"/>
    <w:rsid w:val="002E02AD"/>
    <w:rsid w:val="002E0512"/>
    <w:rsid w:val="002E0BFB"/>
    <w:rsid w:val="002E10A3"/>
    <w:rsid w:val="002E10F7"/>
    <w:rsid w:val="002E1459"/>
    <w:rsid w:val="002E16B8"/>
    <w:rsid w:val="002E1B9D"/>
    <w:rsid w:val="002E1DAB"/>
    <w:rsid w:val="002E1E9B"/>
    <w:rsid w:val="002E205E"/>
    <w:rsid w:val="002E211A"/>
    <w:rsid w:val="002E3236"/>
    <w:rsid w:val="002E3466"/>
    <w:rsid w:val="002E360C"/>
    <w:rsid w:val="002E37DC"/>
    <w:rsid w:val="002E3BDE"/>
    <w:rsid w:val="002E3C96"/>
    <w:rsid w:val="002E40FB"/>
    <w:rsid w:val="002E4257"/>
    <w:rsid w:val="002E42A6"/>
    <w:rsid w:val="002E44BD"/>
    <w:rsid w:val="002E44F6"/>
    <w:rsid w:val="002E49C8"/>
    <w:rsid w:val="002E4DFC"/>
    <w:rsid w:val="002E4EEA"/>
    <w:rsid w:val="002E54D7"/>
    <w:rsid w:val="002E5B42"/>
    <w:rsid w:val="002E5D40"/>
    <w:rsid w:val="002E60D8"/>
    <w:rsid w:val="002E6254"/>
    <w:rsid w:val="002E6474"/>
    <w:rsid w:val="002E6525"/>
    <w:rsid w:val="002E6570"/>
    <w:rsid w:val="002E6576"/>
    <w:rsid w:val="002E65BD"/>
    <w:rsid w:val="002E677A"/>
    <w:rsid w:val="002E698C"/>
    <w:rsid w:val="002E6A89"/>
    <w:rsid w:val="002E6D24"/>
    <w:rsid w:val="002E6DCB"/>
    <w:rsid w:val="002E6F8B"/>
    <w:rsid w:val="002E71A0"/>
    <w:rsid w:val="002E7335"/>
    <w:rsid w:val="002E73A7"/>
    <w:rsid w:val="002E763D"/>
    <w:rsid w:val="002E7684"/>
    <w:rsid w:val="002E7780"/>
    <w:rsid w:val="002E7B7D"/>
    <w:rsid w:val="002F0791"/>
    <w:rsid w:val="002F089C"/>
    <w:rsid w:val="002F0B1C"/>
    <w:rsid w:val="002F0FC6"/>
    <w:rsid w:val="002F1201"/>
    <w:rsid w:val="002F1743"/>
    <w:rsid w:val="002F1ABE"/>
    <w:rsid w:val="002F204C"/>
    <w:rsid w:val="002F22CA"/>
    <w:rsid w:val="002F2809"/>
    <w:rsid w:val="002F28AF"/>
    <w:rsid w:val="002F2A02"/>
    <w:rsid w:val="002F2DCC"/>
    <w:rsid w:val="002F2E06"/>
    <w:rsid w:val="002F30C1"/>
    <w:rsid w:val="002F3205"/>
    <w:rsid w:val="002F3465"/>
    <w:rsid w:val="002F36F3"/>
    <w:rsid w:val="002F37AE"/>
    <w:rsid w:val="002F3FBD"/>
    <w:rsid w:val="002F4338"/>
    <w:rsid w:val="002F4F2C"/>
    <w:rsid w:val="002F51C5"/>
    <w:rsid w:val="002F53A6"/>
    <w:rsid w:val="002F5866"/>
    <w:rsid w:val="002F5A21"/>
    <w:rsid w:val="002F632C"/>
    <w:rsid w:val="002F642F"/>
    <w:rsid w:val="002F655F"/>
    <w:rsid w:val="002F67C3"/>
    <w:rsid w:val="002F681E"/>
    <w:rsid w:val="002F6B0B"/>
    <w:rsid w:val="002F6B4B"/>
    <w:rsid w:val="002F6DCE"/>
    <w:rsid w:val="002F6DEF"/>
    <w:rsid w:val="002F7216"/>
    <w:rsid w:val="002F729F"/>
    <w:rsid w:val="002F7663"/>
    <w:rsid w:val="002F7784"/>
    <w:rsid w:val="002F7A25"/>
    <w:rsid w:val="002F7AA6"/>
    <w:rsid w:val="002F7E8A"/>
    <w:rsid w:val="002F7EE8"/>
    <w:rsid w:val="00300099"/>
    <w:rsid w:val="003008B2"/>
    <w:rsid w:val="00300A11"/>
    <w:rsid w:val="00300C91"/>
    <w:rsid w:val="0030119B"/>
    <w:rsid w:val="003019CF"/>
    <w:rsid w:val="00301C80"/>
    <w:rsid w:val="00301CA1"/>
    <w:rsid w:val="00301CED"/>
    <w:rsid w:val="00301DD7"/>
    <w:rsid w:val="003020F8"/>
    <w:rsid w:val="00302248"/>
    <w:rsid w:val="00302823"/>
    <w:rsid w:val="00302B35"/>
    <w:rsid w:val="00302D3A"/>
    <w:rsid w:val="00302E77"/>
    <w:rsid w:val="00303060"/>
    <w:rsid w:val="00303266"/>
    <w:rsid w:val="00303570"/>
    <w:rsid w:val="003035EA"/>
    <w:rsid w:val="0030367F"/>
    <w:rsid w:val="00303B61"/>
    <w:rsid w:val="00303B74"/>
    <w:rsid w:val="00303CAA"/>
    <w:rsid w:val="0030425A"/>
    <w:rsid w:val="003042D3"/>
    <w:rsid w:val="003044A7"/>
    <w:rsid w:val="003044AF"/>
    <w:rsid w:val="00304588"/>
    <w:rsid w:val="003045BA"/>
    <w:rsid w:val="00304827"/>
    <w:rsid w:val="00304AE4"/>
    <w:rsid w:val="00304F54"/>
    <w:rsid w:val="00304F6E"/>
    <w:rsid w:val="00304FB9"/>
    <w:rsid w:val="00305440"/>
    <w:rsid w:val="00305563"/>
    <w:rsid w:val="003056B1"/>
    <w:rsid w:val="00305EF6"/>
    <w:rsid w:val="00305F1E"/>
    <w:rsid w:val="00306153"/>
    <w:rsid w:val="00306646"/>
    <w:rsid w:val="003069B8"/>
    <w:rsid w:val="00306EF2"/>
    <w:rsid w:val="00307A8A"/>
    <w:rsid w:val="00307B84"/>
    <w:rsid w:val="00307F25"/>
    <w:rsid w:val="0031031F"/>
    <w:rsid w:val="0031038D"/>
    <w:rsid w:val="00310819"/>
    <w:rsid w:val="003108DA"/>
    <w:rsid w:val="0031098E"/>
    <w:rsid w:val="00310C45"/>
    <w:rsid w:val="00310D6B"/>
    <w:rsid w:val="00310DEE"/>
    <w:rsid w:val="003111BE"/>
    <w:rsid w:val="00311333"/>
    <w:rsid w:val="003116FC"/>
    <w:rsid w:val="00311BC4"/>
    <w:rsid w:val="00311CA6"/>
    <w:rsid w:val="00311F1C"/>
    <w:rsid w:val="003121C1"/>
    <w:rsid w:val="00312CF0"/>
    <w:rsid w:val="00312DA7"/>
    <w:rsid w:val="00312E25"/>
    <w:rsid w:val="0031331C"/>
    <w:rsid w:val="003133AE"/>
    <w:rsid w:val="0031365A"/>
    <w:rsid w:val="00313660"/>
    <w:rsid w:val="0031387D"/>
    <w:rsid w:val="00313BCB"/>
    <w:rsid w:val="00313F1B"/>
    <w:rsid w:val="0031445D"/>
    <w:rsid w:val="00314689"/>
    <w:rsid w:val="0031479E"/>
    <w:rsid w:val="00314B13"/>
    <w:rsid w:val="00314FB0"/>
    <w:rsid w:val="00314FF4"/>
    <w:rsid w:val="00315466"/>
    <w:rsid w:val="003157FB"/>
    <w:rsid w:val="00315AB5"/>
    <w:rsid w:val="00315EFC"/>
    <w:rsid w:val="003164D3"/>
    <w:rsid w:val="00316533"/>
    <w:rsid w:val="00316534"/>
    <w:rsid w:val="00316936"/>
    <w:rsid w:val="00316947"/>
    <w:rsid w:val="00316E38"/>
    <w:rsid w:val="00317350"/>
    <w:rsid w:val="003173A3"/>
    <w:rsid w:val="00317BC1"/>
    <w:rsid w:val="00317C41"/>
    <w:rsid w:val="00317D1C"/>
    <w:rsid w:val="00317E3A"/>
    <w:rsid w:val="0032008E"/>
    <w:rsid w:val="003200B5"/>
    <w:rsid w:val="003203F9"/>
    <w:rsid w:val="003204DC"/>
    <w:rsid w:val="00320518"/>
    <w:rsid w:val="00320721"/>
    <w:rsid w:val="003207D8"/>
    <w:rsid w:val="00320905"/>
    <w:rsid w:val="00321159"/>
    <w:rsid w:val="0032115F"/>
    <w:rsid w:val="00321858"/>
    <w:rsid w:val="00321DC3"/>
    <w:rsid w:val="0032210C"/>
    <w:rsid w:val="003226CA"/>
    <w:rsid w:val="00322B54"/>
    <w:rsid w:val="00322B77"/>
    <w:rsid w:val="003230EA"/>
    <w:rsid w:val="003230F3"/>
    <w:rsid w:val="003233AD"/>
    <w:rsid w:val="00323569"/>
    <w:rsid w:val="003237B0"/>
    <w:rsid w:val="00323A45"/>
    <w:rsid w:val="00323A81"/>
    <w:rsid w:val="00323DCE"/>
    <w:rsid w:val="00323FAF"/>
    <w:rsid w:val="00324031"/>
    <w:rsid w:val="0032449B"/>
    <w:rsid w:val="00324DE1"/>
    <w:rsid w:val="003252AC"/>
    <w:rsid w:val="003252C7"/>
    <w:rsid w:val="003252DD"/>
    <w:rsid w:val="00325798"/>
    <w:rsid w:val="003257B0"/>
    <w:rsid w:val="00325895"/>
    <w:rsid w:val="00325A1E"/>
    <w:rsid w:val="00325E3E"/>
    <w:rsid w:val="0032614C"/>
    <w:rsid w:val="0032622F"/>
    <w:rsid w:val="0032638E"/>
    <w:rsid w:val="003263EF"/>
    <w:rsid w:val="003265ED"/>
    <w:rsid w:val="00326B2C"/>
    <w:rsid w:val="00326C88"/>
    <w:rsid w:val="00326DEB"/>
    <w:rsid w:val="003271B0"/>
    <w:rsid w:val="0032786D"/>
    <w:rsid w:val="00327887"/>
    <w:rsid w:val="00327C52"/>
    <w:rsid w:val="00327F7E"/>
    <w:rsid w:val="003300B4"/>
    <w:rsid w:val="00330324"/>
    <w:rsid w:val="00330840"/>
    <w:rsid w:val="00330A25"/>
    <w:rsid w:val="00331219"/>
    <w:rsid w:val="0033131D"/>
    <w:rsid w:val="0033139B"/>
    <w:rsid w:val="00331CAB"/>
    <w:rsid w:val="00331E78"/>
    <w:rsid w:val="003320C9"/>
    <w:rsid w:val="00332691"/>
    <w:rsid w:val="00332D6B"/>
    <w:rsid w:val="00332DA1"/>
    <w:rsid w:val="00332E0E"/>
    <w:rsid w:val="00332F11"/>
    <w:rsid w:val="003333CF"/>
    <w:rsid w:val="003339D8"/>
    <w:rsid w:val="00333A42"/>
    <w:rsid w:val="00333CF2"/>
    <w:rsid w:val="00333DFD"/>
    <w:rsid w:val="00333FA5"/>
    <w:rsid w:val="003342EF"/>
    <w:rsid w:val="0033438B"/>
    <w:rsid w:val="00334444"/>
    <w:rsid w:val="003344A9"/>
    <w:rsid w:val="00334746"/>
    <w:rsid w:val="00334B3E"/>
    <w:rsid w:val="0033536D"/>
    <w:rsid w:val="003357EF"/>
    <w:rsid w:val="00335E48"/>
    <w:rsid w:val="00336458"/>
    <w:rsid w:val="00336471"/>
    <w:rsid w:val="003367EE"/>
    <w:rsid w:val="003369F6"/>
    <w:rsid w:val="00336A6B"/>
    <w:rsid w:val="00336EF2"/>
    <w:rsid w:val="00337257"/>
    <w:rsid w:val="003373D5"/>
    <w:rsid w:val="003374DC"/>
    <w:rsid w:val="003374EB"/>
    <w:rsid w:val="0033765F"/>
    <w:rsid w:val="0033799C"/>
    <w:rsid w:val="00340046"/>
    <w:rsid w:val="0034025F"/>
    <w:rsid w:val="003403B5"/>
    <w:rsid w:val="0034065E"/>
    <w:rsid w:val="003408FA"/>
    <w:rsid w:val="00341836"/>
    <w:rsid w:val="003418F8"/>
    <w:rsid w:val="00341B8D"/>
    <w:rsid w:val="00341B97"/>
    <w:rsid w:val="00341B9B"/>
    <w:rsid w:val="00341C1D"/>
    <w:rsid w:val="00341D43"/>
    <w:rsid w:val="00341E93"/>
    <w:rsid w:val="0034252C"/>
    <w:rsid w:val="00342A85"/>
    <w:rsid w:val="00342C15"/>
    <w:rsid w:val="00342E82"/>
    <w:rsid w:val="00343125"/>
    <w:rsid w:val="003433C9"/>
    <w:rsid w:val="0034370F"/>
    <w:rsid w:val="0034384E"/>
    <w:rsid w:val="003438A6"/>
    <w:rsid w:val="003438C1"/>
    <w:rsid w:val="00344201"/>
    <w:rsid w:val="00344451"/>
    <w:rsid w:val="0034465F"/>
    <w:rsid w:val="00344806"/>
    <w:rsid w:val="0034481D"/>
    <w:rsid w:val="00344BC4"/>
    <w:rsid w:val="00344D87"/>
    <w:rsid w:val="0034500F"/>
    <w:rsid w:val="0034515B"/>
    <w:rsid w:val="0034535D"/>
    <w:rsid w:val="00345579"/>
    <w:rsid w:val="0034558A"/>
    <w:rsid w:val="003459CE"/>
    <w:rsid w:val="00345B8F"/>
    <w:rsid w:val="00345BDD"/>
    <w:rsid w:val="00346130"/>
    <w:rsid w:val="00346AAD"/>
    <w:rsid w:val="00347071"/>
    <w:rsid w:val="0034727E"/>
    <w:rsid w:val="00347569"/>
    <w:rsid w:val="00347737"/>
    <w:rsid w:val="00347753"/>
    <w:rsid w:val="00347BF9"/>
    <w:rsid w:val="00350408"/>
    <w:rsid w:val="00350778"/>
    <w:rsid w:val="00350C9B"/>
    <w:rsid w:val="00350CE6"/>
    <w:rsid w:val="003515A1"/>
    <w:rsid w:val="0035161A"/>
    <w:rsid w:val="00351C8C"/>
    <w:rsid w:val="00351E18"/>
    <w:rsid w:val="00351EF8"/>
    <w:rsid w:val="00351F3A"/>
    <w:rsid w:val="0035230B"/>
    <w:rsid w:val="00352487"/>
    <w:rsid w:val="00352735"/>
    <w:rsid w:val="0035278A"/>
    <w:rsid w:val="00352877"/>
    <w:rsid w:val="00352A94"/>
    <w:rsid w:val="00352D08"/>
    <w:rsid w:val="003530E2"/>
    <w:rsid w:val="003532EC"/>
    <w:rsid w:val="00353955"/>
    <w:rsid w:val="00353BF6"/>
    <w:rsid w:val="00353D54"/>
    <w:rsid w:val="00353F77"/>
    <w:rsid w:val="0035403F"/>
    <w:rsid w:val="0035446F"/>
    <w:rsid w:val="003550BA"/>
    <w:rsid w:val="00355109"/>
    <w:rsid w:val="00355990"/>
    <w:rsid w:val="00355C1D"/>
    <w:rsid w:val="00355FF9"/>
    <w:rsid w:val="003561A5"/>
    <w:rsid w:val="0035699C"/>
    <w:rsid w:val="00356A50"/>
    <w:rsid w:val="00356C64"/>
    <w:rsid w:val="0035714F"/>
    <w:rsid w:val="0035747B"/>
    <w:rsid w:val="00357577"/>
    <w:rsid w:val="00357758"/>
    <w:rsid w:val="00357ADB"/>
    <w:rsid w:val="00357CBF"/>
    <w:rsid w:val="00357D67"/>
    <w:rsid w:val="00357F97"/>
    <w:rsid w:val="0036021F"/>
    <w:rsid w:val="00360251"/>
    <w:rsid w:val="003603D5"/>
    <w:rsid w:val="003605F8"/>
    <w:rsid w:val="00360725"/>
    <w:rsid w:val="003607F4"/>
    <w:rsid w:val="0036083C"/>
    <w:rsid w:val="003608A3"/>
    <w:rsid w:val="00360AC0"/>
    <w:rsid w:val="00360B12"/>
    <w:rsid w:val="00361301"/>
    <w:rsid w:val="003615B8"/>
    <w:rsid w:val="003617F8"/>
    <w:rsid w:val="00361850"/>
    <w:rsid w:val="0036199C"/>
    <w:rsid w:val="00362397"/>
    <w:rsid w:val="00363524"/>
    <w:rsid w:val="00363547"/>
    <w:rsid w:val="00363D2A"/>
    <w:rsid w:val="00364278"/>
    <w:rsid w:val="003642FD"/>
    <w:rsid w:val="003644A0"/>
    <w:rsid w:val="00364695"/>
    <w:rsid w:val="00364AAE"/>
    <w:rsid w:val="00364EE8"/>
    <w:rsid w:val="00365123"/>
    <w:rsid w:val="003656DF"/>
    <w:rsid w:val="003659C1"/>
    <w:rsid w:val="003659CF"/>
    <w:rsid w:val="00365A40"/>
    <w:rsid w:val="00365A5F"/>
    <w:rsid w:val="00365BB5"/>
    <w:rsid w:val="00365E27"/>
    <w:rsid w:val="00365F92"/>
    <w:rsid w:val="00366024"/>
    <w:rsid w:val="003663A9"/>
    <w:rsid w:val="0036661A"/>
    <w:rsid w:val="00366724"/>
    <w:rsid w:val="00366A3A"/>
    <w:rsid w:val="00366B59"/>
    <w:rsid w:val="00366C79"/>
    <w:rsid w:val="00366D58"/>
    <w:rsid w:val="0036735C"/>
    <w:rsid w:val="00367726"/>
    <w:rsid w:val="00367C0E"/>
    <w:rsid w:val="00370908"/>
    <w:rsid w:val="0037096B"/>
    <w:rsid w:val="00370BF5"/>
    <w:rsid w:val="00370C18"/>
    <w:rsid w:val="00370DC6"/>
    <w:rsid w:val="003710AB"/>
    <w:rsid w:val="003711B6"/>
    <w:rsid w:val="003715A0"/>
    <w:rsid w:val="003715D8"/>
    <w:rsid w:val="00371AA1"/>
    <w:rsid w:val="00371B5A"/>
    <w:rsid w:val="00371D2C"/>
    <w:rsid w:val="00371EA3"/>
    <w:rsid w:val="00372032"/>
    <w:rsid w:val="003724A0"/>
    <w:rsid w:val="003727EA"/>
    <w:rsid w:val="00372AD4"/>
    <w:rsid w:val="00372B52"/>
    <w:rsid w:val="003731B1"/>
    <w:rsid w:val="00373298"/>
    <w:rsid w:val="00373329"/>
    <w:rsid w:val="003738AD"/>
    <w:rsid w:val="003739FA"/>
    <w:rsid w:val="00373AA3"/>
    <w:rsid w:val="00373B9B"/>
    <w:rsid w:val="00373EE9"/>
    <w:rsid w:val="00374207"/>
    <w:rsid w:val="00374625"/>
    <w:rsid w:val="0037478F"/>
    <w:rsid w:val="00374B6C"/>
    <w:rsid w:val="00374EDE"/>
    <w:rsid w:val="00375893"/>
    <w:rsid w:val="00375A62"/>
    <w:rsid w:val="00375AD3"/>
    <w:rsid w:val="00376097"/>
    <w:rsid w:val="003762E3"/>
    <w:rsid w:val="00376653"/>
    <w:rsid w:val="00376846"/>
    <w:rsid w:val="00376851"/>
    <w:rsid w:val="00376BFA"/>
    <w:rsid w:val="00376D81"/>
    <w:rsid w:val="00376ED5"/>
    <w:rsid w:val="00376F18"/>
    <w:rsid w:val="0037705B"/>
    <w:rsid w:val="003775AE"/>
    <w:rsid w:val="00377E22"/>
    <w:rsid w:val="003806D3"/>
    <w:rsid w:val="003808E2"/>
    <w:rsid w:val="00380A3E"/>
    <w:rsid w:val="00380B4C"/>
    <w:rsid w:val="003814AF"/>
    <w:rsid w:val="0038181A"/>
    <w:rsid w:val="0038187C"/>
    <w:rsid w:val="003818AC"/>
    <w:rsid w:val="00381A04"/>
    <w:rsid w:val="00381ADD"/>
    <w:rsid w:val="00381B2C"/>
    <w:rsid w:val="00381BBB"/>
    <w:rsid w:val="00381EC4"/>
    <w:rsid w:val="00382250"/>
    <w:rsid w:val="003824FE"/>
    <w:rsid w:val="00382744"/>
    <w:rsid w:val="003827FC"/>
    <w:rsid w:val="00383771"/>
    <w:rsid w:val="003837F6"/>
    <w:rsid w:val="00383880"/>
    <w:rsid w:val="003839D7"/>
    <w:rsid w:val="00383E9A"/>
    <w:rsid w:val="00384541"/>
    <w:rsid w:val="00384559"/>
    <w:rsid w:val="00384BE3"/>
    <w:rsid w:val="00384ECA"/>
    <w:rsid w:val="00384EED"/>
    <w:rsid w:val="003850E4"/>
    <w:rsid w:val="003858BB"/>
    <w:rsid w:val="00385BD0"/>
    <w:rsid w:val="0038647A"/>
    <w:rsid w:val="003865DF"/>
    <w:rsid w:val="00386757"/>
    <w:rsid w:val="00386883"/>
    <w:rsid w:val="00386A37"/>
    <w:rsid w:val="00386A3B"/>
    <w:rsid w:val="00386CBC"/>
    <w:rsid w:val="00386F33"/>
    <w:rsid w:val="00387225"/>
    <w:rsid w:val="00387478"/>
    <w:rsid w:val="0038757A"/>
    <w:rsid w:val="00387682"/>
    <w:rsid w:val="003878A7"/>
    <w:rsid w:val="00387966"/>
    <w:rsid w:val="00387EAE"/>
    <w:rsid w:val="0039005D"/>
    <w:rsid w:val="0039015D"/>
    <w:rsid w:val="003901B2"/>
    <w:rsid w:val="003905AD"/>
    <w:rsid w:val="00390698"/>
    <w:rsid w:val="003910BC"/>
    <w:rsid w:val="0039158C"/>
    <w:rsid w:val="0039164F"/>
    <w:rsid w:val="0039179C"/>
    <w:rsid w:val="003918CD"/>
    <w:rsid w:val="00391C81"/>
    <w:rsid w:val="00391CD0"/>
    <w:rsid w:val="00391DCC"/>
    <w:rsid w:val="003925EF"/>
    <w:rsid w:val="00392885"/>
    <w:rsid w:val="003929AE"/>
    <w:rsid w:val="00392C03"/>
    <w:rsid w:val="00392FAB"/>
    <w:rsid w:val="00393054"/>
    <w:rsid w:val="003933C0"/>
    <w:rsid w:val="0039348B"/>
    <w:rsid w:val="003942A3"/>
    <w:rsid w:val="0039438C"/>
    <w:rsid w:val="0039488F"/>
    <w:rsid w:val="00394948"/>
    <w:rsid w:val="00394986"/>
    <w:rsid w:val="003949D4"/>
    <w:rsid w:val="00394A3D"/>
    <w:rsid w:val="00394FB2"/>
    <w:rsid w:val="00395063"/>
    <w:rsid w:val="003954F8"/>
    <w:rsid w:val="0039594A"/>
    <w:rsid w:val="00395ACA"/>
    <w:rsid w:val="00395D72"/>
    <w:rsid w:val="00395D7F"/>
    <w:rsid w:val="00395F93"/>
    <w:rsid w:val="003960A1"/>
    <w:rsid w:val="003960D7"/>
    <w:rsid w:val="003961D7"/>
    <w:rsid w:val="0039636F"/>
    <w:rsid w:val="00396733"/>
    <w:rsid w:val="00396886"/>
    <w:rsid w:val="00396EED"/>
    <w:rsid w:val="003971D6"/>
    <w:rsid w:val="00397454"/>
    <w:rsid w:val="003974E6"/>
    <w:rsid w:val="00397633"/>
    <w:rsid w:val="00397BB5"/>
    <w:rsid w:val="00397C60"/>
    <w:rsid w:val="003A0027"/>
    <w:rsid w:val="003A09D1"/>
    <w:rsid w:val="003A1094"/>
    <w:rsid w:val="003A11E8"/>
    <w:rsid w:val="003A1285"/>
    <w:rsid w:val="003A13E1"/>
    <w:rsid w:val="003A21DC"/>
    <w:rsid w:val="003A2295"/>
    <w:rsid w:val="003A2D67"/>
    <w:rsid w:val="003A2E2B"/>
    <w:rsid w:val="003A3606"/>
    <w:rsid w:val="003A39A3"/>
    <w:rsid w:val="003A3A68"/>
    <w:rsid w:val="003A3C79"/>
    <w:rsid w:val="003A447E"/>
    <w:rsid w:val="003A4746"/>
    <w:rsid w:val="003A4962"/>
    <w:rsid w:val="003A49BC"/>
    <w:rsid w:val="003A4A26"/>
    <w:rsid w:val="003A4DB4"/>
    <w:rsid w:val="003A4E82"/>
    <w:rsid w:val="003A4F00"/>
    <w:rsid w:val="003A528D"/>
    <w:rsid w:val="003A5329"/>
    <w:rsid w:val="003A555F"/>
    <w:rsid w:val="003A598F"/>
    <w:rsid w:val="003A5CF7"/>
    <w:rsid w:val="003A6180"/>
    <w:rsid w:val="003A6582"/>
    <w:rsid w:val="003A6606"/>
    <w:rsid w:val="003A66EF"/>
    <w:rsid w:val="003A690C"/>
    <w:rsid w:val="003A6959"/>
    <w:rsid w:val="003A6995"/>
    <w:rsid w:val="003A69BB"/>
    <w:rsid w:val="003A6A2F"/>
    <w:rsid w:val="003A6CE1"/>
    <w:rsid w:val="003A6D7C"/>
    <w:rsid w:val="003A6E0B"/>
    <w:rsid w:val="003A6E40"/>
    <w:rsid w:val="003A7668"/>
    <w:rsid w:val="003A7AE3"/>
    <w:rsid w:val="003A7FD8"/>
    <w:rsid w:val="003B00CF"/>
    <w:rsid w:val="003B00E7"/>
    <w:rsid w:val="003B00F4"/>
    <w:rsid w:val="003B0207"/>
    <w:rsid w:val="003B09DF"/>
    <w:rsid w:val="003B0ED3"/>
    <w:rsid w:val="003B15C3"/>
    <w:rsid w:val="003B1A42"/>
    <w:rsid w:val="003B1F59"/>
    <w:rsid w:val="003B22AE"/>
    <w:rsid w:val="003B24CE"/>
    <w:rsid w:val="003B2513"/>
    <w:rsid w:val="003B2D2F"/>
    <w:rsid w:val="003B2F7F"/>
    <w:rsid w:val="003B31FD"/>
    <w:rsid w:val="003B3401"/>
    <w:rsid w:val="003B34FA"/>
    <w:rsid w:val="003B3898"/>
    <w:rsid w:val="003B390C"/>
    <w:rsid w:val="003B393B"/>
    <w:rsid w:val="003B3CA2"/>
    <w:rsid w:val="003B3DCA"/>
    <w:rsid w:val="003B42B1"/>
    <w:rsid w:val="003B442C"/>
    <w:rsid w:val="003B462B"/>
    <w:rsid w:val="003B4697"/>
    <w:rsid w:val="003B49D3"/>
    <w:rsid w:val="003B4A6C"/>
    <w:rsid w:val="003B5421"/>
    <w:rsid w:val="003B623C"/>
    <w:rsid w:val="003B64CF"/>
    <w:rsid w:val="003B6F0F"/>
    <w:rsid w:val="003B7123"/>
    <w:rsid w:val="003B7430"/>
    <w:rsid w:val="003B7715"/>
    <w:rsid w:val="003B77C9"/>
    <w:rsid w:val="003B7B67"/>
    <w:rsid w:val="003B7F37"/>
    <w:rsid w:val="003C0409"/>
    <w:rsid w:val="003C06D4"/>
    <w:rsid w:val="003C073B"/>
    <w:rsid w:val="003C0A5A"/>
    <w:rsid w:val="003C0B48"/>
    <w:rsid w:val="003C0CB1"/>
    <w:rsid w:val="003C0D9E"/>
    <w:rsid w:val="003C0DA7"/>
    <w:rsid w:val="003C13F8"/>
    <w:rsid w:val="003C1491"/>
    <w:rsid w:val="003C179C"/>
    <w:rsid w:val="003C190A"/>
    <w:rsid w:val="003C1C63"/>
    <w:rsid w:val="003C1F38"/>
    <w:rsid w:val="003C2006"/>
    <w:rsid w:val="003C2345"/>
    <w:rsid w:val="003C23EB"/>
    <w:rsid w:val="003C2426"/>
    <w:rsid w:val="003C2427"/>
    <w:rsid w:val="003C2ACA"/>
    <w:rsid w:val="003C3250"/>
    <w:rsid w:val="003C377F"/>
    <w:rsid w:val="003C41D3"/>
    <w:rsid w:val="003C439C"/>
    <w:rsid w:val="003C442D"/>
    <w:rsid w:val="003C443C"/>
    <w:rsid w:val="003C4498"/>
    <w:rsid w:val="003C4CD5"/>
    <w:rsid w:val="003C4D26"/>
    <w:rsid w:val="003C54A6"/>
    <w:rsid w:val="003C5B8E"/>
    <w:rsid w:val="003C5C0A"/>
    <w:rsid w:val="003C5E32"/>
    <w:rsid w:val="003C633F"/>
    <w:rsid w:val="003C6928"/>
    <w:rsid w:val="003C70EB"/>
    <w:rsid w:val="003C798C"/>
    <w:rsid w:val="003C79F8"/>
    <w:rsid w:val="003C7A71"/>
    <w:rsid w:val="003C7B7D"/>
    <w:rsid w:val="003C7B80"/>
    <w:rsid w:val="003C7C04"/>
    <w:rsid w:val="003C7C61"/>
    <w:rsid w:val="003D021D"/>
    <w:rsid w:val="003D047E"/>
    <w:rsid w:val="003D0513"/>
    <w:rsid w:val="003D0832"/>
    <w:rsid w:val="003D0B3C"/>
    <w:rsid w:val="003D0C75"/>
    <w:rsid w:val="003D0EB4"/>
    <w:rsid w:val="003D1122"/>
    <w:rsid w:val="003D123F"/>
    <w:rsid w:val="003D1685"/>
    <w:rsid w:val="003D1FA9"/>
    <w:rsid w:val="003D2729"/>
    <w:rsid w:val="003D302D"/>
    <w:rsid w:val="003D31D6"/>
    <w:rsid w:val="003D33D7"/>
    <w:rsid w:val="003D3500"/>
    <w:rsid w:val="003D35E0"/>
    <w:rsid w:val="003D41C0"/>
    <w:rsid w:val="003D4738"/>
    <w:rsid w:val="003D4B95"/>
    <w:rsid w:val="003D4BAA"/>
    <w:rsid w:val="003D5182"/>
    <w:rsid w:val="003D586E"/>
    <w:rsid w:val="003D6448"/>
    <w:rsid w:val="003D6528"/>
    <w:rsid w:val="003D65AE"/>
    <w:rsid w:val="003D6B28"/>
    <w:rsid w:val="003D6BC5"/>
    <w:rsid w:val="003D6CBD"/>
    <w:rsid w:val="003D6CFC"/>
    <w:rsid w:val="003D6FBE"/>
    <w:rsid w:val="003D7027"/>
    <w:rsid w:val="003D736D"/>
    <w:rsid w:val="003D737B"/>
    <w:rsid w:val="003D7533"/>
    <w:rsid w:val="003D7638"/>
    <w:rsid w:val="003D7BC2"/>
    <w:rsid w:val="003E048B"/>
    <w:rsid w:val="003E0B6A"/>
    <w:rsid w:val="003E113A"/>
    <w:rsid w:val="003E13C2"/>
    <w:rsid w:val="003E165F"/>
    <w:rsid w:val="003E1877"/>
    <w:rsid w:val="003E1CFE"/>
    <w:rsid w:val="003E2477"/>
    <w:rsid w:val="003E2D90"/>
    <w:rsid w:val="003E339C"/>
    <w:rsid w:val="003E387B"/>
    <w:rsid w:val="003E3DAD"/>
    <w:rsid w:val="003E3E19"/>
    <w:rsid w:val="003E4322"/>
    <w:rsid w:val="003E4705"/>
    <w:rsid w:val="003E4900"/>
    <w:rsid w:val="003E6417"/>
    <w:rsid w:val="003E645C"/>
    <w:rsid w:val="003E65B0"/>
    <w:rsid w:val="003E65E8"/>
    <w:rsid w:val="003E692E"/>
    <w:rsid w:val="003E6B1F"/>
    <w:rsid w:val="003E6C94"/>
    <w:rsid w:val="003E7CB9"/>
    <w:rsid w:val="003E7CCE"/>
    <w:rsid w:val="003E7D17"/>
    <w:rsid w:val="003E7F40"/>
    <w:rsid w:val="003F01B3"/>
    <w:rsid w:val="003F027D"/>
    <w:rsid w:val="003F044E"/>
    <w:rsid w:val="003F0669"/>
    <w:rsid w:val="003F1794"/>
    <w:rsid w:val="003F1862"/>
    <w:rsid w:val="003F1B4F"/>
    <w:rsid w:val="003F1BF7"/>
    <w:rsid w:val="003F20B1"/>
    <w:rsid w:val="003F25E8"/>
    <w:rsid w:val="003F2AA3"/>
    <w:rsid w:val="003F2CB8"/>
    <w:rsid w:val="003F2D64"/>
    <w:rsid w:val="003F2E96"/>
    <w:rsid w:val="003F3678"/>
    <w:rsid w:val="003F3EE3"/>
    <w:rsid w:val="003F3FC7"/>
    <w:rsid w:val="003F3FEA"/>
    <w:rsid w:val="003F4013"/>
    <w:rsid w:val="003F4135"/>
    <w:rsid w:val="003F46B0"/>
    <w:rsid w:val="003F4823"/>
    <w:rsid w:val="003F4DB9"/>
    <w:rsid w:val="003F50C0"/>
    <w:rsid w:val="003F51C0"/>
    <w:rsid w:val="003F55B9"/>
    <w:rsid w:val="003F56BE"/>
    <w:rsid w:val="003F5734"/>
    <w:rsid w:val="003F576E"/>
    <w:rsid w:val="003F5BCC"/>
    <w:rsid w:val="003F5F1A"/>
    <w:rsid w:val="003F640E"/>
    <w:rsid w:val="003F655A"/>
    <w:rsid w:val="003F6D54"/>
    <w:rsid w:val="003F7313"/>
    <w:rsid w:val="003F75FF"/>
    <w:rsid w:val="003F7649"/>
    <w:rsid w:val="003F7BC2"/>
    <w:rsid w:val="003F7D6D"/>
    <w:rsid w:val="003F7D8E"/>
    <w:rsid w:val="003F7DA0"/>
    <w:rsid w:val="003F7E90"/>
    <w:rsid w:val="003F7F08"/>
    <w:rsid w:val="003F7FAC"/>
    <w:rsid w:val="004000DD"/>
    <w:rsid w:val="0040017A"/>
    <w:rsid w:val="004002C0"/>
    <w:rsid w:val="004002D9"/>
    <w:rsid w:val="004003B9"/>
    <w:rsid w:val="00400438"/>
    <w:rsid w:val="004006F2"/>
    <w:rsid w:val="00400A7B"/>
    <w:rsid w:val="00400C0B"/>
    <w:rsid w:val="00400E01"/>
    <w:rsid w:val="00401013"/>
    <w:rsid w:val="00401200"/>
    <w:rsid w:val="004012B1"/>
    <w:rsid w:val="004014BD"/>
    <w:rsid w:val="0040160B"/>
    <w:rsid w:val="00401698"/>
    <w:rsid w:val="00401840"/>
    <w:rsid w:val="00401D3D"/>
    <w:rsid w:val="00401D70"/>
    <w:rsid w:val="00401EF5"/>
    <w:rsid w:val="004023D3"/>
    <w:rsid w:val="00402AB6"/>
    <w:rsid w:val="00402B33"/>
    <w:rsid w:val="00402DC6"/>
    <w:rsid w:val="00403374"/>
    <w:rsid w:val="00403379"/>
    <w:rsid w:val="004033F0"/>
    <w:rsid w:val="004033FB"/>
    <w:rsid w:val="00403696"/>
    <w:rsid w:val="004036B4"/>
    <w:rsid w:val="0040385C"/>
    <w:rsid w:val="0040392D"/>
    <w:rsid w:val="0040393D"/>
    <w:rsid w:val="00403AFC"/>
    <w:rsid w:val="00403B15"/>
    <w:rsid w:val="00403BFC"/>
    <w:rsid w:val="00403C3F"/>
    <w:rsid w:val="00403D55"/>
    <w:rsid w:val="00404048"/>
    <w:rsid w:val="00404250"/>
    <w:rsid w:val="004046B6"/>
    <w:rsid w:val="00404B33"/>
    <w:rsid w:val="00404C5F"/>
    <w:rsid w:val="00404E42"/>
    <w:rsid w:val="004051A2"/>
    <w:rsid w:val="00405543"/>
    <w:rsid w:val="0040574C"/>
    <w:rsid w:val="0040577E"/>
    <w:rsid w:val="004058BD"/>
    <w:rsid w:val="004059FA"/>
    <w:rsid w:val="00406006"/>
    <w:rsid w:val="00406282"/>
    <w:rsid w:val="00406629"/>
    <w:rsid w:val="00406658"/>
    <w:rsid w:val="00406681"/>
    <w:rsid w:val="00406AF5"/>
    <w:rsid w:val="00406CFC"/>
    <w:rsid w:val="00406FF4"/>
    <w:rsid w:val="00407197"/>
    <w:rsid w:val="004071E4"/>
    <w:rsid w:val="004072CA"/>
    <w:rsid w:val="004077E1"/>
    <w:rsid w:val="00407C22"/>
    <w:rsid w:val="00407C3E"/>
    <w:rsid w:val="00407C9A"/>
    <w:rsid w:val="00407F6F"/>
    <w:rsid w:val="00410018"/>
    <w:rsid w:val="00410626"/>
    <w:rsid w:val="00410784"/>
    <w:rsid w:val="004107D3"/>
    <w:rsid w:val="004108CE"/>
    <w:rsid w:val="00410E3C"/>
    <w:rsid w:val="00410F7D"/>
    <w:rsid w:val="0041137D"/>
    <w:rsid w:val="00411DB5"/>
    <w:rsid w:val="00412666"/>
    <w:rsid w:val="00412864"/>
    <w:rsid w:val="00412BE5"/>
    <w:rsid w:val="00412DAB"/>
    <w:rsid w:val="00412E85"/>
    <w:rsid w:val="004136D4"/>
    <w:rsid w:val="00413D43"/>
    <w:rsid w:val="00414222"/>
    <w:rsid w:val="004142FF"/>
    <w:rsid w:val="004147AD"/>
    <w:rsid w:val="00414932"/>
    <w:rsid w:val="004149B2"/>
    <w:rsid w:val="00414D52"/>
    <w:rsid w:val="00414FD3"/>
    <w:rsid w:val="004155AF"/>
    <w:rsid w:val="00415B2C"/>
    <w:rsid w:val="00416331"/>
    <w:rsid w:val="00416571"/>
    <w:rsid w:val="00416659"/>
    <w:rsid w:val="00416922"/>
    <w:rsid w:val="00416962"/>
    <w:rsid w:val="00416B32"/>
    <w:rsid w:val="00416C6A"/>
    <w:rsid w:val="00417316"/>
    <w:rsid w:val="00417690"/>
    <w:rsid w:val="00417863"/>
    <w:rsid w:val="0042044C"/>
    <w:rsid w:val="00420538"/>
    <w:rsid w:val="00420A96"/>
    <w:rsid w:val="00420AF7"/>
    <w:rsid w:val="0042113D"/>
    <w:rsid w:val="004213ED"/>
    <w:rsid w:val="004216B7"/>
    <w:rsid w:val="004216C6"/>
    <w:rsid w:val="004216EB"/>
    <w:rsid w:val="004218EC"/>
    <w:rsid w:val="0042190A"/>
    <w:rsid w:val="00421B56"/>
    <w:rsid w:val="00421E7C"/>
    <w:rsid w:val="00422088"/>
    <w:rsid w:val="0042230C"/>
    <w:rsid w:val="004223B4"/>
    <w:rsid w:val="004225B9"/>
    <w:rsid w:val="0042263C"/>
    <w:rsid w:val="00422677"/>
    <w:rsid w:val="00422927"/>
    <w:rsid w:val="00422CF6"/>
    <w:rsid w:val="00422DF2"/>
    <w:rsid w:val="00422FC0"/>
    <w:rsid w:val="0042300E"/>
    <w:rsid w:val="004230B1"/>
    <w:rsid w:val="004232A4"/>
    <w:rsid w:val="004234C7"/>
    <w:rsid w:val="00423D2E"/>
    <w:rsid w:val="00423FAF"/>
    <w:rsid w:val="0042420F"/>
    <w:rsid w:val="00424257"/>
    <w:rsid w:val="004242D9"/>
    <w:rsid w:val="004248CF"/>
    <w:rsid w:val="00425402"/>
    <w:rsid w:val="004257E9"/>
    <w:rsid w:val="00425B1F"/>
    <w:rsid w:val="00425CE7"/>
    <w:rsid w:val="00425DB9"/>
    <w:rsid w:val="00425ED8"/>
    <w:rsid w:val="00425EF0"/>
    <w:rsid w:val="00425FA0"/>
    <w:rsid w:val="004265CF"/>
    <w:rsid w:val="00426D00"/>
    <w:rsid w:val="00426E05"/>
    <w:rsid w:val="00427063"/>
    <w:rsid w:val="0042739C"/>
    <w:rsid w:val="004273F5"/>
    <w:rsid w:val="0042752D"/>
    <w:rsid w:val="0042778B"/>
    <w:rsid w:val="00427DA2"/>
    <w:rsid w:val="00427DB0"/>
    <w:rsid w:val="00427EB7"/>
    <w:rsid w:val="00427F29"/>
    <w:rsid w:val="00430223"/>
    <w:rsid w:val="0043038A"/>
    <w:rsid w:val="00430405"/>
    <w:rsid w:val="00430BAC"/>
    <w:rsid w:val="00430DCB"/>
    <w:rsid w:val="004311DB"/>
    <w:rsid w:val="00431358"/>
    <w:rsid w:val="004313F1"/>
    <w:rsid w:val="004319F7"/>
    <w:rsid w:val="00431F48"/>
    <w:rsid w:val="00432334"/>
    <w:rsid w:val="00432524"/>
    <w:rsid w:val="0043255E"/>
    <w:rsid w:val="00432C14"/>
    <w:rsid w:val="004331CE"/>
    <w:rsid w:val="0043388C"/>
    <w:rsid w:val="00433C2F"/>
    <w:rsid w:val="00433E98"/>
    <w:rsid w:val="00434152"/>
    <w:rsid w:val="00434D76"/>
    <w:rsid w:val="00434EB5"/>
    <w:rsid w:val="004351EF"/>
    <w:rsid w:val="0043521A"/>
    <w:rsid w:val="00435646"/>
    <w:rsid w:val="004358C4"/>
    <w:rsid w:val="00435BE8"/>
    <w:rsid w:val="00435C6E"/>
    <w:rsid w:val="00436284"/>
    <w:rsid w:val="00436EB8"/>
    <w:rsid w:val="00436F87"/>
    <w:rsid w:val="00437429"/>
    <w:rsid w:val="004374B4"/>
    <w:rsid w:val="004375CC"/>
    <w:rsid w:val="00437688"/>
    <w:rsid w:val="00437721"/>
    <w:rsid w:val="00437763"/>
    <w:rsid w:val="00437785"/>
    <w:rsid w:val="00437CDD"/>
    <w:rsid w:val="00440053"/>
    <w:rsid w:val="004400A6"/>
    <w:rsid w:val="0044076C"/>
    <w:rsid w:val="00440976"/>
    <w:rsid w:val="004409E3"/>
    <w:rsid w:val="00440A53"/>
    <w:rsid w:val="00440ABA"/>
    <w:rsid w:val="00440ADB"/>
    <w:rsid w:val="004415E1"/>
    <w:rsid w:val="00441A0F"/>
    <w:rsid w:val="00441B82"/>
    <w:rsid w:val="00441CB1"/>
    <w:rsid w:val="00441F95"/>
    <w:rsid w:val="004420DC"/>
    <w:rsid w:val="004423C1"/>
    <w:rsid w:val="004427C3"/>
    <w:rsid w:val="00442D03"/>
    <w:rsid w:val="0044372F"/>
    <w:rsid w:val="004439A7"/>
    <w:rsid w:val="00444034"/>
    <w:rsid w:val="00444459"/>
    <w:rsid w:val="0044448A"/>
    <w:rsid w:val="004445A8"/>
    <w:rsid w:val="00444AF7"/>
    <w:rsid w:val="00444F71"/>
    <w:rsid w:val="0044532D"/>
    <w:rsid w:val="0044597F"/>
    <w:rsid w:val="00446002"/>
    <w:rsid w:val="0044639E"/>
    <w:rsid w:val="00446A6A"/>
    <w:rsid w:val="00446D0C"/>
    <w:rsid w:val="004471E8"/>
    <w:rsid w:val="00447202"/>
    <w:rsid w:val="004472F3"/>
    <w:rsid w:val="004473A8"/>
    <w:rsid w:val="00447C5E"/>
    <w:rsid w:val="00447CA8"/>
    <w:rsid w:val="00447EC1"/>
    <w:rsid w:val="0045059A"/>
    <w:rsid w:val="0045162B"/>
    <w:rsid w:val="00451AB3"/>
    <w:rsid w:val="00451D9A"/>
    <w:rsid w:val="00452050"/>
    <w:rsid w:val="004521A9"/>
    <w:rsid w:val="00452227"/>
    <w:rsid w:val="00452333"/>
    <w:rsid w:val="0045255D"/>
    <w:rsid w:val="0045274A"/>
    <w:rsid w:val="004528F5"/>
    <w:rsid w:val="00452A61"/>
    <w:rsid w:val="00452B91"/>
    <w:rsid w:val="00452D2B"/>
    <w:rsid w:val="00453300"/>
    <w:rsid w:val="00453485"/>
    <w:rsid w:val="004536BB"/>
    <w:rsid w:val="004536F7"/>
    <w:rsid w:val="00453A1B"/>
    <w:rsid w:val="00453F90"/>
    <w:rsid w:val="004542AE"/>
    <w:rsid w:val="004549CD"/>
    <w:rsid w:val="00454A93"/>
    <w:rsid w:val="00454E20"/>
    <w:rsid w:val="0045539D"/>
    <w:rsid w:val="004557E5"/>
    <w:rsid w:val="004558C6"/>
    <w:rsid w:val="00455C32"/>
    <w:rsid w:val="00455F2B"/>
    <w:rsid w:val="00456682"/>
    <w:rsid w:val="00456D3A"/>
    <w:rsid w:val="00456F5E"/>
    <w:rsid w:val="004575E7"/>
    <w:rsid w:val="004577C6"/>
    <w:rsid w:val="00457D41"/>
    <w:rsid w:val="00457D47"/>
    <w:rsid w:val="00457EFE"/>
    <w:rsid w:val="0046002C"/>
    <w:rsid w:val="004600FC"/>
    <w:rsid w:val="0046075D"/>
    <w:rsid w:val="00460A00"/>
    <w:rsid w:val="0046103A"/>
    <w:rsid w:val="00461117"/>
    <w:rsid w:val="004614CD"/>
    <w:rsid w:val="004616A6"/>
    <w:rsid w:val="00461980"/>
    <w:rsid w:val="00461A65"/>
    <w:rsid w:val="00461D39"/>
    <w:rsid w:val="00462638"/>
    <w:rsid w:val="004628E6"/>
    <w:rsid w:val="00462E76"/>
    <w:rsid w:val="00463B20"/>
    <w:rsid w:val="00463D7C"/>
    <w:rsid w:val="00463F9D"/>
    <w:rsid w:val="004644E5"/>
    <w:rsid w:val="00464B4E"/>
    <w:rsid w:val="00464C72"/>
    <w:rsid w:val="00464DA6"/>
    <w:rsid w:val="0046503A"/>
    <w:rsid w:val="004655ED"/>
    <w:rsid w:val="00465A0B"/>
    <w:rsid w:val="00465BF4"/>
    <w:rsid w:val="00465D0B"/>
    <w:rsid w:val="00465D2C"/>
    <w:rsid w:val="00465D2F"/>
    <w:rsid w:val="00465D41"/>
    <w:rsid w:val="004666DA"/>
    <w:rsid w:val="00466D73"/>
    <w:rsid w:val="00466E5B"/>
    <w:rsid w:val="00466E97"/>
    <w:rsid w:val="004671CE"/>
    <w:rsid w:val="0046734C"/>
    <w:rsid w:val="00467674"/>
    <w:rsid w:val="00467794"/>
    <w:rsid w:val="00467A66"/>
    <w:rsid w:val="00467C8A"/>
    <w:rsid w:val="00467D24"/>
    <w:rsid w:val="00467D89"/>
    <w:rsid w:val="00470338"/>
    <w:rsid w:val="004703F2"/>
    <w:rsid w:val="00470481"/>
    <w:rsid w:val="00470659"/>
    <w:rsid w:val="00470949"/>
    <w:rsid w:val="00470964"/>
    <w:rsid w:val="00470A63"/>
    <w:rsid w:val="00470AB3"/>
    <w:rsid w:val="00470D85"/>
    <w:rsid w:val="00471178"/>
    <w:rsid w:val="004711C9"/>
    <w:rsid w:val="004711F3"/>
    <w:rsid w:val="00471487"/>
    <w:rsid w:val="004715E7"/>
    <w:rsid w:val="004717C0"/>
    <w:rsid w:val="00471A58"/>
    <w:rsid w:val="00471D42"/>
    <w:rsid w:val="00471F78"/>
    <w:rsid w:val="00472154"/>
    <w:rsid w:val="00472799"/>
    <w:rsid w:val="00472967"/>
    <w:rsid w:val="00472C84"/>
    <w:rsid w:val="00472CC3"/>
    <w:rsid w:val="00472EA9"/>
    <w:rsid w:val="00472F35"/>
    <w:rsid w:val="00472FBA"/>
    <w:rsid w:val="004733A7"/>
    <w:rsid w:val="004738F4"/>
    <w:rsid w:val="004740BE"/>
    <w:rsid w:val="00474573"/>
    <w:rsid w:val="0047478E"/>
    <w:rsid w:val="00474DB1"/>
    <w:rsid w:val="00474DF3"/>
    <w:rsid w:val="00474E59"/>
    <w:rsid w:val="00474EA8"/>
    <w:rsid w:val="00474EB4"/>
    <w:rsid w:val="00474F02"/>
    <w:rsid w:val="00474F5A"/>
    <w:rsid w:val="0047513E"/>
    <w:rsid w:val="0047519F"/>
    <w:rsid w:val="00475243"/>
    <w:rsid w:val="00475374"/>
    <w:rsid w:val="004753A5"/>
    <w:rsid w:val="00475A3D"/>
    <w:rsid w:val="00475B1F"/>
    <w:rsid w:val="0047630C"/>
    <w:rsid w:val="00476570"/>
    <w:rsid w:val="004766C0"/>
    <w:rsid w:val="0047675C"/>
    <w:rsid w:val="00476B5F"/>
    <w:rsid w:val="00476F3D"/>
    <w:rsid w:val="0047725F"/>
    <w:rsid w:val="004772DE"/>
    <w:rsid w:val="00477F05"/>
    <w:rsid w:val="00477FC7"/>
    <w:rsid w:val="004804B2"/>
    <w:rsid w:val="0048073D"/>
    <w:rsid w:val="004808D9"/>
    <w:rsid w:val="00480AF8"/>
    <w:rsid w:val="00480B2B"/>
    <w:rsid w:val="00480BC6"/>
    <w:rsid w:val="00481089"/>
    <w:rsid w:val="004811BE"/>
    <w:rsid w:val="00481443"/>
    <w:rsid w:val="004816B5"/>
    <w:rsid w:val="004817EB"/>
    <w:rsid w:val="00481CA9"/>
    <w:rsid w:val="0048213C"/>
    <w:rsid w:val="00482727"/>
    <w:rsid w:val="00482AF5"/>
    <w:rsid w:val="00482ED4"/>
    <w:rsid w:val="00482F1A"/>
    <w:rsid w:val="00483271"/>
    <w:rsid w:val="0048333B"/>
    <w:rsid w:val="004833B0"/>
    <w:rsid w:val="0048350F"/>
    <w:rsid w:val="004839C8"/>
    <w:rsid w:val="00483C6C"/>
    <w:rsid w:val="00483D74"/>
    <w:rsid w:val="00483EEA"/>
    <w:rsid w:val="0048403F"/>
    <w:rsid w:val="004840C7"/>
    <w:rsid w:val="004842C5"/>
    <w:rsid w:val="00484401"/>
    <w:rsid w:val="004845AE"/>
    <w:rsid w:val="00484655"/>
    <w:rsid w:val="00484C08"/>
    <w:rsid w:val="00484D2A"/>
    <w:rsid w:val="00484EA0"/>
    <w:rsid w:val="00485369"/>
    <w:rsid w:val="00485386"/>
    <w:rsid w:val="004854A9"/>
    <w:rsid w:val="004857CF"/>
    <w:rsid w:val="004857E9"/>
    <w:rsid w:val="0048597C"/>
    <w:rsid w:val="00485BC9"/>
    <w:rsid w:val="00486382"/>
    <w:rsid w:val="004864FB"/>
    <w:rsid w:val="0048667B"/>
    <w:rsid w:val="004866A1"/>
    <w:rsid w:val="004866C3"/>
    <w:rsid w:val="004866EC"/>
    <w:rsid w:val="004867DD"/>
    <w:rsid w:val="004870EA"/>
    <w:rsid w:val="004875F4"/>
    <w:rsid w:val="0048796E"/>
    <w:rsid w:val="004879E3"/>
    <w:rsid w:val="00487C4C"/>
    <w:rsid w:val="0049008C"/>
    <w:rsid w:val="004902E6"/>
    <w:rsid w:val="00490563"/>
    <w:rsid w:val="00490594"/>
    <w:rsid w:val="0049093F"/>
    <w:rsid w:val="004910E6"/>
    <w:rsid w:val="004912D0"/>
    <w:rsid w:val="00491539"/>
    <w:rsid w:val="004918D6"/>
    <w:rsid w:val="00491A25"/>
    <w:rsid w:val="0049258E"/>
    <w:rsid w:val="00492950"/>
    <w:rsid w:val="00492E6E"/>
    <w:rsid w:val="00493089"/>
    <w:rsid w:val="0049326E"/>
    <w:rsid w:val="0049332F"/>
    <w:rsid w:val="0049364D"/>
    <w:rsid w:val="004937EF"/>
    <w:rsid w:val="0049381D"/>
    <w:rsid w:val="00493A1C"/>
    <w:rsid w:val="00494148"/>
    <w:rsid w:val="00494587"/>
    <w:rsid w:val="00494B80"/>
    <w:rsid w:val="00494F9F"/>
    <w:rsid w:val="004950FD"/>
    <w:rsid w:val="00495209"/>
    <w:rsid w:val="00495269"/>
    <w:rsid w:val="004959AA"/>
    <w:rsid w:val="00495D1A"/>
    <w:rsid w:val="00495E74"/>
    <w:rsid w:val="00495EAB"/>
    <w:rsid w:val="00495F53"/>
    <w:rsid w:val="00495F6B"/>
    <w:rsid w:val="004963DB"/>
    <w:rsid w:val="00496CD3"/>
    <w:rsid w:val="00496DA9"/>
    <w:rsid w:val="00496E14"/>
    <w:rsid w:val="00496E6F"/>
    <w:rsid w:val="00496FD2"/>
    <w:rsid w:val="004972EE"/>
    <w:rsid w:val="00497BF7"/>
    <w:rsid w:val="00497E78"/>
    <w:rsid w:val="00497FE2"/>
    <w:rsid w:val="004A0181"/>
    <w:rsid w:val="004A0843"/>
    <w:rsid w:val="004A09C9"/>
    <w:rsid w:val="004A0B81"/>
    <w:rsid w:val="004A0C3F"/>
    <w:rsid w:val="004A1135"/>
    <w:rsid w:val="004A1153"/>
    <w:rsid w:val="004A1424"/>
    <w:rsid w:val="004A16AF"/>
    <w:rsid w:val="004A178D"/>
    <w:rsid w:val="004A17BA"/>
    <w:rsid w:val="004A1AF6"/>
    <w:rsid w:val="004A1E9B"/>
    <w:rsid w:val="004A20C6"/>
    <w:rsid w:val="004A2190"/>
    <w:rsid w:val="004A2323"/>
    <w:rsid w:val="004A2356"/>
    <w:rsid w:val="004A249A"/>
    <w:rsid w:val="004A2666"/>
    <w:rsid w:val="004A28E8"/>
    <w:rsid w:val="004A2AD0"/>
    <w:rsid w:val="004A2CF8"/>
    <w:rsid w:val="004A2DE0"/>
    <w:rsid w:val="004A2E57"/>
    <w:rsid w:val="004A2FC0"/>
    <w:rsid w:val="004A303F"/>
    <w:rsid w:val="004A40E9"/>
    <w:rsid w:val="004A4974"/>
    <w:rsid w:val="004A4A20"/>
    <w:rsid w:val="004A4D6A"/>
    <w:rsid w:val="004A5067"/>
    <w:rsid w:val="004A5100"/>
    <w:rsid w:val="004A530E"/>
    <w:rsid w:val="004A58FD"/>
    <w:rsid w:val="004A5CF7"/>
    <w:rsid w:val="004A5E36"/>
    <w:rsid w:val="004A679E"/>
    <w:rsid w:val="004A6858"/>
    <w:rsid w:val="004A69B8"/>
    <w:rsid w:val="004A6B2C"/>
    <w:rsid w:val="004A6D3C"/>
    <w:rsid w:val="004A6D45"/>
    <w:rsid w:val="004A6E0E"/>
    <w:rsid w:val="004A7335"/>
    <w:rsid w:val="004A753B"/>
    <w:rsid w:val="004A7647"/>
    <w:rsid w:val="004A7E42"/>
    <w:rsid w:val="004A7F3D"/>
    <w:rsid w:val="004B0497"/>
    <w:rsid w:val="004B0A24"/>
    <w:rsid w:val="004B0A55"/>
    <w:rsid w:val="004B0C57"/>
    <w:rsid w:val="004B0E16"/>
    <w:rsid w:val="004B0F32"/>
    <w:rsid w:val="004B106A"/>
    <w:rsid w:val="004B1719"/>
    <w:rsid w:val="004B18CD"/>
    <w:rsid w:val="004B19BA"/>
    <w:rsid w:val="004B1B5B"/>
    <w:rsid w:val="004B21A9"/>
    <w:rsid w:val="004B2918"/>
    <w:rsid w:val="004B29B8"/>
    <w:rsid w:val="004B2D6E"/>
    <w:rsid w:val="004B302D"/>
    <w:rsid w:val="004B3058"/>
    <w:rsid w:val="004B376F"/>
    <w:rsid w:val="004B37DD"/>
    <w:rsid w:val="004B3803"/>
    <w:rsid w:val="004B3B87"/>
    <w:rsid w:val="004B3DD9"/>
    <w:rsid w:val="004B3EBF"/>
    <w:rsid w:val="004B4327"/>
    <w:rsid w:val="004B4852"/>
    <w:rsid w:val="004B4C19"/>
    <w:rsid w:val="004B4F4D"/>
    <w:rsid w:val="004B50A9"/>
    <w:rsid w:val="004B54EE"/>
    <w:rsid w:val="004B5776"/>
    <w:rsid w:val="004B5812"/>
    <w:rsid w:val="004B5906"/>
    <w:rsid w:val="004B5EAB"/>
    <w:rsid w:val="004B5FD5"/>
    <w:rsid w:val="004B60D7"/>
    <w:rsid w:val="004B669D"/>
    <w:rsid w:val="004B6838"/>
    <w:rsid w:val="004B6C2B"/>
    <w:rsid w:val="004B6CB6"/>
    <w:rsid w:val="004B703C"/>
    <w:rsid w:val="004B73E3"/>
    <w:rsid w:val="004B76A5"/>
    <w:rsid w:val="004B7A95"/>
    <w:rsid w:val="004B7EF7"/>
    <w:rsid w:val="004C0044"/>
    <w:rsid w:val="004C046A"/>
    <w:rsid w:val="004C04BC"/>
    <w:rsid w:val="004C0985"/>
    <w:rsid w:val="004C09F4"/>
    <w:rsid w:val="004C0C7C"/>
    <w:rsid w:val="004C0DBA"/>
    <w:rsid w:val="004C1006"/>
    <w:rsid w:val="004C1071"/>
    <w:rsid w:val="004C10AA"/>
    <w:rsid w:val="004C19B9"/>
    <w:rsid w:val="004C1BD0"/>
    <w:rsid w:val="004C1BED"/>
    <w:rsid w:val="004C1D56"/>
    <w:rsid w:val="004C1D6E"/>
    <w:rsid w:val="004C1EDF"/>
    <w:rsid w:val="004C2337"/>
    <w:rsid w:val="004C276F"/>
    <w:rsid w:val="004C2C84"/>
    <w:rsid w:val="004C3403"/>
    <w:rsid w:val="004C3425"/>
    <w:rsid w:val="004C348A"/>
    <w:rsid w:val="004C35C5"/>
    <w:rsid w:val="004C38EE"/>
    <w:rsid w:val="004C3B0E"/>
    <w:rsid w:val="004C3BB5"/>
    <w:rsid w:val="004C434E"/>
    <w:rsid w:val="004C463F"/>
    <w:rsid w:val="004C4AE8"/>
    <w:rsid w:val="004C4BC7"/>
    <w:rsid w:val="004C53EA"/>
    <w:rsid w:val="004C592C"/>
    <w:rsid w:val="004C5B56"/>
    <w:rsid w:val="004C5BBC"/>
    <w:rsid w:val="004C602C"/>
    <w:rsid w:val="004C607C"/>
    <w:rsid w:val="004C6084"/>
    <w:rsid w:val="004C60C9"/>
    <w:rsid w:val="004C6212"/>
    <w:rsid w:val="004C62A7"/>
    <w:rsid w:val="004C63FB"/>
    <w:rsid w:val="004C6536"/>
    <w:rsid w:val="004C65CE"/>
    <w:rsid w:val="004C6AEE"/>
    <w:rsid w:val="004C6B5A"/>
    <w:rsid w:val="004C727F"/>
    <w:rsid w:val="004C75B5"/>
    <w:rsid w:val="004C7AA6"/>
    <w:rsid w:val="004C7EDC"/>
    <w:rsid w:val="004D034D"/>
    <w:rsid w:val="004D0496"/>
    <w:rsid w:val="004D09AE"/>
    <w:rsid w:val="004D0A3C"/>
    <w:rsid w:val="004D0B07"/>
    <w:rsid w:val="004D0B08"/>
    <w:rsid w:val="004D0D53"/>
    <w:rsid w:val="004D0FA5"/>
    <w:rsid w:val="004D1127"/>
    <w:rsid w:val="004D13B7"/>
    <w:rsid w:val="004D1C4D"/>
    <w:rsid w:val="004D1F47"/>
    <w:rsid w:val="004D2870"/>
    <w:rsid w:val="004D2C74"/>
    <w:rsid w:val="004D2DCC"/>
    <w:rsid w:val="004D301D"/>
    <w:rsid w:val="004D3125"/>
    <w:rsid w:val="004D37B4"/>
    <w:rsid w:val="004D3F2F"/>
    <w:rsid w:val="004D43BB"/>
    <w:rsid w:val="004D49BC"/>
    <w:rsid w:val="004D4CB7"/>
    <w:rsid w:val="004D4F9C"/>
    <w:rsid w:val="004D508B"/>
    <w:rsid w:val="004D516C"/>
    <w:rsid w:val="004D56C6"/>
    <w:rsid w:val="004D5820"/>
    <w:rsid w:val="004D5CB0"/>
    <w:rsid w:val="004D5DEE"/>
    <w:rsid w:val="004D5E99"/>
    <w:rsid w:val="004D5EE9"/>
    <w:rsid w:val="004D5F80"/>
    <w:rsid w:val="004D5FA9"/>
    <w:rsid w:val="004D605E"/>
    <w:rsid w:val="004D61E0"/>
    <w:rsid w:val="004D63D1"/>
    <w:rsid w:val="004D66A6"/>
    <w:rsid w:val="004D6846"/>
    <w:rsid w:val="004D6C74"/>
    <w:rsid w:val="004D7174"/>
    <w:rsid w:val="004D720A"/>
    <w:rsid w:val="004D7517"/>
    <w:rsid w:val="004D76E9"/>
    <w:rsid w:val="004D786D"/>
    <w:rsid w:val="004D7A10"/>
    <w:rsid w:val="004D7AC1"/>
    <w:rsid w:val="004D7BE4"/>
    <w:rsid w:val="004D7ED8"/>
    <w:rsid w:val="004E04BA"/>
    <w:rsid w:val="004E0A3F"/>
    <w:rsid w:val="004E0C0F"/>
    <w:rsid w:val="004E0CB8"/>
    <w:rsid w:val="004E0D7C"/>
    <w:rsid w:val="004E1276"/>
    <w:rsid w:val="004E15B0"/>
    <w:rsid w:val="004E1803"/>
    <w:rsid w:val="004E1B2A"/>
    <w:rsid w:val="004E1D49"/>
    <w:rsid w:val="004E1D4E"/>
    <w:rsid w:val="004E1E8F"/>
    <w:rsid w:val="004E1EAB"/>
    <w:rsid w:val="004E24CB"/>
    <w:rsid w:val="004E2834"/>
    <w:rsid w:val="004E288D"/>
    <w:rsid w:val="004E2B80"/>
    <w:rsid w:val="004E326E"/>
    <w:rsid w:val="004E3642"/>
    <w:rsid w:val="004E36C9"/>
    <w:rsid w:val="004E37F0"/>
    <w:rsid w:val="004E3A83"/>
    <w:rsid w:val="004E3CE8"/>
    <w:rsid w:val="004E3D49"/>
    <w:rsid w:val="004E43B3"/>
    <w:rsid w:val="004E4A89"/>
    <w:rsid w:val="004E4D54"/>
    <w:rsid w:val="004E4E0C"/>
    <w:rsid w:val="004E5082"/>
    <w:rsid w:val="004E5779"/>
    <w:rsid w:val="004E5A52"/>
    <w:rsid w:val="004E5D9F"/>
    <w:rsid w:val="004E5EF5"/>
    <w:rsid w:val="004E6032"/>
    <w:rsid w:val="004E61E4"/>
    <w:rsid w:val="004E634D"/>
    <w:rsid w:val="004E6432"/>
    <w:rsid w:val="004E6470"/>
    <w:rsid w:val="004E64EE"/>
    <w:rsid w:val="004E6832"/>
    <w:rsid w:val="004E6C08"/>
    <w:rsid w:val="004E6DB7"/>
    <w:rsid w:val="004E7006"/>
    <w:rsid w:val="004E7D88"/>
    <w:rsid w:val="004E7F5B"/>
    <w:rsid w:val="004F0136"/>
    <w:rsid w:val="004F01F9"/>
    <w:rsid w:val="004F0524"/>
    <w:rsid w:val="004F066F"/>
    <w:rsid w:val="004F08FE"/>
    <w:rsid w:val="004F13A7"/>
    <w:rsid w:val="004F1E9D"/>
    <w:rsid w:val="004F2122"/>
    <w:rsid w:val="004F2245"/>
    <w:rsid w:val="004F2351"/>
    <w:rsid w:val="004F285E"/>
    <w:rsid w:val="004F2DC1"/>
    <w:rsid w:val="004F3114"/>
    <w:rsid w:val="004F312F"/>
    <w:rsid w:val="004F3336"/>
    <w:rsid w:val="004F3CCB"/>
    <w:rsid w:val="004F45F7"/>
    <w:rsid w:val="004F46C0"/>
    <w:rsid w:val="004F47D3"/>
    <w:rsid w:val="004F4CF3"/>
    <w:rsid w:val="004F4F41"/>
    <w:rsid w:val="004F4F7B"/>
    <w:rsid w:val="004F4FA0"/>
    <w:rsid w:val="004F598E"/>
    <w:rsid w:val="004F59D4"/>
    <w:rsid w:val="004F634C"/>
    <w:rsid w:val="004F6438"/>
    <w:rsid w:val="004F6A17"/>
    <w:rsid w:val="004F7176"/>
    <w:rsid w:val="004F738B"/>
    <w:rsid w:val="004F793E"/>
    <w:rsid w:val="004F7C67"/>
    <w:rsid w:val="0050031D"/>
    <w:rsid w:val="00500354"/>
    <w:rsid w:val="00500726"/>
    <w:rsid w:val="0050093C"/>
    <w:rsid w:val="00500A2C"/>
    <w:rsid w:val="00500B3E"/>
    <w:rsid w:val="00500FB6"/>
    <w:rsid w:val="005010B0"/>
    <w:rsid w:val="005010BA"/>
    <w:rsid w:val="0050136D"/>
    <w:rsid w:val="00501617"/>
    <w:rsid w:val="00501A30"/>
    <w:rsid w:val="00501A4A"/>
    <w:rsid w:val="00501D9D"/>
    <w:rsid w:val="00502378"/>
    <w:rsid w:val="005023AC"/>
    <w:rsid w:val="00502913"/>
    <w:rsid w:val="005029EC"/>
    <w:rsid w:val="00502D88"/>
    <w:rsid w:val="00502E7C"/>
    <w:rsid w:val="00503439"/>
    <w:rsid w:val="00503791"/>
    <w:rsid w:val="00503B24"/>
    <w:rsid w:val="00503E69"/>
    <w:rsid w:val="005040EE"/>
    <w:rsid w:val="0050441E"/>
    <w:rsid w:val="005046C3"/>
    <w:rsid w:val="00504B58"/>
    <w:rsid w:val="00504F16"/>
    <w:rsid w:val="00504F5A"/>
    <w:rsid w:val="00504F82"/>
    <w:rsid w:val="00505642"/>
    <w:rsid w:val="005058D4"/>
    <w:rsid w:val="00505A36"/>
    <w:rsid w:val="00505DB5"/>
    <w:rsid w:val="00505E28"/>
    <w:rsid w:val="0050612D"/>
    <w:rsid w:val="005063B6"/>
    <w:rsid w:val="00506812"/>
    <w:rsid w:val="00506907"/>
    <w:rsid w:val="00506981"/>
    <w:rsid w:val="00507093"/>
    <w:rsid w:val="00507537"/>
    <w:rsid w:val="00507D4D"/>
    <w:rsid w:val="005105B3"/>
    <w:rsid w:val="005106E7"/>
    <w:rsid w:val="00510B6E"/>
    <w:rsid w:val="005113D8"/>
    <w:rsid w:val="00511626"/>
    <w:rsid w:val="00511B18"/>
    <w:rsid w:val="00511B21"/>
    <w:rsid w:val="00511F93"/>
    <w:rsid w:val="00511FF2"/>
    <w:rsid w:val="00512091"/>
    <w:rsid w:val="005125B1"/>
    <w:rsid w:val="005126DF"/>
    <w:rsid w:val="00512A1B"/>
    <w:rsid w:val="00512AAA"/>
    <w:rsid w:val="00512AD1"/>
    <w:rsid w:val="00512FE8"/>
    <w:rsid w:val="00513011"/>
    <w:rsid w:val="00513494"/>
    <w:rsid w:val="005134CA"/>
    <w:rsid w:val="00513718"/>
    <w:rsid w:val="00513834"/>
    <w:rsid w:val="005138A8"/>
    <w:rsid w:val="005138B3"/>
    <w:rsid w:val="00513954"/>
    <w:rsid w:val="00513ABE"/>
    <w:rsid w:val="00513CE4"/>
    <w:rsid w:val="00513E3F"/>
    <w:rsid w:val="00513EF9"/>
    <w:rsid w:val="00513F10"/>
    <w:rsid w:val="00513FC0"/>
    <w:rsid w:val="00514070"/>
    <w:rsid w:val="0051444A"/>
    <w:rsid w:val="00514639"/>
    <w:rsid w:val="00514A40"/>
    <w:rsid w:val="0051518C"/>
    <w:rsid w:val="005154FB"/>
    <w:rsid w:val="005158BF"/>
    <w:rsid w:val="005158FE"/>
    <w:rsid w:val="00515902"/>
    <w:rsid w:val="00515A2C"/>
    <w:rsid w:val="00515AE4"/>
    <w:rsid w:val="00516005"/>
    <w:rsid w:val="00516201"/>
    <w:rsid w:val="005164A7"/>
    <w:rsid w:val="005165DE"/>
    <w:rsid w:val="00516ACE"/>
    <w:rsid w:val="00516BD9"/>
    <w:rsid w:val="00516C7E"/>
    <w:rsid w:val="00516DCB"/>
    <w:rsid w:val="00516F5F"/>
    <w:rsid w:val="0051733C"/>
    <w:rsid w:val="00517550"/>
    <w:rsid w:val="00517905"/>
    <w:rsid w:val="00517B18"/>
    <w:rsid w:val="00517B52"/>
    <w:rsid w:val="00517C5A"/>
    <w:rsid w:val="00517EE9"/>
    <w:rsid w:val="00520054"/>
    <w:rsid w:val="005203FB"/>
    <w:rsid w:val="005209FA"/>
    <w:rsid w:val="00520F01"/>
    <w:rsid w:val="00520F7A"/>
    <w:rsid w:val="0052100C"/>
    <w:rsid w:val="00521062"/>
    <w:rsid w:val="005218A0"/>
    <w:rsid w:val="00521BB9"/>
    <w:rsid w:val="00521CF5"/>
    <w:rsid w:val="00521E5E"/>
    <w:rsid w:val="00521F91"/>
    <w:rsid w:val="00522014"/>
    <w:rsid w:val="00522A5F"/>
    <w:rsid w:val="00522AD6"/>
    <w:rsid w:val="00522BB7"/>
    <w:rsid w:val="00522E52"/>
    <w:rsid w:val="00522F6E"/>
    <w:rsid w:val="00523892"/>
    <w:rsid w:val="00523CCE"/>
    <w:rsid w:val="00523EAD"/>
    <w:rsid w:val="00524298"/>
    <w:rsid w:val="0052450B"/>
    <w:rsid w:val="00524881"/>
    <w:rsid w:val="00524AA9"/>
    <w:rsid w:val="00524BAD"/>
    <w:rsid w:val="005251C0"/>
    <w:rsid w:val="0052559E"/>
    <w:rsid w:val="005255A3"/>
    <w:rsid w:val="0052574A"/>
    <w:rsid w:val="00525997"/>
    <w:rsid w:val="00525DB2"/>
    <w:rsid w:val="00525EE2"/>
    <w:rsid w:val="00525FC6"/>
    <w:rsid w:val="005260A6"/>
    <w:rsid w:val="0052611B"/>
    <w:rsid w:val="00526553"/>
    <w:rsid w:val="005265B6"/>
    <w:rsid w:val="00527096"/>
    <w:rsid w:val="005274C0"/>
    <w:rsid w:val="00527D4A"/>
    <w:rsid w:val="00527DDB"/>
    <w:rsid w:val="00527E85"/>
    <w:rsid w:val="00527EBD"/>
    <w:rsid w:val="00530140"/>
    <w:rsid w:val="0053039E"/>
    <w:rsid w:val="005303E8"/>
    <w:rsid w:val="00530505"/>
    <w:rsid w:val="0053050F"/>
    <w:rsid w:val="005306D8"/>
    <w:rsid w:val="00530BAB"/>
    <w:rsid w:val="00530E76"/>
    <w:rsid w:val="0053110F"/>
    <w:rsid w:val="005315D7"/>
    <w:rsid w:val="00531E5C"/>
    <w:rsid w:val="00531EC2"/>
    <w:rsid w:val="005321C0"/>
    <w:rsid w:val="00532581"/>
    <w:rsid w:val="00532C32"/>
    <w:rsid w:val="00533877"/>
    <w:rsid w:val="00533E38"/>
    <w:rsid w:val="00534342"/>
    <w:rsid w:val="00534A77"/>
    <w:rsid w:val="00534A9A"/>
    <w:rsid w:val="00534AC8"/>
    <w:rsid w:val="00534E52"/>
    <w:rsid w:val="005351C7"/>
    <w:rsid w:val="005353E1"/>
    <w:rsid w:val="00535705"/>
    <w:rsid w:val="005359E9"/>
    <w:rsid w:val="00535A86"/>
    <w:rsid w:val="00535B68"/>
    <w:rsid w:val="00535BEC"/>
    <w:rsid w:val="00535E0F"/>
    <w:rsid w:val="00535F18"/>
    <w:rsid w:val="00536284"/>
    <w:rsid w:val="005369BB"/>
    <w:rsid w:val="005369C5"/>
    <w:rsid w:val="005369DC"/>
    <w:rsid w:val="00536B80"/>
    <w:rsid w:val="00536BF0"/>
    <w:rsid w:val="00537831"/>
    <w:rsid w:val="00537AAB"/>
    <w:rsid w:val="0054078A"/>
    <w:rsid w:val="005407C0"/>
    <w:rsid w:val="005408C8"/>
    <w:rsid w:val="005408E1"/>
    <w:rsid w:val="00540BE2"/>
    <w:rsid w:val="00540C06"/>
    <w:rsid w:val="00540CEA"/>
    <w:rsid w:val="005410C3"/>
    <w:rsid w:val="0054120E"/>
    <w:rsid w:val="005415D6"/>
    <w:rsid w:val="00541E6B"/>
    <w:rsid w:val="0054215E"/>
    <w:rsid w:val="005422F6"/>
    <w:rsid w:val="00542701"/>
    <w:rsid w:val="005427AC"/>
    <w:rsid w:val="005427C1"/>
    <w:rsid w:val="005429B5"/>
    <w:rsid w:val="00542E65"/>
    <w:rsid w:val="00543343"/>
    <w:rsid w:val="005437B5"/>
    <w:rsid w:val="00543866"/>
    <w:rsid w:val="00543A2C"/>
    <w:rsid w:val="00543A97"/>
    <w:rsid w:val="00543FDB"/>
    <w:rsid w:val="00544290"/>
    <w:rsid w:val="005443F8"/>
    <w:rsid w:val="00544450"/>
    <w:rsid w:val="005444D2"/>
    <w:rsid w:val="0054455E"/>
    <w:rsid w:val="00544890"/>
    <w:rsid w:val="00544BEC"/>
    <w:rsid w:val="00545C5C"/>
    <w:rsid w:val="00545D83"/>
    <w:rsid w:val="00545F32"/>
    <w:rsid w:val="0054627C"/>
    <w:rsid w:val="005463B9"/>
    <w:rsid w:val="005467C6"/>
    <w:rsid w:val="005479C5"/>
    <w:rsid w:val="00547A07"/>
    <w:rsid w:val="00547A63"/>
    <w:rsid w:val="00547B69"/>
    <w:rsid w:val="00547C75"/>
    <w:rsid w:val="00547CDE"/>
    <w:rsid w:val="0055079A"/>
    <w:rsid w:val="005508A7"/>
    <w:rsid w:val="00550E40"/>
    <w:rsid w:val="0055134C"/>
    <w:rsid w:val="00551790"/>
    <w:rsid w:val="00551B12"/>
    <w:rsid w:val="00551C5D"/>
    <w:rsid w:val="00551FEE"/>
    <w:rsid w:val="005521E6"/>
    <w:rsid w:val="00552242"/>
    <w:rsid w:val="0055256B"/>
    <w:rsid w:val="00552583"/>
    <w:rsid w:val="005525C3"/>
    <w:rsid w:val="005528E0"/>
    <w:rsid w:val="00552951"/>
    <w:rsid w:val="00552F19"/>
    <w:rsid w:val="005531BD"/>
    <w:rsid w:val="0055353C"/>
    <w:rsid w:val="00553916"/>
    <w:rsid w:val="005541A3"/>
    <w:rsid w:val="0055474F"/>
    <w:rsid w:val="00554783"/>
    <w:rsid w:val="0055499F"/>
    <w:rsid w:val="00554ED6"/>
    <w:rsid w:val="00555045"/>
    <w:rsid w:val="00555356"/>
    <w:rsid w:val="00555C0A"/>
    <w:rsid w:val="00555D03"/>
    <w:rsid w:val="00555DD4"/>
    <w:rsid w:val="00555F7C"/>
    <w:rsid w:val="00556242"/>
    <w:rsid w:val="005562CE"/>
    <w:rsid w:val="005566A4"/>
    <w:rsid w:val="005569DF"/>
    <w:rsid w:val="00556DD5"/>
    <w:rsid w:val="00556E17"/>
    <w:rsid w:val="00556E8C"/>
    <w:rsid w:val="00556FDD"/>
    <w:rsid w:val="005574A8"/>
    <w:rsid w:val="00557797"/>
    <w:rsid w:val="00557B06"/>
    <w:rsid w:val="00557CA3"/>
    <w:rsid w:val="00557D8B"/>
    <w:rsid w:val="00557DAA"/>
    <w:rsid w:val="00557E5F"/>
    <w:rsid w:val="00557E84"/>
    <w:rsid w:val="00557F1F"/>
    <w:rsid w:val="00560520"/>
    <w:rsid w:val="005609B5"/>
    <w:rsid w:val="00560FFC"/>
    <w:rsid w:val="00561023"/>
    <w:rsid w:val="00561036"/>
    <w:rsid w:val="005611A9"/>
    <w:rsid w:val="00561499"/>
    <w:rsid w:val="0056164F"/>
    <w:rsid w:val="005620E7"/>
    <w:rsid w:val="0056234A"/>
    <w:rsid w:val="005624F7"/>
    <w:rsid w:val="005628FA"/>
    <w:rsid w:val="00562966"/>
    <w:rsid w:val="00562AF4"/>
    <w:rsid w:val="00562BF8"/>
    <w:rsid w:val="00562EFE"/>
    <w:rsid w:val="00562F9F"/>
    <w:rsid w:val="0056311B"/>
    <w:rsid w:val="005631A2"/>
    <w:rsid w:val="005631C9"/>
    <w:rsid w:val="005639B1"/>
    <w:rsid w:val="005645ED"/>
    <w:rsid w:val="005647CF"/>
    <w:rsid w:val="00564822"/>
    <w:rsid w:val="00564990"/>
    <w:rsid w:val="00564F0F"/>
    <w:rsid w:val="00564FF3"/>
    <w:rsid w:val="00565A11"/>
    <w:rsid w:val="00565DEF"/>
    <w:rsid w:val="00565ED8"/>
    <w:rsid w:val="005661EA"/>
    <w:rsid w:val="00566397"/>
    <w:rsid w:val="00566491"/>
    <w:rsid w:val="005667DD"/>
    <w:rsid w:val="00566912"/>
    <w:rsid w:val="00566B4F"/>
    <w:rsid w:val="00566C6C"/>
    <w:rsid w:val="00566E39"/>
    <w:rsid w:val="00566E5F"/>
    <w:rsid w:val="0056711C"/>
    <w:rsid w:val="00567206"/>
    <w:rsid w:val="00567607"/>
    <w:rsid w:val="00567823"/>
    <w:rsid w:val="00567852"/>
    <w:rsid w:val="005678F2"/>
    <w:rsid w:val="005701E1"/>
    <w:rsid w:val="0057028E"/>
    <w:rsid w:val="005703D8"/>
    <w:rsid w:val="005704B2"/>
    <w:rsid w:val="0057085B"/>
    <w:rsid w:val="005709B5"/>
    <w:rsid w:val="00570A65"/>
    <w:rsid w:val="00571069"/>
    <w:rsid w:val="0057111B"/>
    <w:rsid w:val="00571286"/>
    <w:rsid w:val="0057215A"/>
    <w:rsid w:val="005724E8"/>
    <w:rsid w:val="005729A3"/>
    <w:rsid w:val="005729AC"/>
    <w:rsid w:val="0057317F"/>
    <w:rsid w:val="0057326E"/>
    <w:rsid w:val="005732A3"/>
    <w:rsid w:val="0057338A"/>
    <w:rsid w:val="0057361F"/>
    <w:rsid w:val="00573B7A"/>
    <w:rsid w:val="00573E90"/>
    <w:rsid w:val="00573F00"/>
    <w:rsid w:val="0057403D"/>
    <w:rsid w:val="00574099"/>
    <w:rsid w:val="00574176"/>
    <w:rsid w:val="00574193"/>
    <w:rsid w:val="0057450A"/>
    <w:rsid w:val="00574557"/>
    <w:rsid w:val="005747E1"/>
    <w:rsid w:val="00574937"/>
    <w:rsid w:val="00574B02"/>
    <w:rsid w:val="00574B3D"/>
    <w:rsid w:val="00574C5C"/>
    <w:rsid w:val="00575002"/>
    <w:rsid w:val="0057519E"/>
    <w:rsid w:val="00575311"/>
    <w:rsid w:val="0057543F"/>
    <w:rsid w:val="005755DB"/>
    <w:rsid w:val="0057561B"/>
    <w:rsid w:val="005756E9"/>
    <w:rsid w:val="00575C2D"/>
    <w:rsid w:val="00576195"/>
    <w:rsid w:val="00576776"/>
    <w:rsid w:val="005769ED"/>
    <w:rsid w:val="00576A50"/>
    <w:rsid w:val="00576AD7"/>
    <w:rsid w:val="00576DF3"/>
    <w:rsid w:val="005770BA"/>
    <w:rsid w:val="00577449"/>
    <w:rsid w:val="00577764"/>
    <w:rsid w:val="005777CC"/>
    <w:rsid w:val="00577986"/>
    <w:rsid w:val="00577B7A"/>
    <w:rsid w:val="00577BFD"/>
    <w:rsid w:val="00577D90"/>
    <w:rsid w:val="00577FF4"/>
    <w:rsid w:val="00580008"/>
    <w:rsid w:val="0058009B"/>
    <w:rsid w:val="0058049B"/>
    <w:rsid w:val="00580589"/>
    <w:rsid w:val="00580C0B"/>
    <w:rsid w:val="00580C54"/>
    <w:rsid w:val="00581149"/>
    <w:rsid w:val="005812C1"/>
    <w:rsid w:val="005814D1"/>
    <w:rsid w:val="00581618"/>
    <w:rsid w:val="00581DF6"/>
    <w:rsid w:val="00582187"/>
    <w:rsid w:val="00582A85"/>
    <w:rsid w:val="00582EC1"/>
    <w:rsid w:val="0058321D"/>
    <w:rsid w:val="00583359"/>
    <w:rsid w:val="00583536"/>
    <w:rsid w:val="005837D6"/>
    <w:rsid w:val="00583B9B"/>
    <w:rsid w:val="00584102"/>
    <w:rsid w:val="00584242"/>
    <w:rsid w:val="00584B56"/>
    <w:rsid w:val="00584B7D"/>
    <w:rsid w:val="00584BD1"/>
    <w:rsid w:val="00585081"/>
    <w:rsid w:val="0058513A"/>
    <w:rsid w:val="00585560"/>
    <w:rsid w:val="005855B0"/>
    <w:rsid w:val="00585A59"/>
    <w:rsid w:val="00585A96"/>
    <w:rsid w:val="005867CC"/>
    <w:rsid w:val="00586AFB"/>
    <w:rsid w:val="00586B52"/>
    <w:rsid w:val="00586CFA"/>
    <w:rsid w:val="00586D8D"/>
    <w:rsid w:val="00586EB3"/>
    <w:rsid w:val="00587032"/>
    <w:rsid w:val="0058731C"/>
    <w:rsid w:val="00587EB0"/>
    <w:rsid w:val="00587F54"/>
    <w:rsid w:val="00590038"/>
    <w:rsid w:val="00590182"/>
    <w:rsid w:val="00590372"/>
    <w:rsid w:val="0059044B"/>
    <w:rsid w:val="00590976"/>
    <w:rsid w:val="00590E60"/>
    <w:rsid w:val="00591A3E"/>
    <w:rsid w:val="00591C51"/>
    <w:rsid w:val="00591C85"/>
    <w:rsid w:val="00591CAD"/>
    <w:rsid w:val="00591DC7"/>
    <w:rsid w:val="00591E35"/>
    <w:rsid w:val="00591EC4"/>
    <w:rsid w:val="005921F1"/>
    <w:rsid w:val="0059278B"/>
    <w:rsid w:val="0059355E"/>
    <w:rsid w:val="0059384F"/>
    <w:rsid w:val="00593A0A"/>
    <w:rsid w:val="00593A28"/>
    <w:rsid w:val="00593AC3"/>
    <w:rsid w:val="005942F8"/>
    <w:rsid w:val="00594411"/>
    <w:rsid w:val="00594765"/>
    <w:rsid w:val="00594880"/>
    <w:rsid w:val="0059489E"/>
    <w:rsid w:val="005948ED"/>
    <w:rsid w:val="00594B4A"/>
    <w:rsid w:val="00594F61"/>
    <w:rsid w:val="00594F8D"/>
    <w:rsid w:val="005950B1"/>
    <w:rsid w:val="00595234"/>
    <w:rsid w:val="005953A5"/>
    <w:rsid w:val="0059587D"/>
    <w:rsid w:val="00595888"/>
    <w:rsid w:val="00595D61"/>
    <w:rsid w:val="00595E55"/>
    <w:rsid w:val="00595EB3"/>
    <w:rsid w:val="005961D6"/>
    <w:rsid w:val="0059627B"/>
    <w:rsid w:val="00596448"/>
    <w:rsid w:val="005967BE"/>
    <w:rsid w:val="005970E5"/>
    <w:rsid w:val="00597243"/>
    <w:rsid w:val="005979DA"/>
    <w:rsid w:val="00597B51"/>
    <w:rsid w:val="00597B80"/>
    <w:rsid w:val="00597E50"/>
    <w:rsid w:val="005A00BA"/>
    <w:rsid w:val="005A03F2"/>
    <w:rsid w:val="005A06DA"/>
    <w:rsid w:val="005A0860"/>
    <w:rsid w:val="005A09A3"/>
    <w:rsid w:val="005A0A26"/>
    <w:rsid w:val="005A0BC7"/>
    <w:rsid w:val="005A0D7B"/>
    <w:rsid w:val="005A0F7C"/>
    <w:rsid w:val="005A1439"/>
    <w:rsid w:val="005A14F6"/>
    <w:rsid w:val="005A152C"/>
    <w:rsid w:val="005A1530"/>
    <w:rsid w:val="005A1C3E"/>
    <w:rsid w:val="005A1D27"/>
    <w:rsid w:val="005A205B"/>
    <w:rsid w:val="005A2182"/>
    <w:rsid w:val="005A23C1"/>
    <w:rsid w:val="005A265C"/>
    <w:rsid w:val="005A2BEA"/>
    <w:rsid w:val="005A3175"/>
    <w:rsid w:val="005A32BF"/>
    <w:rsid w:val="005A3C0E"/>
    <w:rsid w:val="005A3F30"/>
    <w:rsid w:val="005A4614"/>
    <w:rsid w:val="005A4A3E"/>
    <w:rsid w:val="005A4CE5"/>
    <w:rsid w:val="005A4FDF"/>
    <w:rsid w:val="005A5299"/>
    <w:rsid w:val="005A529A"/>
    <w:rsid w:val="005A530E"/>
    <w:rsid w:val="005A54A7"/>
    <w:rsid w:val="005A54C9"/>
    <w:rsid w:val="005A555F"/>
    <w:rsid w:val="005A55D0"/>
    <w:rsid w:val="005A562A"/>
    <w:rsid w:val="005A574D"/>
    <w:rsid w:val="005A5DBB"/>
    <w:rsid w:val="005A5E3E"/>
    <w:rsid w:val="005A5ED7"/>
    <w:rsid w:val="005A64E5"/>
    <w:rsid w:val="005A6B2B"/>
    <w:rsid w:val="005A6D58"/>
    <w:rsid w:val="005A70BC"/>
    <w:rsid w:val="005A70DF"/>
    <w:rsid w:val="005A776C"/>
    <w:rsid w:val="005A77B2"/>
    <w:rsid w:val="005A7ABD"/>
    <w:rsid w:val="005A7B60"/>
    <w:rsid w:val="005A7E69"/>
    <w:rsid w:val="005B00D4"/>
    <w:rsid w:val="005B0A70"/>
    <w:rsid w:val="005B0C58"/>
    <w:rsid w:val="005B0EC2"/>
    <w:rsid w:val="005B0ED5"/>
    <w:rsid w:val="005B0F91"/>
    <w:rsid w:val="005B1200"/>
    <w:rsid w:val="005B1480"/>
    <w:rsid w:val="005B14A5"/>
    <w:rsid w:val="005B1779"/>
    <w:rsid w:val="005B18A4"/>
    <w:rsid w:val="005B1A1E"/>
    <w:rsid w:val="005B1A74"/>
    <w:rsid w:val="005B1AED"/>
    <w:rsid w:val="005B28C7"/>
    <w:rsid w:val="005B2A76"/>
    <w:rsid w:val="005B2C16"/>
    <w:rsid w:val="005B30D7"/>
    <w:rsid w:val="005B3401"/>
    <w:rsid w:val="005B38AB"/>
    <w:rsid w:val="005B39A0"/>
    <w:rsid w:val="005B4020"/>
    <w:rsid w:val="005B42D7"/>
    <w:rsid w:val="005B432C"/>
    <w:rsid w:val="005B49E7"/>
    <w:rsid w:val="005B4AE1"/>
    <w:rsid w:val="005B4F91"/>
    <w:rsid w:val="005B53E7"/>
    <w:rsid w:val="005B5407"/>
    <w:rsid w:val="005B55AB"/>
    <w:rsid w:val="005B56B6"/>
    <w:rsid w:val="005B593C"/>
    <w:rsid w:val="005B5965"/>
    <w:rsid w:val="005B5AA4"/>
    <w:rsid w:val="005B5B83"/>
    <w:rsid w:val="005B5C7E"/>
    <w:rsid w:val="005B5D1A"/>
    <w:rsid w:val="005B5FAC"/>
    <w:rsid w:val="005B6353"/>
    <w:rsid w:val="005B6612"/>
    <w:rsid w:val="005B663F"/>
    <w:rsid w:val="005B6AA1"/>
    <w:rsid w:val="005B6C3A"/>
    <w:rsid w:val="005B6D3B"/>
    <w:rsid w:val="005B702A"/>
    <w:rsid w:val="005B770B"/>
    <w:rsid w:val="005B7938"/>
    <w:rsid w:val="005B79D7"/>
    <w:rsid w:val="005B7F93"/>
    <w:rsid w:val="005C0800"/>
    <w:rsid w:val="005C0B32"/>
    <w:rsid w:val="005C11B1"/>
    <w:rsid w:val="005C182D"/>
    <w:rsid w:val="005C2165"/>
    <w:rsid w:val="005C2181"/>
    <w:rsid w:val="005C2213"/>
    <w:rsid w:val="005C25EC"/>
    <w:rsid w:val="005C290C"/>
    <w:rsid w:val="005C2F04"/>
    <w:rsid w:val="005C3286"/>
    <w:rsid w:val="005C3461"/>
    <w:rsid w:val="005C35A7"/>
    <w:rsid w:val="005C36AE"/>
    <w:rsid w:val="005C3859"/>
    <w:rsid w:val="005C3908"/>
    <w:rsid w:val="005C41B1"/>
    <w:rsid w:val="005C41E7"/>
    <w:rsid w:val="005C4249"/>
    <w:rsid w:val="005C42A5"/>
    <w:rsid w:val="005C4838"/>
    <w:rsid w:val="005C4B29"/>
    <w:rsid w:val="005C4F2D"/>
    <w:rsid w:val="005C509A"/>
    <w:rsid w:val="005C5337"/>
    <w:rsid w:val="005C53C5"/>
    <w:rsid w:val="005C56C7"/>
    <w:rsid w:val="005C5753"/>
    <w:rsid w:val="005C5D24"/>
    <w:rsid w:val="005C5F33"/>
    <w:rsid w:val="005C5F6B"/>
    <w:rsid w:val="005C60DA"/>
    <w:rsid w:val="005C61C1"/>
    <w:rsid w:val="005C65C7"/>
    <w:rsid w:val="005C6BF2"/>
    <w:rsid w:val="005C6CE2"/>
    <w:rsid w:val="005C784A"/>
    <w:rsid w:val="005C7990"/>
    <w:rsid w:val="005C7B8D"/>
    <w:rsid w:val="005C7BB4"/>
    <w:rsid w:val="005D01D0"/>
    <w:rsid w:val="005D035B"/>
    <w:rsid w:val="005D0BF3"/>
    <w:rsid w:val="005D0DC3"/>
    <w:rsid w:val="005D0E5B"/>
    <w:rsid w:val="005D1431"/>
    <w:rsid w:val="005D14D4"/>
    <w:rsid w:val="005D1536"/>
    <w:rsid w:val="005D1C9A"/>
    <w:rsid w:val="005D1D94"/>
    <w:rsid w:val="005D1FBC"/>
    <w:rsid w:val="005D204E"/>
    <w:rsid w:val="005D226A"/>
    <w:rsid w:val="005D273A"/>
    <w:rsid w:val="005D299D"/>
    <w:rsid w:val="005D2A6B"/>
    <w:rsid w:val="005D2C10"/>
    <w:rsid w:val="005D2D97"/>
    <w:rsid w:val="005D3CE5"/>
    <w:rsid w:val="005D408B"/>
    <w:rsid w:val="005D4318"/>
    <w:rsid w:val="005D4566"/>
    <w:rsid w:val="005D48DE"/>
    <w:rsid w:val="005D4A9E"/>
    <w:rsid w:val="005D4D1E"/>
    <w:rsid w:val="005D4ED1"/>
    <w:rsid w:val="005D4EEB"/>
    <w:rsid w:val="005D4F53"/>
    <w:rsid w:val="005D573E"/>
    <w:rsid w:val="005D5A5A"/>
    <w:rsid w:val="005D5D03"/>
    <w:rsid w:val="005D5F01"/>
    <w:rsid w:val="005D600B"/>
    <w:rsid w:val="005D666E"/>
    <w:rsid w:val="005D66AC"/>
    <w:rsid w:val="005D6858"/>
    <w:rsid w:val="005D7065"/>
    <w:rsid w:val="005D79F3"/>
    <w:rsid w:val="005D7AD4"/>
    <w:rsid w:val="005D7C5D"/>
    <w:rsid w:val="005D7D05"/>
    <w:rsid w:val="005D7D1B"/>
    <w:rsid w:val="005D7EBA"/>
    <w:rsid w:val="005E01B7"/>
    <w:rsid w:val="005E02BE"/>
    <w:rsid w:val="005E03D3"/>
    <w:rsid w:val="005E03D8"/>
    <w:rsid w:val="005E0440"/>
    <w:rsid w:val="005E0602"/>
    <w:rsid w:val="005E0638"/>
    <w:rsid w:val="005E0A76"/>
    <w:rsid w:val="005E0AC1"/>
    <w:rsid w:val="005E0AE5"/>
    <w:rsid w:val="005E0EE2"/>
    <w:rsid w:val="005E0EE4"/>
    <w:rsid w:val="005E0F68"/>
    <w:rsid w:val="005E18C4"/>
    <w:rsid w:val="005E19C5"/>
    <w:rsid w:val="005E1E95"/>
    <w:rsid w:val="005E21AA"/>
    <w:rsid w:val="005E23E5"/>
    <w:rsid w:val="005E28B8"/>
    <w:rsid w:val="005E2EC8"/>
    <w:rsid w:val="005E307B"/>
    <w:rsid w:val="005E35B2"/>
    <w:rsid w:val="005E3E40"/>
    <w:rsid w:val="005E4AAA"/>
    <w:rsid w:val="005E4F02"/>
    <w:rsid w:val="005E5086"/>
    <w:rsid w:val="005E50DF"/>
    <w:rsid w:val="005E5281"/>
    <w:rsid w:val="005E568A"/>
    <w:rsid w:val="005E5773"/>
    <w:rsid w:val="005E5929"/>
    <w:rsid w:val="005E5CD1"/>
    <w:rsid w:val="005E5EDF"/>
    <w:rsid w:val="005E5F45"/>
    <w:rsid w:val="005E606D"/>
    <w:rsid w:val="005E6126"/>
    <w:rsid w:val="005E6302"/>
    <w:rsid w:val="005E6386"/>
    <w:rsid w:val="005E6479"/>
    <w:rsid w:val="005E6B26"/>
    <w:rsid w:val="005E6B29"/>
    <w:rsid w:val="005E6C36"/>
    <w:rsid w:val="005E707C"/>
    <w:rsid w:val="005E757B"/>
    <w:rsid w:val="005E7879"/>
    <w:rsid w:val="005E79B7"/>
    <w:rsid w:val="005E7B21"/>
    <w:rsid w:val="005E7F17"/>
    <w:rsid w:val="005F0452"/>
    <w:rsid w:val="005F0806"/>
    <w:rsid w:val="005F0C6C"/>
    <w:rsid w:val="005F0D1A"/>
    <w:rsid w:val="005F0F84"/>
    <w:rsid w:val="005F11D7"/>
    <w:rsid w:val="005F17DD"/>
    <w:rsid w:val="005F1D21"/>
    <w:rsid w:val="005F1F4F"/>
    <w:rsid w:val="005F215C"/>
    <w:rsid w:val="005F23EA"/>
    <w:rsid w:val="005F2498"/>
    <w:rsid w:val="005F2A76"/>
    <w:rsid w:val="005F2CA0"/>
    <w:rsid w:val="005F3C84"/>
    <w:rsid w:val="005F3D53"/>
    <w:rsid w:val="005F3DB2"/>
    <w:rsid w:val="005F458C"/>
    <w:rsid w:val="005F4D84"/>
    <w:rsid w:val="005F4D96"/>
    <w:rsid w:val="005F58E9"/>
    <w:rsid w:val="005F5B99"/>
    <w:rsid w:val="005F5C55"/>
    <w:rsid w:val="005F5C7F"/>
    <w:rsid w:val="005F5D61"/>
    <w:rsid w:val="005F6056"/>
    <w:rsid w:val="005F628E"/>
    <w:rsid w:val="005F63B8"/>
    <w:rsid w:val="005F688B"/>
    <w:rsid w:val="005F6DA2"/>
    <w:rsid w:val="005F6DDE"/>
    <w:rsid w:val="005F72B5"/>
    <w:rsid w:val="005F737E"/>
    <w:rsid w:val="005F7453"/>
    <w:rsid w:val="005F789B"/>
    <w:rsid w:val="0060024A"/>
    <w:rsid w:val="006003EB"/>
    <w:rsid w:val="006005B4"/>
    <w:rsid w:val="0060078B"/>
    <w:rsid w:val="00600D30"/>
    <w:rsid w:val="00601242"/>
    <w:rsid w:val="0060153F"/>
    <w:rsid w:val="00601695"/>
    <w:rsid w:val="00601D3A"/>
    <w:rsid w:val="00602667"/>
    <w:rsid w:val="00602974"/>
    <w:rsid w:val="006029E7"/>
    <w:rsid w:val="006029FD"/>
    <w:rsid w:val="00602CF3"/>
    <w:rsid w:val="00602DA7"/>
    <w:rsid w:val="00602E7E"/>
    <w:rsid w:val="0060309E"/>
    <w:rsid w:val="0060315B"/>
    <w:rsid w:val="00603290"/>
    <w:rsid w:val="00603370"/>
    <w:rsid w:val="0060358C"/>
    <w:rsid w:val="00603598"/>
    <w:rsid w:val="0060371C"/>
    <w:rsid w:val="00603854"/>
    <w:rsid w:val="00604015"/>
    <w:rsid w:val="006042C4"/>
    <w:rsid w:val="00604627"/>
    <w:rsid w:val="00604922"/>
    <w:rsid w:val="00604D1C"/>
    <w:rsid w:val="00604F6B"/>
    <w:rsid w:val="0060581E"/>
    <w:rsid w:val="006059A9"/>
    <w:rsid w:val="00605A5E"/>
    <w:rsid w:val="00605CE9"/>
    <w:rsid w:val="0060628B"/>
    <w:rsid w:val="00606542"/>
    <w:rsid w:val="00606952"/>
    <w:rsid w:val="00606A88"/>
    <w:rsid w:val="00607001"/>
    <w:rsid w:val="006070F2"/>
    <w:rsid w:val="0060730D"/>
    <w:rsid w:val="006078D8"/>
    <w:rsid w:val="00607E80"/>
    <w:rsid w:val="006103EF"/>
    <w:rsid w:val="00610515"/>
    <w:rsid w:val="006105FB"/>
    <w:rsid w:val="006107A5"/>
    <w:rsid w:val="00610810"/>
    <w:rsid w:val="006108E3"/>
    <w:rsid w:val="00610DCE"/>
    <w:rsid w:val="00610F20"/>
    <w:rsid w:val="00611234"/>
    <w:rsid w:val="00611669"/>
    <w:rsid w:val="0061170D"/>
    <w:rsid w:val="00611C00"/>
    <w:rsid w:val="00611C45"/>
    <w:rsid w:val="00611E41"/>
    <w:rsid w:val="00611EB3"/>
    <w:rsid w:val="00611EE9"/>
    <w:rsid w:val="00611F9D"/>
    <w:rsid w:val="0061237F"/>
    <w:rsid w:val="006123AC"/>
    <w:rsid w:val="00612468"/>
    <w:rsid w:val="006124CD"/>
    <w:rsid w:val="006125D2"/>
    <w:rsid w:val="0061281C"/>
    <w:rsid w:val="00612962"/>
    <w:rsid w:val="00612C1E"/>
    <w:rsid w:val="00612DC0"/>
    <w:rsid w:val="00612E94"/>
    <w:rsid w:val="0061366B"/>
    <w:rsid w:val="006136EE"/>
    <w:rsid w:val="00613ED8"/>
    <w:rsid w:val="0061414D"/>
    <w:rsid w:val="0061424E"/>
    <w:rsid w:val="0061442E"/>
    <w:rsid w:val="00614511"/>
    <w:rsid w:val="006148FC"/>
    <w:rsid w:val="00614BCD"/>
    <w:rsid w:val="00614EE0"/>
    <w:rsid w:val="0061509E"/>
    <w:rsid w:val="006155D5"/>
    <w:rsid w:val="00615720"/>
    <w:rsid w:val="00615A7F"/>
    <w:rsid w:val="00615AB3"/>
    <w:rsid w:val="00615B9D"/>
    <w:rsid w:val="00615FD8"/>
    <w:rsid w:val="00616008"/>
    <w:rsid w:val="00616250"/>
    <w:rsid w:val="00616A3B"/>
    <w:rsid w:val="00616D2E"/>
    <w:rsid w:val="00617054"/>
    <w:rsid w:val="0061706B"/>
    <w:rsid w:val="006171B5"/>
    <w:rsid w:val="00617226"/>
    <w:rsid w:val="0061747B"/>
    <w:rsid w:val="00617767"/>
    <w:rsid w:val="006177FE"/>
    <w:rsid w:val="006200E4"/>
    <w:rsid w:val="00620337"/>
    <w:rsid w:val="006204B2"/>
    <w:rsid w:val="0062050F"/>
    <w:rsid w:val="006206EA"/>
    <w:rsid w:val="006208B9"/>
    <w:rsid w:val="00620E04"/>
    <w:rsid w:val="00620EA0"/>
    <w:rsid w:val="00620F07"/>
    <w:rsid w:val="00620F70"/>
    <w:rsid w:val="006210B0"/>
    <w:rsid w:val="006213C3"/>
    <w:rsid w:val="0062147C"/>
    <w:rsid w:val="006216BD"/>
    <w:rsid w:val="006216CE"/>
    <w:rsid w:val="006220A2"/>
    <w:rsid w:val="0062265B"/>
    <w:rsid w:val="006227E2"/>
    <w:rsid w:val="00622A17"/>
    <w:rsid w:val="00622BE3"/>
    <w:rsid w:val="0062318F"/>
    <w:rsid w:val="0062386A"/>
    <w:rsid w:val="00623C47"/>
    <w:rsid w:val="00624AAD"/>
    <w:rsid w:val="00624BB5"/>
    <w:rsid w:val="00624BB8"/>
    <w:rsid w:val="00624C77"/>
    <w:rsid w:val="00624D5B"/>
    <w:rsid w:val="006257CD"/>
    <w:rsid w:val="00625D24"/>
    <w:rsid w:val="00626116"/>
    <w:rsid w:val="00626357"/>
    <w:rsid w:val="006266BA"/>
    <w:rsid w:val="0062672F"/>
    <w:rsid w:val="006267B2"/>
    <w:rsid w:val="0062683B"/>
    <w:rsid w:val="00626B67"/>
    <w:rsid w:val="00626EAF"/>
    <w:rsid w:val="00626FCC"/>
    <w:rsid w:val="0062721D"/>
    <w:rsid w:val="006275B9"/>
    <w:rsid w:val="00627BB4"/>
    <w:rsid w:val="00627BF6"/>
    <w:rsid w:val="00627F08"/>
    <w:rsid w:val="006303FE"/>
    <w:rsid w:val="00630501"/>
    <w:rsid w:val="00630A6F"/>
    <w:rsid w:val="00630BB2"/>
    <w:rsid w:val="00630BF3"/>
    <w:rsid w:val="006310E8"/>
    <w:rsid w:val="006310FE"/>
    <w:rsid w:val="006311CB"/>
    <w:rsid w:val="006312D1"/>
    <w:rsid w:val="006318FC"/>
    <w:rsid w:val="00632225"/>
    <w:rsid w:val="006322BA"/>
    <w:rsid w:val="0063240B"/>
    <w:rsid w:val="0063262E"/>
    <w:rsid w:val="00632B66"/>
    <w:rsid w:val="00632BE3"/>
    <w:rsid w:val="00632BF0"/>
    <w:rsid w:val="00632EBF"/>
    <w:rsid w:val="00632F56"/>
    <w:rsid w:val="0063315D"/>
    <w:rsid w:val="006335CD"/>
    <w:rsid w:val="006338F3"/>
    <w:rsid w:val="00633DDD"/>
    <w:rsid w:val="006340F4"/>
    <w:rsid w:val="00634279"/>
    <w:rsid w:val="00634392"/>
    <w:rsid w:val="006347D4"/>
    <w:rsid w:val="00634AB5"/>
    <w:rsid w:val="006354EA"/>
    <w:rsid w:val="00635705"/>
    <w:rsid w:val="0063589E"/>
    <w:rsid w:val="00635933"/>
    <w:rsid w:val="00635BED"/>
    <w:rsid w:val="006360BB"/>
    <w:rsid w:val="00636693"/>
    <w:rsid w:val="006367F7"/>
    <w:rsid w:val="00636B15"/>
    <w:rsid w:val="006378E5"/>
    <w:rsid w:val="006379DD"/>
    <w:rsid w:val="006379F0"/>
    <w:rsid w:val="00637BDC"/>
    <w:rsid w:val="00637E41"/>
    <w:rsid w:val="00640180"/>
    <w:rsid w:val="00640776"/>
    <w:rsid w:val="00640D89"/>
    <w:rsid w:val="00640E3A"/>
    <w:rsid w:val="00641523"/>
    <w:rsid w:val="00641758"/>
    <w:rsid w:val="006418C0"/>
    <w:rsid w:val="00641A4C"/>
    <w:rsid w:val="00641CEB"/>
    <w:rsid w:val="00641D09"/>
    <w:rsid w:val="00641D69"/>
    <w:rsid w:val="00641DBD"/>
    <w:rsid w:val="0064289F"/>
    <w:rsid w:val="00643338"/>
    <w:rsid w:val="006433C0"/>
    <w:rsid w:val="00643973"/>
    <w:rsid w:val="00643F26"/>
    <w:rsid w:val="0064426E"/>
    <w:rsid w:val="0064454B"/>
    <w:rsid w:val="006446D8"/>
    <w:rsid w:val="0064475A"/>
    <w:rsid w:val="00644AED"/>
    <w:rsid w:val="00644C49"/>
    <w:rsid w:val="00644C5B"/>
    <w:rsid w:val="00645039"/>
    <w:rsid w:val="00645068"/>
    <w:rsid w:val="006451ED"/>
    <w:rsid w:val="00645334"/>
    <w:rsid w:val="006453A8"/>
    <w:rsid w:val="00645CB4"/>
    <w:rsid w:val="00645F7F"/>
    <w:rsid w:val="00646224"/>
    <w:rsid w:val="00646402"/>
    <w:rsid w:val="006468FD"/>
    <w:rsid w:val="00646FA5"/>
    <w:rsid w:val="0064713D"/>
    <w:rsid w:val="00647157"/>
    <w:rsid w:val="0064734C"/>
    <w:rsid w:val="006473F9"/>
    <w:rsid w:val="00647640"/>
    <w:rsid w:val="006478C9"/>
    <w:rsid w:val="00647B94"/>
    <w:rsid w:val="00647FB9"/>
    <w:rsid w:val="0065001F"/>
    <w:rsid w:val="006500A1"/>
    <w:rsid w:val="00650BC8"/>
    <w:rsid w:val="00650CE0"/>
    <w:rsid w:val="00650D38"/>
    <w:rsid w:val="00651213"/>
    <w:rsid w:val="00651779"/>
    <w:rsid w:val="00651FB2"/>
    <w:rsid w:val="00652438"/>
    <w:rsid w:val="00652BFB"/>
    <w:rsid w:val="006530EE"/>
    <w:rsid w:val="00653693"/>
    <w:rsid w:val="0065383B"/>
    <w:rsid w:val="00653D06"/>
    <w:rsid w:val="00654273"/>
    <w:rsid w:val="00654330"/>
    <w:rsid w:val="0065443B"/>
    <w:rsid w:val="00654523"/>
    <w:rsid w:val="00654704"/>
    <w:rsid w:val="00654D76"/>
    <w:rsid w:val="00655699"/>
    <w:rsid w:val="0065570A"/>
    <w:rsid w:val="00656277"/>
    <w:rsid w:val="006562A2"/>
    <w:rsid w:val="006568D3"/>
    <w:rsid w:val="0065694C"/>
    <w:rsid w:val="00656AB7"/>
    <w:rsid w:val="00656EA2"/>
    <w:rsid w:val="00657125"/>
    <w:rsid w:val="00657D94"/>
    <w:rsid w:val="00657DD4"/>
    <w:rsid w:val="00657E9F"/>
    <w:rsid w:val="00660202"/>
    <w:rsid w:val="0066025A"/>
    <w:rsid w:val="006609E2"/>
    <w:rsid w:val="00660A87"/>
    <w:rsid w:val="00660AE9"/>
    <w:rsid w:val="00660B60"/>
    <w:rsid w:val="00660D29"/>
    <w:rsid w:val="0066131C"/>
    <w:rsid w:val="00661586"/>
    <w:rsid w:val="00661F88"/>
    <w:rsid w:val="00662247"/>
    <w:rsid w:val="00662C8D"/>
    <w:rsid w:val="006630F5"/>
    <w:rsid w:val="0066322A"/>
    <w:rsid w:val="00663307"/>
    <w:rsid w:val="006634FE"/>
    <w:rsid w:val="006635D9"/>
    <w:rsid w:val="0066363F"/>
    <w:rsid w:val="0066370C"/>
    <w:rsid w:val="006640C8"/>
    <w:rsid w:val="0066410D"/>
    <w:rsid w:val="00664579"/>
    <w:rsid w:val="00664763"/>
    <w:rsid w:val="006649B2"/>
    <w:rsid w:val="00664AAE"/>
    <w:rsid w:val="00664ACF"/>
    <w:rsid w:val="00664BBD"/>
    <w:rsid w:val="00664CE1"/>
    <w:rsid w:val="00664E77"/>
    <w:rsid w:val="00664FAA"/>
    <w:rsid w:val="006653B6"/>
    <w:rsid w:val="0066556A"/>
    <w:rsid w:val="006655D4"/>
    <w:rsid w:val="00665693"/>
    <w:rsid w:val="0066581E"/>
    <w:rsid w:val="006659DC"/>
    <w:rsid w:val="006659E2"/>
    <w:rsid w:val="00665EB2"/>
    <w:rsid w:val="00666154"/>
    <w:rsid w:val="00666321"/>
    <w:rsid w:val="006666F3"/>
    <w:rsid w:val="00667017"/>
    <w:rsid w:val="0066777F"/>
    <w:rsid w:val="00667B39"/>
    <w:rsid w:val="00667FC7"/>
    <w:rsid w:val="006702AF"/>
    <w:rsid w:val="0067054C"/>
    <w:rsid w:val="00670633"/>
    <w:rsid w:val="0067088D"/>
    <w:rsid w:val="00670952"/>
    <w:rsid w:val="00670C08"/>
    <w:rsid w:val="00671034"/>
    <w:rsid w:val="0067157E"/>
    <w:rsid w:val="00671C07"/>
    <w:rsid w:val="00672869"/>
    <w:rsid w:val="00672C91"/>
    <w:rsid w:val="006731FC"/>
    <w:rsid w:val="0067322E"/>
    <w:rsid w:val="006734B8"/>
    <w:rsid w:val="006734FC"/>
    <w:rsid w:val="006738C1"/>
    <w:rsid w:val="00673EC4"/>
    <w:rsid w:val="0067404E"/>
    <w:rsid w:val="00674241"/>
    <w:rsid w:val="0067460B"/>
    <w:rsid w:val="00675205"/>
    <w:rsid w:val="00675AB9"/>
    <w:rsid w:val="00675FD6"/>
    <w:rsid w:val="0067654F"/>
    <w:rsid w:val="00676584"/>
    <w:rsid w:val="00676DE9"/>
    <w:rsid w:val="00676EEC"/>
    <w:rsid w:val="00677235"/>
    <w:rsid w:val="00677788"/>
    <w:rsid w:val="006777CD"/>
    <w:rsid w:val="006778C6"/>
    <w:rsid w:val="006779AC"/>
    <w:rsid w:val="00677A52"/>
    <w:rsid w:val="00677C9C"/>
    <w:rsid w:val="00677E29"/>
    <w:rsid w:val="00677FC1"/>
    <w:rsid w:val="0068018B"/>
    <w:rsid w:val="00680514"/>
    <w:rsid w:val="00680557"/>
    <w:rsid w:val="006808F1"/>
    <w:rsid w:val="00680BD0"/>
    <w:rsid w:val="00681345"/>
    <w:rsid w:val="00681A13"/>
    <w:rsid w:val="00681AE1"/>
    <w:rsid w:val="00682731"/>
    <w:rsid w:val="0068281A"/>
    <w:rsid w:val="006828D4"/>
    <w:rsid w:val="006828ED"/>
    <w:rsid w:val="0068308F"/>
    <w:rsid w:val="00683304"/>
    <w:rsid w:val="0068333E"/>
    <w:rsid w:val="00683976"/>
    <w:rsid w:val="006839DB"/>
    <w:rsid w:val="00683A2E"/>
    <w:rsid w:val="00683B5F"/>
    <w:rsid w:val="00683C8C"/>
    <w:rsid w:val="0068409B"/>
    <w:rsid w:val="006842DD"/>
    <w:rsid w:val="00684592"/>
    <w:rsid w:val="00684A02"/>
    <w:rsid w:val="00684F27"/>
    <w:rsid w:val="00685070"/>
    <w:rsid w:val="006850F4"/>
    <w:rsid w:val="006852B2"/>
    <w:rsid w:val="00685623"/>
    <w:rsid w:val="00685ADF"/>
    <w:rsid w:val="0068611D"/>
    <w:rsid w:val="00686561"/>
    <w:rsid w:val="00686A99"/>
    <w:rsid w:val="00686B19"/>
    <w:rsid w:val="00686FF9"/>
    <w:rsid w:val="0068712C"/>
    <w:rsid w:val="00687329"/>
    <w:rsid w:val="006873D0"/>
    <w:rsid w:val="00687646"/>
    <w:rsid w:val="0069013D"/>
    <w:rsid w:val="0069076D"/>
    <w:rsid w:val="006907CF"/>
    <w:rsid w:val="006908A1"/>
    <w:rsid w:val="00690BB7"/>
    <w:rsid w:val="00690D1C"/>
    <w:rsid w:val="00691695"/>
    <w:rsid w:val="00691707"/>
    <w:rsid w:val="0069179B"/>
    <w:rsid w:val="006919AA"/>
    <w:rsid w:val="006919D0"/>
    <w:rsid w:val="00691CB4"/>
    <w:rsid w:val="00691D9E"/>
    <w:rsid w:val="00691FF8"/>
    <w:rsid w:val="006920A3"/>
    <w:rsid w:val="006923B0"/>
    <w:rsid w:val="00692700"/>
    <w:rsid w:val="00692FE7"/>
    <w:rsid w:val="006930DF"/>
    <w:rsid w:val="006932E5"/>
    <w:rsid w:val="006933C9"/>
    <w:rsid w:val="006933D3"/>
    <w:rsid w:val="006935A0"/>
    <w:rsid w:val="0069389F"/>
    <w:rsid w:val="00693908"/>
    <w:rsid w:val="00693A29"/>
    <w:rsid w:val="00693A42"/>
    <w:rsid w:val="00693AAE"/>
    <w:rsid w:val="00693EB9"/>
    <w:rsid w:val="00693FE4"/>
    <w:rsid w:val="006940B6"/>
    <w:rsid w:val="00694400"/>
    <w:rsid w:val="006945BF"/>
    <w:rsid w:val="00694AEE"/>
    <w:rsid w:val="00694C7E"/>
    <w:rsid w:val="00694DAF"/>
    <w:rsid w:val="00695035"/>
    <w:rsid w:val="006950A2"/>
    <w:rsid w:val="00695273"/>
    <w:rsid w:val="006954AF"/>
    <w:rsid w:val="00695B91"/>
    <w:rsid w:val="0069605F"/>
    <w:rsid w:val="006963FD"/>
    <w:rsid w:val="0069658D"/>
    <w:rsid w:val="0069692B"/>
    <w:rsid w:val="00696E71"/>
    <w:rsid w:val="006970FA"/>
    <w:rsid w:val="006977D3"/>
    <w:rsid w:val="00697949"/>
    <w:rsid w:val="006A012E"/>
    <w:rsid w:val="006A034B"/>
    <w:rsid w:val="006A0835"/>
    <w:rsid w:val="006A086B"/>
    <w:rsid w:val="006A0CE7"/>
    <w:rsid w:val="006A1184"/>
    <w:rsid w:val="006A1562"/>
    <w:rsid w:val="006A1679"/>
    <w:rsid w:val="006A1941"/>
    <w:rsid w:val="006A1A99"/>
    <w:rsid w:val="006A1F26"/>
    <w:rsid w:val="006A22A9"/>
    <w:rsid w:val="006A22D6"/>
    <w:rsid w:val="006A23F8"/>
    <w:rsid w:val="006A2D4E"/>
    <w:rsid w:val="006A3745"/>
    <w:rsid w:val="006A3859"/>
    <w:rsid w:val="006A3A10"/>
    <w:rsid w:val="006A3B6B"/>
    <w:rsid w:val="006A3DBD"/>
    <w:rsid w:val="006A4114"/>
    <w:rsid w:val="006A421E"/>
    <w:rsid w:val="006A457F"/>
    <w:rsid w:val="006A4E97"/>
    <w:rsid w:val="006A5282"/>
    <w:rsid w:val="006A5440"/>
    <w:rsid w:val="006A5C4B"/>
    <w:rsid w:val="006A6077"/>
    <w:rsid w:val="006A622B"/>
    <w:rsid w:val="006A64C3"/>
    <w:rsid w:val="006A680D"/>
    <w:rsid w:val="006A6D0F"/>
    <w:rsid w:val="006A6F31"/>
    <w:rsid w:val="006A6FA5"/>
    <w:rsid w:val="006A7187"/>
    <w:rsid w:val="006A727F"/>
    <w:rsid w:val="006A7372"/>
    <w:rsid w:val="006A7729"/>
    <w:rsid w:val="006A7756"/>
    <w:rsid w:val="006A7B15"/>
    <w:rsid w:val="006A7F62"/>
    <w:rsid w:val="006B0194"/>
    <w:rsid w:val="006B0397"/>
    <w:rsid w:val="006B0823"/>
    <w:rsid w:val="006B0B60"/>
    <w:rsid w:val="006B0D87"/>
    <w:rsid w:val="006B0EA8"/>
    <w:rsid w:val="006B12B8"/>
    <w:rsid w:val="006B1389"/>
    <w:rsid w:val="006B15E4"/>
    <w:rsid w:val="006B15F3"/>
    <w:rsid w:val="006B1625"/>
    <w:rsid w:val="006B1977"/>
    <w:rsid w:val="006B19C3"/>
    <w:rsid w:val="006B1DEF"/>
    <w:rsid w:val="006B1E98"/>
    <w:rsid w:val="006B200C"/>
    <w:rsid w:val="006B2015"/>
    <w:rsid w:val="006B2016"/>
    <w:rsid w:val="006B226D"/>
    <w:rsid w:val="006B22C4"/>
    <w:rsid w:val="006B2854"/>
    <w:rsid w:val="006B2A74"/>
    <w:rsid w:val="006B2CAC"/>
    <w:rsid w:val="006B2CCA"/>
    <w:rsid w:val="006B2E2E"/>
    <w:rsid w:val="006B303E"/>
    <w:rsid w:val="006B34E2"/>
    <w:rsid w:val="006B36F1"/>
    <w:rsid w:val="006B37A4"/>
    <w:rsid w:val="006B3D6B"/>
    <w:rsid w:val="006B4193"/>
    <w:rsid w:val="006B431B"/>
    <w:rsid w:val="006B545D"/>
    <w:rsid w:val="006B556A"/>
    <w:rsid w:val="006B561D"/>
    <w:rsid w:val="006B57BA"/>
    <w:rsid w:val="006B5A5E"/>
    <w:rsid w:val="006B638D"/>
    <w:rsid w:val="006B6625"/>
    <w:rsid w:val="006B67C0"/>
    <w:rsid w:val="006B681F"/>
    <w:rsid w:val="006B6A22"/>
    <w:rsid w:val="006B6D26"/>
    <w:rsid w:val="006B6E2D"/>
    <w:rsid w:val="006B7003"/>
    <w:rsid w:val="006B72C5"/>
    <w:rsid w:val="006B7567"/>
    <w:rsid w:val="006B760B"/>
    <w:rsid w:val="006B77C7"/>
    <w:rsid w:val="006B77E8"/>
    <w:rsid w:val="006B79ED"/>
    <w:rsid w:val="006B7B9A"/>
    <w:rsid w:val="006B7F1B"/>
    <w:rsid w:val="006C00CA"/>
    <w:rsid w:val="006C018E"/>
    <w:rsid w:val="006C0298"/>
    <w:rsid w:val="006C08F2"/>
    <w:rsid w:val="006C093B"/>
    <w:rsid w:val="006C0E7D"/>
    <w:rsid w:val="006C1B88"/>
    <w:rsid w:val="006C1F0A"/>
    <w:rsid w:val="006C229E"/>
    <w:rsid w:val="006C2436"/>
    <w:rsid w:val="006C2662"/>
    <w:rsid w:val="006C2813"/>
    <w:rsid w:val="006C2957"/>
    <w:rsid w:val="006C296D"/>
    <w:rsid w:val="006C2C62"/>
    <w:rsid w:val="006C2EB5"/>
    <w:rsid w:val="006C30A9"/>
    <w:rsid w:val="006C33AD"/>
    <w:rsid w:val="006C3537"/>
    <w:rsid w:val="006C35BC"/>
    <w:rsid w:val="006C39B4"/>
    <w:rsid w:val="006C39DC"/>
    <w:rsid w:val="006C3D9C"/>
    <w:rsid w:val="006C430D"/>
    <w:rsid w:val="006C4501"/>
    <w:rsid w:val="006C4729"/>
    <w:rsid w:val="006C4805"/>
    <w:rsid w:val="006C480D"/>
    <w:rsid w:val="006C488F"/>
    <w:rsid w:val="006C4E9C"/>
    <w:rsid w:val="006C51D7"/>
    <w:rsid w:val="006C5233"/>
    <w:rsid w:val="006C55C6"/>
    <w:rsid w:val="006C5C3C"/>
    <w:rsid w:val="006C5D81"/>
    <w:rsid w:val="006C5DA7"/>
    <w:rsid w:val="006C5DEB"/>
    <w:rsid w:val="006C5DF4"/>
    <w:rsid w:val="006C6647"/>
    <w:rsid w:val="006C6B60"/>
    <w:rsid w:val="006C6C27"/>
    <w:rsid w:val="006C6D4D"/>
    <w:rsid w:val="006C726E"/>
    <w:rsid w:val="006C737C"/>
    <w:rsid w:val="006C742F"/>
    <w:rsid w:val="006C747C"/>
    <w:rsid w:val="006D01C1"/>
    <w:rsid w:val="006D03C9"/>
    <w:rsid w:val="006D087B"/>
    <w:rsid w:val="006D0D52"/>
    <w:rsid w:val="006D0D60"/>
    <w:rsid w:val="006D1497"/>
    <w:rsid w:val="006D156B"/>
    <w:rsid w:val="006D16CD"/>
    <w:rsid w:val="006D1A48"/>
    <w:rsid w:val="006D1E97"/>
    <w:rsid w:val="006D22E2"/>
    <w:rsid w:val="006D22FF"/>
    <w:rsid w:val="006D23ED"/>
    <w:rsid w:val="006D260F"/>
    <w:rsid w:val="006D2E54"/>
    <w:rsid w:val="006D30D5"/>
    <w:rsid w:val="006D34D3"/>
    <w:rsid w:val="006D3586"/>
    <w:rsid w:val="006D3777"/>
    <w:rsid w:val="006D38D2"/>
    <w:rsid w:val="006D3EAE"/>
    <w:rsid w:val="006D40B1"/>
    <w:rsid w:val="006D435C"/>
    <w:rsid w:val="006D43F2"/>
    <w:rsid w:val="006D449C"/>
    <w:rsid w:val="006D49DF"/>
    <w:rsid w:val="006D4A27"/>
    <w:rsid w:val="006D4BE3"/>
    <w:rsid w:val="006D4E8F"/>
    <w:rsid w:val="006D4F5E"/>
    <w:rsid w:val="006D51D0"/>
    <w:rsid w:val="006D5224"/>
    <w:rsid w:val="006D54FF"/>
    <w:rsid w:val="006D57B8"/>
    <w:rsid w:val="006D5D01"/>
    <w:rsid w:val="006D618C"/>
    <w:rsid w:val="006D6441"/>
    <w:rsid w:val="006D6816"/>
    <w:rsid w:val="006D686D"/>
    <w:rsid w:val="006D7180"/>
    <w:rsid w:val="006D7229"/>
    <w:rsid w:val="006D758E"/>
    <w:rsid w:val="006D76D9"/>
    <w:rsid w:val="006D7C7A"/>
    <w:rsid w:val="006D7FE8"/>
    <w:rsid w:val="006E0A3D"/>
    <w:rsid w:val="006E0DDA"/>
    <w:rsid w:val="006E0EB8"/>
    <w:rsid w:val="006E12E9"/>
    <w:rsid w:val="006E1547"/>
    <w:rsid w:val="006E1761"/>
    <w:rsid w:val="006E1A25"/>
    <w:rsid w:val="006E235F"/>
    <w:rsid w:val="006E243B"/>
    <w:rsid w:val="006E2921"/>
    <w:rsid w:val="006E295D"/>
    <w:rsid w:val="006E2AAF"/>
    <w:rsid w:val="006E31B5"/>
    <w:rsid w:val="006E3615"/>
    <w:rsid w:val="006E3A19"/>
    <w:rsid w:val="006E3C3F"/>
    <w:rsid w:val="006E3FF3"/>
    <w:rsid w:val="006E42DD"/>
    <w:rsid w:val="006E42FA"/>
    <w:rsid w:val="006E4329"/>
    <w:rsid w:val="006E463D"/>
    <w:rsid w:val="006E490F"/>
    <w:rsid w:val="006E4D4B"/>
    <w:rsid w:val="006E54FE"/>
    <w:rsid w:val="006E5C92"/>
    <w:rsid w:val="006E62E0"/>
    <w:rsid w:val="006E6353"/>
    <w:rsid w:val="006E63F6"/>
    <w:rsid w:val="006E64E8"/>
    <w:rsid w:val="006E64F4"/>
    <w:rsid w:val="006E68C7"/>
    <w:rsid w:val="006E6981"/>
    <w:rsid w:val="006E6D97"/>
    <w:rsid w:val="006E705F"/>
    <w:rsid w:val="006E74CE"/>
    <w:rsid w:val="006E7505"/>
    <w:rsid w:val="006E75BB"/>
    <w:rsid w:val="006E75DC"/>
    <w:rsid w:val="006E770A"/>
    <w:rsid w:val="006E7737"/>
    <w:rsid w:val="006E77E1"/>
    <w:rsid w:val="006E7A7B"/>
    <w:rsid w:val="006E7D64"/>
    <w:rsid w:val="006E7E88"/>
    <w:rsid w:val="006E7F5D"/>
    <w:rsid w:val="006E7F78"/>
    <w:rsid w:val="006E7FCF"/>
    <w:rsid w:val="006F01CC"/>
    <w:rsid w:val="006F04F6"/>
    <w:rsid w:val="006F05E5"/>
    <w:rsid w:val="006F0729"/>
    <w:rsid w:val="006F0D9E"/>
    <w:rsid w:val="006F1A5F"/>
    <w:rsid w:val="006F1BB1"/>
    <w:rsid w:val="006F1C46"/>
    <w:rsid w:val="006F2592"/>
    <w:rsid w:val="006F269B"/>
    <w:rsid w:val="006F2F64"/>
    <w:rsid w:val="006F36D4"/>
    <w:rsid w:val="006F3AE5"/>
    <w:rsid w:val="006F3BF6"/>
    <w:rsid w:val="006F3D5F"/>
    <w:rsid w:val="006F3E9F"/>
    <w:rsid w:val="006F3F93"/>
    <w:rsid w:val="006F3FCD"/>
    <w:rsid w:val="006F41A3"/>
    <w:rsid w:val="006F436B"/>
    <w:rsid w:val="006F43E1"/>
    <w:rsid w:val="006F4AF5"/>
    <w:rsid w:val="006F4F9F"/>
    <w:rsid w:val="006F549B"/>
    <w:rsid w:val="006F5DE4"/>
    <w:rsid w:val="006F6304"/>
    <w:rsid w:val="006F6625"/>
    <w:rsid w:val="006F66E7"/>
    <w:rsid w:val="006F6B4F"/>
    <w:rsid w:val="006F6C4D"/>
    <w:rsid w:val="006F71CD"/>
    <w:rsid w:val="006F7451"/>
    <w:rsid w:val="006F789E"/>
    <w:rsid w:val="006F7A94"/>
    <w:rsid w:val="006F7BD6"/>
    <w:rsid w:val="006F7D7F"/>
    <w:rsid w:val="006F7E9B"/>
    <w:rsid w:val="00700524"/>
    <w:rsid w:val="007005ED"/>
    <w:rsid w:val="00700C2F"/>
    <w:rsid w:val="00700C32"/>
    <w:rsid w:val="00700DB2"/>
    <w:rsid w:val="0070115E"/>
    <w:rsid w:val="007015A1"/>
    <w:rsid w:val="007019EE"/>
    <w:rsid w:val="00701E4A"/>
    <w:rsid w:val="00701FFA"/>
    <w:rsid w:val="0070241A"/>
    <w:rsid w:val="007024AE"/>
    <w:rsid w:val="00702D72"/>
    <w:rsid w:val="00702DAD"/>
    <w:rsid w:val="0070307D"/>
    <w:rsid w:val="0070308C"/>
    <w:rsid w:val="007030DE"/>
    <w:rsid w:val="00703297"/>
    <w:rsid w:val="007032EE"/>
    <w:rsid w:val="0070342E"/>
    <w:rsid w:val="0070358F"/>
    <w:rsid w:val="007036C9"/>
    <w:rsid w:val="00703BCE"/>
    <w:rsid w:val="00703CFA"/>
    <w:rsid w:val="007042A0"/>
    <w:rsid w:val="007048A9"/>
    <w:rsid w:val="00704BF5"/>
    <w:rsid w:val="00705161"/>
    <w:rsid w:val="0070517D"/>
    <w:rsid w:val="00705470"/>
    <w:rsid w:val="0070549C"/>
    <w:rsid w:val="00705642"/>
    <w:rsid w:val="007057FF"/>
    <w:rsid w:val="00705E16"/>
    <w:rsid w:val="0070622F"/>
    <w:rsid w:val="0070634C"/>
    <w:rsid w:val="007063EF"/>
    <w:rsid w:val="007064D7"/>
    <w:rsid w:val="00706905"/>
    <w:rsid w:val="00706973"/>
    <w:rsid w:val="00706981"/>
    <w:rsid w:val="007069B9"/>
    <w:rsid w:val="00706D3B"/>
    <w:rsid w:val="007071AF"/>
    <w:rsid w:val="007071B6"/>
    <w:rsid w:val="0070728E"/>
    <w:rsid w:val="0070737F"/>
    <w:rsid w:val="0070761D"/>
    <w:rsid w:val="007077B1"/>
    <w:rsid w:val="007078F5"/>
    <w:rsid w:val="00707E15"/>
    <w:rsid w:val="007100E0"/>
    <w:rsid w:val="00710295"/>
    <w:rsid w:val="007108A5"/>
    <w:rsid w:val="00711403"/>
    <w:rsid w:val="0071188F"/>
    <w:rsid w:val="00711B42"/>
    <w:rsid w:val="00711CE7"/>
    <w:rsid w:val="00711ECE"/>
    <w:rsid w:val="007121D7"/>
    <w:rsid w:val="0071263F"/>
    <w:rsid w:val="00713300"/>
    <w:rsid w:val="0071335C"/>
    <w:rsid w:val="007137C1"/>
    <w:rsid w:val="0071392F"/>
    <w:rsid w:val="00713D89"/>
    <w:rsid w:val="0071452D"/>
    <w:rsid w:val="00714553"/>
    <w:rsid w:val="00714A8E"/>
    <w:rsid w:val="00714BD3"/>
    <w:rsid w:val="00714FBA"/>
    <w:rsid w:val="00715287"/>
    <w:rsid w:val="00715497"/>
    <w:rsid w:val="00715526"/>
    <w:rsid w:val="007155F4"/>
    <w:rsid w:val="00715688"/>
    <w:rsid w:val="00715C78"/>
    <w:rsid w:val="0071621B"/>
    <w:rsid w:val="007162F2"/>
    <w:rsid w:val="00716555"/>
    <w:rsid w:val="0071695C"/>
    <w:rsid w:val="007169A5"/>
    <w:rsid w:val="007169EE"/>
    <w:rsid w:val="00716EAE"/>
    <w:rsid w:val="00716ECA"/>
    <w:rsid w:val="007171DC"/>
    <w:rsid w:val="0071737D"/>
    <w:rsid w:val="00717644"/>
    <w:rsid w:val="00717B9E"/>
    <w:rsid w:val="00717D49"/>
    <w:rsid w:val="00717D75"/>
    <w:rsid w:val="00720117"/>
    <w:rsid w:val="00720475"/>
    <w:rsid w:val="0072049A"/>
    <w:rsid w:val="00720541"/>
    <w:rsid w:val="007207D1"/>
    <w:rsid w:val="00720ABD"/>
    <w:rsid w:val="00720E96"/>
    <w:rsid w:val="00720FF6"/>
    <w:rsid w:val="0072105D"/>
    <w:rsid w:val="0072136E"/>
    <w:rsid w:val="00721376"/>
    <w:rsid w:val="00721461"/>
    <w:rsid w:val="007218F6"/>
    <w:rsid w:val="00721A10"/>
    <w:rsid w:val="00721DB7"/>
    <w:rsid w:val="0072219A"/>
    <w:rsid w:val="0072284A"/>
    <w:rsid w:val="007231D2"/>
    <w:rsid w:val="007231F1"/>
    <w:rsid w:val="0072333A"/>
    <w:rsid w:val="0072337B"/>
    <w:rsid w:val="00723BF5"/>
    <w:rsid w:val="00724028"/>
    <w:rsid w:val="0072410C"/>
    <w:rsid w:val="007242F8"/>
    <w:rsid w:val="007244B9"/>
    <w:rsid w:val="007247E6"/>
    <w:rsid w:val="00724D67"/>
    <w:rsid w:val="007252EF"/>
    <w:rsid w:val="00725839"/>
    <w:rsid w:val="007258E6"/>
    <w:rsid w:val="00725BE2"/>
    <w:rsid w:val="007262F6"/>
    <w:rsid w:val="007267A6"/>
    <w:rsid w:val="007267EA"/>
    <w:rsid w:val="0072689E"/>
    <w:rsid w:val="00726ADE"/>
    <w:rsid w:val="00726D1F"/>
    <w:rsid w:val="00726EA8"/>
    <w:rsid w:val="007271B8"/>
    <w:rsid w:val="00727520"/>
    <w:rsid w:val="0072793E"/>
    <w:rsid w:val="00727EF2"/>
    <w:rsid w:val="00727F30"/>
    <w:rsid w:val="00727FE9"/>
    <w:rsid w:val="00730ED8"/>
    <w:rsid w:val="007313B8"/>
    <w:rsid w:val="00731487"/>
    <w:rsid w:val="00731639"/>
    <w:rsid w:val="007316D4"/>
    <w:rsid w:val="007318D7"/>
    <w:rsid w:val="00731945"/>
    <w:rsid w:val="00731C74"/>
    <w:rsid w:val="00731CF8"/>
    <w:rsid w:val="00731F19"/>
    <w:rsid w:val="00732167"/>
    <w:rsid w:val="0073229A"/>
    <w:rsid w:val="00732E9F"/>
    <w:rsid w:val="0073314D"/>
    <w:rsid w:val="00733430"/>
    <w:rsid w:val="0073349A"/>
    <w:rsid w:val="007334EF"/>
    <w:rsid w:val="007336C0"/>
    <w:rsid w:val="007337E5"/>
    <w:rsid w:val="007338D7"/>
    <w:rsid w:val="00733992"/>
    <w:rsid w:val="007345D8"/>
    <w:rsid w:val="00734758"/>
    <w:rsid w:val="007347F2"/>
    <w:rsid w:val="00734974"/>
    <w:rsid w:val="007349A3"/>
    <w:rsid w:val="007349D5"/>
    <w:rsid w:val="00734B9B"/>
    <w:rsid w:val="0073513F"/>
    <w:rsid w:val="007354F7"/>
    <w:rsid w:val="0073584C"/>
    <w:rsid w:val="00735D7C"/>
    <w:rsid w:val="00735D8D"/>
    <w:rsid w:val="00735F7D"/>
    <w:rsid w:val="007366E7"/>
    <w:rsid w:val="00736A07"/>
    <w:rsid w:val="00736A2D"/>
    <w:rsid w:val="00736B26"/>
    <w:rsid w:val="00736FAD"/>
    <w:rsid w:val="0073704B"/>
    <w:rsid w:val="0073731F"/>
    <w:rsid w:val="007376A4"/>
    <w:rsid w:val="0073789B"/>
    <w:rsid w:val="00737AB2"/>
    <w:rsid w:val="00737ACA"/>
    <w:rsid w:val="00737F8B"/>
    <w:rsid w:val="007402FD"/>
    <w:rsid w:val="007407D0"/>
    <w:rsid w:val="00740F12"/>
    <w:rsid w:val="00741119"/>
    <w:rsid w:val="00741E47"/>
    <w:rsid w:val="007423C3"/>
    <w:rsid w:val="00742868"/>
    <w:rsid w:val="00743082"/>
    <w:rsid w:val="00743095"/>
    <w:rsid w:val="007430A1"/>
    <w:rsid w:val="0074318C"/>
    <w:rsid w:val="00743220"/>
    <w:rsid w:val="007433B3"/>
    <w:rsid w:val="0074352D"/>
    <w:rsid w:val="00743F13"/>
    <w:rsid w:val="00744408"/>
    <w:rsid w:val="007444F5"/>
    <w:rsid w:val="007445F7"/>
    <w:rsid w:val="00744769"/>
    <w:rsid w:val="007448CF"/>
    <w:rsid w:val="007454D1"/>
    <w:rsid w:val="00745684"/>
    <w:rsid w:val="00745729"/>
    <w:rsid w:val="00745A2F"/>
    <w:rsid w:val="00745E56"/>
    <w:rsid w:val="00745F08"/>
    <w:rsid w:val="00746388"/>
    <w:rsid w:val="00746EEB"/>
    <w:rsid w:val="00747214"/>
    <w:rsid w:val="007473CC"/>
    <w:rsid w:val="00747758"/>
    <w:rsid w:val="007477EB"/>
    <w:rsid w:val="0074787C"/>
    <w:rsid w:val="00747944"/>
    <w:rsid w:val="00747BF5"/>
    <w:rsid w:val="00747D16"/>
    <w:rsid w:val="00747DE1"/>
    <w:rsid w:val="0075001F"/>
    <w:rsid w:val="0075002F"/>
    <w:rsid w:val="007502EF"/>
    <w:rsid w:val="007504E4"/>
    <w:rsid w:val="00750873"/>
    <w:rsid w:val="007508AF"/>
    <w:rsid w:val="00751154"/>
    <w:rsid w:val="00751C8D"/>
    <w:rsid w:val="00751D53"/>
    <w:rsid w:val="0075201B"/>
    <w:rsid w:val="0075248A"/>
    <w:rsid w:val="00752727"/>
    <w:rsid w:val="00752BD6"/>
    <w:rsid w:val="00753299"/>
    <w:rsid w:val="007533A5"/>
    <w:rsid w:val="00753AE6"/>
    <w:rsid w:val="00753B3A"/>
    <w:rsid w:val="00753D74"/>
    <w:rsid w:val="0075461B"/>
    <w:rsid w:val="0075461E"/>
    <w:rsid w:val="00754C66"/>
    <w:rsid w:val="00754CC9"/>
    <w:rsid w:val="00754EB6"/>
    <w:rsid w:val="00754FB8"/>
    <w:rsid w:val="00755485"/>
    <w:rsid w:val="0075549D"/>
    <w:rsid w:val="007554A7"/>
    <w:rsid w:val="00755512"/>
    <w:rsid w:val="00755513"/>
    <w:rsid w:val="007559A9"/>
    <w:rsid w:val="00755F94"/>
    <w:rsid w:val="00756229"/>
    <w:rsid w:val="00756315"/>
    <w:rsid w:val="007565F6"/>
    <w:rsid w:val="0075687B"/>
    <w:rsid w:val="00756930"/>
    <w:rsid w:val="00756F21"/>
    <w:rsid w:val="007571CE"/>
    <w:rsid w:val="007572E0"/>
    <w:rsid w:val="00757390"/>
    <w:rsid w:val="007573E8"/>
    <w:rsid w:val="007578E7"/>
    <w:rsid w:val="007578FA"/>
    <w:rsid w:val="00757C2E"/>
    <w:rsid w:val="007608CF"/>
    <w:rsid w:val="00760C73"/>
    <w:rsid w:val="00761214"/>
    <w:rsid w:val="007618AF"/>
    <w:rsid w:val="00761937"/>
    <w:rsid w:val="00761AB5"/>
    <w:rsid w:val="00761B3D"/>
    <w:rsid w:val="00761C48"/>
    <w:rsid w:val="00761DBA"/>
    <w:rsid w:val="007622B8"/>
    <w:rsid w:val="00762DA0"/>
    <w:rsid w:val="00762F57"/>
    <w:rsid w:val="00763391"/>
    <w:rsid w:val="007633C9"/>
    <w:rsid w:val="007635A6"/>
    <w:rsid w:val="007637E0"/>
    <w:rsid w:val="00763952"/>
    <w:rsid w:val="00763A1D"/>
    <w:rsid w:val="00763A77"/>
    <w:rsid w:val="00763D65"/>
    <w:rsid w:val="00763F4F"/>
    <w:rsid w:val="00763FC3"/>
    <w:rsid w:val="00764540"/>
    <w:rsid w:val="007646C3"/>
    <w:rsid w:val="00764A19"/>
    <w:rsid w:val="00764C06"/>
    <w:rsid w:val="00764D84"/>
    <w:rsid w:val="00764F35"/>
    <w:rsid w:val="00765031"/>
    <w:rsid w:val="00765299"/>
    <w:rsid w:val="00765362"/>
    <w:rsid w:val="00765403"/>
    <w:rsid w:val="00765EC3"/>
    <w:rsid w:val="00765F0A"/>
    <w:rsid w:val="0076651B"/>
    <w:rsid w:val="0076662E"/>
    <w:rsid w:val="007666A3"/>
    <w:rsid w:val="007669A7"/>
    <w:rsid w:val="00766F05"/>
    <w:rsid w:val="00767332"/>
    <w:rsid w:val="007673AA"/>
    <w:rsid w:val="0076742E"/>
    <w:rsid w:val="00767435"/>
    <w:rsid w:val="00767903"/>
    <w:rsid w:val="00767FCB"/>
    <w:rsid w:val="007700A0"/>
    <w:rsid w:val="007701B1"/>
    <w:rsid w:val="00770670"/>
    <w:rsid w:val="007707C9"/>
    <w:rsid w:val="00770A8D"/>
    <w:rsid w:val="007716FB"/>
    <w:rsid w:val="00771712"/>
    <w:rsid w:val="00771DB2"/>
    <w:rsid w:val="007723F4"/>
    <w:rsid w:val="00772467"/>
    <w:rsid w:val="007728A8"/>
    <w:rsid w:val="00772920"/>
    <w:rsid w:val="0077359E"/>
    <w:rsid w:val="00773639"/>
    <w:rsid w:val="00773708"/>
    <w:rsid w:val="007738FA"/>
    <w:rsid w:val="00773A94"/>
    <w:rsid w:val="00773F10"/>
    <w:rsid w:val="00774344"/>
    <w:rsid w:val="007744BE"/>
    <w:rsid w:val="00774619"/>
    <w:rsid w:val="00774713"/>
    <w:rsid w:val="00774898"/>
    <w:rsid w:val="00774BA3"/>
    <w:rsid w:val="00774F00"/>
    <w:rsid w:val="007753FE"/>
    <w:rsid w:val="00775760"/>
    <w:rsid w:val="007757CE"/>
    <w:rsid w:val="0077588C"/>
    <w:rsid w:val="00775ABB"/>
    <w:rsid w:val="00775B8B"/>
    <w:rsid w:val="007760DA"/>
    <w:rsid w:val="007761A7"/>
    <w:rsid w:val="0077624F"/>
    <w:rsid w:val="007767BE"/>
    <w:rsid w:val="007767D0"/>
    <w:rsid w:val="00776E1A"/>
    <w:rsid w:val="00777173"/>
    <w:rsid w:val="0077730E"/>
    <w:rsid w:val="00777D92"/>
    <w:rsid w:val="00780127"/>
    <w:rsid w:val="0078037B"/>
    <w:rsid w:val="007803DD"/>
    <w:rsid w:val="007809AA"/>
    <w:rsid w:val="00780B4B"/>
    <w:rsid w:val="00780D67"/>
    <w:rsid w:val="00780EE9"/>
    <w:rsid w:val="007810F4"/>
    <w:rsid w:val="00781467"/>
    <w:rsid w:val="0078159E"/>
    <w:rsid w:val="0078173F"/>
    <w:rsid w:val="00781A46"/>
    <w:rsid w:val="00781B0B"/>
    <w:rsid w:val="00781FF5"/>
    <w:rsid w:val="007824C6"/>
    <w:rsid w:val="007824EF"/>
    <w:rsid w:val="007825C8"/>
    <w:rsid w:val="00782830"/>
    <w:rsid w:val="0078293C"/>
    <w:rsid w:val="00782E0A"/>
    <w:rsid w:val="00783085"/>
    <w:rsid w:val="007830EE"/>
    <w:rsid w:val="007832E6"/>
    <w:rsid w:val="00783430"/>
    <w:rsid w:val="0078383B"/>
    <w:rsid w:val="00783BAB"/>
    <w:rsid w:val="007846FD"/>
    <w:rsid w:val="00785011"/>
    <w:rsid w:val="00785300"/>
    <w:rsid w:val="00785511"/>
    <w:rsid w:val="007858C5"/>
    <w:rsid w:val="007858C8"/>
    <w:rsid w:val="0078603E"/>
    <w:rsid w:val="00786203"/>
    <w:rsid w:val="00786790"/>
    <w:rsid w:val="007872A8"/>
    <w:rsid w:val="0078734A"/>
    <w:rsid w:val="00787878"/>
    <w:rsid w:val="00787887"/>
    <w:rsid w:val="00787CDD"/>
    <w:rsid w:val="00787F28"/>
    <w:rsid w:val="0079020A"/>
    <w:rsid w:val="00790382"/>
    <w:rsid w:val="00790749"/>
    <w:rsid w:val="00790883"/>
    <w:rsid w:val="00790972"/>
    <w:rsid w:val="00790975"/>
    <w:rsid w:val="00790DA0"/>
    <w:rsid w:val="0079108D"/>
    <w:rsid w:val="007912A7"/>
    <w:rsid w:val="00791375"/>
    <w:rsid w:val="0079143C"/>
    <w:rsid w:val="00791B6A"/>
    <w:rsid w:val="00791CED"/>
    <w:rsid w:val="00791E3C"/>
    <w:rsid w:val="00791FDD"/>
    <w:rsid w:val="007920CD"/>
    <w:rsid w:val="00792910"/>
    <w:rsid w:val="00792ABC"/>
    <w:rsid w:val="00792CE9"/>
    <w:rsid w:val="00792DEF"/>
    <w:rsid w:val="00792EC6"/>
    <w:rsid w:val="00793953"/>
    <w:rsid w:val="007939E2"/>
    <w:rsid w:val="007946CC"/>
    <w:rsid w:val="007947AC"/>
    <w:rsid w:val="007947DE"/>
    <w:rsid w:val="007947EC"/>
    <w:rsid w:val="0079490D"/>
    <w:rsid w:val="00794D2D"/>
    <w:rsid w:val="00794F4F"/>
    <w:rsid w:val="00794F55"/>
    <w:rsid w:val="00795278"/>
    <w:rsid w:val="00795428"/>
    <w:rsid w:val="0079546F"/>
    <w:rsid w:val="007955D3"/>
    <w:rsid w:val="007957F7"/>
    <w:rsid w:val="007957FA"/>
    <w:rsid w:val="007959B9"/>
    <w:rsid w:val="00795D30"/>
    <w:rsid w:val="00796029"/>
    <w:rsid w:val="00796147"/>
    <w:rsid w:val="0079629E"/>
    <w:rsid w:val="00796436"/>
    <w:rsid w:val="0079671B"/>
    <w:rsid w:val="0079693B"/>
    <w:rsid w:val="00796B86"/>
    <w:rsid w:val="007978F7"/>
    <w:rsid w:val="00797A57"/>
    <w:rsid w:val="007A0070"/>
    <w:rsid w:val="007A025C"/>
    <w:rsid w:val="007A0408"/>
    <w:rsid w:val="007A05E5"/>
    <w:rsid w:val="007A0FBE"/>
    <w:rsid w:val="007A0FF8"/>
    <w:rsid w:val="007A144F"/>
    <w:rsid w:val="007A1563"/>
    <w:rsid w:val="007A166F"/>
    <w:rsid w:val="007A177C"/>
    <w:rsid w:val="007A17FD"/>
    <w:rsid w:val="007A1F2B"/>
    <w:rsid w:val="007A212B"/>
    <w:rsid w:val="007A23FA"/>
    <w:rsid w:val="007A24B5"/>
    <w:rsid w:val="007A2528"/>
    <w:rsid w:val="007A25A7"/>
    <w:rsid w:val="007A29E2"/>
    <w:rsid w:val="007A2CEF"/>
    <w:rsid w:val="007A2D9C"/>
    <w:rsid w:val="007A3303"/>
    <w:rsid w:val="007A3340"/>
    <w:rsid w:val="007A34DF"/>
    <w:rsid w:val="007A3CE3"/>
    <w:rsid w:val="007A3D54"/>
    <w:rsid w:val="007A3DEE"/>
    <w:rsid w:val="007A404A"/>
    <w:rsid w:val="007A4115"/>
    <w:rsid w:val="007A4332"/>
    <w:rsid w:val="007A433E"/>
    <w:rsid w:val="007A470C"/>
    <w:rsid w:val="007A4820"/>
    <w:rsid w:val="007A4960"/>
    <w:rsid w:val="007A4D49"/>
    <w:rsid w:val="007A4E0A"/>
    <w:rsid w:val="007A5171"/>
    <w:rsid w:val="007A5243"/>
    <w:rsid w:val="007A5359"/>
    <w:rsid w:val="007A5475"/>
    <w:rsid w:val="007A575F"/>
    <w:rsid w:val="007A585D"/>
    <w:rsid w:val="007A5C71"/>
    <w:rsid w:val="007A62CE"/>
    <w:rsid w:val="007A6521"/>
    <w:rsid w:val="007A66DF"/>
    <w:rsid w:val="007A6C16"/>
    <w:rsid w:val="007A6CFA"/>
    <w:rsid w:val="007A79B0"/>
    <w:rsid w:val="007A7A96"/>
    <w:rsid w:val="007A7E62"/>
    <w:rsid w:val="007A7FC7"/>
    <w:rsid w:val="007B0640"/>
    <w:rsid w:val="007B07D5"/>
    <w:rsid w:val="007B0839"/>
    <w:rsid w:val="007B0A7E"/>
    <w:rsid w:val="007B0DE6"/>
    <w:rsid w:val="007B157E"/>
    <w:rsid w:val="007B1762"/>
    <w:rsid w:val="007B19FB"/>
    <w:rsid w:val="007B21B2"/>
    <w:rsid w:val="007B22EB"/>
    <w:rsid w:val="007B250B"/>
    <w:rsid w:val="007B27EC"/>
    <w:rsid w:val="007B2C82"/>
    <w:rsid w:val="007B33A2"/>
    <w:rsid w:val="007B33B8"/>
    <w:rsid w:val="007B3549"/>
    <w:rsid w:val="007B35F7"/>
    <w:rsid w:val="007B388C"/>
    <w:rsid w:val="007B3AF0"/>
    <w:rsid w:val="007B3BB8"/>
    <w:rsid w:val="007B3BDF"/>
    <w:rsid w:val="007B3C58"/>
    <w:rsid w:val="007B46CF"/>
    <w:rsid w:val="007B4713"/>
    <w:rsid w:val="007B4BC5"/>
    <w:rsid w:val="007B569E"/>
    <w:rsid w:val="007B5931"/>
    <w:rsid w:val="007B6032"/>
    <w:rsid w:val="007B61CE"/>
    <w:rsid w:val="007B6773"/>
    <w:rsid w:val="007B69D6"/>
    <w:rsid w:val="007B78B6"/>
    <w:rsid w:val="007B7C35"/>
    <w:rsid w:val="007B7D9F"/>
    <w:rsid w:val="007B7E01"/>
    <w:rsid w:val="007C01EC"/>
    <w:rsid w:val="007C044B"/>
    <w:rsid w:val="007C087D"/>
    <w:rsid w:val="007C09FB"/>
    <w:rsid w:val="007C1EC3"/>
    <w:rsid w:val="007C1FF7"/>
    <w:rsid w:val="007C226C"/>
    <w:rsid w:val="007C226D"/>
    <w:rsid w:val="007C229D"/>
    <w:rsid w:val="007C231E"/>
    <w:rsid w:val="007C2322"/>
    <w:rsid w:val="007C2CA2"/>
    <w:rsid w:val="007C2F5D"/>
    <w:rsid w:val="007C3056"/>
    <w:rsid w:val="007C315F"/>
    <w:rsid w:val="007C3188"/>
    <w:rsid w:val="007C31D8"/>
    <w:rsid w:val="007C3750"/>
    <w:rsid w:val="007C392D"/>
    <w:rsid w:val="007C3DAE"/>
    <w:rsid w:val="007C3DB8"/>
    <w:rsid w:val="007C3DCC"/>
    <w:rsid w:val="007C40DF"/>
    <w:rsid w:val="007C41BA"/>
    <w:rsid w:val="007C41C5"/>
    <w:rsid w:val="007C4290"/>
    <w:rsid w:val="007C42D6"/>
    <w:rsid w:val="007C4445"/>
    <w:rsid w:val="007C4639"/>
    <w:rsid w:val="007C4AB5"/>
    <w:rsid w:val="007C520A"/>
    <w:rsid w:val="007C52EE"/>
    <w:rsid w:val="007C575C"/>
    <w:rsid w:val="007C5F09"/>
    <w:rsid w:val="007C6249"/>
    <w:rsid w:val="007C6324"/>
    <w:rsid w:val="007C65EB"/>
    <w:rsid w:val="007C6BCB"/>
    <w:rsid w:val="007C6E57"/>
    <w:rsid w:val="007C7171"/>
    <w:rsid w:val="007C7765"/>
    <w:rsid w:val="007C7B22"/>
    <w:rsid w:val="007C7E44"/>
    <w:rsid w:val="007D0027"/>
    <w:rsid w:val="007D05F3"/>
    <w:rsid w:val="007D07E6"/>
    <w:rsid w:val="007D0AA1"/>
    <w:rsid w:val="007D0D6C"/>
    <w:rsid w:val="007D0D87"/>
    <w:rsid w:val="007D1327"/>
    <w:rsid w:val="007D142A"/>
    <w:rsid w:val="007D1505"/>
    <w:rsid w:val="007D1B20"/>
    <w:rsid w:val="007D2152"/>
    <w:rsid w:val="007D23A7"/>
    <w:rsid w:val="007D249E"/>
    <w:rsid w:val="007D278F"/>
    <w:rsid w:val="007D28A9"/>
    <w:rsid w:val="007D2E39"/>
    <w:rsid w:val="007D2FEF"/>
    <w:rsid w:val="007D31F9"/>
    <w:rsid w:val="007D32B1"/>
    <w:rsid w:val="007D334B"/>
    <w:rsid w:val="007D3B55"/>
    <w:rsid w:val="007D3DC1"/>
    <w:rsid w:val="007D3E9C"/>
    <w:rsid w:val="007D412C"/>
    <w:rsid w:val="007D41F1"/>
    <w:rsid w:val="007D454A"/>
    <w:rsid w:val="007D49CE"/>
    <w:rsid w:val="007D4A7B"/>
    <w:rsid w:val="007D4AD6"/>
    <w:rsid w:val="007D4C51"/>
    <w:rsid w:val="007D4D1F"/>
    <w:rsid w:val="007D522D"/>
    <w:rsid w:val="007D5330"/>
    <w:rsid w:val="007D543D"/>
    <w:rsid w:val="007D5632"/>
    <w:rsid w:val="007D564D"/>
    <w:rsid w:val="007D59C7"/>
    <w:rsid w:val="007D5AE9"/>
    <w:rsid w:val="007D5FFC"/>
    <w:rsid w:val="007D6075"/>
    <w:rsid w:val="007D670B"/>
    <w:rsid w:val="007D6A53"/>
    <w:rsid w:val="007D6AAA"/>
    <w:rsid w:val="007D6EEE"/>
    <w:rsid w:val="007D7C7D"/>
    <w:rsid w:val="007D7E02"/>
    <w:rsid w:val="007E0864"/>
    <w:rsid w:val="007E0C19"/>
    <w:rsid w:val="007E0CCF"/>
    <w:rsid w:val="007E11D0"/>
    <w:rsid w:val="007E1EC4"/>
    <w:rsid w:val="007E2002"/>
    <w:rsid w:val="007E23E6"/>
    <w:rsid w:val="007E243C"/>
    <w:rsid w:val="007E29C3"/>
    <w:rsid w:val="007E2B38"/>
    <w:rsid w:val="007E2D06"/>
    <w:rsid w:val="007E2FA7"/>
    <w:rsid w:val="007E35B9"/>
    <w:rsid w:val="007E3794"/>
    <w:rsid w:val="007E37A9"/>
    <w:rsid w:val="007E3971"/>
    <w:rsid w:val="007E419E"/>
    <w:rsid w:val="007E4723"/>
    <w:rsid w:val="007E4DA0"/>
    <w:rsid w:val="007E4E57"/>
    <w:rsid w:val="007E4F92"/>
    <w:rsid w:val="007E5594"/>
    <w:rsid w:val="007E5882"/>
    <w:rsid w:val="007E6159"/>
    <w:rsid w:val="007E65D6"/>
    <w:rsid w:val="007E6719"/>
    <w:rsid w:val="007E6994"/>
    <w:rsid w:val="007E6CA5"/>
    <w:rsid w:val="007E6E4C"/>
    <w:rsid w:val="007E7009"/>
    <w:rsid w:val="007E7069"/>
    <w:rsid w:val="007E73A3"/>
    <w:rsid w:val="007E7815"/>
    <w:rsid w:val="007E7F6F"/>
    <w:rsid w:val="007F025C"/>
    <w:rsid w:val="007F0A91"/>
    <w:rsid w:val="007F0B90"/>
    <w:rsid w:val="007F0BCC"/>
    <w:rsid w:val="007F1026"/>
    <w:rsid w:val="007F146D"/>
    <w:rsid w:val="007F153E"/>
    <w:rsid w:val="007F16DD"/>
    <w:rsid w:val="007F16FF"/>
    <w:rsid w:val="007F1827"/>
    <w:rsid w:val="007F1B72"/>
    <w:rsid w:val="007F1CCC"/>
    <w:rsid w:val="007F1DBC"/>
    <w:rsid w:val="007F21A9"/>
    <w:rsid w:val="007F2613"/>
    <w:rsid w:val="007F267F"/>
    <w:rsid w:val="007F26D6"/>
    <w:rsid w:val="007F2976"/>
    <w:rsid w:val="007F2AFA"/>
    <w:rsid w:val="007F2B07"/>
    <w:rsid w:val="007F2E8E"/>
    <w:rsid w:val="007F2FCF"/>
    <w:rsid w:val="007F31BD"/>
    <w:rsid w:val="007F3318"/>
    <w:rsid w:val="007F343F"/>
    <w:rsid w:val="007F3749"/>
    <w:rsid w:val="007F3759"/>
    <w:rsid w:val="007F3834"/>
    <w:rsid w:val="007F3A3F"/>
    <w:rsid w:val="007F3B2E"/>
    <w:rsid w:val="007F3DE9"/>
    <w:rsid w:val="007F3EC6"/>
    <w:rsid w:val="007F4981"/>
    <w:rsid w:val="007F5052"/>
    <w:rsid w:val="007F52B8"/>
    <w:rsid w:val="007F5D0F"/>
    <w:rsid w:val="007F5D9B"/>
    <w:rsid w:val="007F5E4E"/>
    <w:rsid w:val="007F5F2A"/>
    <w:rsid w:val="007F60BF"/>
    <w:rsid w:val="007F6331"/>
    <w:rsid w:val="007F642C"/>
    <w:rsid w:val="007F64D2"/>
    <w:rsid w:val="007F65EB"/>
    <w:rsid w:val="007F6801"/>
    <w:rsid w:val="007F7431"/>
    <w:rsid w:val="007F75A4"/>
    <w:rsid w:val="008003CE"/>
    <w:rsid w:val="00800AC4"/>
    <w:rsid w:val="00801122"/>
    <w:rsid w:val="0080113B"/>
    <w:rsid w:val="008015C9"/>
    <w:rsid w:val="00802E92"/>
    <w:rsid w:val="00803252"/>
    <w:rsid w:val="008037D6"/>
    <w:rsid w:val="00803B91"/>
    <w:rsid w:val="00803F76"/>
    <w:rsid w:val="008041A6"/>
    <w:rsid w:val="008041C1"/>
    <w:rsid w:val="00804C24"/>
    <w:rsid w:val="00804FA2"/>
    <w:rsid w:val="00804FEF"/>
    <w:rsid w:val="008050EC"/>
    <w:rsid w:val="008054CA"/>
    <w:rsid w:val="008056FA"/>
    <w:rsid w:val="00805D73"/>
    <w:rsid w:val="00805DC1"/>
    <w:rsid w:val="00806062"/>
    <w:rsid w:val="008060D3"/>
    <w:rsid w:val="0080664C"/>
    <w:rsid w:val="00806B25"/>
    <w:rsid w:val="00806BB2"/>
    <w:rsid w:val="00806EEE"/>
    <w:rsid w:val="00806F69"/>
    <w:rsid w:val="008076BA"/>
    <w:rsid w:val="008078E9"/>
    <w:rsid w:val="00807A1C"/>
    <w:rsid w:val="00807F04"/>
    <w:rsid w:val="0081015E"/>
    <w:rsid w:val="008103B4"/>
    <w:rsid w:val="00810B14"/>
    <w:rsid w:val="00810B36"/>
    <w:rsid w:val="00810CD3"/>
    <w:rsid w:val="00811653"/>
    <w:rsid w:val="0081199B"/>
    <w:rsid w:val="00811A38"/>
    <w:rsid w:val="00811A3E"/>
    <w:rsid w:val="00811C2D"/>
    <w:rsid w:val="00811E76"/>
    <w:rsid w:val="00811E7F"/>
    <w:rsid w:val="0081262B"/>
    <w:rsid w:val="00812B8B"/>
    <w:rsid w:val="00812D05"/>
    <w:rsid w:val="0081367E"/>
    <w:rsid w:val="00813989"/>
    <w:rsid w:val="00813CF2"/>
    <w:rsid w:val="00813FDE"/>
    <w:rsid w:val="00814149"/>
    <w:rsid w:val="008145C6"/>
    <w:rsid w:val="00814820"/>
    <w:rsid w:val="00814D8F"/>
    <w:rsid w:val="00815141"/>
    <w:rsid w:val="0081567E"/>
    <w:rsid w:val="008158E1"/>
    <w:rsid w:val="0081590F"/>
    <w:rsid w:val="00816150"/>
    <w:rsid w:val="00816617"/>
    <w:rsid w:val="00816648"/>
    <w:rsid w:val="0081672A"/>
    <w:rsid w:val="00816CBA"/>
    <w:rsid w:val="00816E8D"/>
    <w:rsid w:val="00816EAC"/>
    <w:rsid w:val="00816EEE"/>
    <w:rsid w:val="008173FD"/>
    <w:rsid w:val="008176DF"/>
    <w:rsid w:val="00817ACE"/>
    <w:rsid w:val="00817B91"/>
    <w:rsid w:val="00817F45"/>
    <w:rsid w:val="00817FAF"/>
    <w:rsid w:val="00820148"/>
    <w:rsid w:val="008205C2"/>
    <w:rsid w:val="00820B06"/>
    <w:rsid w:val="00820D14"/>
    <w:rsid w:val="00821860"/>
    <w:rsid w:val="00821FE1"/>
    <w:rsid w:val="0082247F"/>
    <w:rsid w:val="0082276C"/>
    <w:rsid w:val="00822826"/>
    <w:rsid w:val="00822A69"/>
    <w:rsid w:val="00823222"/>
    <w:rsid w:val="008238B3"/>
    <w:rsid w:val="008238F4"/>
    <w:rsid w:val="00823B06"/>
    <w:rsid w:val="00823F4B"/>
    <w:rsid w:val="00824580"/>
    <w:rsid w:val="00824FC9"/>
    <w:rsid w:val="0082525E"/>
    <w:rsid w:val="00825286"/>
    <w:rsid w:val="008252D3"/>
    <w:rsid w:val="00825B05"/>
    <w:rsid w:val="0082625A"/>
    <w:rsid w:val="00826545"/>
    <w:rsid w:val="008268A9"/>
    <w:rsid w:val="00826C46"/>
    <w:rsid w:val="008276CB"/>
    <w:rsid w:val="00827A1D"/>
    <w:rsid w:val="00827C27"/>
    <w:rsid w:val="00827F4C"/>
    <w:rsid w:val="00827F64"/>
    <w:rsid w:val="00830029"/>
    <w:rsid w:val="0083009C"/>
    <w:rsid w:val="008300B2"/>
    <w:rsid w:val="008303E7"/>
    <w:rsid w:val="00830819"/>
    <w:rsid w:val="00830AF8"/>
    <w:rsid w:val="00830B25"/>
    <w:rsid w:val="00830FFA"/>
    <w:rsid w:val="008310CF"/>
    <w:rsid w:val="00831118"/>
    <w:rsid w:val="00831168"/>
    <w:rsid w:val="008311D7"/>
    <w:rsid w:val="0083144C"/>
    <w:rsid w:val="008316DC"/>
    <w:rsid w:val="008318B0"/>
    <w:rsid w:val="00831EA9"/>
    <w:rsid w:val="00832060"/>
    <w:rsid w:val="008326AE"/>
    <w:rsid w:val="00832A38"/>
    <w:rsid w:val="00832BE8"/>
    <w:rsid w:val="00832D33"/>
    <w:rsid w:val="00832EE8"/>
    <w:rsid w:val="008334C6"/>
    <w:rsid w:val="0083354B"/>
    <w:rsid w:val="008335E5"/>
    <w:rsid w:val="0083363B"/>
    <w:rsid w:val="008337ED"/>
    <w:rsid w:val="00833E66"/>
    <w:rsid w:val="00834038"/>
    <w:rsid w:val="008342E6"/>
    <w:rsid w:val="00835B4D"/>
    <w:rsid w:val="008365B6"/>
    <w:rsid w:val="00836887"/>
    <w:rsid w:val="00836C67"/>
    <w:rsid w:val="00837028"/>
    <w:rsid w:val="008372B6"/>
    <w:rsid w:val="00837840"/>
    <w:rsid w:val="0083797A"/>
    <w:rsid w:val="00837A17"/>
    <w:rsid w:val="00837AC3"/>
    <w:rsid w:val="00837B01"/>
    <w:rsid w:val="00837F39"/>
    <w:rsid w:val="00840265"/>
    <w:rsid w:val="00840514"/>
    <w:rsid w:val="008409FC"/>
    <w:rsid w:val="00840C73"/>
    <w:rsid w:val="00840C77"/>
    <w:rsid w:val="0084105D"/>
    <w:rsid w:val="008411AF"/>
    <w:rsid w:val="00841624"/>
    <w:rsid w:val="00841660"/>
    <w:rsid w:val="0084196C"/>
    <w:rsid w:val="008419D3"/>
    <w:rsid w:val="00841ECF"/>
    <w:rsid w:val="00841EF9"/>
    <w:rsid w:val="00841F8F"/>
    <w:rsid w:val="00842013"/>
    <w:rsid w:val="0084230E"/>
    <w:rsid w:val="008423C7"/>
    <w:rsid w:val="00842430"/>
    <w:rsid w:val="00842525"/>
    <w:rsid w:val="00842659"/>
    <w:rsid w:val="00842800"/>
    <w:rsid w:val="0084290A"/>
    <w:rsid w:val="00842D22"/>
    <w:rsid w:val="00842D7A"/>
    <w:rsid w:val="00842E3A"/>
    <w:rsid w:val="00843764"/>
    <w:rsid w:val="008439CD"/>
    <w:rsid w:val="00843A26"/>
    <w:rsid w:val="00843A85"/>
    <w:rsid w:val="00843E62"/>
    <w:rsid w:val="00843E91"/>
    <w:rsid w:val="008441FD"/>
    <w:rsid w:val="008448E8"/>
    <w:rsid w:val="008449ED"/>
    <w:rsid w:val="00844C4F"/>
    <w:rsid w:val="00844F26"/>
    <w:rsid w:val="00844F46"/>
    <w:rsid w:val="008450C6"/>
    <w:rsid w:val="008450EF"/>
    <w:rsid w:val="008451F0"/>
    <w:rsid w:val="00845436"/>
    <w:rsid w:val="00845628"/>
    <w:rsid w:val="008458FB"/>
    <w:rsid w:val="00845ADF"/>
    <w:rsid w:val="00845D62"/>
    <w:rsid w:val="00845E76"/>
    <w:rsid w:val="00845F7E"/>
    <w:rsid w:val="0084632F"/>
    <w:rsid w:val="00846C20"/>
    <w:rsid w:val="00846DA0"/>
    <w:rsid w:val="00846E00"/>
    <w:rsid w:val="00846E93"/>
    <w:rsid w:val="00847588"/>
    <w:rsid w:val="008477FE"/>
    <w:rsid w:val="00847E97"/>
    <w:rsid w:val="00847FDC"/>
    <w:rsid w:val="0085026E"/>
    <w:rsid w:val="0085045C"/>
    <w:rsid w:val="008505C6"/>
    <w:rsid w:val="00850D33"/>
    <w:rsid w:val="008511FB"/>
    <w:rsid w:val="0085131B"/>
    <w:rsid w:val="00851625"/>
    <w:rsid w:val="00851B53"/>
    <w:rsid w:val="00851C59"/>
    <w:rsid w:val="00851D7B"/>
    <w:rsid w:val="00851E98"/>
    <w:rsid w:val="00852120"/>
    <w:rsid w:val="008521D2"/>
    <w:rsid w:val="008521E7"/>
    <w:rsid w:val="0085220F"/>
    <w:rsid w:val="00852211"/>
    <w:rsid w:val="00852B8B"/>
    <w:rsid w:val="00852CE5"/>
    <w:rsid w:val="00852E2A"/>
    <w:rsid w:val="00852FDD"/>
    <w:rsid w:val="00853136"/>
    <w:rsid w:val="008537BD"/>
    <w:rsid w:val="0085389D"/>
    <w:rsid w:val="00853937"/>
    <w:rsid w:val="00853BF2"/>
    <w:rsid w:val="00853D91"/>
    <w:rsid w:val="00853EB6"/>
    <w:rsid w:val="00853EC9"/>
    <w:rsid w:val="00854182"/>
    <w:rsid w:val="008541F7"/>
    <w:rsid w:val="00854555"/>
    <w:rsid w:val="008545EA"/>
    <w:rsid w:val="008546FE"/>
    <w:rsid w:val="00854A96"/>
    <w:rsid w:val="008554EF"/>
    <w:rsid w:val="008554F5"/>
    <w:rsid w:val="00855913"/>
    <w:rsid w:val="00855A24"/>
    <w:rsid w:val="00855A2F"/>
    <w:rsid w:val="00855A71"/>
    <w:rsid w:val="00855B49"/>
    <w:rsid w:val="00855F7D"/>
    <w:rsid w:val="0085612A"/>
    <w:rsid w:val="008562D1"/>
    <w:rsid w:val="008562F7"/>
    <w:rsid w:val="008563EC"/>
    <w:rsid w:val="0085647C"/>
    <w:rsid w:val="0085686E"/>
    <w:rsid w:val="00856B4C"/>
    <w:rsid w:val="00856D1C"/>
    <w:rsid w:val="00856D5A"/>
    <w:rsid w:val="00856F6F"/>
    <w:rsid w:val="0085728C"/>
    <w:rsid w:val="00857484"/>
    <w:rsid w:val="008574C5"/>
    <w:rsid w:val="0085780A"/>
    <w:rsid w:val="00857D7F"/>
    <w:rsid w:val="0086051B"/>
    <w:rsid w:val="00860728"/>
    <w:rsid w:val="00860885"/>
    <w:rsid w:val="00860C29"/>
    <w:rsid w:val="00860C8E"/>
    <w:rsid w:val="00860D4D"/>
    <w:rsid w:val="008610E9"/>
    <w:rsid w:val="008617C0"/>
    <w:rsid w:val="00861851"/>
    <w:rsid w:val="008618AB"/>
    <w:rsid w:val="008618E7"/>
    <w:rsid w:val="0086233A"/>
    <w:rsid w:val="008624A5"/>
    <w:rsid w:val="0086252A"/>
    <w:rsid w:val="008627E5"/>
    <w:rsid w:val="00862898"/>
    <w:rsid w:val="00862BD2"/>
    <w:rsid w:val="008631B4"/>
    <w:rsid w:val="008631FF"/>
    <w:rsid w:val="0086339E"/>
    <w:rsid w:val="00863648"/>
    <w:rsid w:val="00863B87"/>
    <w:rsid w:val="00863DA1"/>
    <w:rsid w:val="00863F74"/>
    <w:rsid w:val="00864000"/>
    <w:rsid w:val="00864021"/>
    <w:rsid w:val="00864062"/>
    <w:rsid w:val="0086428B"/>
    <w:rsid w:val="0086514F"/>
    <w:rsid w:val="00865F33"/>
    <w:rsid w:val="00866573"/>
    <w:rsid w:val="008665A7"/>
    <w:rsid w:val="00866658"/>
    <w:rsid w:val="0086675A"/>
    <w:rsid w:val="008668EB"/>
    <w:rsid w:val="00866EAE"/>
    <w:rsid w:val="0086709C"/>
    <w:rsid w:val="00867868"/>
    <w:rsid w:val="00867CCA"/>
    <w:rsid w:val="008703D6"/>
    <w:rsid w:val="008706DC"/>
    <w:rsid w:val="0087075C"/>
    <w:rsid w:val="00870C5B"/>
    <w:rsid w:val="00870D8C"/>
    <w:rsid w:val="00870FB8"/>
    <w:rsid w:val="00871062"/>
    <w:rsid w:val="00871140"/>
    <w:rsid w:val="008711DE"/>
    <w:rsid w:val="008715DD"/>
    <w:rsid w:val="008716EF"/>
    <w:rsid w:val="008718AF"/>
    <w:rsid w:val="00871CB9"/>
    <w:rsid w:val="00872196"/>
    <w:rsid w:val="00872370"/>
    <w:rsid w:val="0087261F"/>
    <w:rsid w:val="008726B3"/>
    <w:rsid w:val="00872864"/>
    <w:rsid w:val="00872956"/>
    <w:rsid w:val="00872970"/>
    <w:rsid w:val="00872B76"/>
    <w:rsid w:val="00872C26"/>
    <w:rsid w:val="00872C4F"/>
    <w:rsid w:val="00872C56"/>
    <w:rsid w:val="0087334F"/>
    <w:rsid w:val="0087380D"/>
    <w:rsid w:val="008738B7"/>
    <w:rsid w:val="00873957"/>
    <w:rsid w:val="00873A10"/>
    <w:rsid w:val="008742CF"/>
    <w:rsid w:val="008743FA"/>
    <w:rsid w:val="0087492D"/>
    <w:rsid w:val="0087499A"/>
    <w:rsid w:val="00874A06"/>
    <w:rsid w:val="00874A6C"/>
    <w:rsid w:val="00874D63"/>
    <w:rsid w:val="00874D79"/>
    <w:rsid w:val="00875248"/>
    <w:rsid w:val="00875387"/>
    <w:rsid w:val="0087550E"/>
    <w:rsid w:val="008755F8"/>
    <w:rsid w:val="00875711"/>
    <w:rsid w:val="00875A4E"/>
    <w:rsid w:val="00875D6B"/>
    <w:rsid w:val="008760E1"/>
    <w:rsid w:val="0087683A"/>
    <w:rsid w:val="00877241"/>
    <w:rsid w:val="008777AA"/>
    <w:rsid w:val="0087784E"/>
    <w:rsid w:val="00880318"/>
    <w:rsid w:val="00880739"/>
    <w:rsid w:val="0088079C"/>
    <w:rsid w:val="00880857"/>
    <w:rsid w:val="00880965"/>
    <w:rsid w:val="00880BE6"/>
    <w:rsid w:val="00880C11"/>
    <w:rsid w:val="00880DA3"/>
    <w:rsid w:val="008810AE"/>
    <w:rsid w:val="008811C7"/>
    <w:rsid w:val="00881390"/>
    <w:rsid w:val="008819CB"/>
    <w:rsid w:val="00881A16"/>
    <w:rsid w:val="00881E77"/>
    <w:rsid w:val="00881E84"/>
    <w:rsid w:val="00882ECC"/>
    <w:rsid w:val="008832EC"/>
    <w:rsid w:val="008833FD"/>
    <w:rsid w:val="00883649"/>
    <w:rsid w:val="00883ED6"/>
    <w:rsid w:val="0088402B"/>
    <w:rsid w:val="008840E7"/>
    <w:rsid w:val="0088453B"/>
    <w:rsid w:val="00884A57"/>
    <w:rsid w:val="00884DD8"/>
    <w:rsid w:val="008852C5"/>
    <w:rsid w:val="008855E6"/>
    <w:rsid w:val="008856AC"/>
    <w:rsid w:val="0088591C"/>
    <w:rsid w:val="00885CD6"/>
    <w:rsid w:val="008861A2"/>
    <w:rsid w:val="008864E7"/>
    <w:rsid w:val="008865B3"/>
    <w:rsid w:val="00886DF4"/>
    <w:rsid w:val="00886E18"/>
    <w:rsid w:val="008871DF"/>
    <w:rsid w:val="00887236"/>
    <w:rsid w:val="0088733C"/>
    <w:rsid w:val="00887369"/>
    <w:rsid w:val="00887489"/>
    <w:rsid w:val="008876F4"/>
    <w:rsid w:val="00887760"/>
    <w:rsid w:val="0088798F"/>
    <w:rsid w:val="00887C61"/>
    <w:rsid w:val="00890519"/>
    <w:rsid w:val="0089073D"/>
    <w:rsid w:val="0089090B"/>
    <w:rsid w:val="00890919"/>
    <w:rsid w:val="00890A64"/>
    <w:rsid w:val="00891202"/>
    <w:rsid w:val="008913F8"/>
    <w:rsid w:val="0089190C"/>
    <w:rsid w:val="00891AEC"/>
    <w:rsid w:val="00891CFB"/>
    <w:rsid w:val="008926CF"/>
    <w:rsid w:val="00892A97"/>
    <w:rsid w:val="00892D40"/>
    <w:rsid w:val="00892D47"/>
    <w:rsid w:val="0089308A"/>
    <w:rsid w:val="00893152"/>
    <w:rsid w:val="008932AF"/>
    <w:rsid w:val="00893590"/>
    <w:rsid w:val="00893860"/>
    <w:rsid w:val="00893926"/>
    <w:rsid w:val="00893B14"/>
    <w:rsid w:val="00893B6A"/>
    <w:rsid w:val="00893E41"/>
    <w:rsid w:val="0089474B"/>
    <w:rsid w:val="00894778"/>
    <w:rsid w:val="00894957"/>
    <w:rsid w:val="00894DDB"/>
    <w:rsid w:val="008954CD"/>
    <w:rsid w:val="008956A4"/>
    <w:rsid w:val="00895986"/>
    <w:rsid w:val="00895C04"/>
    <w:rsid w:val="008960A7"/>
    <w:rsid w:val="00896256"/>
    <w:rsid w:val="00896CC5"/>
    <w:rsid w:val="00896E3D"/>
    <w:rsid w:val="00896E6C"/>
    <w:rsid w:val="00896F3A"/>
    <w:rsid w:val="0089738E"/>
    <w:rsid w:val="0089743F"/>
    <w:rsid w:val="00897514"/>
    <w:rsid w:val="008975DC"/>
    <w:rsid w:val="00897BB1"/>
    <w:rsid w:val="008A02A9"/>
    <w:rsid w:val="008A05C4"/>
    <w:rsid w:val="008A0A15"/>
    <w:rsid w:val="008A0E64"/>
    <w:rsid w:val="008A1D33"/>
    <w:rsid w:val="008A1DB1"/>
    <w:rsid w:val="008A1DEA"/>
    <w:rsid w:val="008A20EC"/>
    <w:rsid w:val="008A277A"/>
    <w:rsid w:val="008A2955"/>
    <w:rsid w:val="008A2CC6"/>
    <w:rsid w:val="008A2DED"/>
    <w:rsid w:val="008A3019"/>
    <w:rsid w:val="008A3A2F"/>
    <w:rsid w:val="008A3A5D"/>
    <w:rsid w:val="008A3C57"/>
    <w:rsid w:val="008A3D27"/>
    <w:rsid w:val="008A3DCF"/>
    <w:rsid w:val="008A444B"/>
    <w:rsid w:val="008A4B64"/>
    <w:rsid w:val="008A4C0C"/>
    <w:rsid w:val="008A4DA0"/>
    <w:rsid w:val="008A5073"/>
    <w:rsid w:val="008A50BF"/>
    <w:rsid w:val="008A5803"/>
    <w:rsid w:val="008A58AC"/>
    <w:rsid w:val="008A606D"/>
    <w:rsid w:val="008A60D9"/>
    <w:rsid w:val="008A638C"/>
    <w:rsid w:val="008A65F3"/>
    <w:rsid w:val="008A6971"/>
    <w:rsid w:val="008A6C23"/>
    <w:rsid w:val="008A6CEB"/>
    <w:rsid w:val="008A7346"/>
    <w:rsid w:val="008A7616"/>
    <w:rsid w:val="008A765A"/>
    <w:rsid w:val="008A7686"/>
    <w:rsid w:val="008A7958"/>
    <w:rsid w:val="008A7968"/>
    <w:rsid w:val="008B0171"/>
    <w:rsid w:val="008B023A"/>
    <w:rsid w:val="008B1150"/>
    <w:rsid w:val="008B138A"/>
    <w:rsid w:val="008B1A2E"/>
    <w:rsid w:val="008B1CE1"/>
    <w:rsid w:val="008B1DA2"/>
    <w:rsid w:val="008B1DA8"/>
    <w:rsid w:val="008B1F39"/>
    <w:rsid w:val="008B1F9C"/>
    <w:rsid w:val="008B2044"/>
    <w:rsid w:val="008B2263"/>
    <w:rsid w:val="008B2338"/>
    <w:rsid w:val="008B2379"/>
    <w:rsid w:val="008B263D"/>
    <w:rsid w:val="008B2644"/>
    <w:rsid w:val="008B2AD0"/>
    <w:rsid w:val="008B2D40"/>
    <w:rsid w:val="008B36B3"/>
    <w:rsid w:val="008B385A"/>
    <w:rsid w:val="008B3996"/>
    <w:rsid w:val="008B3BFA"/>
    <w:rsid w:val="008B3C1B"/>
    <w:rsid w:val="008B3DEC"/>
    <w:rsid w:val="008B40DE"/>
    <w:rsid w:val="008B433D"/>
    <w:rsid w:val="008B43D4"/>
    <w:rsid w:val="008B4711"/>
    <w:rsid w:val="008B4CCF"/>
    <w:rsid w:val="008B4E2E"/>
    <w:rsid w:val="008B4E68"/>
    <w:rsid w:val="008B4E87"/>
    <w:rsid w:val="008B56EA"/>
    <w:rsid w:val="008B5ADC"/>
    <w:rsid w:val="008B5B93"/>
    <w:rsid w:val="008B5F57"/>
    <w:rsid w:val="008B6161"/>
    <w:rsid w:val="008B6546"/>
    <w:rsid w:val="008B6EE0"/>
    <w:rsid w:val="008B6EF7"/>
    <w:rsid w:val="008B7071"/>
    <w:rsid w:val="008B709A"/>
    <w:rsid w:val="008B7647"/>
    <w:rsid w:val="008B770A"/>
    <w:rsid w:val="008B79A5"/>
    <w:rsid w:val="008B79CC"/>
    <w:rsid w:val="008B7C81"/>
    <w:rsid w:val="008B7F8D"/>
    <w:rsid w:val="008C0074"/>
    <w:rsid w:val="008C049A"/>
    <w:rsid w:val="008C0674"/>
    <w:rsid w:val="008C06B0"/>
    <w:rsid w:val="008C0944"/>
    <w:rsid w:val="008C094D"/>
    <w:rsid w:val="008C09E1"/>
    <w:rsid w:val="008C0BC6"/>
    <w:rsid w:val="008C1104"/>
    <w:rsid w:val="008C144E"/>
    <w:rsid w:val="008C15B7"/>
    <w:rsid w:val="008C1907"/>
    <w:rsid w:val="008C1969"/>
    <w:rsid w:val="008C1AA3"/>
    <w:rsid w:val="008C2014"/>
    <w:rsid w:val="008C2216"/>
    <w:rsid w:val="008C2459"/>
    <w:rsid w:val="008C24DD"/>
    <w:rsid w:val="008C329C"/>
    <w:rsid w:val="008C35C6"/>
    <w:rsid w:val="008C3903"/>
    <w:rsid w:val="008C3FC1"/>
    <w:rsid w:val="008C41E1"/>
    <w:rsid w:val="008C484A"/>
    <w:rsid w:val="008C497D"/>
    <w:rsid w:val="008C4A57"/>
    <w:rsid w:val="008C4B8C"/>
    <w:rsid w:val="008C4DF1"/>
    <w:rsid w:val="008C4F14"/>
    <w:rsid w:val="008C522B"/>
    <w:rsid w:val="008C53ED"/>
    <w:rsid w:val="008C5B6E"/>
    <w:rsid w:val="008C5DAE"/>
    <w:rsid w:val="008C5E8B"/>
    <w:rsid w:val="008C5F1E"/>
    <w:rsid w:val="008C600D"/>
    <w:rsid w:val="008C6843"/>
    <w:rsid w:val="008C7AFF"/>
    <w:rsid w:val="008C7B49"/>
    <w:rsid w:val="008C7DDF"/>
    <w:rsid w:val="008C7F9F"/>
    <w:rsid w:val="008C7FD5"/>
    <w:rsid w:val="008C7FF7"/>
    <w:rsid w:val="008D004E"/>
    <w:rsid w:val="008D02D2"/>
    <w:rsid w:val="008D04AF"/>
    <w:rsid w:val="008D0511"/>
    <w:rsid w:val="008D0A2F"/>
    <w:rsid w:val="008D1055"/>
    <w:rsid w:val="008D109F"/>
    <w:rsid w:val="008D1A59"/>
    <w:rsid w:val="008D1CB1"/>
    <w:rsid w:val="008D1DB8"/>
    <w:rsid w:val="008D220E"/>
    <w:rsid w:val="008D232E"/>
    <w:rsid w:val="008D241A"/>
    <w:rsid w:val="008D25EA"/>
    <w:rsid w:val="008D29F7"/>
    <w:rsid w:val="008D2A96"/>
    <w:rsid w:val="008D2C76"/>
    <w:rsid w:val="008D2D59"/>
    <w:rsid w:val="008D2E35"/>
    <w:rsid w:val="008D2E54"/>
    <w:rsid w:val="008D3E2C"/>
    <w:rsid w:val="008D405D"/>
    <w:rsid w:val="008D44D6"/>
    <w:rsid w:val="008D4B0A"/>
    <w:rsid w:val="008D4BF2"/>
    <w:rsid w:val="008D4C10"/>
    <w:rsid w:val="008D4FC2"/>
    <w:rsid w:val="008D5060"/>
    <w:rsid w:val="008D51D9"/>
    <w:rsid w:val="008D52E0"/>
    <w:rsid w:val="008D54A8"/>
    <w:rsid w:val="008D5A01"/>
    <w:rsid w:val="008D5C3C"/>
    <w:rsid w:val="008D5FC6"/>
    <w:rsid w:val="008D610D"/>
    <w:rsid w:val="008D6662"/>
    <w:rsid w:val="008D6830"/>
    <w:rsid w:val="008D68E9"/>
    <w:rsid w:val="008D6B2D"/>
    <w:rsid w:val="008D6B9E"/>
    <w:rsid w:val="008D72BB"/>
    <w:rsid w:val="008D7384"/>
    <w:rsid w:val="008D7625"/>
    <w:rsid w:val="008D7AA4"/>
    <w:rsid w:val="008D7ADE"/>
    <w:rsid w:val="008D7DA0"/>
    <w:rsid w:val="008D7E02"/>
    <w:rsid w:val="008D7F84"/>
    <w:rsid w:val="008E0567"/>
    <w:rsid w:val="008E0620"/>
    <w:rsid w:val="008E0687"/>
    <w:rsid w:val="008E13A3"/>
    <w:rsid w:val="008E17B6"/>
    <w:rsid w:val="008E20BF"/>
    <w:rsid w:val="008E218D"/>
    <w:rsid w:val="008E2AC0"/>
    <w:rsid w:val="008E2BC2"/>
    <w:rsid w:val="008E2E78"/>
    <w:rsid w:val="008E301E"/>
    <w:rsid w:val="008E3182"/>
    <w:rsid w:val="008E33A5"/>
    <w:rsid w:val="008E370E"/>
    <w:rsid w:val="008E3939"/>
    <w:rsid w:val="008E396D"/>
    <w:rsid w:val="008E3D7D"/>
    <w:rsid w:val="008E3DAD"/>
    <w:rsid w:val="008E43F4"/>
    <w:rsid w:val="008E479B"/>
    <w:rsid w:val="008E47B4"/>
    <w:rsid w:val="008E4F36"/>
    <w:rsid w:val="008E51BD"/>
    <w:rsid w:val="008E5266"/>
    <w:rsid w:val="008E54EB"/>
    <w:rsid w:val="008E553B"/>
    <w:rsid w:val="008E55FE"/>
    <w:rsid w:val="008E56B5"/>
    <w:rsid w:val="008E581A"/>
    <w:rsid w:val="008E5962"/>
    <w:rsid w:val="008E5A2F"/>
    <w:rsid w:val="008E5ACB"/>
    <w:rsid w:val="008E5B05"/>
    <w:rsid w:val="008E5C57"/>
    <w:rsid w:val="008E5D17"/>
    <w:rsid w:val="008E609B"/>
    <w:rsid w:val="008E68F6"/>
    <w:rsid w:val="008E6D39"/>
    <w:rsid w:val="008E6E14"/>
    <w:rsid w:val="008E6FD3"/>
    <w:rsid w:val="008E74AE"/>
    <w:rsid w:val="008E74FF"/>
    <w:rsid w:val="008E798C"/>
    <w:rsid w:val="008E7A49"/>
    <w:rsid w:val="008E7A96"/>
    <w:rsid w:val="008E7F8A"/>
    <w:rsid w:val="008F035D"/>
    <w:rsid w:val="008F0501"/>
    <w:rsid w:val="008F05B6"/>
    <w:rsid w:val="008F06FE"/>
    <w:rsid w:val="008F0818"/>
    <w:rsid w:val="008F081D"/>
    <w:rsid w:val="008F09CA"/>
    <w:rsid w:val="008F10F2"/>
    <w:rsid w:val="008F1156"/>
    <w:rsid w:val="008F12A3"/>
    <w:rsid w:val="008F12FB"/>
    <w:rsid w:val="008F17FB"/>
    <w:rsid w:val="008F189E"/>
    <w:rsid w:val="008F19B0"/>
    <w:rsid w:val="008F1B42"/>
    <w:rsid w:val="008F1C62"/>
    <w:rsid w:val="008F221B"/>
    <w:rsid w:val="008F242B"/>
    <w:rsid w:val="008F25D2"/>
    <w:rsid w:val="008F2BE0"/>
    <w:rsid w:val="008F3192"/>
    <w:rsid w:val="008F328B"/>
    <w:rsid w:val="008F3431"/>
    <w:rsid w:val="008F36B1"/>
    <w:rsid w:val="008F36D9"/>
    <w:rsid w:val="008F375D"/>
    <w:rsid w:val="008F390B"/>
    <w:rsid w:val="008F3E83"/>
    <w:rsid w:val="008F4062"/>
    <w:rsid w:val="008F4258"/>
    <w:rsid w:val="008F4732"/>
    <w:rsid w:val="008F4947"/>
    <w:rsid w:val="008F4C39"/>
    <w:rsid w:val="008F4FE6"/>
    <w:rsid w:val="008F55DE"/>
    <w:rsid w:val="008F5C34"/>
    <w:rsid w:val="008F5F37"/>
    <w:rsid w:val="008F63ED"/>
    <w:rsid w:val="008F6617"/>
    <w:rsid w:val="008F67F5"/>
    <w:rsid w:val="008F6D52"/>
    <w:rsid w:val="008F7279"/>
    <w:rsid w:val="008F77FE"/>
    <w:rsid w:val="008F7A79"/>
    <w:rsid w:val="008F7BED"/>
    <w:rsid w:val="009004B5"/>
    <w:rsid w:val="00900928"/>
    <w:rsid w:val="00900BE0"/>
    <w:rsid w:val="00900E27"/>
    <w:rsid w:val="009011AE"/>
    <w:rsid w:val="00901333"/>
    <w:rsid w:val="00901434"/>
    <w:rsid w:val="00901595"/>
    <w:rsid w:val="009015EE"/>
    <w:rsid w:val="0090199D"/>
    <w:rsid w:val="009019B0"/>
    <w:rsid w:val="00901B0E"/>
    <w:rsid w:val="00901EDB"/>
    <w:rsid w:val="009022C0"/>
    <w:rsid w:val="0090257A"/>
    <w:rsid w:val="009029D5"/>
    <w:rsid w:val="00902A77"/>
    <w:rsid w:val="00902B6C"/>
    <w:rsid w:val="00902BE1"/>
    <w:rsid w:val="00902E5B"/>
    <w:rsid w:val="00902FCC"/>
    <w:rsid w:val="00903512"/>
    <w:rsid w:val="00903E4A"/>
    <w:rsid w:val="009042E2"/>
    <w:rsid w:val="00904470"/>
    <w:rsid w:val="009045F6"/>
    <w:rsid w:val="00904913"/>
    <w:rsid w:val="009049F2"/>
    <w:rsid w:val="00904AAC"/>
    <w:rsid w:val="00904E91"/>
    <w:rsid w:val="00905790"/>
    <w:rsid w:val="00905963"/>
    <w:rsid w:val="00905CB2"/>
    <w:rsid w:val="00905EDA"/>
    <w:rsid w:val="00905EFE"/>
    <w:rsid w:val="0090603D"/>
    <w:rsid w:val="00906367"/>
    <w:rsid w:val="009064E8"/>
    <w:rsid w:val="0090654D"/>
    <w:rsid w:val="00906594"/>
    <w:rsid w:val="00906689"/>
    <w:rsid w:val="00906720"/>
    <w:rsid w:val="00906F17"/>
    <w:rsid w:val="00907043"/>
    <w:rsid w:val="009073F1"/>
    <w:rsid w:val="00907466"/>
    <w:rsid w:val="00907DD2"/>
    <w:rsid w:val="009101D4"/>
    <w:rsid w:val="009108A6"/>
    <w:rsid w:val="00910EDD"/>
    <w:rsid w:val="00911309"/>
    <w:rsid w:val="00911341"/>
    <w:rsid w:val="00911498"/>
    <w:rsid w:val="0091187D"/>
    <w:rsid w:val="0091189A"/>
    <w:rsid w:val="009125A2"/>
    <w:rsid w:val="009125AE"/>
    <w:rsid w:val="009128F4"/>
    <w:rsid w:val="00912F5D"/>
    <w:rsid w:val="00913597"/>
    <w:rsid w:val="009136C3"/>
    <w:rsid w:val="00913C62"/>
    <w:rsid w:val="00913CCE"/>
    <w:rsid w:val="009141FB"/>
    <w:rsid w:val="0091439A"/>
    <w:rsid w:val="0091439C"/>
    <w:rsid w:val="0091454F"/>
    <w:rsid w:val="00914A03"/>
    <w:rsid w:val="00914B36"/>
    <w:rsid w:val="00914EA1"/>
    <w:rsid w:val="00914FB6"/>
    <w:rsid w:val="009151A5"/>
    <w:rsid w:val="009152AC"/>
    <w:rsid w:val="0091560D"/>
    <w:rsid w:val="00915640"/>
    <w:rsid w:val="0091566D"/>
    <w:rsid w:val="009157C5"/>
    <w:rsid w:val="0091609C"/>
    <w:rsid w:val="009160A6"/>
    <w:rsid w:val="0091632E"/>
    <w:rsid w:val="0091658C"/>
    <w:rsid w:val="00916683"/>
    <w:rsid w:val="00916A36"/>
    <w:rsid w:val="00916BCD"/>
    <w:rsid w:val="00916FCF"/>
    <w:rsid w:val="009171AC"/>
    <w:rsid w:val="00917B68"/>
    <w:rsid w:val="00917C45"/>
    <w:rsid w:val="00917D44"/>
    <w:rsid w:val="00917EBA"/>
    <w:rsid w:val="00920363"/>
    <w:rsid w:val="0092087D"/>
    <w:rsid w:val="00920B03"/>
    <w:rsid w:val="00920B0D"/>
    <w:rsid w:val="00920CE6"/>
    <w:rsid w:val="00920F0F"/>
    <w:rsid w:val="00921452"/>
    <w:rsid w:val="009217DC"/>
    <w:rsid w:val="00921AC9"/>
    <w:rsid w:val="00921AF7"/>
    <w:rsid w:val="00921DA9"/>
    <w:rsid w:val="00921DDD"/>
    <w:rsid w:val="00921EB4"/>
    <w:rsid w:val="0092225E"/>
    <w:rsid w:val="00922541"/>
    <w:rsid w:val="00922752"/>
    <w:rsid w:val="00922848"/>
    <w:rsid w:val="00922A8D"/>
    <w:rsid w:val="00922B5B"/>
    <w:rsid w:val="00922C5F"/>
    <w:rsid w:val="00922DC8"/>
    <w:rsid w:val="00922DCD"/>
    <w:rsid w:val="0092304A"/>
    <w:rsid w:val="009232B1"/>
    <w:rsid w:val="00923E5A"/>
    <w:rsid w:val="00923F6F"/>
    <w:rsid w:val="0092430D"/>
    <w:rsid w:val="00924C53"/>
    <w:rsid w:val="0092505D"/>
    <w:rsid w:val="0092510F"/>
    <w:rsid w:val="00925551"/>
    <w:rsid w:val="009256A9"/>
    <w:rsid w:val="00926189"/>
    <w:rsid w:val="009261ED"/>
    <w:rsid w:val="0092635B"/>
    <w:rsid w:val="0092639C"/>
    <w:rsid w:val="0092665C"/>
    <w:rsid w:val="009267DD"/>
    <w:rsid w:val="009267E6"/>
    <w:rsid w:val="00926965"/>
    <w:rsid w:val="00926DDB"/>
    <w:rsid w:val="00926EFA"/>
    <w:rsid w:val="00926F7A"/>
    <w:rsid w:val="00927148"/>
    <w:rsid w:val="009272B1"/>
    <w:rsid w:val="0092772C"/>
    <w:rsid w:val="00927BC0"/>
    <w:rsid w:val="00927BD1"/>
    <w:rsid w:val="0093003F"/>
    <w:rsid w:val="00930220"/>
    <w:rsid w:val="0093098F"/>
    <w:rsid w:val="00930B57"/>
    <w:rsid w:val="00930EBC"/>
    <w:rsid w:val="00931774"/>
    <w:rsid w:val="00931775"/>
    <w:rsid w:val="00931857"/>
    <w:rsid w:val="00931F60"/>
    <w:rsid w:val="00932185"/>
    <w:rsid w:val="009326F7"/>
    <w:rsid w:val="009327D8"/>
    <w:rsid w:val="00932A31"/>
    <w:rsid w:val="0093305B"/>
    <w:rsid w:val="0093317F"/>
    <w:rsid w:val="0093353B"/>
    <w:rsid w:val="0093385A"/>
    <w:rsid w:val="00933CBD"/>
    <w:rsid w:val="00933F51"/>
    <w:rsid w:val="00933F90"/>
    <w:rsid w:val="00934002"/>
    <w:rsid w:val="0093491E"/>
    <w:rsid w:val="00934EA0"/>
    <w:rsid w:val="00935007"/>
    <w:rsid w:val="00935011"/>
    <w:rsid w:val="00935130"/>
    <w:rsid w:val="0093533D"/>
    <w:rsid w:val="009355B0"/>
    <w:rsid w:val="009356F0"/>
    <w:rsid w:val="0093570E"/>
    <w:rsid w:val="009358D4"/>
    <w:rsid w:val="00935A31"/>
    <w:rsid w:val="0093689B"/>
    <w:rsid w:val="00937046"/>
    <w:rsid w:val="009370BC"/>
    <w:rsid w:val="009370C1"/>
    <w:rsid w:val="00937154"/>
    <w:rsid w:val="009374C9"/>
    <w:rsid w:val="009377A2"/>
    <w:rsid w:val="009377C8"/>
    <w:rsid w:val="00937B26"/>
    <w:rsid w:val="00937D57"/>
    <w:rsid w:val="00940347"/>
    <w:rsid w:val="00940894"/>
    <w:rsid w:val="009409BA"/>
    <w:rsid w:val="00940A83"/>
    <w:rsid w:val="00940B9C"/>
    <w:rsid w:val="00940CCE"/>
    <w:rsid w:val="009410CB"/>
    <w:rsid w:val="009410EA"/>
    <w:rsid w:val="0094119C"/>
    <w:rsid w:val="009411E8"/>
    <w:rsid w:val="009418FE"/>
    <w:rsid w:val="009419D4"/>
    <w:rsid w:val="00941B2F"/>
    <w:rsid w:val="00941B4C"/>
    <w:rsid w:val="00941C75"/>
    <w:rsid w:val="0094201D"/>
    <w:rsid w:val="00942307"/>
    <w:rsid w:val="00942606"/>
    <w:rsid w:val="00942A3E"/>
    <w:rsid w:val="009430CF"/>
    <w:rsid w:val="0094315D"/>
    <w:rsid w:val="00943716"/>
    <w:rsid w:val="00943D7B"/>
    <w:rsid w:val="0094409D"/>
    <w:rsid w:val="00944165"/>
    <w:rsid w:val="009442CB"/>
    <w:rsid w:val="009442DF"/>
    <w:rsid w:val="009443D3"/>
    <w:rsid w:val="00944661"/>
    <w:rsid w:val="009449FF"/>
    <w:rsid w:val="00944BEB"/>
    <w:rsid w:val="00944E9E"/>
    <w:rsid w:val="00945189"/>
    <w:rsid w:val="009457FE"/>
    <w:rsid w:val="00945F2C"/>
    <w:rsid w:val="00946017"/>
    <w:rsid w:val="0094618A"/>
    <w:rsid w:val="00946DE7"/>
    <w:rsid w:val="00946F78"/>
    <w:rsid w:val="009473FA"/>
    <w:rsid w:val="009474A4"/>
    <w:rsid w:val="009475D9"/>
    <w:rsid w:val="009475F0"/>
    <w:rsid w:val="00947890"/>
    <w:rsid w:val="00947A8B"/>
    <w:rsid w:val="00950253"/>
    <w:rsid w:val="009502FD"/>
    <w:rsid w:val="009505B4"/>
    <w:rsid w:val="00950629"/>
    <w:rsid w:val="009508E6"/>
    <w:rsid w:val="00950B42"/>
    <w:rsid w:val="00950BBE"/>
    <w:rsid w:val="00951694"/>
    <w:rsid w:val="0095190E"/>
    <w:rsid w:val="00951FD1"/>
    <w:rsid w:val="00952521"/>
    <w:rsid w:val="00952B35"/>
    <w:rsid w:val="00952F70"/>
    <w:rsid w:val="00952F9C"/>
    <w:rsid w:val="0095370D"/>
    <w:rsid w:val="00953757"/>
    <w:rsid w:val="00953B1C"/>
    <w:rsid w:val="00953BE1"/>
    <w:rsid w:val="00954124"/>
    <w:rsid w:val="00954394"/>
    <w:rsid w:val="009543BB"/>
    <w:rsid w:val="00954DF7"/>
    <w:rsid w:val="009552CC"/>
    <w:rsid w:val="009555B3"/>
    <w:rsid w:val="009559CD"/>
    <w:rsid w:val="00955ACB"/>
    <w:rsid w:val="00955F36"/>
    <w:rsid w:val="0095603A"/>
    <w:rsid w:val="009560AB"/>
    <w:rsid w:val="009560E4"/>
    <w:rsid w:val="009566B9"/>
    <w:rsid w:val="00956CFF"/>
    <w:rsid w:val="00956DD7"/>
    <w:rsid w:val="00957365"/>
    <w:rsid w:val="00957619"/>
    <w:rsid w:val="00957710"/>
    <w:rsid w:val="009577B0"/>
    <w:rsid w:val="0095781D"/>
    <w:rsid w:val="00957B38"/>
    <w:rsid w:val="00957E92"/>
    <w:rsid w:val="0096008D"/>
    <w:rsid w:val="0096013A"/>
    <w:rsid w:val="00960178"/>
    <w:rsid w:val="0096096D"/>
    <w:rsid w:val="00960DFF"/>
    <w:rsid w:val="00960EC6"/>
    <w:rsid w:val="00960FFA"/>
    <w:rsid w:val="0096133C"/>
    <w:rsid w:val="00961D4F"/>
    <w:rsid w:val="00961D9E"/>
    <w:rsid w:val="00961DF2"/>
    <w:rsid w:val="009625D1"/>
    <w:rsid w:val="0096285F"/>
    <w:rsid w:val="00962ADD"/>
    <w:rsid w:val="00962B2F"/>
    <w:rsid w:val="0096326C"/>
    <w:rsid w:val="009632BF"/>
    <w:rsid w:val="00963469"/>
    <w:rsid w:val="0096361C"/>
    <w:rsid w:val="0096394E"/>
    <w:rsid w:val="00963B70"/>
    <w:rsid w:val="009641BB"/>
    <w:rsid w:val="009643EB"/>
    <w:rsid w:val="00964448"/>
    <w:rsid w:val="0096494C"/>
    <w:rsid w:val="00964A81"/>
    <w:rsid w:val="00964AB4"/>
    <w:rsid w:val="009653B8"/>
    <w:rsid w:val="00965553"/>
    <w:rsid w:val="00965751"/>
    <w:rsid w:val="0096586F"/>
    <w:rsid w:val="00965B24"/>
    <w:rsid w:val="00965CC7"/>
    <w:rsid w:val="00965E6C"/>
    <w:rsid w:val="00966115"/>
    <w:rsid w:val="009667FF"/>
    <w:rsid w:val="00966865"/>
    <w:rsid w:val="00966902"/>
    <w:rsid w:val="00966C16"/>
    <w:rsid w:val="00967256"/>
    <w:rsid w:val="0096729C"/>
    <w:rsid w:val="009679D4"/>
    <w:rsid w:val="00967A6F"/>
    <w:rsid w:val="00967D5E"/>
    <w:rsid w:val="00967D75"/>
    <w:rsid w:val="00967DC7"/>
    <w:rsid w:val="00970302"/>
    <w:rsid w:val="009706E0"/>
    <w:rsid w:val="00970ABF"/>
    <w:rsid w:val="00971412"/>
    <w:rsid w:val="0097165C"/>
    <w:rsid w:val="009722CB"/>
    <w:rsid w:val="00972AD2"/>
    <w:rsid w:val="00972DC1"/>
    <w:rsid w:val="00972FB7"/>
    <w:rsid w:val="009733D1"/>
    <w:rsid w:val="009735B0"/>
    <w:rsid w:val="0097368C"/>
    <w:rsid w:val="00973A43"/>
    <w:rsid w:val="00973E6C"/>
    <w:rsid w:val="00974457"/>
    <w:rsid w:val="0097450C"/>
    <w:rsid w:val="0097459C"/>
    <w:rsid w:val="009746C9"/>
    <w:rsid w:val="00974A6B"/>
    <w:rsid w:val="00974B43"/>
    <w:rsid w:val="00974D4D"/>
    <w:rsid w:val="00974D63"/>
    <w:rsid w:val="009752BC"/>
    <w:rsid w:val="009752D1"/>
    <w:rsid w:val="009754AF"/>
    <w:rsid w:val="009755D6"/>
    <w:rsid w:val="00975714"/>
    <w:rsid w:val="0097573E"/>
    <w:rsid w:val="00975778"/>
    <w:rsid w:val="00975BA6"/>
    <w:rsid w:val="00975E70"/>
    <w:rsid w:val="00976019"/>
    <w:rsid w:val="00976250"/>
    <w:rsid w:val="009766AC"/>
    <w:rsid w:val="0097691F"/>
    <w:rsid w:val="00976A8A"/>
    <w:rsid w:val="00976CBF"/>
    <w:rsid w:val="00977333"/>
    <w:rsid w:val="00977366"/>
    <w:rsid w:val="009776F3"/>
    <w:rsid w:val="00977886"/>
    <w:rsid w:val="00977A2F"/>
    <w:rsid w:val="00977B56"/>
    <w:rsid w:val="00977B77"/>
    <w:rsid w:val="00977EC4"/>
    <w:rsid w:val="0098000D"/>
    <w:rsid w:val="00980241"/>
    <w:rsid w:val="00980807"/>
    <w:rsid w:val="00980FBD"/>
    <w:rsid w:val="00980FCB"/>
    <w:rsid w:val="0098155B"/>
    <w:rsid w:val="0098167C"/>
    <w:rsid w:val="00981969"/>
    <w:rsid w:val="00981A97"/>
    <w:rsid w:val="00981B7D"/>
    <w:rsid w:val="00981C0B"/>
    <w:rsid w:val="00981CEA"/>
    <w:rsid w:val="00981E1C"/>
    <w:rsid w:val="0098202D"/>
    <w:rsid w:val="00982054"/>
    <w:rsid w:val="00982322"/>
    <w:rsid w:val="00982774"/>
    <w:rsid w:val="00982807"/>
    <w:rsid w:val="00982F62"/>
    <w:rsid w:val="00982FEB"/>
    <w:rsid w:val="009833BA"/>
    <w:rsid w:val="00983955"/>
    <w:rsid w:val="00983977"/>
    <w:rsid w:val="009839B2"/>
    <w:rsid w:val="00983D55"/>
    <w:rsid w:val="00983E50"/>
    <w:rsid w:val="0098422E"/>
    <w:rsid w:val="00984267"/>
    <w:rsid w:val="009844E2"/>
    <w:rsid w:val="00984B76"/>
    <w:rsid w:val="00984BAA"/>
    <w:rsid w:val="00984BCD"/>
    <w:rsid w:val="00984C13"/>
    <w:rsid w:val="00984D91"/>
    <w:rsid w:val="00985175"/>
    <w:rsid w:val="00985348"/>
    <w:rsid w:val="009855E5"/>
    <w:rsid w:val="009857B8"/>
    <w:rsid w:val="0098594A"/>
    <w:rsid w:val="00985AAA"/>
    <w:rsid w:val="00985BBE"/>
    <w:rsid w:val="00985BE6"/>
    <w:rsid w:val="009865E7"/>
    <w:rsid w:val="009866FD"/>
    <w:rsid w:val="00986CA6"/>
    <w:rsid w:val="0098742A"/>
    <w:rsid w:val="009874AD"/>
    <w:rsid w:val="009878ED"/>
    <w:rsid w:val="00987965"/>
    <w:rsid w:val="009879AA"/>
    <w:rsid w:val="00987A99"/>
    <w:rsid w:val="00987CC8"/>
    <w:rsid w:val="009900F3"/>
    <w:rsid w:val="009907C1"/>
    <w:rsid w:val="00990D4D"/>
    <w:rsid w:val="00990F75"/>
    <w:rsid w:val="00991188"/>
    <w:rsid w:val="009912A3"/>
    <w:rsid w:val="00991304"/>
    <w:rsid w:val="00991A62"/>
    <w:rsid w:val="00991ED7"/>
    <w:rsid w:val="00991FB1"/>
    <w:rsid w:val="00992128"/>
    <w:rsid w:val="00992C74"/>
    <w:rsid w:val="00993455"/>
    <w:rsid w:val="00993630"/>
    <w:rsid w:val="00993818"/>
    <w:rsid w:val="00993A2D"/>
    <w:rsid w:val="00993D98"/>
    <w:rsid w:val="00993DFD"/>
    <w:rsid w:val="00993E58"/>
    <w:rsid w:val="00994104"/>
    <w:rsid w:val="00994663"/>
    <w:rsid w:val="00994697"/>
    <w:rsid w:val="0099469A"/>
    <w:rsid w:val="0099472E"/>
    <w:rsid w:val="0099477A"/>
    <w:rsid w:val="00994A07"/>
    <w:rsid w:val="00994BB0"/>
    <w:rsid w:val="00994C23"/>
    <w:rsid w:val="00994FBD"/>
    <w:rsid w:val="00995924"/>
    <w:rsid w:val="00995AAF"/>
    <w:rsid w:val="0099664D"/>
    <w:rsid w:val="0099671D"/>
    <w:rsid w:val="00996DE9"/>
    <w:rsid w:val="00996EFA"/>
    <w:rsid w:val="00997544"/>
    <w:rsid w:val="009977FB"/>
    <w:rsid w:val="009978C8"/>
    <w:rsid w:val="00997B4C"/>
    <w:rsid w:val="00997D5B"/>
    <w:rsid w:val="00997E60"/>
    <w:rsid w:val="009A0349"/>
    <w:rsid w:val="009A099B"/>
    <w:rsid w:val="009A0F57"/>
    <w:rsid w:val="009A0FD9"/>
    <w:rsid w:val="009A1052"/>
    <w:rsid w:val="009A1798"/>
    <w:rsid w:val="009A1B25"/>
    <w:rsid w:val="009A1E5D"/>
    <w:rsid w:val="009A2336"/>
    <w:rsid w:val="009A2348"/>
    <w:rsid w:val="009A2930"/>
    <w:rsid w:val="009A2ABF"/>
    <w:rsid w:val="009A2C6E"/>
    <w:rsid w:val="009A2CF9"/>
    <w:rsid w:val="009A2E05"/>
    <w:rsid w:val="009A350A"/>
    <w:rsid w:val="009A3901"/>
    <w:rsid w:val="009A3D21"/>
    <w:rsid w:val="009A4485"/>
    <w:rsid w:val="009A477C"/>
    <w:rsid w:val="009A47D5"/>
    <w:rsid w:val="009A49DA"/>
    <w:rsid w:val="009A5838"/>
    <w:rsid w:val="009A5922"/>
    <w:rsid w:val="009A5CB6"/>
    <w:rsid w:val="009A5FE3"/>
    <w:rsid w:val="009A6061"/>
    <w:rsid w:val="009A6287"/>
    <w:rsid w:val="009A633B"/>
    <w:rsid w:val="009A66EF"/>
    <w:rsid w:val="009A6870"/>
    <w:rsid w:val="009A690B"/>
    <w:rsid w:val="009A6D17"/>
    <w:rsid w:val="009A6DEB"/>
    <w:rsid w:val="009A7494"/>
    <w:rsid w:val="009A7A8B"/>
    <w:rsid w:val="009A7DA7"/>
    <w:rsid w:val="009B0700"/>
    <w:rsid w:val="009B0A4A"/>
    <w:rsid w:val="009B0CAC"/>
    <w:rsid w:val="009B0FFD"/>
    <w:rsid w:val="009B11FE"/>
    <w:rsid w:val="009B1418"/>
    <w:rsid w:val="009B1ABC"/>
    <w:rsid w:val="009B1B67"/>
    <w:rsid w:val="009B1EDA"/>
    <w:rsid w:val="009B2048"/>
    <w:rsid w:val="009B2173"/>
    <w:rsid w:val="009B2C1E"/>
    <w:rsid w:val="009B2C77"/>
    <w:rsid w:val="009B2DED"/>
    <w:rsid w:val="009B3161"/>
    <w:rsid w:val="009B3188"/>
    <w:rsid w:val="009B328A"/>
    <w:rsid w:val="009B3476"/>
    <w:rsid w:val="009B35A7"/>
    <w:rsid w:val="009B3CD8"/>
    <w:rsid w:val="009B3D81"/>
    <w:rsid w:val="009B443D"/>
    <w:rsid w:val="009B4827"/>
    <w:rsid w:val="009B4ED1"/>
    <w:rsid w:val="009B4F5E"/>
    <w:rsid w:val="009B4F98"/>
    <w:rsid w:val="009B50EE"/>
    <w:rsid w:val="009B539E"/>
    <w:rsid w:val="009B55D2"/>
    <w:rsid w:val="009B5698"/>
    <w:rsid w:val="009B583D"/>
    <w:rsid w:val="009B5A68"/>
    <w:rsid w:val="009B5E39"/>
    <w:rsid w:val="009B5FE8"/>
    <w:rsid w:val="009B6647"/>
    <w:rsid w:val="009B6805"/>
    <w:rsid w:val="009B6875"/>
    <w:rsid w:val="009B6C18"/>
    <w:rsid w:val="009B6C30"/>
    <w:rsid w:val="009B7289"/>
    <w:rsid w:val="009B77A8"/>
    <w:rsid w:val="009B7E4D"/>
    <w:rsid w:val="009C0057"/>
    <w:rsid w:val="009C06AD"/>
    <w:rsid w:val="009C08DE"/>
    <w:rsid w:val="009C0D3C"/>
    <w:rsid w:val="009C0FE6"/>
    <w:rsid w:val="009C119D"/>
    <w:rsid w:val="009C14D6"/>
    <w:rsid w:val="009C178E"/>
    <w:rsid w:val="009C1E97"/>
    <w:rsid w:val="009C252F"/>
    <w:rsid w:val="009C261D"/>
    <w:rsid w:val="009C2A99"/>
    <w:rsid w:val="009C2BE5"/>
    <w:rsid w:val="009C3070"/>
    <w:rsid w:val="009C3ABD"/>
    <w:rsid w:val="009C3BF2"/>
    <w:rsid w:val="009C4042"/>
    <w:rsid w:val="009C4639"/>
    <w:rsid w:val="009C4728"/>
    <w:rsid w:val="009C47FD"/>
    <w:rsid w:val="009C49C1"/>
    <w:rsid w:val="009C4BD0"/>
    <w:rsid w:val="009C4D1A"/>
    <w:rsid w:val="009C4D70"/>
    <w:rsid w:val="009C50F5"/>
    <w:rsid w:val="009C549B"/>
    <w:rsid w:val="009C56CD"/>
    <w:rsid w:val="009C5C49"/>
    <w:rsid w:val="009C61DD"/>
    <w:rsid w:val="009C643F"/>
    <w:rsid w:val="009C6736"/>
    <w:rsid w:val="009C6B83"/>
    <w:rsid w:val="009C6C02"/>
    <w:rsid w:val="009C7998"/>
    <w:rsid w:val="009C7FA4"/>
    <w:rsid w:val="009D00D8"/>
    <w:rsid w:val="009D059D"/>
    <w:rsid w:val="009D05E0"/>
    <w:rsid w:val="009D06FA"/>
    <w:rsid w:val="009D0B46"/>
    <w:rsid w:val="009D0B98"/>
    <w:rsid w:val="009D0FBA"/>
    <w:rsid w:val="009D17E6"/>
    <w:rsid w:val="009D18EB"/>
    <w:rsid w:val="009D1B40"/>
    <w:rsid w:val="009D1E00"/>
    <w:rsid w:val="009D1F54"/>
    <w:rsid w:val="009D201D"/>
    <w:rsid w:val="009D20D5"/>
    <w:rsid w:val="009D2153"/>
    <w:rsid w:val="009D278B"/>
    <w:rsid w:val="009D2879"/>
    <w:rsid w:val="009D2DF7"/>
    <w:rsid w:val="009D2E10"/>
    <w:rsid w:val="009D3210"/>
    <w:rsid w:val="009D35FF"/>
    <w:rsid w:val="009D36F3"/>
    <w:rsid w:val="009D3BC6"/>
    <w:rsid w:val="009D3EE4"/>
    <w:rsid w:val="009D4698"/>
    <w:rsid w:val="009D46D1"/>
    <w:rsid w:val="009D4774"/>
    <w:rsid w:val="009D47A5"/>
    <w:rsid w:val="009D4E48"/>
    <w:rsid w:val="009D50EC"/>
    <w:rsid w:val="009D53A0"/>
    <w:rsid w:val="009D6144"/>
    <w:rsid w:val="009D66BD"/>
    <w:rsid w:val="009D6A53"/>
    <w:rsid w:val="009D6AB2"/>
    <w:rsid w:val="009D6E43"/>
    <w:rsid w:val="009D6F26"/>
    <w:rsid w:val="009D72B7"/>
    <w:rsid w:val="009D7389"/>
    <w:rsid w:val="009D760F"/>
    <w:rsid w:val="009D7AAF"/>
    <w:rsid w:val="009D7D8C"/>
    <w:rsid w:val="009D7FC6"/>
    <w:rsid w:val="009E01B9"/>
    <w:rsid w:val="009E01C1"/>
    <w:rsid w:val="009E0450"/>
    <w:rsid w:val="009E0495"/>
    <w:rsid w:val="009E128D"/>
    <w:rsid w:val="009E150C"/>
    <w:rsid w:val="009E1BBF"/>
    <w:rsid w:val="009E1C3E"/>
    <w:rsid w:val="009E225E"/>
    <w:rsid w:val="009E28B0"/>
    <w:rsid w:val="009E2FAA"/>
    <w:rsid w:val="009E3132"/>
    <w:rsid w:val="009E350B"/>
    <w:rsid w:val="009E3611"/>
    <w:rsid w:val="009E3B04"/>
    <w:rsid w:val="009E3C7B"/>
    <w:rsid w:val="009E3E78"/>
    <w:rsid w:val="009E3EDE"/>
    <w:rsid w:val="009E4116"/>
    <w:rsid w:val="009E4559"/>
    <w:rsid w:val="009E466D"/>
    <w:rsid w:val="009E4748"/>
    <w:rsid w:val="009E47BE"/>
    <w:rsid w:val="009E49B9"/>
    <w:rsid w:val="009E4B7A"/>
    <w:rsid w:val="009E4BC4"/>
    <w:rsid w:val="009E4D6A"/>
    <w:rsid w:val="009E5319"/>
    <w:rsid w:val="009E55F2"/>
    <w:rsid w:val="009E57D5"/>
    <w:rsid w:val="009E5883"/>
    <w:rsid w:val="009E58F6"/>
    <w:rsid w:val="009E5ADC"/>
    <w:rsid w:val="009E5F45"/>
    <w:rsid w:val="009E6053"/>
    <w:rsid w:val="009E612B"/>
    <w:rsid w:val="009E66A5"/>
    <w:rsid w:val="009E721A"/>
    <w:rsid w:val="009E7799"/>
    <w:rsid w:val="009E77C0"/>
    <w:rsid w:val="009E77CD"/>
    <w:rsid w:val="009E7C32"/>
    <w:rsid w:val="009E7FC1"/>
    <w:rsid w:val="009F04D3"/>
    <w:rsid w:val="009F06E7"/>
    <w:rsid w:val="009F0771"/>
    <w:rsid w:val="009F0C01"/>
    <w:rsid w:val="009F0C04"/>
    <w:rsid w:val="009F0D08"/>
    <w:rsid w:val="009F0FEB"/>
    <w:rsid w:val="009F1294"/>
    <w:rsid w:val="009F13EB"/>
    <w:rsid w:val="009F1612"/>
    <w:rsid w:val="009F198C"/>
    <w:rsid w:val="009F21E6"/>
    <w:rsid w:val="009F24A8"/>
    <w:rsid w:val="009F24DD"/>
    <w:rsid w:val="009F26FB"/>
    <w:rsid w:val="009F2C11"/>
    <w:rsid w:val="009F2E87"/>
    <w:rsid w:val="009F32A3"/>
    <w:rsid w:val="009F38F4"/>
    <w:rsid w:val="009F39F6"/>
    <w:rsid w:val="009F3E6A"/>
    <w:rsid w:val="009F428D"/>
    <w:rsid w:val="009F4335"/>
    <w:rsid w:val="009F4969"/>
    <w:rsid w:val="009F4982"/>
    <w:rsid w:val="009F4BAC"/>
    <w:rsid w:val="009F4F25"/>
    <w:rsid w:val="009F4F83"/>
    <w:rsid w:val="009F527B"/>
    <w:rsid w:val="009F5452"/>
    <w:rsid w:val="009F63EE"/>
    <w:rsid w:val="009F6405"/>
    <w:rsid w:val="009F6581"/>
    <w:rsid w:val="009F6A13"/>
    <w:rsid w:val="009F6B1B"/>
    <w:rsid w:val="009F6EF0"/>
    <w:rsid w:val="009F7875"/>
    <w:rsid w:val="009F7913"/>
    <w:rsid w:val="009F7AE3"/>
    <w:rsid w:val="009F7CA5"/>
    <w:rsid w:val="009F7D23"/>
    <w:rsid w:val="00A00160"/>
    <w:rsid w:val="00A003DD"/>
    <w:rsid w:val="00A0085D"/>
    <w:rsid w:val="00A0087B"/>
    <w:rsid w:val="00A00A3F"/>
    <w:rsid w:val="00A00BF9"/>
    <w:rsid w:val="00A00C34"/>
    <w:rsid w:val="00A011CD"/>
    <w:rsid w:val="00A015E0"/>
    <w:rsid w:val="00A019CA"/>
    <w:rsid w:val="00A02195"/>
    <w:rsid w:val="00A021CE"/>
    <w:rsid w:val="00A02428"/>
    <w:rsid w:val="00A028FF"/>
    <w:rsid w:val="00A02ADC"/>
    <w:rsid w:val="00A02CBB"/>
    <w:rsid w:val="00A02CE6"/>
    <w:rsid w:val="00A03212"/>
    <w:rsid w:val="00A032B4"/>
    <w:rsid w:val="00A03A04"/>
    <w:rsid w:val="00A03C5E"/>
    <w:rsid w:val="00A03D2B"/>
    <w:rsid w:val="00A03DFF"/>
    <w:rsid w:val="00A03EB1"/>
    <w:rsid w:val="00A0400C"/>
    <w:rsid w:val="00A04461"/>
    <w:rsid w:val="00A044DA"/>
    <w:rsid w:val="00A04927"/>
    <w:rsid w:val="00A04E46"/>
    <w:rsid w:val="00A04E9A"/>
    <w:rsid w:val="00A04ED5"/>
    <w:rsid w:val="00A04F15"/>
    <w:rsid w:val="00A05910"/>
    <w:rsid w:val="00A05C85"/>
    <w:rsid w:val="00A061A9"/>
    <w:rsid w:val="00A06420"/>
    <w:rsid w:val="00A06707"/>
    <w:rsid w:val="00A07116"/>
    <w:rsid w:val="00A0739E"/>
    <w:rsid w:val="00A073C7"/>
    <w:rsid w:val="00A07D72"/>
    <w:rsid w:val="00A07FB8"/>
    <w:rsid w:val="00A104BF"/>
    <w:rsid w:val="00A1058E"/>
    <w:rsid w:val="00A10686"/>
    <w:rsid w:val="00A10A62"/>
    <w:rsid w:val="00A10C3F"/>
    <w:rsid w:val="00A10EC4"/>
    <w:rsid w:val="00A10F71"/>
    <w:rsid w:val="00A11174"/>
    <w:rsid w:val="00A11855"/>
    <w:rsid w:val="00A118D8"/>
    <w:rsid w:val="00A11EA1"/>
    <w:rsid w:val="00A122C3"/>
    <w:rsid w:val="00A12356"/>
    <w:rsid w:val="00A1244D"/>
    <w:rsid w:val="00A12487"/>
    <w:rsid w:val="00A1248E"/>
    <w:rsid w:val="00A12550"/>
    <w:rsid w:val="00A12696"/>
    <w:rsid w:val="00A129CC"/>
    <w:rsid w:val="00A12B88"/>
    <w:rsid w:val="00A1327C"/>
    <w:rsid w:val="00A13849"/>
    <w:rsid w:val="00A13A54"/>
    <w:rsid w:val="00A13D67"/>
    <w:rsid w:val="00A1463F"/>
    <w:rsid w:val="00A148AB"/>
    <w:rsid w:val="00A148B6"/>
    <w:rsid w:val="00A14C53"/>
    <w:rsid w:val="00A14DBC"/>
    <w:rsid w:val="00A14DC0"/>
    <w:rsid w:val="00A14EF1"/>
    <w:rsid w:val="00A15457"/>
    <w:rsid w:val="00A15F77"/>
    <w:rsid w:val="00A160BD"/>
    <w:rsid w:val="00A16134"/>
    <w:rsid w:val="00A1624A"/>
    <w:rsid w:val="00A16E98"/>
    <w:rsid w:val="00A17179"/>
    <w:rsid w:val="00A173DA"/>
    <w:rsid w:val="00A174BF"/>
    <w:rsid w:val="00A175B6"/>
    <w:rsid w:val="00A176BA"/>
    <w:rsid w:val="00A178DF"/>
    <w:rsid w:val="00A17A80"/>
    <w:rsid w:val="00A17A84"/>
    <w:rsid w:val="00A17AD1"/>
    <w:rsid w:val="00A17D7C"/>
    <w:rsid w:val="00A17FC0"/>
    <w:rsid w:val="00A2016C"/>
    <w:rsid w:val="00A205D8"/>
    <w:rsid w:val="00A2071C"/>
    <w:rsid w:val="00A20A16"/>
    <w:rsid w:val="00A20D57"/>
    <w:rsid w:val="00A20EC8"/>
    <w:rsid w:val="00A20F2D"/>
    <w:rsid w:val="00A2156A"/>
    <w:rsid w:val="00A21AEB"/>
    <w:rsid w:val="00A21EB5"/>
    <w:rsid w:val="00A22205"/>
    <w:rsid w:val="00A224D4"/>
    <w:rsid w:val="00A22581"/>
    <w:rsid w:val="00A226C5"/>
    <w:rsid w:val="00A22909"/>
    <w:rsid w:val="00A22A1A"/>
    <w:rsid w:val="00A22BF0"/>
    <w:rsid w:val="00A233D6"/>
    <w:rsid w:val="00A23921"/>
    <w:rsid w:val="00A23AF8"/>
    <w:rsid w:val="00A23CD6"/>
    <w:rsid w:val="00A23E87"/>
    <w:rsid w:val="00A24277"/>
    <w:rsid w:val="00A24949"/>
    <w:rsid w:val="00A25024"/>
    <w:rsid w:val="00A25277"/>
    <w:rsid w:val="00A258BE"/>
    <w:rsid w:val="00A25ADA"/>
    <w:rsid w:val="00A25EA7"/>
    <w:rsid w:val="00A25FAC"/>
    <w:rsid w:val="00A2600A"/>
    <w:rsid w:val="00A26225"/>
    <w:rsid w:val="00A2627E"/>
    <w:rsid w:val="00A262D8"/>
    <w:rsid w:val="00A265FC"/>
    <w:rsid w:val="00A266ED"/>
    <w:rsid w:val="00A270D4"/>
    <w:rsid w:val="00A27132"/>
    <w:rsid w:val="00A274CE"/>
    <w:rsid w:val="00A27A10"/>
    <w:rsid w:val="00A27A1E"/>
    <w:rsid w:val="00A3004E"/>
    <w:rsid w:val="00A30050"/>
    <w:rsid w:val="00A30617"/>
    <w:rsid w:val="00A30648"/>
    <w:rsid w:val="00A308CD"/>
    <w:rsid w:val="00A308EA"/>
    <w:rsid w:val="00A30BDA"/>
    <w:rsid w:val="00A31153"/>
    <w:rsid w:val="00A3127E"/>
    <w:rsid w:val="00A31442"/>
    <w:rsid w:val="00A31CAB"/>
    <w:rsid w:val="00A31DDA"/>
    <w:rsid w:val="00A31EB3"/>
    <w:rsid w:val="00A3242D"/>
    <w:rsid w:val="00A327AC"/>
    <w:rsid w:val="00A32865"/>
    <w:rsid w:val="00A329F1"/>
    <w:rsid w:val="00A32B07"/>
    <w:rsid w:val="00A32C06"/>
    <w:rsid w:val="00A32D88"/>
    <w:rsid w:val="00A331DE"/>
    <w:rsid w:val="00A332FF"/>
    <w:rsid w:val="00A33387"/>
    <w:rsid w:val="00A33820"/>
    <w:rsid w:val="00A33D3D"/>
    <w:rsid w:val="00A33DF3"/>
    <w:rsid w:val="00A33FA9"/>
    <w:rsid w:val="00A34051"/>
    <w:rsid w:val="00A344E3"/>
    <w:rsid w:val="00A344E4"/>
    <w:rsid w:val="00A34BB4"/>
    <w:rsid w:val="00A3510D"/>
    <w:rsid w:val="00A354DD"/>
    <w:rsid w:val="00A3559A"/>
    <w:rsid w:val="00A355CE"/>
    <w:rsid w:val="00A35A17"/>
    <w:rsid w:val="00A35A4B"/>
    <w:rsid w:val="00A35A83"/>
    <w:rsid w:val="00A35FA3"/>
    <w:rsid w:val="00A3659A"/>
    <w:rsid w:val="00A36736"/>
    <w:rsid w:val="00A368DC"/>
    <w:rsid w:val="00A36919"/>
    <w:rsid w:val="00A36CD4"/>
    <w:rsid w:val="00A36D1F"/>
    <w:rsid w:val="00A3731C"/>
    <w:rsid w:val="00A37529"/>
    <w:rsid w:val="00A378A7"/>
    <w:rsid w:val="00A378F2"/>
    <w:rsid w:val="00A37978"/>
    <w:rsid w:val="00A37AA4"/>
    <w:rsid w:val="00A37B9D"/>
    <w:rsid w:val="00A37CCE"/>
    <w:rsid w:val="00A37D3A"/>
    <w:rsid w:val="00A37E7A"/>
    <w:rsid w:val="00A4017E"/>
    <w:rsid w:val="00A40258"/>
    <w:rsid w:val="00A40526"/>
    <w:rsid w:val="00A40710"/>
    <w:rsid w:val="00A40AA9"/>
    <w:rsid w:val="00A40E9F"/>
    <w:rsid w:val="00A411E6"/>
    <w:rsid w:val="00A413DD"/>
    <w:rsid w:val="00A415A4"/>
    <w:rsid w:val="00A41A46"/>
    <w:rsid w:val="00A41E1D"/>
    <w:rsid w:val="00A421C7"/>
    <w:rsid w:val="00A4236E"/>
    <w:rsid w:val="00A42997"/>
    <w:rsid w:val="00A42ACC"/>
    <w:rsid w:val="00A42F40"/>
    <w:rsid w:val="00A430AE"/>
    <w:rsid w:val="00A431A7"/>
    <w:rsid w:val="00A435BB"/>
    <w:rsid w:val="00A43622"/>
    <w:rsid w:val="00A43881"/>
    <w:rsid w:val="00A43BE5"/>
    <w:rsid w:val="00A43CA7"/>
    <w:rsid w:val="00A441E0"/>
    <w:rsid w:val="00A44639"/>
    <w:rsid w:val="00A44E66"/>
    <w:rsid w:val="00A45056"/>
    <w:rsid w:val="00A45635"/>
    <w:rsid w:val="00A4585D"/>
    <w:rsid w:val="00A45DCF"/>
    <w:rsid w:val="00A45EE2"/>
    <w:rsid w:val="00A46039"/>
    <w:rsid w:val="00A46411"/>
    <w:rsid w:val="00A46513"/>
    <w:rsid w:val="00A46688"/>
    <w:rsid w:val="00A467EB"/>
    <w:rsid w:val="00A46D02"/>
    <w:rsid w:val="00A46EA9"/>
    <w:rsid w:val="00A471A2"/>
    <w:rsid w:val="00A47D45"/>
    <w:rsid w:val="00A50C2F"/>
    <w:rsid w:val="00A50DB9"/>
    <w:rsid w:val="00A50FEF"/>
    <w:rsid w:val="00A511BC"/>
    <w:rsid w:val="00A51E67"/>
    <w:rsid w:val="00A51E7D"/>
    <w:rsid w:val="00A51EBB"/>
    <w:rsid w:val="00A520BF"/>
    <w:rsid w:val="00A52399"/>
    <w:rsid w:val="00A52BE2"/>
    <w:rsid w:val="00A52C78"/>
    <w:rsid w:val="00A52CAC"/>
    <w:rsid w:val="00A52CD2"/>
    <w:rsid w:val="00A52D5B"/>
    <w:rsid w:val="00A52E14"/>
    <w:rsid w:val="00A530B4"/>
    <w:rsid w:val="00A5318A"/>
    <w:rsid w:val="00A5331D"/>
    <w:rsid w:val="00A538B4"/>
    <w:rsid w:val="00A54005"/>
    <w:rsid w:val="00A54060"/>
    <w:rsid w:val="00A54359"/>
    <w:rsid w:val="00A548B3"/>
    <w:rsid w:val="00A54AA3"/>
    <w:rsid w:val="00A54D26"/>
    <w:rsid w:val="00A54E53"/>
    <w:rsid w:val="00A54FCD"/>
    <w:rsid w:val="00A55375"/>
    <w:rsid w:val="00A55551"/>
    <w:rsid w:val="00A556C3"/>
    <w:rsid w:val="00A558BD"/>
    <w:rsid w:val="00A55A1C"/>
    <w:rsid w:val="00A56063"/>
    <w:rsid w:val="00A566FB"/>
    <w:rsid w:val="00A5680B"/>
    <w:rsid w:val="00A5693F"/>
    <w:rsid w:val="00A56BE6"/>
    <w:rsid w:val="00A56DA9"/>
    <w:rsid w:val="00A56DFC"/>
    <w:rsid w:val="00A56E15"/>
    <w:rsid w:val="00A5716B"/>
    <w:rsid w:val="00A571B9"/>
    <w:rsid w:val="00A57AC8"/>
    <w:rsid w:val="00A57B56"/>
    <w:rsid w:val="00A57D72"/>
    <w:rsid w:val="00A57EE7"/>
    <w:rsid w:val="00A60017"/>
    <w:rsid w:val="00A60025"/>
    <w:rsid w:val="00A60039"/>
    <w:rsid w:val="00A600E2"/>
    <w:rsid w:val="00A6055F"/>
    <w:rsid w:val="00A605E3"/>
    <w:rsid w:val="00A60A4E"/>
    <w:rsid w:val="00A60BEC"/>
    <w:rsid w:val="00A60C2C"/>
    <w:rsid w:val="00A612D8"/>
    <w:rsid w:val="00A6164B"/>
    <w:rsid w:val="00A618BD"/>
    <w:rsid w:val="00A61A6E"/>
    <w:rsid w:val="00A61B71"/>
    <w:rsid w:val="00A61EBC"/>
    <w:rsid w:val="00A6213E"/>
    <w:rsid w:val="00A6216F"/>
    <w:rsid w:val="00A6220F"/>
    <w:rsid w:val="00A622CA"/>
    <w:rsid w:val="00A629C4"/>
    <w:rsid w:val="00A62AC7"/>
    <w:rsid w:val="00A62D33"/>
    <w:rsid w:val="00A62E42"/>
    <w:rsid w:val="00A633AF"/>
    <w:rsid w:val="00A635FA"/>
    <w:rsid w:val="00A637C8"/>
    <w:rsid w:val="00A63A95"/>
    <w:rsid w:val="00A63AAB"/>
    <w:rsid w:val="00A63BA1"/>
    <w:rsid w:val="00A63EBD"/>
    <w:rsid w:val="00A641E7"/>
    <w:rsid w:val="00A64233"/>
    <w:rsid w:val="00A6428C"/>
    <w:rsid w:val="00A646AF"/>
    <w:rsid w:val="00A6479D"/>
    <w:rsid w:val="00A65275"/>
    <w:rsid w:val="00A655E0"/>
    <w:rsid w:val="00A658D4"/>
    <w:rsid w:val="00A659AD"/>
    <w:rsid w:val="00A65A87"/>
    <w:rsid w:val="00A65DE9"/>
    <w:rsid w:val="00A65EDE"/>
    <w:rsid w:val="00A6609C"/>
    <w:rsid w:val="00A661C9"/>
    <w:rsid w:val="00A664AD"/>
    <w:rsid w:val="00A66583"/>
    <w:rsid w:val="00A66770"/>
    <w:rsid w:val="00A669C4"/>
    <w:rsid w:val="00A66A03"/>
    <w:rsid w:val="00A66E02"/>
    <w:rsid w:val="00A66E78"/>
    <w:rsid w:val="00A67361"/>
    <w:rsid w:val="00A67944"/>
    <w:rsid w:val="00A67A68"/>
    <w:rsid w:val="00A67D9F"/>
    <w:rsid w:val="00A67DE3"/>
    <w:rsid w:val="00A70809"/>
    <w:rsid w:val="00A70853"/>
    <w:rsid w:val="00A70D63"/>
    <w:rsid w:val="00A70EE4"/>
    <w:rsid w:val="00A71050"/>
    <w:rsid w:val="00A71072"/>
    <w:rsid w:val="00A7130E"/>
    <w:rsid w:val="00A7157D"/>
    <w:rsid w:val="00A715CA"/>
    <w:rsid w:val="00A71A6C"/>
    <w:rsid w:val="00A71E32"/>
    <w:rsid w:val="00A72715"/>
    <w:rsid w:val="00A727A6"/>
    <w:rsid w:val="00A727FF"/>
    <w:rsid w:val="00A72A5D"/>
    <w:rsid w:val="00A72E1D"/>
    <w:rsid w:val="00A72EB0"/>
    <w:rsid w:val="00A7304E"/>
    <w:rsid w:val="00A733FA"/>
    <w:rsid w:val="00A73DC6"/>
    <w:rsid w:val="00A73E1E"/>
    <w:rsid w:val="00A7430E"/>
    <w:rsid w:val="00A7464D"/>
    <w:rsid w:val="00A746F9"/>
    <w:rsid w:val="00A74875"/>
    <w:rsid w:val="00A74A69"/>
    <w:rsid w:val="00A74A95"/>
    <w:rsid w:val="00A74B08"/>
    <w:rsid w:val="00A74EB6"/>
    <w:rsid w:val="00A74EDE"/>
    <w:rsid w:val="00A74FE7"/>
    <w:rsid w:val="00A7519A"/>
    <w:rsid w:val="00A751FC"/>
    <w:rsid w:val="00A753AC"/>
    <w:rsid w:val="00A756F5"/>
    <w:rsid w:val="00A756F8"/>
    <w:rsid w:val="00A75ADD"/>
    <w:rsid w:val="00A75F2D"/>
    <w:rsid w:val="00A7633E"/>
    <w:rsid w:val="00A764C9"/>
    <w:rsid w:val="00A769EF"/>
    <w:rsid w:val="00A76C22"/>
    <w:rsid w:val="00A77032"/>
    <w:rsid w:val="00A77232"/>
    <w:rsid w:val="00A7756B"/>
    <w:rsid w:val="00A778B8"/>
    <w:rsid w:val="00A7793F"/>
    <w:rsid w:val="00A77AD7"/>
    <w:rsid w:val="00A77BCB"/>
    <w:rsid w:val="00A77C76"/>
    <w:rsid w:val="00A77E41"/>
    <w:rsid w:val="00A800D2"/>
    <w:rsid w:val="00A80216"/>
    <w:rsid w:val="00A80689"/>
    <w:rsid w:val="00A808EC"/>
    <w:rsid w:val="00A80951"/>
    <w:rsid w:val="00A80A99"/>
    <w:rsid w:val="00A80BF7"/>
    <w:rsid w:val="00A80C01"/>
    <w:rsid w:val="00A80CE5"/>
    <w:rsid w:val="00A80DAA"/>
    <w:rsid w:val="00A80F3D"/>
    <w:rsid w:val="00A812C5"/>
    <w:rsid w:val="00A8143D"/>
    <w:rsid w:val="00A8165B"/>
    <w:rsid w:val="00A816F0"/>
    <w:rsid w:val="00A81F5D"/>
    <w:rsid w:val="00A81F7C"/>
    <w:rsid w:val="00A824F4"/>
    <w:rsid w:val="00A82976"/>
    <w:rsid w:val="00A82B61"/>
    <w:rsid w:val="00A83162"/>
    <w:rsid w:val="00A835E1"/>
    <w:rsid w:val="00A83DE2"/>
    <w:rsid w:val="00A83EA3"/>
    <w:rsid w:val="00A84566"/>
    <w:rsid w:val="00A84750"/>
    <w:rsid w:val="00A84D75"/>
    <w:rsid w:val="00A84ECD"/>
    <w:rsid w:val="00A84FF6"/>
    <w:rsid w:val="00A8519C"/>
    <w:rsid w:val="00A858F1"/>
    <w:rsid w:val="00A85ABD"/>
    <w:rsid w:val="00A85C5F"/>
    <w:rsid w:val="00A85D9A"/>
    <w:rsid w:val="00A85E74"/>
    <w:rsid w:val="00A85F2C"/>
    <w:rsid w:val="00A864DE"/>
    <w:rsid w:val="00A86C1A"/>
    <w:rsid w:val="00A86C46"/>
    <w:rsid w:val="00A86E6F"/>
    <w:rsid w:val="00A86ED9"/>
    <w:rsid w:val="00A87427"/>
    <w:rsid w:val="00A876DE"/>
    <w:rsid w:val="00A87892"/>
    <w:rsid w:val="00A878BC"/>
    <w:rsid w:val="00A90003"/>
    <w:rsid w:val="00A901EB"/>
    <w:rsid w:val="00A90552"/>
    <w:rsid w:val="00A905EF"/>
    <w:rsid w:val="00A90644"/>
    <w:rsid w:val="00A90792"/>
    <w:rsid w:val="00A909FD"/>
    <w:rsid w:val="00A90BAE"/>
    <w:rsid w:val="00A90F43"/>
    <w:rsid w:val="00A9114F"/>
    <w:rsid w:val="00A9129C"/>
    <w:rsid w:val="00A91543"/>
    <w:rsid w:val="00A916B9"/>
    <w:rsid w:val="00A9175F"/>
    <w:rsid w:val="00A91840"/>
    <w:rsid w:val="00A91B5E"/>
    <w:rsid w:val="00A91DA9"/>
    <w:rsid w:val="00A92493"/>
    <w:rsid w:val="00A92E94"/>
    <w:rsid w:val="00A9305A"/>
    <w:rsid w:val="00A93C26"/>
    <w:rsid w:val="00A93EBA"/>
    <w:rsid w:val="00A93FA0"/>
    <w:rsid w:val="00A941D7"/>
    <w:rsid w:val="00A94247"/>
    <w:rsid w:val="00A94C5C"/>
    <w:rsid w:val="00A94D44"/>
    <w:rsid w:val="00A94E3F"/>
    <w:rsid w:val="00A94E78"/>
    <w:rsid w:val="00A95003"/>
    <w:rsid w:val="00A95144"/>
    <w:rsid w:val="00A95779"/>
    <w:rsid w:val="00A95898"/>
    <w:rsid w:val="00A95A99"/>
    <w:rsid w:val="00A95CDE"/>
    <w:rsid w:val="00A95DCA"/>
    <w:rsid w:val="00A96135"/>
    <w:rsid w:val="00A965A8"/>
    <w:rsid w:val="00A9661D"/>
    <w:rsid w:val="00A969B2"/>
    <w:rsid w:val="00A9758E"/>
    <w:rsid w:val="00A97959"/>
    <w:rsid w:val="00A97C31"/>
    <w:rsid w:val="00A97CD5"/>
    <w:rsid w:val="00A97F87"/>
    <w:rsid w:val="00AA0198"/>
    <w:rsid w:val="00AA0442"/>
    <w:rsid w:val="00AA0B68"/>
    <w:rsid w:val="00AA0EF6"/>
    <w:rsid w:val="00AA0FD0"/>
    <w:rsid w:val="00AA0FD7"/>
    <w:rsid w:val="00AA16DF"/>
    <w:rsid w:val="00AA171E"/>
    <w:rsid w:val="00AA1E21"/>
    <w:rsid w:val="00AA2A79"/>
    <w:rsid w:val="00AA2B04"/>
    <w:rsid w:val="00AA2F8A"/>
    <w:rsid w:val="00AA2F8B"/>
    <w:rsid w:val="00AA2FD2"/>
    <w:rsid w:val="00AA3071"/>
    <w:rsid w:val="00AA34FA"/>
    <w:rsid w:val="00AA365D"/>
    <w:rsid w:val="00AA36EC"/>
    <w:rsid w:val="00AA3786"/>
    <w:rsid w:val="00AA3CB6"/>
    <w:rsid w:val="00AA4114"/>
    <w:rsid w:val="00AA433C"/>
    <w:rsid w:val="00AA464F"/>
    <w:rsid w:val="00AA4750"/>
    <w:rsid w:val="00AA4B8E"/>
    <w:rsid w:val="00AA4D63"/>
    <w:rsid w:val="00AA4D99"/>
    <w:rsid w:val="00AA4F2C"/>
    <w:rsid w:val="00AA5439"/>
    <w:rsid w:val="00AA552A"/>
    <w:rsid w:val="00AA5577"/>
    <w:rsid w:val="00AA5E43"/>
    <w:rsid w:val="00AA5F55"/>
    <w:rsid w:val="00AA60AA"/>
    <w:rsid w:val="00AA695E"/>
    <w:rsid w:val="00AA6B96"/>
    <w:rsid w:val="00AA752B"/>
    <w:rsid w:val="00AA767D"/>
    <w:rsid w:val="00AA7B7D"/>
    <w:rsid w:val="00AA7CDD"/>
    <w:rsid w:val="00AA7F94"/>
    <w:rsid w:val="00AB0069"/>
    <w:rsid w:val="00AB00B7"/>
    <w:rsid w:val="00AB01D6"/>
    <w:rsid w:val="00AB02A3"/>
    <w:rsid w:val="00AB03F8"/>
    <w:rsid w:val="00AB0F50"/>
    <w:rsid w:val="00AB0FAD"/>
    <w:rsid w:val="00AB11EB"/>
    <w:rsid w:val="00AB15AA"/>
    <w:rsid w:val="00AB1835"/>
    <w:rsid w:val="00AB1840"/>
    <w:rsid w:val="00AB1A42"/>
    <w:rsid w:val="00AB1BC7"/>
    <w:rsid w:val="00AB1C67"/>
    <w:rsid w:val="00AB1CC4"/>
    <w:rsid w:val="00AB1ECA"/>
    <w:rsid w:val="00AB1F07"/>
    <w:rsid w:val="00AB1F66"/>
    <w:rsid w:val="00AB217F"/>
    <w:rsid w:val="00AB22B7"/>
    <w:rsid w:val="00AB274C"/>
    <w:rsid w:val="00AB2A7D"/>
    <w:rsid w:val="00AB3165"/>
    <w:rsid w:val="00AB32B1"/>
    <w:rsid w:val="00AB357A"/>
    <w:rsid w:val="00AB36FC"/>
    <w:rsid w:val="00AB38F8"/>
    <w:rsid w:val="00AB4051"/>
    <w:rsid w:val="00AB4194"/>
    <w:rsid w:val="00AB444D"/>
    <w:rsid w:val="00AB46D6"/>
    <w:rsid w:val="00AB4A01"/>
    <w:rsid w:val="00AB4F45"/>
    <w:rsid w:val="00AB516C"/>
    <w:rsid w:val="00AB52CC"/>
    <w:rsid w:val="00AB5628"/>
    <w:rsid w:val="00AB56B0"/>
    <w:rsid w:val="00AB59AD"/>
    <w:rsid w:val="00AB5A3C"/>
    <w:rsid w:val="00AB5DC7"/>
    <w:rsid w:val="00AB5EFB"/>
    <w:rsid w:val="00AB5EFD"/>
    <w:rsid w:val="00AB616F"/>
    <w:rsid w:val="00AB6442"/>
    <w:rsid w:val="00AB6C5B"/>
    <w:rsid w:val="00AB6EC6"/>
    <w:rsid w:val="00AB7648"/>
    <w:rsid w:val="00AB7AFC"/>
    <w:rsid w:val="00AB7E03"/>
    <w:rsid w:val="00AB7EC4"/>
    <w:rsid w:val="00AC0081"/>
    <w:rsid w:val="00AC0574"/>
    <w:rsid w:val="00AC079B"/>
    <w:rsid w:val="00AC079D"/>
    <w:rsid w:val="00AC1499"/>
    <w:rsid w:val="00AC17B3"/>
    <w:rsid w:val="00AC1C3F"/>
    <w:rsid w:val="00AC1F5D"/>
    <w:rsid w:val="00AC1FFE"/>
    <w:rsid w:val="00AC201D"/>
    <w:rsid w:val="00AC2039"/>
    <w:rsid w:val="00AC2494"/>
    <w:rsid w:val="00AC279A"/>
    <w:rsid w:val="00AC27B6"/>
    <w:rsid w:val="00AC27D0"/>
    <w:rsid w:val="00AC2B07"/>
    <w:rsid w:val="00AC2C9C"/>
    <w:rsid w:val="00AC3064"/>
    <w:rsid w:val="00AC31EF"/>
    <w:rsid w:val="00AC334F"/>
    <w:rsid w:val="00AC335F"/>
    <w:rsid w:val="00AC36CE"/>
    <w:rsid w:val="00AC3773"/>
    <w:rsid w:val="00AC3842"/>
    <w:rsid w:val="00AC392E"/>
    <w:rsid w:val="00AC4385"/>
    <w:rsid w:val="00AC4F63"/>
    <w:rsid w:val="00AC50DD"/>
    <w:rsid w:val="00AC52BB"/>
    <w:rsid w:val="00AC5554"/>
    <w:rsid w:val="00AC5643"/>
    <w:rsid w:val="00AC589A"/>
    <w:rsid w:val="00AC5B55"/>
    <w:rsid w:val="00AC60EA"/>
    <w:rsid w:val="00AC61A1"/>
    <w:rsid w:val="00AC6937"/>
    <w:rsid w:val="00AC6FB5"/>
    <w:rsid w:val="00AC7262"/>
    <w:rsid w:val="00AC74D4"/>
    <w:rsid w:val="00AC7651"/>
    <w:rsid w:val="00AC7FF2"/>
    <w:rsid w:val="00AD00DC"/>
    <w:rsid w:val="00AD043B"/>
    <w:rsid w:val="00AD061D"/>
    <w:rsid w:val="00AD0B9F"/>
    <w:rsid w:val="00AD17DD"/>
    <w:rsid w:val="00AD1C1C"/>
    <w:rsid w:val="00AD1DA5"/>
    <w:rsid w:val="00AD1E31"/>
    <w:rsid w:val="00AD1FDF"/>
    <w:rsid w:val="00AD20ED"/>
    <w:rsid w:val="00AD211F"/>
    <w:rsid w:val="00AD2383"/>
    <w:rsid w:val="00AD240D"/>
    <w:rsid w:val="00AD2473"/>
    <w:rsid w:val="00AD2CE7"/>
    <w:rsid w:val="00AD3360"/>
    <w:rsid w:val="00AD33AA"/>
    <w:rsid w:val="00AD355B"/>
    <w:rsid w:val="00AD3900"/>
    <w:rsid w:val="00AD3976"/>
    <w:rsid w:val="00AD4070"/>
    <w:rsid w:val="00AD41AE"/>
    <w:rsid w:val="00AD4C27"/>
    <w:rsid w:val="00AD531B"/>
    <w:rsid w:val="00AD5329"/>
    <w:rsid w:val="00AD558B"/>
    <w:rsid w:val="00AD560A"/>
    <w:rsid w:val="00AD575B"/>
    <w:rsid w:val="00AD57BB"/>
    <w:rsid w:val="00AD5E1F"/>
    <w:rsid w:val="00AD62B4"/>
    <w:rsid w:val="00AD6A43"/>
    <w:rsid w:val="00AD6A54"/>
    <w:rsid w:val="00AD6D9A"/>
    <w:rsid w:val="00AD7511"/>
    <w:rsid w:val="00AD760A"/>
    <w:rsid w:val="00AD78AB"/>
    <w:rsid w:val="00AD7D2F"/>
    <w:rsid w:val="00AE0015"/>
    <w:rsid w:val="00AE02DC"/>
    <w:rsid w:val="00AE0636"/>
    <w:rsid w:val="00AE0893"/>
    <w:rsid w:val="00AE08BF"/>
    <w:rsid w:val="00AE0E9B"/>
    <w:rsid w:val="00AE0F1D"/>
    <w:rsid w:val="00AE1357"/>
    <w:rsid w:val="00AE145F"/>
    <w:rsid w:val="00AE14B5"/>
    <w:rsid w:val="00AE1505"/>
    <w:rsid w:val="00AE170F"/>
    <w:rsid w:val="00AE17A2"/>
    <w:rsid w:val="00AE2001"/>
    <w:rsid w:val="00AE2426"/>
    <w:rsid w:val="00AE2863"/>
    <w:rsid w:val="00AE2BB3"/>
    <w:rsid w:val="00AE2C68"/>
    <w:rsid w:val="00AE3231"/>
    <w:rsid w:val="00AE339B"/>
    <w:rsid w:val="00AE339C"/>
    <w:rsid w:val="00AE34EE"/>
    <w:rsid w:val="00AE38E7"/>
    <w:rsid w:val="00AE3BB4"/>
    <w:rsid w:val="00AE40C7"/>
    <w:rsid w:val="00AE447D"/>
    <w:rsid w:val="00AE49DB"/>
    <w:rsid w:val="00AE4F81"/>
    <w:rsid w:val="00AE511D"/>
    <w:rsid w:val="00AE584C"/>
    <w:rsid w:val="00AE62E3"/>
    <w:rsid w:val="00AE6304"/>
    <w:rsid w:val="00AE6368"/>
    <w:rsid w:val="00AE63B7"/>
    <w:rsid w:val="00AE6A9C"/>
    <w:rsid w:val="00AE6BE8"/>
    <w:rsid w:val="00AE6C21"/>
    <w:rsid w:val="00AE6C3F"/>
    <w:rsid w:val="00AE6CD7"/>
    <w:rsid w:val="00AE6F82"/>
    <w:rsid w:val="00AE709F"/>
    <w:rsid w:val="00AE70F1"/>
    <w:rsid w:val="00AE71A2"/>
    <w:rsid w:val="00AE7953"/>
    <w:rsid w:val="00AE7A0F"/>
    <w:rsid w:val="00AE7AE0"/>
    <w:rsid w:val="00AE7BB3"/>
    <w:rsid w:val="00AE7BD7"/>
    <w:rsid w:val="00AE7C3B"/>
    <w:rsid w:val="00AE7D0C"/>
    <w:rsid w:val="00AE7EED"/>
    <w:rsid w:val="00AF0003"/>
    <w:rsid w:val="00AF017E"/>
    <w:rsid w:val="00AF03BD"/>
    <w:rsid w:val="00AF04FE"/>
    <w:rsid w:val="00AF0545"/>
    <w:rsid w:val="00AF06CF"/>
    <w:rsid w:val="00AF0821"/>
    <w:rsid w:val="00AF0935"/>
    <w:rsid w:val="00AF136C"/>
    <w:rsid w:val="00AF1520"/>
    <w:rsid w:val="00AF15A7"/>
    <w:rsid w:val="00AF15D9"/>
    <w:rsid w:val="00AF1642"/>
    <w:rsid w:val="00AF16D7"/>
    <w:rsid w:val="00AF180B"/>
    <w:rsid w:val="00AF1934"/>
    <w:rsid w:val="00AF19AD"/>
    <w:rsid w:val="00AF1B44"/>
    <w:rsid w:val="00AF1EDC"/>
    <w:rsid w:val="00AF21E9"/>
    <w:rsid w:val="00AF2825"/>
    <w:rsid w:val="00AF3034"/>
    <w:rsid w:val="00AF3555"/>
    <w:rsid w:val="00AF356E"/>
    <w:rsid w:val="00AF3891"/>
    <w:rsid w:val="00AF3C64"/>
    <w:rsid w:val="00AF3F16"/>
    <w:rsid w:val="00AF4BD8"/>
    <w:rsid w:val="00AF4D5A"/>
    <w:rsid w:val="00AF5010"/>
    <w:rsid w:val="00AF5085"/>
    <w:rsid w:val="00AF50C1"/>
    <w:rsid w:val="00AF5245"/>
    <w:rsid w:val="00AF54BD"/>
    <w:rsid w:val="00AF58F3"/>
    <w:rsid w:val="00AF5E12"/>
    <w:rsid w:val="00AF5F1B"/>
    <w:rsid w:val="00AF5FB7"/>
    <w:rsid w:val="00AF6056"/>
    <w:rsid w:val="00AF6160"/>
    <w:rsid w:val="00AF632E"/>
    <w:rsid w:val="00AF63A1"/>
    <w:rsid w:val="00AF66AF"/>
    <w:rsid w:val="00AF6BDF"/>
    <w:rsid w:val="00AF6C8C"/>
    <w:rsid w:val="00AF6F7A"/>
    <w:rsid w:val="00AF70A3"/>
    <w:rsid w:val="00B00089"/>
    <w:rsid w:val="00B001D0"/>
    <w:rsid w:val="00B00365"/>
    <w:rsid w:val="00B004BC"/>
    <w:rsid w:val="00B005BA"/>
    <w:rsid w:val="00B00976"/>
    <w:rsid w:val="00B00D98"/>
    <w:rsid w:val="00B01039"/>
    <w:rsid w:val="00B011CB"/>
    <w:rsid w:val="00B0121B"/>
    <w:rsid w:val="00B0128E"/>
    <w:rsid w:val="00B01408"/>
    <w:rsid w:val="00B0195B"/>
    <w:rsid w:val="00B01C38"/>
    <w:rsid w:val="00B01D2F"/>
    <w:rsid w:val="00B02808"/>
    <w:rsid w:val="00B02ABA"/>
    <w:rsid w:val="00B02B4B"/>
    <w:rsid w:val="00B02C5B"/>
    <w:rsid w:val="00B02D9D"/>
    <w:rsid w:val="00B02DF2"/>
    <w:rsid w:val="00B02E7E"/>
    <w:rsid w:val="00B03890"/>
    <w:rsid w:val="00B03A38"/>
    <w:rsid w:val="00B0431B"/>
    <w:rsid w:val="00B0467A"/>
    <w:rsid w:val="00B0486F"/>
    <w:rsid w:val="00B04A90"/>
    <w:rsid w:val="00B04B25"/>
    <w:rsid w:val="00B04D7D"/>
    <w:rsid w:val="00B04F90"/>
    <w:rsid w:val="00B050CA"/>
    <w:rsid w:val="00B0511B"/>
    <w:rsid w:val="00B05143"/>
    <w:rsid w:val="00B05342"/>
    <w:rsid w:val="00B05477"/>
    <w:rsid w:val="00B05657"/>
    <w:rsid w:val="00B05863"/>
    <w:rsid w:val="00B05A55"/>
    <w:rsid w:val="00B0606C"/>
    <w:rsid w:val="00B0641A"/>
    <w:rsid w:val="00B06758"/>
    <w:rsid w:val="00B068A1"/>
    <w:rsid w:val="00B072CF"/>
    <w:rsid w:val="00B073BE"/>
    <w:rsid w:val="00B0752D"/>
    <w:rsid w:val="00B07A2C"/>
    <w:rsid w:val="00B07B0A"/>
    <w:rsid w:val="00B07C26"/>
    <w:rsid w:val="00B07D71"/>
    <w:rsid w:val="00B07E2C"/>
    <w:rsid w:val="00B10A34"/>
    <w:rsid w:val="00B10FF9"/>
    <w:rsid w:val="00B1125C"/>
    <w:rsid w:val="00B11C5F"/>
    <w:rsid w:val="00B11D71"/>
    <w:rsid w:val="00B11DD9"/>
    <w:rsid w:val="00B11E0A"/>
    <w:rsid w:val="00B11F95"/>
    <w:rsid w:val="00B12041"/>
    <w:rsid w:val="00B1216C"/>
    <w:rsid w:val="00B12450"/>
    <w:rsid w:val="00B126C7"/>
    <w:rsid w:val="00B126DF"/>
    <w:rsid w:val="00B128C1"/>
    <w:rsid w:val="00B12956"/>
    <w:rsid w:val="00B12C3D"/>
    <w:rsid w:val="00B12CC1"/>
    <w:rsid w:val="00B13654"/>
    <w:rsid w:val="00B13E54"/>
    <w:rsid w:val="00B141E8"/>
    <w:rsid w:val="00B14396"/>
    <w:rsid w:val="00B14641"/>
    <w:rsid w:val="00B14733"/>
    <w:rsid w:val="00B14754"/>
    <w:rsid w:val="00B14CF7"/>
    <w:rsid w:val="00B14D52"/>
    <w:rsid w:val="00B14E3D"/>
    <w:rsid w:val="00B14E9D"/>
    <w:rsid w:val="00B152E5"/>
    <w:rsid w:val="00B15D11"/>
    <w:rsid w:val="00B15D81"/>
    <w:rsid w:val="00B161E1"/>
    <w:rsid w:val="00B1631B"/>
    <w:rsid w:val="00B167CC"/>
    <w:rsid w:val="00B16925"/>
    <w:rsid w:val="00B16FEC"/>
    <w:rsid w:val="00B1714B"/>
    <w:rsid w:val="00B171BE"/>
    <w:rsid w:val="00B178D0"/>
    <w:rsid w:val="00B17CA8"/>
    <w:rsid w:val="00B17F8C"/>
    <w:rsid w:val="00B17FE6"/>
    <w:rsid w:val="00B2081F"/>
    <w:rsid w:val="00B20B7B"/>
    <w:rsid w:val="00B2105D"/>
    <w:rsid w:val="00B21121"/>
    <w:rsid w:val="00B214E5"/>
    <w:rsid w:val="00B21CBF"/>
    <w:rsid w:val="00B223F3"/>
    <w:rsid w:val="00B22686"/>
    <w:rsid w:val="00B22A0E"/>
    <w:rsid w:val="00B22E72"/>
    <w:rsid w:val="00B22EF3"/>
    <w:rsid w:val="00B23263"/>
    <w:rsid w:val="00B23297"/>
    <w:rsid w:val="00B23577"/>
    <w:rsid w:val="00B23BEA"/>
    <w:rsid w:val="00B23EA4"/>
    <w:rsid w:val="00B245B7"/>
    <w:rsid w:val="00B24D11"/>
    <w:rsid w:val="00B24DAD"/>
    <w:rsid w:val="00B24DF5"/>
    <w:rsid w:val="00B255E6"/>
    <w:rsid w:val="00B25ACA"/>
    <w:rsid w:val="00B25C5B"/>
    <w:rsid w:val="00B25D8C"/>
    <w:rsid w:val="00B2617F"/>
    <w:rsid w:val="00B262A0"/>
    <w:rsid w:val="00B26551"/>
    <w:rsid w:val="00B265C9"/>
    <w:rsid w:val="00B26844"/>
    <w:rsid w:val="00B2691F"/>
    <w:rsid w:val="00B269BF"/>
    <w:rsid w:val="00B26B93"/>
    <w:rsid w:val="00B26B9F"/>
    <w:rsid w:val="00B26F7D"/>
    <w:rsid w:val="00B270C3"/>
    <w:rsid w:val="00B27207"/>
    <w:rsid w:val="00B272BC"/>
    <w:rsid w:val="00B27399"/>
    <w:rsid w:val="00B274FA"/>
    <w:rsid w:val="00B27972"/>
    <w:rsid w:val="00B279F5"/>
    <w:rsid w:val="00B27AF5"/>
    <w:rsid w:val="00B27B1A"/>
    <w:rsid w:val="00B27CD2"/>
    <w:rsid w:val="00B307B8"/>
    <w:rsid w:val="00B30A59"/>
    <w:rsid w:val="00B30A90"/>
    <w:rsid w:val="00B30EAC"/>
    <w:rsid w:val="00B30F64"/>
    <w:rsid w:val="00B310D3"/>
    <w:rsid w:val="00B3126F"/>
    <w:rsid w:val="00B313C6"/>
    <w:rsid w:val="00B31647"/>
    <w:rsid w:val="00B316F9"/>
    <w:rsid w:val="00B3173A"/>
    <w:rsid w:val="00B3174C"/>
    <w:rsid w:val="00B31898"/>
    <w:rsid w:val="00B318C6"/>
    <w:rsid w:val="00B31C11"/>
    <w:rsid w:val="00B31ECD"/>
    <w:rsid w:val="00B32044"/>
    <w:rsid w:val="00B3213A"/>
    <w:rsid w:val="00B32483"/>
    <w:rsid w:val="00B324C1"/>
    <w:rsid w:val="00B32709"/>
    <w:rsid w:val="00B32998"/>
    <w:rsid w:val="00B329D7"/>
    <w:rsid w:val="00B33122"/>
    <w:rsid w:val="00B331E1"/>
    <w:rsid w:val="00B335EA"/>
    <w:rsid w:val="00B33748"/>
    <w:rsid w:val="00B33BB2"/>
    <w:rsid w:val="00B33D7B"/>
    <w:rsid w:val="00B34010"/>
    <w:rsid w:val="00B34140"/>
    <w:rsid w:val="00B343D0"/>
    <w:rsid w:val="00B346FC"/>
    <w:rsid w:val="00B34A97"/>
    <w:rsid w:val="00B34ACE"/>
    <w:rsid w:val="00B34E06"/>
    <w:rsid w:val="00B34E9B"/>
    <w:rsid w:val="00B351BB"/>
    <w:rsid w:val="00B351F5"/>
    <w:rsid w:val="00B35545"/>
    <w:rsid w:val="00B35740"/>
    <w:rsid w:val="00B357DD"/>
    <w:rsid w:val="00B35942"/>
    <w:rsid w:val="00B360BE"/>
    <w:rsid w:val="00B362F6"/>
    <w:rsid w:val="00B364F8"/>
    <w:rsid w:val="00B36A9E"/>
    <w:rsid w:val="00B37BB7"/>
    <w:rsid w:val="00B37CA0"/>
    <w:rsid w:val="00B400C5"/>
    <w:rsid w:val="00B4017B"/>
    <w:rsid w:val="00B40282"/>
    <w:rsid w:val="00B40433"/>
    <w:rsid w:val="00B40547"/>
    <w:rsid w:val="00B40592"/>
    <w:rsid w:val="00B40BA3"/>
    <w:rsid w:val="00B40F99"/>
    <w:rsid w:val="00B4108B"/>
    <w:rsid w:val="00B41320"/>
    <w:rsid w:val="00B41798"/>
    <w:rsid w:val="00B41923"/>
    <w:rsid w:val="00B419D6"/>
    <w:rsid w:val="00B42016"/>
    <w:rsid w:val="00B42568"/>
    <w:rsid w:val="00B42643"/>
    <w:rsid w:val="00B42664"/>
    <w:rsid w:val="00B4286C"/>
    <w:rsid w:val="00B42990"/>
    <w:rsid w:val="00B42A8B"/>
    <w:rsid w:val="00B42F57"/>
    <w:rsid w:val="00B430EC"/>
    <w:rsid w:val="00B4366F"/>
    <w:rsid w:val="00B4367F"/>
    <w:rsid w:val="00B439DD"/>
    <w:rsid w:val="00B43ED1"/>
    <w:rsid w:val="00B43FD5"/>
    <w:rsid w:val="00B445F2"/>
    <w:rsid w:val="00B44656"/>
    <w:rsid w:val="00B4481C"/>
    <w:rsid w:val="00B44902"/>
    <w:rsid w:val="00B44A61"/>
    <w:rsid w:val="00B45028"/>
    <w:rsid w:val="00B4521E"/>
    <w:rsid w:val="00B452E3"/>
    <w:rsid w:val="00B45319"/>
    <w:rsid w:val="00B4608D"/>
    <w:rsid w:val="00B46129"/>
    <w:rsid w:val="00B466CC"/>
    <w:rsid w:val="00B46844"/>
    <w:rsid w:val="00B46BA1"/>
    <w:rsid w:val="00B473DD"/>
    <w:rsid w:val="00B47BCD"/>
    <w:rsid w:val="00B47E3E"/>
    <w:rsid w:val="00B5056D"/>
    <w:rsid w:val="00B505E0"/>
    <w:rsid w:val="00B5096D"/>
    <w:rsid w:val="00B50DAB"/>
    <w:rsid w:val="00B50FAE"/>
    <w:rsid w:val="00B51026"/>
    <w:rsid w:val="00B51489"/>
    <w:rsid w:val="00B516EB"/>
    <w:rsid w:val="00B5190A"/>
    <w:rsid w:val="00B51AEF"/>
    <w:rsid w:val="00B51C79"/>
    <w:rsid w:val="00B51EBD"/>
    <w:rsid w:val="00B51F8A"/>
    <w:rsid w:val="00B51FF5"/>
    <w:rsid w:val="00B52190"/>
    <w:rsid w:val="00B52337"/>
    <w:rsid w:val="00B52F31"/>
    <w:rsid w:val="00B53206"/>
    <w:rsid w:val="00B53628"/>
    <w:rsid w:val="00B53EE4"/>
    <w:rsid w:val="00B54290"/>
    <w:rsid w:val="00B545A9"/>
    <w:rsid w:val="00B54A9A"/>
    <w:rsid w:val="00B54B0C"/>
    <w:rsid w:val="00B54BB7"/>
    <w:rsid w:val="00B54DED"/>
    <w:rsid w:val="00B54F64"/>
    <w:rsid w:val="00B55471"/>
    <w:rsid w:val="00B55D54"/>
    <w:rsid w:val="00B55F2A"/>
    <w:rsid w:val="00B55F32"/>
    <w:rsid w:val="00B561A3"/>
    <w:rsid w:val="00B562A6"/>
    <w:rsid w:val="00B5631A"/>
    <w:rsid w:val="00B5637C"/>
    <w:rsid w:val="00B5639F"/>
    <w:rsid w:val="00B56853"/>
    <w:rsid w:val="00B568BF"/>
    <w:rsid w:val="00B56E00"/>
    <w:rsid w:val="00B56F43"/>
    <w:rsid w:val="00B56FDB"/>
    <w:rsid w:val="00B57219"/>
    <w:rsid w:val="00B57265"/>
    <w:rsid w:val="00B573C7"/>
    <w:rsid w:val="00B57A93"/>
    <w:rsid w:val="00B6024F"/>
    <w:rsid w:val="00B60276"/>
    <w:rsid w:val="00B60454"/>
    <w:rsid w:val="00B60D46"/>
    <w:rsid w:val="00B60EAB"/>
    <w:rsid w:val="00B61200"/>
    <w:rsid w:val="00B6126A"/>
    <w:rsid w:val="00B61335"/>
    <w:rsid w:val="00B6170C"/>
    <w:rsid w:val="00B61D9D"/>
    <w:rsid w:val="00B61ECF"/>
    <w:rsid w:val="00B621C4"/>
    <w:rsid w:val="00B62390"/>
    <w:rsid w:val="00B624D0"/>
    <w:rsid w:val="00B62748"/>
    <w:rsid w:val="00B627BA"/>
    <w:rsid w:val="00B62897"/>
    <w:rsid w:val="00B62A64"/>
    <w:rsid w:val="00B62D7F"/>
    <w:rsid w:val="00B62DD4"/>
    <w:rsid w:val="00B631BC"/>
    <w:rsid w:val="00B63277"/>
    <w:rsid w:val="00B6359F"/>
    <w:rsid w:val="00B63EE3"/>
    <w:rsid w:val="00B63EE8"/>
    <w:rsid w:val="00B641F8"/>
    <w:rsid w:val="00B646E5"/>
    <w:rsid w:val="00B64844"/>
    <w:rsid w:val="00B64855"/>
    <w:rsid w:val="00B64A37"/>
    <w:rsid w:val="00B64C72"/>
    <w:rsid w:val="00B65C5D"/>
    <w:rsid w:val="00B65E76"/>
    <w:rsid w:val="00B65FEF"/>
    <w:rsid w:val="00B66699"/>
    <w:rsid w:val="00B667D0"/>
    <w:rsid w:val="00B66980"/>
    <w:rsid w:val="00B66D20"/>
    <w:rsid w:val="00B67171"/>
    <w:rsid w:val="00B67176"/>
    <w:rsid w:val="00B671F6"/>
    <w:rsid w:val="00B672A1"/>
    <w:rsid w:val="00B6747D"/>
    <w:rsid w:val="00B67695"/>
    <w:rsid w:val="00B6769F"/>
    <w:rsid w:val="00B67C0A"/>
    <w:rsid w:val="00B67CAB"/>
    <w:rsid w:val="00B67D51"/>
    <w:rsid w:val="00B70009"/>
    <w:rsid w:val="00B7073F"/>
    <w:rsid w:val="00B7150E"/>
    <w:rsid w:val="00B7161B"/>
    <w:rsid w:val="00B718EF"/>
    <w:rsid w:val="00B720BC"/>
    <w:rsid w:val="00B7226C"/>
    <w:rsid w:val="00B72630"/>
    <w:rsid w:val="00B726C2"/>
    <w:rsid w:val="00B72D71"/>
    <w:rsid w:val="00B72F4F"/>
    <w:rsid w:val="00B7326D"/>
    <w:rsid w:val="00B732B9"/>
    <w:rsid w:val="00B734EC"/>
    <w:rsid w:val="00B735A1"/>
    <w:rsid w:val="00B73902"/>
    <w:rsid w:val="00B73E50"/>
    <w:rsid w:val="00B7406E"/>
    <w:rsid w:val="00B74383"/>
    <w:rsid w:val="00B7441E"/>
    <w:rsid w:val="00B744BB"/>
    <w:rsid w:val="00B7455A"/>
    <w:rsid w:val="00B746D5"/>
    <w:rsid w:val="00B74932"/>
    <w:rsid w:val="00B74A3F"/>
    <w:rsid w:val="00B74DA0"/>
    <w:rsid w:val="00B75034"/>
    <w:rsid w:val="00B750A4"/>
    <w:rsid w:val="00B75155"/>
    <w:rsid w:val="00B75348"/>
    <w:rsid w:val="00B75950"/>
    <w:rsid w:val="00B75D96"/>
    <w:rsid w:val="00B7631D"/>
    <w:rsid w:val="00B76A43"/>
    <w:rsid w:val="00B76BDB"/>
    <w:rsid w:val="00B76D03"/>
    <w:rsid w:val="00B76E91"/>
    <w:rsid w:val="00B76F6E"/>
    <w:rsid w:val="00B770C7"/>
    <w:rsid w:val="00B77308"/>
    <w:rsid w:val="00B774C0"/>
    <w:rsid w:val="00B775F7"/>
    <w:rsid w:val="00B7783E"/>
    <w:rsid w:val="00B77CBE"/>
    <w:rsid w:val="00B77D68"/>
    <w:rsid w:val="00B8015F"/>
    <w:rsid w:val="00B80332"/>
    <w:rsid w:val="00B803BA"/>
    <w:rsid w:val="00B803D1"/>
    <w:rsid w:val="00B80A49"/>
    <w:rsid w:val="00B80BD2"/>
    <w:rsid w:val="00B80DBE"/>
    <w:rsid w:val="00B80E46"/>
    <w:rsid w:val="00B81152"/>
    <w:rsid w:val="00B81319"/>
    <w:rsid w:val="00B8147E"/>
    <w:rsid w:val="00B819DE"/>
    <w:rsid w:val="00B8245D"/>
    <w:rsid w:val="00B82C76"/>
    <w:rsid w:val="00B82D97"/>
    <w:rsid w:val="00B832D6"/>
    <w:rsid w:val="00B83671"/>
    <w:rsid w:val="00B8377E"/>
    <w:rsid w:val="00B83B83"/>
    <w:rsid w:val="00B83C01"/>
    <w:rsid w:val="00B83E4D"/>
    <w:rsid w:val="00B84003"/>
    <w:rsid w:val="00B84147"/>
    <w:rsid w:val="00B844AE"/>
    <w:rsid w:val="00B84ADB"/>
    <w:rsid w:val="00B84CAF"/>
    <w:rsid w:val="00B8558D"/>
    <w:rsid w:val="00B856A5"/>
    <w:rsid w:val="00B85705"/>
    <w:rsid w:val="00B859C1"/>
    <w:rsid w:val="00B86097"/>
    <w:rsid w:val="00B863C9"/>
    <w:rsid w:val="00B865B0"/>
    <w:rsid w:val="00B866A8"/>
    <w:rsid w:val="00B8691C"/>
    <w:rsid w:val="00B86986"/>
    <w:rsid w:val="00B86B6C"/>
    <w:rsid w:val="00B86DA7"/>
    <w:rsid w:val="00B87257"/>
    <w:rsid w:val="00B87299"/>
    <w:rsid w:val="00B87572"/>
    <w:rsid w:val="00B876DB"/>
    <w:rsid w:val="00B87A79"/>
    <w:rsid w:val="00B87F50"/>
    <w:rsid w:val="00B9013B"/>
    <w:rsid w:val="00B9023E"/>
    <w:rsid w:val="00B90BBB"/>
    <w:rsid w:val="00B91254"/>
    <w:rsid w:val="00B91849"/>
    <w:rsid w:val="00B918CF"/>
    <w:rsid w:val="00B91941"/>
    <w:rsid w:val="00B91A28"/>
    <w:rsid w:val="00B91A85"/>
    <w:rsid w:val="00B91A8B"/>
    <w:rsid w:val="00B91D3B"/>
    <w:rsid w:val="00B91D3C"/>
    <w:rsid w:val="00B91D57"/>
    <w:rsid w:val="00B91F8D"/>
    <w:rsid w:val="00B92285"/>
    <w:rsid w:val="00B9230B"/>
    <w:rsid w:val="00B92438"/>
    <w:rsid w:val="00B9253D"/>
    <w:rsid w:val="00B92BDC"/>
    <w:rsid w:val="00B92FBF"/>
    <w:rsid w:val="00B93035"/>
    <w:rsid w:val="00B9352B"/>
    <w:rsid w:val="00B93B00"/>
    <w:rsid w:val="00B94692"/>
    <w:rsid w:val="00B94BCB"/>
    <w:rsid w:val="00B95193"/>
    <w:rsid w:val="00B951B8"/>
    <w:rsid w:val="00B951E2"/>
    <w:rsid w:val="00B956EF"/>
    <w:rsid w:val="00B9582C"/>
    <w:rsid w:val="00B959D5"/>
    <w:rsid w:val="00B95A4A"/>
    <w:rsid w:val="00B95F99"/>
    <w:rsid w:val="00B9605B"/>
    <w:rsid w:val="00B96115"/>
    <w:rsid w:val="00B9635D"/>
    <w:rsid w:val="00B96551"/>
    <w:rsid w:val="00B96CF9"/>
    <w:rsid w:val="00B96D3B"/>
    <w:rsid w:val="00B975CA"/>
    <w:rsid w:val="00B97608"/>
    <w:rsid w:val="00B979BB"/>
    <w:rsid w:val="00B979E3"/>
    <w:rsid w:val="00B97A55"/>
    <w:rsid w:val="00B97BA8"/>
    <w:rsid w:val="00BA0042"/>
    <w:rsid w:val="00BA044B"/>
    <w:rsid w:val="00BA0624"/>
    <w:rsid w:val="00BA0AE9"/>
    <w:rsid w:val="00BA0B14"/>
    <w:rsid w:val="00BA0FA8"/>
    <w:rsid w:val="00BA1042"/>
    <w:rsid w:val="00BA1084"/>
    <w:rsid w:val="00BA1237"/>
    <w:rsid w:val="00BA1435"/>
    <w:rsid w:val="00BA145B"/>
    <w:rsid w:val="00BA156B"/>
    <w:rsid w:val="00BA1693"/>
    <w:rsid w:val="00BA17B7"/>
    <w:rsid w:val="00BA1D3C"/>
    <w:rsid w:val="00BA243E"/>
    <w:rsid w:val="00BA29B7"/>
    <w:rsid w:val="00BA2B8C"/>
    <w:rsid w:val="00BA2DA7"/>
    <w:rsid w:val="00BA3016"/>
    <w:rsid w:val="00BA30E9"/>
    <w:rsid w:val="00BA3234"/>
    <w:rsid w:val="00BA3740"/>
    <w:rsid w:val="00BA3826"/>
    <w:rsid w:val="00BA38AC"/>
    <w:rsid w:val="00BA3DD4"/>
    <w:rsid w:val="00BA3F59"/>
    <w:rsid w:val="00BA483F"/>
    <w:rsid w:val="00BA4963"/>
    <w:rsid w:val="00BA5487"/>
    <w:rsid w:val="00BA5638"/>
    <w:rsid w:val="00BA56D0"/>
    <w:rsid w:val="00BA574C"/>
    <w:rsid w:val="00BA577A"/>
    <w:rsid w:val="00BA591B"/>
    <w:rsid w:val="00BA5BE8"/>
    <w:rsid w:val="00BA6615"/>
    <w:rsid w:val="00BA661A"/>
    <w:rsid w:val="00BA6ECA"/>
    <w:rsid w:val="00BA6FCF"/>
    <w:rsid w:val="00BA7192"/>
    <w:rsid w:val="00BA7424"/>
    <w:rsid w:val="00BA78E0"/>
    <w:rsid w:val="00BA7B8D"/>
    <w:rsid w:val="00BB010D"/>
    <w:rsid w:val="00BB01B4"/>
    <w:rsid w:val="00BB03E7"/>
    <w:rsid w:val="00BB04E3"/>
    <w:rsid w:val="00BB11D8"/>
    <w:rsid w:val="00BB1471"/>
    <w:rsid w:val="00BB16E2"/>
    <w:rsid w:val="00BB1C14"/>
    <w:rsid w:val="00BB2516"/>
    <w:rsid w:val="00BB273E"/>
    <w:rsid w:val="00BB2CA5"/>
    <w:rsid w:val="00BB3356"/>
    <w:rsid w:val="00BB35DD"/>
    <w:rsid w:val="00BB37F2"/>
    <w:rsid w:val="00BB3965"/>
    <w:rsid w:val="00BB3D53"/>
    <w:rsid w:val="00BB3D67"/>
    <w:rsid w:val="00BB3E31"/>
    <w:rsid w:val="00BB4286"/>
    <w:rsid w:val="00BB489C"/>
    <w:rsid w:val="00BB493A"/>
    <w:rsid w:val="00BB4988"/>
    <w:rsid w:val="00BB4A3D"/>
    <w:rsid w:val="00BB4AA6"/>
    <w:rsid w:val="00BB4CFF"/>
    <w:rsid w:val="00BB52C8"/>
    <w:rsid w:val="00BB52D8"/>
    <w:rsid w:val="00BB5458"/>
    <w:rsid w:val="00BB552C"/>
    <w:rsid w:val="00BB5547"/>
    <w:rsid w:val="00BB573A"/>
    <w:rsid w:val="00BB5D4E"/>
    <w:rsid w:val="00BB6003"/>
    <w:rsid w:val="00BB6191"/>
    <w:rsid w:val="00BB6877"/>
    <w:rsid w:val="00BB6AD9"/>
    <w:rsid w:val="00BB6BE4"/>
    <w:rsid w:val="00BB6F22"/>
    <w:rsid w:val="00BB70F6"/>
    <w:rsid w:val="00BB75AA"/>
    <w:rsid w:val="00BB786E"/>
    <w:rsid w:val="00BB78FF"/>
    <w:rsid w:val="00BB7D5D"/>
    <w:rsid w:val="00BB7F7E"/>
    <w:rsid w:val="00BC02FC"/>
    <w:rsid w:val="00BC0856"/>
    <w:rsid w:val="00BC0B4E"/>
    <w:rsid w:val="00BC11DD"/>
    <w:rsid w:val="00BC12C4"/>
    <w:rsid w:val="00BC1495"/>
    <w:rsid w:val="00BC1740"/>
    <w:rsid w:val="00BC1C97"/>
    <w:rsid w:val="00BC1D2A"/>
    <w:rsid w:val="00BC205E"/>
    <w:rsid w:val="00BC20AA"/>
    <w:rsid w:val="00BC2318"/>
    <w:rsid w:val="00BC23C8"/>
    <w:rsid w:val="00BC260A"/>
    <w:rsid w:val="00BC26FD"/>
    <w:rsid w:val="00BC28AD"/>
    <w:rsid w:val="00BC2C43"/>
    <w:rsid w:val="00BC2C86"/>
    <w:rsid w:val="00BC2CDB"/>
    <w:rsid w:val="00BC2F9A"/>
    <w:rsid w:val="00BC2FFD"/>
    <w:rsid w:val="00BC318F"/>
    <w:rsid w:val="00BC327A"/>
    <w:rsid w:val="00BC3355"/>
    <w:rsid w:val="00BC34F5"/>
    <w:rsid w:val="00BC360E"/>
    <w:rsid w:val="00BC36CA"/>
    <w:rsid w:val="00BC3953"/>
    <w:rsid w:val="00BC3AC1"/>
    <w:rsid w:val="00BC3AC5"/>
    <w:rsid w:val="00BC3EC1"/>
    <w:rsid w:val="00BC4042"/>
    <w:rsid w:val="00BC4708"/>
    <w:rsid w:val="00BC492F"/>
    <w:rsid w:val="00BC5037"/>
    <w:rsid w:val="00BC5156"/>
    <w:rsid w:val="00BC54D8"/>
    <w:rsid w:val="00BC5C13"/>
    <w:rsid w:val="00BC5E59"/>
    <w:rsid w:val="00BC66D4"/>
    <w:rsid w:val="00BC6716"/>
    <w:rsid w:val="00BC687C"/>
    <w:rsid w:val="00BC6924"/>
    <w:rsid w:val="00BC6EE7"/>
    <w:rsid w:val="00BC70E2"/>
    <w:rsid w:val="00BC7194"/>
    <w:rsid w:val="00BC71D5"/>
    <w:rsid w:val="00BC7795"/>
    <w:rsid w:val="00BC7AEB"/>
    <w:rsid w:val="00BD0066"/>
    <w:rsid w:val="00BD050A"/>
    <w:rsid w:val="00BD0625"/>
    <w:rsid w:val="00BD0667"/>
    <w:rsid w:val="00BD06CF"/>
    <w:rsid w:val="00BD088D"/>
    <w:rsid w:val="00BD09F6"/>
    <w:rsid w:val="00BD0A5D"/>
    <w:rsid w:val="00BD0D72"/>
    <w:rsid w:val="00BD0E37"/>
    <w:rsid w:val="00BD0FE6"/>
    <w:rsid w:val="00BD1294"/>
    <w:rsid w:val="00BD151A"/>
    <w:rsid w:val="00BD15CF"/>
    <w:rsid w:val="00BD1A97"/>
    <w:rsid w:val="00BD25E9"/>
    <w:rsid w:val="00BD266C"/>
    <w:rsid w:val="00BD2DE0"/>
    <w:rsid w:val="00BD2FD9"/>
    <w:rsid w:val="00BD3599"/>
    <w:rsid w:val="00BD3682"/>
    <w:rsid w:val="00BD36B0"/>
    <w:rsid w:val="00BD3775"/>
    <w:rsid w:val="00BD3986"/>
    <w:rsid w:val="00BD3A17"/>
    <w:rsid w:val="00BD43B6"/>
    <w:rsid w:val="00BD4437"/>
    <w:rsid w:val="00BD4740"/>
    <w:rsid w:val="00BD4953"/>
    <w:rsid w:val="00BD4B06"/>
    <w:rsid w:val="00BD4FDF"/>
    <w:rsid w:val="00BD5522"/>
    <w:rsid w:val="00BD5BC3"/>
    <w:rsid w:val="00BD6984"/>
    <w:rsid w:val="00BD6A0E"/>
    <w:rsid w:val="00BD6B72"/>
    <w:rsid w:val="00BD6CF9"/>
    <w:rsid w:val="00BD6D36"/>
    <w:rsid w:val="00BD7033"/>
    <w:rsid w:val="00BD71FD"/>
    <w:rsid w:val="00BD7228"/>
    <w:rsid w:val="00BD75B8"/>
    <w:rsid w:val="00BD7A0A"/>
    <w:rsid w:val="00BD7E86"/>
    <w:rsid w:val="00BD7FDC"/>
    <w:rsid w:val="00BE0213"/>
    <w:rsid w:val="00BE150C"/>
    <w:rsid w:val="00BE1B78"/>
    <w:rsid w:val="00BE20EA"/>
    <w:rsid w:val="00BE2308"/>
    <w:rsid w:val="00BE2440"/>
    <w:rsid w:val="00BE2820"/>
    <w:rsid w:val="00BE2993"/>
    <w:rsid w:val="00BE2F52"/>
    <w:rsid w:val="00BE3102"/>
    <w:rsid w:val="00BE328F"/>
    <w:rsid w:val="00BE3603"/>
    <w:rsid w:val="00BE37E6"/>
    <w:rsid w:val="00BE389D"/>
    <w:rsid w:val="00BE3AB5"/>
    <w:rsid w:val="00BE3AB6"/>
    <w:rsid w:val="00BE3B10"/>
    <w:rsid w:val="00BE3B45"/>
    <w:rsid w:val="00BE4970"/>
    <w:rsid w:val="00BE4DEB"/>
    <w:rsid w:val="00BE4EA1"/>
    <w:rsid w:val="00BE50E2"/>
    <w:rsid w:val="00BE51D8"/>
    <w:rsid w:val="00BE53E7"/>
    <w:rsid w:val="00BE5EA8"/>
    <w:rsid w:val="00BE5F13"/>
    <w:rsid w:val="00BE6725"/>
    <w:rsid w:val="00BE67FF"/>
    <w:rsid w:val="00BE6AF0"/>
    <w:rsid w:val="00BE6F24"/>
    <w:rsid w:val="00BE727C"/>
    <w:rsid w:val="00BE7474"/>
    <w:rsid w:val="00BE76AC"/>
    <w:rsid w:val="00BE7871"/>
    <w:rsid w:val="00BE798F"/>
    <w:rsid w:val="00BE7CD2"/>
    <w:rsid w:val="00BF0054"/>
    <w:rsid w:val="00BF0573"/>
    <w:rsid w:val="00BF05C5"/>
    <w:rsid w:val="00BF0711"/>
    <w:rsid w:val="00BF084B"/>
    <w:rsid w:val="00BF08B2"/>
    <w:rsid w:val="00BF08B5"/>
    <w:rsid w:val="00BF0903"/>
    <w:rsid w:val="00BF09E1"/>
    <w:rsid w:val="00BF0B3A"/>
    <w:rsid w:val="00BF0BF1"/>
    <w:rsid w:val="00BF0F4D"/>
    <w:rsid w:val="00BF108D"/>
    <w:rsid w:val="00BF1B36"/>
    <w:rsid w:val="00BF1B3B"/>
    <w:rsid w:val="00BF1D69"/>
    <w:rsid w:val="00BF1E6A"/>
    <w:rsid w:val="00BF2076"/>
    <w:rsid w:val="00BF2244"/>
    <w:rsid w:val="00BF2DAF"/>
    <w:rsid w:val="00BF2E01"/>
    <w:rsid w:val="00BF34EC"/>
    <w:rsid w:val="00BF3A31"/>
    <w:rsid w:val="00BF3A4F"/>
    <w:rsid w:val="00BF3AE3"/>
    <w:rsid w:val="00BF3EAF"/>
    <w:rsid w:val="00BF4404"/>
    <w:rsid w:val="00BF4AD4"/>
    <w:rsid w:val="00BF544A"/>
    <w:rsid w:val="00BF55DE"/>
    <w:rsid w:val="00BF5846"/>
    <w:rsid w:val="00BF5958"/>
    <w:rsid w:val="00BF5CA7"/>
    <w:rsid w:val="00BF63CA"/>
    <w:rsid w:val="00BF6721"/>
    <w:rsid w:val="00BF6E95"/>
    <w:rsid w:val="00BF703F"/>
    <w:rsid w:val="00BF7065"/>
    <w:rsid w:val="00BF71B0"/>
    <w:rsid w:val="00BF7791"/>
    <w:rsid w:val="00BF786A"/>
    <w:rsid w:val="00BF7E18"/>
    <w:rsid w:val="00C001B1"/>
    <w:rsid w:val="00C00CFB"/>
    <w:rsid w:val="00C00D19"/>
    <w:rsid w:val="00C00FA0"/>
    <w:rsid w:val="00C01267"/>
    <w:rsid w:val="00C012BB"/>
    <w:rsid w:val="00C01C02"/>
    <w:rsid w:val="00C01EED"/>
    <w:rsid w:val="00C021A4"/>
    <w:rsid w:val="00C0242E"/>
    <w:rsid w:val="00C024AB"/>
    <w:rsid w:val="00C02730"/>
    <w:rsid w:val="00C02964"/>
    <w:rsid w:val="00C02BFA"/>
    <w:rsid w:val="00C02C09"/>
    <w:rsid w:val="00C02C0C"/>
    <w:rsid w:val="00C02DA7"/>
    <w:rsid w:val="00C02E02"/>
    <w:rsid w:val="00C0333D"/>
    <w:rsid w:val="00C03B0C"/>
    <w:rsid w:val="00C03D62"/>
    <w:rsid w:val="00C03D6D"/>
    <w:rsid w:val="00C040FE"/>
    <w:rsid w:val="00C043D0"/>
    <w:rsid w:val="00C046BB"/>
    <w:rsid w:val="00C0499A"/>
    <w:rsid w:val="00C04A71"/>
    <w:rsid w:val="00C04CF7"/>
    <w:rsid w:val="00C04D8A"/>
    <w:rsid w:val="00C04FC8"/>
    <w:rsid w:val="00C0502C"/>
    <w:rsid w:val="00C05271"/>
    <w:rsid w:val="00C0541F"/>
    <w:rsid w:val="00C055E2"/>
    <w:rsid w:val="00C055F3"/>
    <w:rsid w:val="00C05686"/>
    <w:rsid w:val="00C057C5"/>
    <w:rsid w:val="00C069E1"/>
    <w:rsid w:val="00C06B95"/>
    <w:rsid w:val="00C06DF0"/>
    <w:rsid w:val="00C06FD7"/>
    <w:rsid w:val="00C07016"/>
    <w:rsid w:val="00C07A52"/>
    <w:rsid w:val="00C10534"/>
    <w:rsid w:val="00C10767"/>
    <w:rsid w:val="00C10870"/>
    <w:rsid w:val="00C10896"/>
    <w:rsid w:val="00C10C6A"/>
    <w:rsid w:val="00C10F70"/>
    <w:rsid w:val="00C111B1"/>
    <w:rsid w:val="00C118D0"/>
    <w:rsid w:val="00C1203B"/>
    <w:rsid w:val="00C1258F"/>
    <w:rsid w:val="00C12D03"/>
    <w:rsid w:val="00C13410"/>
    <w:rsid w:val="00C136BD"/>
    <w:rsid w:val="00C137EF"/>
    <w:rsid w:val="00C13A94"/>
    <w:rsid w:val="00C13B86"/>
    <w:rsid w:val="00C13DA4"/>
    <w:rsid w:val="00C1419E"/>
    <w:rsid w:val="00C142C2"/>
    <w:rsid w:val="00C143E9"/>
    <w:rsid w:val="00C1469A"/>
    <w:rsid w:val="00C146C5"/>
    <w:rsid w:val="00C148BD"/>
    <w:rsid w:val="00C14A5E"/>
    <w:rsid w:val="00C14C9C"/>
    <w:rsid w:val="00C14D05"/>
    <w:rsid w:val="00C15095"/>
    <w:rsid w:val="00C15249"/>
    <w:rsid w:val="00C15368"/>
    <w:rsid w:val="00C15484"/>
    <w:rsid w:val="00C1566A"/>
    <w:rsid w:val="00C15764"/>
    <w:rsid w:val="00C15B42"/>
    <w:rsid w:val="00C15D5E"/>
    <w:rsid w:val="00C16056"/>
    <w:rsid w:val="00C16334"/>
    <w:rsid w:val="00C16420"/>
    <w:rsid w:val="00C166D7"/>
    <w:rsid w:val="00C16AA0"/>
    <w:rsid w:val="00C16AA6"/>
    <w:rsid w:val="00C16E23"/>
    <w:rsid w:val="00C16EB8"/>
    <w:rsid w:val="00C175FA"/>
    <w:rsid w:val="00C17AB5"/>
    <w:rsid w:val="00C17AC1"/>
    <w:rsid w:val="00C17B4C"/>
    <w:rsid w:val="00C17B8D"/>
    <w:rsid w:val="00C17BB8"/>
    <w:rsid w:val="00C17ECC"/>
    <w:rsid w:val="00C203D1"/>
    <w:rsid w:val="00C20471"/>
    <w:rsid w:val="00C2048E"/>
    <w:rsid w:val="00C204DC"/>
    <w:rsid w:val="00C20664"/>
    <w:rsid w:val="00C2079B"/>
    <w:rsid w:val="00C2083C"/>
    <w:rsid w:val="00C2091C"/>
    <w:rsid w:val="00C209B1"/>
    <w:rsid w:val="00C20B20"/>
    <w:rsid w:val="00C20B3F"/>
    <w:rsid w:val="00C20DEF"/>
    <w:rsid w:val="00C21476"/>
    <w:rsid w:val="00C21A62"/>
    <w:rsid w:val="00C21B80"/>
    <w:rsid w:val="00C21D2D"/>
    <w:rsid w:val="00C22036"/>
    <w:rsid w:val="00C221F7"/>
    <w:rsid w:val="00C22244"/>
    <w:rsid w:val="00C22298"/>
    <w:rsid w:val="00C223D8"/>
    <w:rsid w:val="00C224CE"/>
    <w:rsid w:val="00C227FE"/>
    <w:rsid w:val="00C22A64"/>
    <w:rsid w:val="00C22C00"/>
    <w:rsid w:val="00C22CF7"/>
    <w:rsid w:val="00C22EE3"/>
    <w:rsid w:val="00C22F40"/>
    <w:rsid w:val="00C2351E"/>
    <w:rsid w:val="00C235C3"/>
    <w:rsid w:val="00C2384A"/>
    <w:rsid w:val="00C23A7C"/>
    <w:rsid w:val="00C23B4D"/>
    <w:rsid w:val="00C23BE4"/>
    <w:rsid w:val="00C241C8"/>
    <w:rsid w:val="00C243E0"/>
    <w:rsid w:val="00C24782"/>
    <w:rsid w:val="00C24905"/>
    <w:rsid w:val="00C24B8A"/>
    <w:rsid w:val="00C24B92"/>
    <w:rsid w:val="00C24C19"/>
    <w:rsid w:val="00C24DE7"/>
    <w:rsid w:val="00C24F07"/>
    <w:rsid w:val="00C24F61"/>
    <w:rsid w:val="00C25248"/>
    <w:rsid w:val="00C254DB"/>
    <w:rsid w:val="00C25E4E"/>
    <w:rsid w:val="00C25EE2"/>
    <w:rsid w:val="00C262F3"/>
    <w:rsid w:val="00C266AD"/>
    <w:rsid w:val="00C26730"/>
    <w:rsid w:val="00C26792"/>
    <w:rsid w:val="00C26BE9"/>
    <w:rsid w:val="00C26DFC"/>
    <w:rsid w:val="00C26E16"/>
    <w:rsid w:val="00C27312"/>
    <w:rsid w:val="00C276B9"/>
    <w:rsid w:val="00C2772F"/>
    <w:rsid w:val="00C27839"/>
    <w:rsid w:val="00C27F2B"/>
    <w:rsid w:val="00C27FAE"/>
    <w:rsid w:val="00C303A5"/>
    <w:rsid w:val="00C303CD"/>
    <w:rsid w:val="00C307DF"/>
    <w:rsid w:val="00C30B78"/>
    <w:rsid w:val="00C31011"/>
    <w:rsid w:val="00C315A1"/>
    <w:rsid w:val="00C319DE"/>
    <w:rsid w:val="00C31E18"/>
    <w:rsid w:val="00C321E9"/>
    <w:rsid w:val="00C32692"/>
    <w:rsid w:val="00C3290F"/>
    <w:rsid w:val="00C32935"/>
    <w:rsid w:val="00C32D9A"/>
    <w:rsid w:val="00C33004"/>
    <w:rsid w:val="00C330C3"/>
    <w:rsid w:val="00C331A3"/>
    <w:rsid w:val="00C337D3"/>
    <w:rsid w:val="00C338E4"/>
    <w:rsid w:val="00C339CE"/>
    <w:rsid w:val="00C33B0E"/>
    <w:rsid w:val="00C33B5B"/>
    <w:rsid w:val="00C33DBE"/>
    <w:rsid w:val="00C33DC9"/>
    <w:rsid w:val="00C34ABC"/>
    <w:rsid w:val="00C35178"/>
    <w:rsid w:val="00C35244"/>
    <w:rsid w:val="00C352F0"/>
    <w:rsid w:val="00C3541F"/>
    <w:rsid w:val="00C35512"/>
    <w:rsid w:val="00C35A16"/>
    <w:rsid w:val="00C35B93"/>
    <w:rsid w:val="00C3615E"/>
    <w:rsid w:val="00C361CB"/>
    <w:rsid w:val="00C36203"/>
    <w:rsid w:val="00C36773"/>
    <w:rsid w:val="00C3689E"/>
    <w:rsid w:val="00C36B0A"/>
    <w:rsid w:val="00C37344"/>
    <w:rsid w:val="00C37455"/>
    <w:rsid w:val="00C374C4"/>
    <w:rsid w:val="00C374DA"/>
    <w:rsid w:val="00C3750B"/>
    <w:rsid w:val="00C37937"/>
    <w:rsid w:val="00C37A55"/>
    <w:rsid w:val="00C37ADD"/>
    <w:rsid w:val="00C4023A"/>
    <w:rsid w:val="00C40BD2"/>
    <w:rsid w:val="00C40E91"/>
    <w:rsid w:val="00C40F3F"/>
    <w:rsid w:val="00C41387"/>
    <w:rsid w:val="00C41A59"/>
    <w:rsid w:val="00C41C0D"/>
    <w:rsid w:val="00C42197"/>
    <w:rsid w:val="00C426B5"/>
    <w:rsid w:val="00C427F0"/>
    <w:rsid w:val="00C42A68"/>
    <w:rsid w:val="00C42C05"/>
    <w:rsid w:val="00C42EBD"/>
    <w:rsid w:val="00C431F3"/>
    <w:rsid w:val="00C43343"/>
    <w:rsid w:val="00C43564"/>
    <w:rsid w:val="00C442A3"/>
    <w:rsid w:val="00C447CA"/>
    <w:rsid w:val="00C44825"/>
    <w:rsid w:val="00C44995"/>
    <w:rsid w:val="00C44BBA"/>
    <w:rsid w:val="00C44D06"/>
    <w:rsid w:val="00C44DBB"/>
    <w:rsid w:val="00C44F50"/>
    <w:rsid w:val="00C4543B"/>
    <w:rsid w:val="00C45665"/>
    <w:rsid w:val="00C457A2"/>
    <w:rsid w:val="00C458F8"/>
    <w:rsid w:val="00C45966"/>
    <w:rsid w:val="00C45A77"/>
    <w:rsid w:val="00C464C1"/>
    <w:rsid w:val="00C46792"/>
    <w:rsid w:val="00C46C21"/>
    <w:rsid w:val="00C47047"/>
    <w:rsid w:val="00C47395"/>
    <w:rsid w:val="00C4745F"/>
    <w:rsid w:val="00C47A33"/>
    <w:rsid w:val="00C47BD3"/>
    <w:rsid w:val="00C50A71"/>
    <w:rsid w:val="00C5124F"/>
    <w:rsid w:val="00C5156A"/>
    <w:rsid w:val="00C515F7"/>
    <w:rsid w:val="00C5162E"/>
    <w:rsid w:val="00C517E8"/>
    <w:rsid w:val="00C51A88"/>
    <w:rsid w:val="00C51DFE"/>
    <w:rsid w:val="00C5210A"/>
    <w:rsid w:val="00C52198"/>
    <w:rsid w:val="00C523FA"/>
    <w:rsid w:val="00C5245C"/>
    <w:rsid w:val="00C52857"/>
    <w:rsid w:val="00C5299A"/>
    <w:rsid w:val="00C5308E"/>
    <w:rsid w:val="00C530BA"/>
    <w:rsid w:val="00C53184"/>
    <w:rsid w:val="00C53619"/>
    <w:rsid w:val="00C537B0"/>
    <w:rsid w:val="00C538B2"/>
    <w:rsid w:val="00C53E65"/>
    <w:rsid w:val="00C549E9"/>
    <w:rsid w:val="00C54C16"/>
    <w:rsid w:val="00C54DAB"/>
    <w:rsid w:val="00C54DD6"/>
    <w:rsid w:val="00C54F93"/>
    <w:rsid w:val="00C55192"/>
    <w:rsid w:val="00C55236"/>
    <w:rsid w:val="00C5541D"/>
    <w:rsid w:val="00C554F0"/>
    <w:rsid w:val="00C5567C"/>
    <w:rsid w:val="00C55780"/>
    <w:rsid w:val="00C55909"/>
    <w:rsid w:val="00C55EE6"/>
    <w:rsid w:val="00C56177"/>
    <w:rsid w:val="00C561D7"/>
    <w:rsid w:val="00C5628F"/>
    <w:rsid w:val="00C5691C"/>
    <w:rsid w:val="00C56A4D"/>
    <w:rsid w:val="00C56AD7"/>
    <w:rsid w:val="00C56FEE"/>
    <w:rsid w:val="00C571A7"/>
    <w:rsid w:val="00C5743D"/>
    <w:rsid w:val="00C577C8"/>
    <w:rsid w:val="00C577FE"/>
    <w:rsid w:val="00C57CB7"/>
    <w:rsid w:val="00C57FB5"/>
    <w:rsid w:val="00C60053"/>
    <w:rsid w:val="00C60163"/>
    <w:rsid w:val="00C60343"/>
    <w:rsid w:val="00C604D7"/>
    <w:rsid w:val="00C60AF2"/>
    <w:rsid w:val="00C60BC9"/>
    <w:rsid w:val="00C60D30"/>
    <w:rsid w:val="00C60D96"/>
    <w:rsid w:val="00C60E94"/>
    <w:rsid w:val="00C610FB"/>
    <w:rsid w:val="00C61A08"/>
    <w:rsid w:val="00C61E1B"/>
    <w:rsid w:val="00C61FD4"/>
    <w:rsid w:val="00C62384"/>
    <w:rsid w:val="00C62907"/>
    <w:rsid w:val="00C62FD9"/>
    <w:rsid w:val="00C6300E"/>
    <w:rsid w:val="00C635FB"/>
    <w:rsid w:val="00C637E5"/>
    <w:rsid w:val="00C6397C"/>
    <w:rsid w:val="00C63ADD"/>
    <w:rsid w:val="00C63E67"/>
    <w:rsid w:val="00C64035"/>
    <w:rsid w:val="00C6414D"/>
    <w:rsid w:val="00C641F9"/>
    <w:rsid w:val="00C64208"/>
    <w:rsid w:val="00C64255"/>
    <w:rsid w:val="00C6459B"/>
    <w:rsid w:val="00C64797"/>
    <w:rsid w:val="00C6489A"/>
    <w:rsid w:val="00C64920"/>
    <w:rsid w:val="00C64CC0"/>
    <w:rsid w:val="00C64D20"/>
    <w:rsid w:val="00C64D73"/>
    <w:rsid w:val="00C65085"/>
    <w:rsid w:val="00C65123"/>
    <w:rsid w:val="00C654FD"/>
    <w:rsid w:val="00C6565E"/>
    <w:rsid w:val="00C659B8"/>
    <w:rsid w:val="00C65F32"/>
    <w:rsid w:val="00C66125"/>
    <w:rsid w:val="00C66789"/>
    <w:rsid w:val="00C66A3C"/>
    <w:rsid w:val="00C66D66"/>
    <w:rsid w:val="00C66E91"/>
    <w:rsid w:val="00C66F32"/>
    <w:rsid w:val="00C6724F"/>
    <w:rsid w:val="00C6751D"/>
    <w:rsid w:val="00C67766"/>
    <w:rsid w:val="00C67768"/>
    <w:rsid w:val="00C6776B"/>
    <w:rsid w:val="00C6798E"/>
    <w:rsid w:val="00C67B8E"/>
    <w:rsid w:val="00C67C2D"/>
    <w:rsid w:val="00C67CCD"/>
    <w:rsid w:val="00C702FA"/>
    <w:rsid w:val="00C70352"/>
    <w:rsid w:val="00C7054E"/>
    <w:rsid w:val="00C70767"/>
    <w:rsid w:val="00C709F9"/>
    <w:rsid w:val="00C70BA7"/>
    <w:rsid w:val="00C70DA8"/>
    <w:rsid w:val="00C71405"/>
    <w:rsid w:val="00C71640"/>
    <w:rsid w:val="00C718FA"/>
    <w:rsid w:val="00C71C7D"/>
    <w:rsid w:val="00C72105"/>
    <w:rsid w:val="00C724B5"/>
    <w:rsid w:val="00C72754"/>
    <w:rsid w:val="00C73626"/>
    <w:rsid w:val="00C73666"/>
    <w:rsid w:val="00C73873"/>
    <w:rsid w:val="00C73A53"/>
    <w:rsid w:val="00C73D01"/>
    <w:rsid w:val="00C7429C"/>
    <w:rsid w:val="00C7429D"/>
    <w:rsid w:val="00C742A9"/>
    <w:rsid w:val="00C74794"/>
    <w:rsid w:val="00C74A87"/>
    <w:rsid w:val="00C74BF9"/>
    <w:rsid w:val="00C74DD6"/>
    <w:rsid w:val="00C75126"/>
    <w:rsid w:val="00C7542E"/>
    <w:rsid w:val="00C75508"/>
    <w:rsid w:val="00C7550E"/>
    <w:rsid w:val="00C756E0"/>
    <w:rsid w:val="00C762C9"/>
    <w:rsid w:val="00C7634D"/>
    <w:rsid w:val="00C76C95"/>
    <w:rsid w:val="00C76E6F"/>
    <w:rsid w:val="00C77199"/>
    <w:rsid w:val="00C77311"/>
    <w:rsid w:val="00C77458"/>
    <w:rsid w:val="00C77924"/>
    <w:rsid w:val="00C77CCB"/>
    <w:rsid w:val="00C77DCB"/>
    <w:rsid w:val="00C77F3D"/>
    <w:rsid w:val="00C80040"/>
    <w:rsid w:val="00C800DA"/>
    <w:rsid w:val="00C80419"/>
    <w:rsid w:val="00C804C1"/>
    <w:rsid w:val="00C8069E"/>
    <w:rsid w:val="00C80938"/>
    <w:rsid w:val="00C80B4B"/>
    <w:rsid w:val="00C80CFE"/>
    <w:rsid w:val="00C80DB0"/>
    <w:rsid w:val="00C81151"/>
    <w:rsid w:val="00C812C6"/>
    <w:rsid w:val="00C81346"/>
    <w:rsid w:val="00C81531"/>
    <w:rsid w:val="00C81624"/>
    <w:rsid w:val="00C81787"/>
    <w:rsid w:val="00C81856"/>
    <w:rsid w:val="00C823B6"/>
    <w:rsid w:val="00C823FA"/>
    <w:rsid w:val="00C82480"/>
    <w:rsid w:val="00C825D5"/>
    <w:rsid w:val="00C83254"/>
    <w:rsid w:val="00C8333E"/>
    <w:rsid w:val="00C83AB7"/>
    <w:rsid w:val="00C841DB"/>
    <w:rsid w:val="00C84DF7"/>
    <w:rsid w:val="00C84DFB"/>
    <w:rsid w:val="00C85069"/>
    <w:rsid w:val="00C8510C"/>
    <w:rsid w:val="00C85273"/>
    <w:rsid w:val="00C856B4"/>
    <w:rsid w:val="00C857F4"/>
    <w:rsid w:val="00C860C6"/>
    <w:rsid w:val="00C86558"/>
    <w:rsid w:val="00C8656C"/>
    <w:rsid w:val="00C86661"/>
    <w:rsid w:val="00C86AAB"/>
    <w:rsid w:val="00C86AAD"/>
    <w:rsid w:val="00C86FEE"/>
    <w:rsid w:val="00C8784A"/>
    <w:rsid w:val="00C87C64"/>
    <w:rsid w:val="00C9066C"/>
    <w:rsid w:val="00C906F3"/>
    <w:rsid w:val="00C90719"/>
    <w:rsid w:val="00C90740"/>
    <w:rsid w:val="00C90DC9"/>
    <w:rsid w:val="00C9103F"/>
    <w:rsid w:val="00C910CB"/>
    <w:rsid w:val="00C9112E"/>
    <w:rsid w:val="00C919CB"/>
    <w:rsid w:val="00C91D79"/>
    <w:rsid w:val="00C92475"/>
    <w:rsid w:val="00C924BA"/>
    <w:rsid w:val="00C9275B"/>
    <w:rsid w:val="00C92E43"/>
    <w:rsid w:val="00C93008"/>
    <w:rsid w:val="00C9337C"/>
    <w:rsid w:val="00C93447"/>
    <w:rsid w:val="00C934F6"/>
    <w:rsid w:val="00C93701"/>
    <w:rsid w:val="00C93992"/>
    <w:rsid w:val="00C93C62"/>
    <w:rsid w:val="00C93D67"/>
    <w:rsid w:val="00C93DAB"/>
    <w:rsid w:val="00C93EDE"/>
    <w:rsid w:val="00C942E9"/>
    <w:rsid w:val="00C94AF1"/>
    <w:rsid w:val="00C94B56"/>
    <w:rsid w:val="00C94BA4"/>
    <w:rsid w:val="00C955A7"/>
    <w:rsid w:val="00C956F6"/>
    <w:rsid w:val="00C95897"/>
    <w:rsid w:val="00C961C0"/>
    <w:rsid w:val="00C96253"/>
    <w:rsid w:val="00C962A2"/>
    <w:rsid w:val="00C962C6"/>
    <w:rsid w:val="00C96593"/>
    <w:rsid w:val="00C96DE6"/>
    <w:rsid w:val="00C97086"/>
    <w:rsid w:val="00C9749F"/>
    <w:rsid w:val="00C97BF5"/>
    <w:rsid w:val="00C97D28"/>
    <w:rsid w:val="00CA0BC9"/>
    <w:rsid w:val="00CA0C5E"/>
    <w:rsid w:val="00CA0DA7"/>
    <w:rsid w:val="00CA0E05"/>
    <w:rsid w:val="00CA134C"/>
    <w:rsid w:val="00CA14D8"/>
    <w:rsid w:val="00CA156A"/>
    <w:rsid w:val="00CA1843"/>
    <w:rsid w:val="00CA186B"/>
    <w:rsid w:val="00CA1D09"/>
    <w:rsid w:val="00CA1DA3"/>
    <w:rsid w:val="00CA29F0"/>
    <w:rsid w:val="00CA2A75"/>
    <w:rsid w:val="00CA2B1D"/>
    <w:rsid w:val="00CA2C4C"/>
    <w:rsid w:val="00CA2F11"/>
    <w:rsid w:val="00CA30B6"/>
    <w:rsid w:val="00CA3205"/>
    <w:rsid w:val="00CA3706"/>
    <w:rsid w:val="00CA38D6"/>
    <w:rsid w:val="00CA3A28"/>
    <w:rsid w:val="00CA4310"/>
    <w:rsid w:val="00CA4671"/>
    <w:rsid w:val="00CA4B8A"/>
    <w:rsid w:val="00CA4DCE"/>
    <w:rsid w:val="00CA54E7"/>
    <w:rsid w:val="00CA559E"/>
    <w:rsid w:val="00CA5CB7"/>
    <w:rsid w:val="00CA635F"/>
    <w:rsid w:val="00CA6601"/>
    <w:rsid w:val="00CA6B58"/>
    <w:rsid w:val="00CA7022"/>
    <w:rsid w:val="00CA7490"/>
    <w:rsid w:val="00CA74D4"/>
    <w:rsid w:val="00CA7750"/>
    <w:rsid w:val="00CB00D5"/>
    <w:rsid w:val="00CB0366"/>
    <w:rsid w:val="00CB04FE"/>
    <w:rsid w:val="00CB07E6"/>
    <w:rsid w:val="00CB08C0"/>
    <w:rsid w:val="00CB0BAC"/>
    <w:rsid w:val="00CB0C6A"/>
    <w:rsid w:val="00CB0C9E"/>
    <w:rsid w:val="00CB0D28"/>
    <w:rsid w:val="00CB0FAF"/>
    <w:rsid w:val="00CB101A"/>
    <w:rsid w:val="00CB10B2"/>
    <w:rsid w:val="00CB10D8"/>
    <w:rsid w:val="00CB132B"/>
    <w:rsid w:val="00CB1384"/>
    <w:rsid w:val="00CB20D5"/>
    <w:rsid w:val="00CB23CA"/>
    <w:rsid w:val="00CB24C2"/>
    <w:rsid w:val="00CB30BA"/>
    <w:rsid w:val="00CB3AD5"/>
    <w:rsid w:val="00CB4E1F"/>
    <w:rsid w:val="00CB50A0"/>
    <w:rsid w:val="00CB50E3"/>
    <w:rsid w:val="00CB536E"/>
    <w:rsid w:val="00CB5DF0"/>
    <w:rsid w:val="00CB6445"/>
    <w:rsid w:val="00CB6AC7"/>
    <w:rsid w:val="00CB6DBE"/>
    <w:rsid w:val="00CB70A3"/>
    <w:rsid w:val="00CB7238"/>
    <w:rsid w:val="00CB7B5F"/>
    <w:rsid w:val="00CB7C4D"/>
    <w:rsid w:val="00CB7E29"/>
    <w:rsid w:val="00CC0068"/>
    <w:rsid w:val="00CC00F3"/>
    <w:rsid w:val="00CC01AA"/>
    <w:rsid w:val="00CC01B5"/>
    <w:rsid w:val="00CC01DB"/>
    <w:rsid w:val="00CC051E"/>
    <w:rsid w:val="00CC074A"/>
    <w:rsid w:val="00CC1904"/>
    <w:rsid w:val="00CC19EA"/>
    <w:rsid w:val="00CC1FFA"/>
    <w:rsid w:val="00CC2355"/>
    <w:rsid w:val="00CC24F6"/>
    <w:rsid w:val="00CC25FB"/>
    <w:rsid w:val="00CC26C1"/>
    <w:rsid w:val="00CC292A"/>
    <w:rsid w:val="00CC2A8F"/>
    <w:rsid w:val="00CC2BC3"/>
    <w:rsid w:val="00CC3624"/>
    <w:rsid w:val="00CC3886"/>
    <w:rsid w:val="00CC3D80"/>
    <w:rsid w:val="00CC3E3E"/>
    <w:rsid w:val="00CC3E83"/>
    <w:rsid w:val="00CC3FC8"/>
    <w:rsid w:val="00CC401A"/>
    <w:rsid w:val="00CC4532"/>
    <w:rsid w:val="00CC4572"/>
    <w:rsid w:val="00CC4640"/>
    <w:rsid w:val="00CC474A"/>
    <w:rsid w:val="00CC4813"/>
    <w:rsid w:val="00CC5213"/>
    <w:rsid w:val="00CC53A6"/>
    <w:rsid w:val="00CC53E7"/>
    <w:rsid w:val="00CC5405"/>
    <w:rsid w:val="00CC5E63"/>
    <w:rsid w:val="00CC65E2"/>
    <w:rsid w:val="00CC6D6A"/>
    <w:rsid w:val="00CC6F1A"/>
    <w:rsid w:val="00CC6F9C"/>
    <w:rsid w:val="00CC6FC9"/>
    <w:rsid w:val="00CC770B"/>
    <w:rsid w:val="00CC7762"/>
    <w:rsid w:val="00CC7A32"/>
    <w:rsid w:val="00CC7D95"/>
    <w:rsid w:val="00CC7F39"/>
    <w:rsid w:val="00CD00A1"/>
    <w:rsid w:val="00CD018F"/>
    <w:rsid w:val="00CD02C7"/>
    <w:rsid w:val="00CD033A"/>
    <w:rsid w:val="00CD0757"/>
    <w:rsid w:val="00CD098A"/>
    <w:rsid w:val="00CD0ABE"/>
    <w:rsid w:val="00CD0EC5"/>
    <w:rsid w:val="00CD19B2"/>
    <w:rsid w:val="00CD1BA6"/>
    <w:rsid w:val="00CD1BAC"/>
    <w:rsid w:val="00CD1F53"/>
    <w:rsid w:val="00CD2249"/>
    <w:rsid w:val="00CD24B3"/>
    <w:rsid w:val="00CD2947"/>
    <w:rsid w:val="00CD345E"/>
    <w:rsid w:val="00CD361A"/>
    <w:rsid w:val="00CD3E0F"/>
    <w:rsid w:val="00CD41CC"/>
    <w:rsid w:val="00CD4625"/>
    <w:rsid w:val="00CD467D"/>
    <w:rsid w:val="00CD4712"/>
    <w:rsid w:val="00CD4791"/>
    <w:rsid w:val="00CD4921"/>
    <w:rsid w:val="00CD4F2F"/>
    <w:rsid w:val="00CD5025"/>
    <w:rsid w:val="00CD507D"/>
    <w:rsid w:val="00CD51CE"/>
    <w:rsid w:val="00CD541D"/>
    <w:rsid w:val="00CD56DA"/>
    <w:rsid w:val="00CD5811"/>
    <w:rsid w:val="00CD5885"/>
    <w:rsid w:val="00CD59AC"/>
    <w:rsid w:val="00CD5CEC"/>
    <w:rsid w:val="00CD61BC"/>
    <w:rsid w:val="00CD66B7"/>
    <w:rsid w:val="00CD6B44"/>
    <w:rsid w:val="00CD73C5"/>
    <w:rsid w:val="00CD74BC"/>
    <w:rsid w:val="00CD766F"/>
    <w:rsid w:val="00CD7870"/>
    <w:rsid w:val="00CD79F3"/>
    <w:rsid w:val="00CD7A68"/>
    <w:rsid w:val="00CD7DF1"/>
    <w:rsid w:val="00CD7F93"/>
    <w:rsid w:val="00CE04B0"/>
    <w:rsid w:val="00CE0843"/>
    <w:rsid w:val="00CE0844"/>
    <w:rsid w:val="00CE0ABB"/>
    <w:rsid w:val="00CE0BE8"/>
    <w:rsid w:val="00CE16EE"/>
    <w:rsid w:val="00CE1B5F"/>
    <w:rsid w:val="00CE1C4D"/>
    <w:rsid w:val="00CE1C6C"/>
    <w:rsid w:val="00CE232E"/>
    <w:rsid w:val="00CE2406"/>
    <w:rsid w:val="00CE25ED"/>
    <w:rsid w:val="00CE28D5"/>
    <w:rsid w:val="00CE2B04"/>
    <w:rsid w:val="00CE2DAB"/>
    <w:rsid w:val="00CE3531"/>
    <w:rsid w:val="00CE3749"/>
    <w:rsid w:val="00CE3E2A"/>
    <w:rsid w:val="00CE42D7"/>
    <w:rsid w:val="00CE5BF8"/>
    <w:rsid w:val="00CE5FA2"/>
    <w:rsid w:val="00CE6384"/>
    <w:rsid w:val="00CE640F"/>
    <w:rsid w:val="00CE6544"/>
    <w:rsid w:val="00CE6654"/>
    <w:rsid w:val="00CE6831"/>
    <w:rsid w:val="00CE6C23"/>
    <w:rsid w:val="00CE6CB4"/>
    <w:rsid w:val="00CE71C4"/>
    <w:rsid w:val="00CE7494"/>
    <w:rsid w:val="00CE78A6"/>
    <w:rsid w:val="00CE78F6"/>
    <w:rsid w:val="00CE7F4A"/>
    <w:rsid w:val="00CF04E1"/>
    <w:rsid w:val="00CF053D"/>
    <w:rsid w:val="00CF0660"/>
    <w:rsid w:val="00CF07E8"/>
    <w:rsid w:val="00CF0D2A"/>
    <w:rsid w:val="00CF12E2"/>
    <w:rsid w:val="00CF16CF"/>
    <w:rsid w:val="00CF17C6"/>
    <w:rsid w:val="00CF1831"/>
    <w:rsid w:val="00CF1973"/>
    <w:rsid w:val="00CF1D63"/>
    <w:rsid w:val="00CF2075"/>
    <w:rsid w:val="00CF2345"/>
    <w:rsid w:val="00CF240C"/>
    <w:rsid w:val="00CF2475"/>
    <w:rsid w:val="00CF2557"/>
    <w:rsid w:val="00CF2D2D"/>
    <w:rsid w:val="00CF2D4D"/>
    <w:rsid w:val="00CF2E1E"/>
    <w:rsid w:val="00CF2EBA"/>
    <w:rsid w:val="00CF3048"/>
    <w:rsid w:val="00CF343E"/>
    <w:rsid w:val="00CF3583"/>
    <w:rsid w:val="00CF35A0"/>
    <w:rsid w:val="00CF373F"/>
    <w:rsid w:val="00CF374D"/>
    <w:rsid w:val="00CF3752"/>
    <w:rsid w:val="00CF3DFC"/>
    <w:rsid w:val="00CF3FAD"/>
    <w:rsid w:val="00CF407D"/>
    <w:rsid w:val="00CF4240"/>
    <w:rsid w:val="00CF4247"/>
    <w:rsid w:val="00CF424B"/>
    <w:rsid w:val="00CF43C1"/>
    <w:rsid w:val="00CF448A"/>
    <w:rsid w:val="00CF4BF0"/>
    <w:rsid w:val="00CF4E8C"/>
    <w:rsid w:val="00CF4FA8"/>
    <w:rsid w:val="00CF5256"/>
    <w:rsid w:val="00CF54B5"/>
    <w:rsid w:val="00CF56F1"/>
    <w:rsid w:val="00CF5768"/>
    <w:rsid w:val="00CF5E42"/>
    <w:rsid w:val="00CF5E54"/>
    <w:rsid w:val="00CF6725"/>
    <w:rsid w:val="00CF6A0E"/>
    <w:rsid w:val="00CF6B8E"/>
    <w:rsid w:val="00CF7161"/>
    <w:rsid w:val="00CF7269"/>
    <w:rsid w:val="00CF7307"/>
    <w:rsid w:val="00CF7313"/>
    <w:rsid w:val="00CF7553"/>
    <w:rsid w:val="00CF7C25"/>
    <w:rsid w:val="00CF7FE2"/>
    <w:rsid w:val="00D00070"/>
    <w:rsid w:val="00D0021D"/>
    <w:rsid w:val="00D0046F"/>
    <w:rsid w:val="00D0060A"/>
    <w:rsid w:val="00D00A56"/>
    <w:rsid w:val="00D00C2D"/>
    <w:rsid w:val="00D00DF1"/>
    <w:rsid w:val="00D0111B"/>
    <w:rsid w:val="00D011AB"/>
    <w:rsid w:val="00D01650"/>
    <w:rsid w:val="00D0176B"/>
    <w:rsid w:val="00D018A2"/>
    <w:rsid w:val="00D01DA3"/>
    <w:rsid w:val="00D01DAD"/>
    <w:rsid w:val="00D01E79"/>
    <w:rsid w:val="00D02689"/>
    <w:rsid w:val="00D02E0C"/>
    <w:rsid w:val="00D02ED0"/>
    <w:rsid w:val="00D0305E"/>
    <w:rsid w:val="00D03537"/>
    <w:rsid w:val="00D0355F"/>
    <w:rsid w:val="00D03602"/>
    <w:rsid w:val="00D036D2"/>
    <w:rsid w:val="00D03AA6"/>
    <w:rsid w:val="00D03DF8"/>
    <w:rsid w:val="00D04544"/>
    <w:rsid w:val="00D0456A"/>
    <w:rsid w:val="00D046C4"/>
    <w:rsid w:val="00D048FC"/>
    <w:rsid w:val="00D04AF2"/>
    <w:rsid w:val="00D04BDF"/>
    <w:rsid w:val="00D04BFC"/>
    <w:rsid w:val="00D04C40"/>
    <w:rsid w:val="00D04CC5"/>
    <w:rsid w:val="00D0507E"/>
    <w:rsid w:val="00D052F5"/>
    <w:rsid w:val="00D05725"/>
    <w:rsid w:val="00D05CB0"/>
    <w:rsid w:val="00D05EC0"/>
    <w:rsid w:val="00D063B9"/>
    <w:rsid w:val="00D065FB"/>
    <w:rsid w:val="00D068DA"/>
    <w:rsid w:val="00D06D3E"/>
    <w:rsid w:val="00D071F3"/>
    <w:rsid w:val="00D07547"/>
    <w:rsid w:val="00D075EF"/>
    <w:rsid w:val="00D07F07"/>
    <w:rsid w:val="00D10011"/>
    <w:rsid w:val="00D10227"/>
    <w:rsid w:val="00D10823"/>
    <w:rsid w:val="00D10A13"/>
    <w:rsid w:val="00D10AED"/>
    <w:rsid w:val="00D10AFE"/>
    <w:rsid w:val="00D10BFC"/>
    <w:rsid w:val="00D10D37"/>
    <w:rsid w:val="00D10F84"/>
    <w:rsid w:val="00D10F85"/>
    <w:rsid w:val="00D11152"/>
    <w:rsid w:val="00D1126C"/>
    <w:rsid w:val="00D113AE"/>
    <w:rsid w:val="00D11651"/>
    <w:rsid w:val="00D1200B"/>
    <w:rsid w:val="00D120E4"/>
    <w:rsid w:val="00D121A8"/>
    <w:rsid w:val="00D121C5"/>
    <w:rsid w:val="00D122A5"/>
    <w:rsid w:val="00D127CE"/>
    <w:rsid w:val="00D129D1"/>
    <w:rsid w:val="00D133BD"/>
    <w:rsid w:val="00D13408"/>
    <w:rsid w:val="00D13499"/>
    <w:rsid w:val="00D1365E"/>
    <w:rsid w:val="00D13774"/>
    <w:rsid w:val="00D138D6"/>
    <w:rsid w:val="00D144B0"/>
    <w:rsid w:val="00D148BF"/>
    <w:rsid w:val="00D148FB"/>
    <w:rsid w:val="00D14C8A"/>
    <w:rsid w:val="00D14DFB"/>
    <w:rsid w:val="00D15008"/>
    <w:rsid w:val="00D156A7"/>
    <w:rsid w:val="00D15CB9"/>
    <w:rsid w:val="00D15E5B"/>
    <w:rsid w:val="00D15F1F"/>
    <w:rsid w:val="00D16177"/>
    <w:rsid w:val="00D162C2"/>
    <w:rsid w:val="00D162E1"/>
    <w:rsid w:val="00D168B4"/>
    <w:rsid w:val="00D1698C"/>
    <w:rsid w:val="00D16C56"/>
    <w:rsid w:val="00D16DB5"/>
    <w:rsid w:val="00D16EED"/>
    <w:rsid w:val="00D16FEB"/>
    <w:rsid w:val="00D17DC5"/>
    <w:rsid w:val="00D201F1"/>
    <w:rsid w:val="00D203D0"/>
    <w:rsid w:val="00D207CD"/>
    <w:rsid w:val="00D208C9"/>
    <w:rsid w:val="00D21320"/>
    <w:rsid w:val="00D21445"/>
    <w:rsid w:val="00D2144E"/>
    <w:rsid w:val="00D2175B"/>
    <w:rsid w:val="00D21920"/>
    <w:rsid w:val="00D21ACB"/>
    <w:rsid w:val="00D21E77"/>
    <w:rsid w:val="00D21F68"/>
    <w:rsid w:val="00D2200F"/>
    <w:rsid w:val="00D2207D"/>
    <w:rsid w:val="00D2208E"/>
    <w:rsid w:val="00D22266"/>
    <w:rsid w:val="00D22584"/>
    <w:rsid w:val="00D226CD"/>
    <w:rsid w:val="00D22A31"/>
    <w:rsid w:val="00D22AC1"/>
    <w:rsid w:val="00D22CD3"/>
    <w:rsid w:val="00D22E0C"/>
    <w:rsid w:val="00D23300"/>
    <w:rsid w:val="00D23364"/>
    <w:rsid w:val="00D23377"/>
    <w:rsid w:val="00D23408"/>
    <w:rsid w:val="00D236A9"/>
    <w:rsid w:val="00D238C9"/>
    <w:rsid w:val="00D23F51"/>
    <w:rsid w:val="00D23FEE"/>
    <w:rsid w:val="00D2405F"/>
    <w:rsid w:val="00D24320"/>
    <w:rsid w:val="00D24521"/>
    <w:rsid w:val="00D24577"/>
    <w:rsid w:val="00D24B1F"/>
    <w:rsid w:val="00D24CA2"/>
    <w:rsid w:val="00D24CCB"/>
    <w:rsid w:val="00D24E38"/>
    <w:rsid w:val="00D24FA3"/>
    <w:rsid w:val="00D2572A"/>
    <w:rsid w:val="00D25761"/>
    <w:rsid w:val="00D25801"/>
    <w:rsid w:val="00D2585F"/>
    <w:rsid w:val="00D2586A"/>
    <w:rsid w:val="00D259DB"/>
    <w:rsid w:val="00D26174"/>
    <w:rsid w:val="00D26281"/>
    <w:rsid w:val="00D262B2"/>
    <w:rsid w:val="00D263DD"/>
    <w:rsid w:val="00D265C9"/>
    <w:rsid w:val="00D266CA"/>
    <w:rsid w:val="00D26917"/>
    <w:rsid w:val="00D26A1B"/>
    <w:rsid w:val="00D26E0B"/>
    <w:rsid w:val="00D26E7B"/>
    <w:rsid w:val="00D26EBE"/>
    <w:rsid w:val="00D26FDA"/>
    <w:rsid w:val="00D27286"/>
    <w:rsid w:val="00D2729F"/>
    <w:rsid w:val="00D272A5"/>
    <w:rsid w:val="00D27710"/>
    <w:rsid w:val="00D300A0"/>
    <w:rsid w:val="00D30BFD"/>
    <w:rsid w:val="00D310A9"/>
    <w:rsid w:val="00D316C2"/>
    <w:rsid w:val="00D31BA0"/>
    <w:rsid w:val="00D31CF2"/>
    <w:rsid w:val="00D31EF6"/>
    <w:rsid w:val="00D324E6"/>
    <w:rsid w:val="00D32BA7"/>
    <w:rsid w:val="00D32DA6"/>
    <w:rsid w:val="00D333D1"/>
    <w:rsid w:val="00D334B5"/>
    <w:rsid w:val="00D3390D"/>
    <w:rsid w:val="00D33A27"/>
    <w:rsid w:val="00D33C6E"/>
    <w:rsid w:val="00D33D78"/>
    <w:rsid w:val="00D348BA"/>
    <w:rsid w:val="00D348DE"/>
    <w:rsid w:val="00D34A0B"/>
    <w:rsid w:val="00D3529B"/>
    <w:rsid w:val="00D35533"/>
    <w:rsid w:val="00D355F1"/>
    <w:rsid w:val="00D355FA"/>
    <w:rsid w:val="00D357E6"/>
    <w:rsid w:val="00D357F1"/>
    <w:rsid w:val="00D359F3"/>
    <w:rsid w:val="00D35B26"/>
    <w:rsid w:val="00D35C99"/>
    <w:rsid w:val="00D35F5B"/>
    <w:rsid w:val="00D36094"/>
    <w:rsid w:val="00D3655B"/>
    <w:rsid w:val="00D368FF"/>
    <w:rsid w:val="00D36B88"/>
    <w:rsid w:val="00D373F9"/>
    <w:rsid w:val="00D3740D"/>
    <w:rsid w:val="00D3753C"/>
    <w:rsid w:val="00D37882"/>
    <w:rsid w:val="00D378DC"/>
    <w:rsid w:val="00D37FC8"/>
    <w:rsid w:val="00D401C7"/>
    <w:rsid w:val="00D40395"/>
    <w:rsid w:val="00D40431"/>
    <w:rsid w:val="00D4043C"/>
    <w:rsid w:val="00D405E2"/>
    <w:rsid w:val="00D406D7"/>
    <w:rsid w:val="00D411D8"/>
    <w:rsid w:val="00D4159D"/>
    <w:rsid w:val="00D41768"/>
    <w:rsid w:val="00D41F88"/>
    <w:rsid w:val="00D41F8F"/>
    <w:rsid w:val="00D42168"/>
    <w:rsid w:val="00D422D9"/>
    <w:rsid w:val="00D42B53"/>
    <w:rsid w:val="00D42BB1"/>
    <w:rsid w:val="00D42C52"/>
    <w:rsid w:val="00D42D09"/>
    <w:rsid w:val="00D42FEA"/>
    <w:rsid w:val="00D42FEC"/>
    <w:rsid w:val="00D436B4"/>
    <w:rsid w:val="00D438C4"/>
    <w:rsid w:val="00D43AEE"/>
    <w:rsid w:val="00D44087"/>
    <w:rsid w:val="00D440C7"/>
    <w:rsid w:val="00D44138"/>
    <w:rsid w:val="00D44566"/>
    <w:rsid w:val="00D45204"/>
    <w:rsid w:val="00D45280"/>
    <w:rsid w:val="00D452FA"/>
    <w:rsid w:val="00D459CB"/>
    <w:rsid w:val="00D45E7C"/>
    <w:rsid w:val="00D45F4A"/>
    <w:rsid w:val="00D46319"/>
    <w:rsid w:val="00D46323"/>
    <w:rsid w:val="00D4642E"/>
    <w:rsid w:val="00D465A1"/>
    <w:rsid w:val="00D46738"/>
    <w:rsid w:val="00D46C19"/>
    <w:rsid w:val="00D46F36"/>
    <w:rsid w:val="00D4736B"/>
    <w:rsid w:val="00D47550"/>
    <w:rsid w:val="00D47BA3"/>
    <w:rsid w:val="00D47C33"/>
    <w:rsid w:val="00D50000"/>
    <w:rsid w:val="00D50001"/>
    <w:rsid w:val="00D50185"/>
    <w:rsid w:val="00D502A3"/>
    <w:rsid w:val="00D50979"/>
    <w:rsid w:val="00D51568"/>
    <w:rsid w:val="00D5165C"/>
    <w:rsid w:val="00D51708"/>
    <w:rsid w:val="00D51800"/>
    <w:rsid w:val="00D5194E"/>
    <w:rsid w:val="00D51CDC"/>
    <w:rsid w:val="00D51D1F"/>
    <w:rsid w:val="00D51D7A"/>
    <w:rsid w:val="00D525E3"/>
    <w:rsid w:val="00D52653"/>
    <w:rsid w:val="00D52694"/>
    <w:rsid w:val="00D5274A"/>
    <w:rsid w:val="00D52785"/>
    <w:rsid w:val="00D52DBF"/>
    <w:rsid w:val="00D52DFF"/>
    <w:rsid w:val="00D52F81"/>
    <w:rsid w:val="00D5368B"/>
    <w:rsid w:val="00D53853"/>
    <w:rsid w:val="00D53B3B"/>
    <w:rsid w:val="00D53BF1"/>
    <w:rsid w:val="00D53C87"/>
    <w:rsid w:val="00D53DE9"/>
    <w:rsid w:val="00D54309"/>
    <w:rsid w:val="00D544D9"/>
    <w:rsid w:val="00D5501B"/>
    <w:rsid w:val="00D55159"/>
    <w:rsid w:val="00D55258"/>
    <w:rsid w:val="00D55783"/>
    <w:rsid w:val="00D558D1"/>
    <w:rsid w:val="00D55C13"/>
    <w:rsid w:val="00D55CEA"/>
    <w:rsid w:val="00D55E85"/>
    <w:rsid w:val="00D55FF5"/>
    <w:rsid w:val="00D56434"/>
    <w:rsid w:val="00D5699C"/>
    <w:rsid w:val="00D56C5D"/>
    <w:rsid w:val="00D56C7C"/>
    <w:rsid w:val="00D5705E"/>
    <w:rsid w:val="00D5706F"/>
    <w:rsid w:val="00D5712D"/>
    <w:rsid w:val="00D574D6"/>
    <w:rsid w:val="00D602BD"/>
    <w:rsid w:val="00D60697"/>
    <w:rsid w:val="00D609D8"/>
    <w:rsid w:val="00D60C8D"/>
    <w:rsid w:val="00D61457"/>
    <w:rsid w:val="00D615D6"/>
    <w:rsid w:val="00D615ED"/>
    <w:rsid w:val="00D61C0D"/>
    <w:rsid w:val="00D6204F"/>
    <w:rsid w:val="00D620E3"/>
    <w:rsid w:val="00D62502"/>
    <w:rsid w:val="00D62FE3"/>
    <w:rsid w:val="00D6303B"/>
    <w:rsid w:val="00D630CE"/>
    <w:rsid w:val="00D63347"/>
    <w:rsid w:val="00D636C6"/>
    <w:rsid w:val="00D63851"/>
    <w:rsid w:val="00D63CCB"/>
    <w:rsid w:val="00D63DAC"/>
    <w:rsid w:val="00D641C2"/>
    <w:rsid w:val="00D641E3"/>
    <w:rsid w:val="00D641F8"/>
    <w:rsid w:val="00D64355"/>
    <w:rsid w:val="00D6440F"/>
    <w:rsid w:val="00D64445"/>
    <w:rsid w:val="00D646B7"/>
    <w:rsid w:val="00D648E4"/>
    <w:rsid w:val="00D64918"/>
    <w:rsid w:val="00D64C72"/>
    <w:rsid w:val="00D64DE6"/>
    <w:rsid w:val="00D65172"/>
    <w:rsid w:val="00D65207"/>
    <w:rsid w:val="00D65480"/>
    <w:rsid w:val="00D65629"/>
    <w:rsid w:val="00D656B1"/>
    <w:rsid w:val="00D66232"/>
    <w:rsid w:val="00D666BA"/>
    <w:rsid w:val="00D67477"/>
    <w:rsid w:val="00D674F9"/>
    <w:rsid w:val="00D677DC"/>
    <w:rsid w:val="00D67855"/>
    <w:rsid w:val="00D67A26"/>
    <w:rsid w:val="00D67E38"/>
    <w:rsid w:val="00D67F0A"/>
    <w:rsid w:val="00D7007B"/>
    <w:rsid w:val="00D70236"/>
    <w:rsid w:val="00D7037B"/>
    <w:rsid w:val="00D708DD"/>
    <w:rsid w:val="00D70A60"/>
    <w:rsid w:val="00D70C4E"/>
    <w:rsid w:val="00D711AB"/>
    <w:rsid w:val="00D7130A"/>
    <w:rsid w:val="00D71398"/>
    <w:rsid w:val="00D71400"/>
    <w:rsid w:val="00D71521"/>
    <w:rsid w:val="00D71801"/>
    <w:rsid w:val="00D71F60"/>
    <w:rsid w:val="00D722A5"/>
    <w:rsid w:val="00D72651"/>
    <w:rsid w:val="00D7274F"/>
    <w:rsid w:val="00D729C6"/>
    <w:rsid w:val="00D72A55"/>
    <w:rsid w:val="00D72CCF"/>
    <w:rsid w:val="00D73044"/>
    <w:rsid w:val="00D73408"/>
    <w:rsid w:val="00D7348E"/>
    <w:rsid w:val="00D734FD"/>
    <w:rsid w:val="00D7378C"/>
    <w:rsid w:val="00D73B04"/>
    <w:rsid w:val="00D73D4E"/>
    <w:rsid w:val="00D73F5B"/>
    <w:rsid w:val="00D73F63"/>
    <w:rsid w:val="00D74335"/>
    <w:rsid w:val="00D7471C"/>
    <w:rsid w:val="00D7476E"/>
    <w:rsid w:val="00D74D4D"/>
    <w:rsid w:val="00D74F0B"/>
    <w:rsid w:val="00D755A0"/>
    <w:rsid w:val="00D757E8"/>
    <w:rsid w:val="00D75CF0"/>
    <w:rsid w:val="00D76408"/>
    <w:rsid w:val="00D765CC"/>
    <w:rsid w:val="00D7663E"/>
    <w:rsid w:val="00D7690E"/>
    <w:rsid w:val="00D7698A"/>
    <w:rsid w:val="00D769F9"/>
    <w:rsid w:val="00D76B3A"/>
    <w:rsid w:val="00D76B99"/>
    <w:rsid w:val="00D76D9C"/>
    <w:rsid w:val="00D77460"/>
    <w:rsid w:val="00D77569"/>
    <w:rsid w:val="00D77996"/>
    <w:rsid w:val="00D77AF8"/>
    <w:rsid w:val="00D802BF"/>
    <w:rsid w:val="00D805F6"/>
    <w:rsid w:val="00D8060D"/>
    <w:rsid w:val="00D807E4"/>
    <w:rsid w:val="00D8089E"/>
    <w:rsid w:val="00D80A37"/>
    <w:rsid w:val="00D80E78"/>
    <w:rsid w:val="00D810E0"/>
    <w:rsid w:val="00D816DC"/>
    <w:rsid w:val="00D81B13"/>
    <w:rsid w:val="00D81BB3"/>
    <w:rsid w:val="00D81D2A"/>
    <w:rsid w:val="00D8223C"/>
    <w:rsid w:val="00D822E5"/>
    <w:rsid w:val="00D82687"/>
    <w:rsid w:val="00D82928"/>
    <w:rsid w:val="00D82987"/>
    <w:rsid w:val="00D831BA"/>
    <w:rsid w:val="00D834B9"/>
    <w:rsid w:val="00D835B3"/>
    <w:rsid w:val="00D8383E"/>
    <w:rsid w:val="00D838CE"/>
    <w:rsid w:val="00D83969"/>
    <w:rsid w:val="00D8399A"/>
    <w:rsid w:val="00D83C61"/>
    <w:rsid w:val="00D83FE6"/>
    <w:rsid w:val="00D84586"/>
    <w:rsid w:val="00D84A8E"/>
    <w:rsid w:val="00D84B2C"/>
    <w:rsid w:val="00D84F99"/>
    <w:rsid w:val="00D85599"/>
    <w:rsid w:val="00D85B3C"/>
    <w:rsid w:val="00D85B4E"/>
    <w:rsid w:val="00D85C88"/>
    <w:rsid w:val="00D86030"/>
    <w:rsid w:val="00D8646C"/>
    <w:rsid w:val="00D86885"/>
    <w:rsid w:val="00D86F8C"/>
    <w:rsid w:val="00D872E7"/>
    <w:rsid w:val="00D8739F"/>
    <w:rsid w:val="00D8781B"/>
    <w:rsid w:val="00D8783F"/>
    <w:rsid w:val="00D87B70"/>
    <w:rsid w:val="00D87CD0"/>
    <w:rsid w:val="00D9012D"/>
    <w:rsid w:val="00D90204"/>
    <w:rsid w:val="00D907D6"/>
    <w:rsid w:val="00D908FC"/>
    <w:rsid w:val="00D90953"/>
    <w:rsid w:val="00D9097A"/>
    <w:rsid w:val="00D90ACA"/>
    <w:rsid w:val="00D90BAB"/>
    <w:rsid w:val="00D910D2"/>
    <w:rsid w:val="00D91634"/>
    <w:rsid w:val="00D91781"/>
    <w:rsid w:val="00D918A3"/>
    <w:rsid w:val="00D91ABD"/>
    <w:rsid w:val="00D91D09"/>
    <w:rsid w:val="00D92123"/>
    <w:rsid w:val="00D922E2"/>
    <w:rsid w:val="00D928A6"/>
    <w:rsid w:val="00D92B85"/>
    <w:rsid w:val="00D92DF2"/>
    <w:rsid w:val="00D92FDD"/>
    <w:rsid w:val="00D930A6"/>
    <w:rsid w:val="00D934D1"/>
    <w:rsid w:val="00D93E11"/>
    <w:rsid w:val="00D94009"/>
    <w:rsid w:val="00D94775"/>
    <w:rsid w:val="00D94A2C"/>
    <w:rsid w:val="00D94C12"/>
    <w:rsid w:val="00D95137"/>
    <w:rsid w:val="00D9526F"/>
    <w:rsid w:val="00D954DE"/>
    <w:rsid w:val="00D95BEA"/>
    <w:rsid w:val="00D95C83"/>
    <w:rsid w:val="00D95EB5"/>
    <w:rsid w:val="00D95FA1"/>
    <w:rsid w:val="00D960A8"/>
    <w:rsid w:val="00D9631E"/>
    <w:rsid w:val="00D963AF"/>
    <w:rsid w:val="00D9692B"/>
    <w:rsid w:val="00D96E42"/>
    <w:rsid w:val="00D96E5E"/>
    <w:rsid w:val="00D96F1B"/>
    <w:rsid w:val="00D97131"/>
    <w:rsid w:val="00D979DE"/>
    <w:rsid w:val="00D97BAF"/>
    <w:rsid w:val="00D97E92"/>
    <w:rsid w:val="00DA0C07"/>
    <w:rsid w:val="00DA0E6F"/>
    <w:rsid w:val="00DA1329"/>
    <w:rsid w:val="00DA14DC"/>
    <w:rsid w:val="00DA16CF"/>
    <w:rsid w:val="00DA1709"/>
    <w:rsid w:val="00DA199D"/>
    <w:rsid w:val="00DA1C7D"/>
    <w:rsid w:val="00DA1C9A"/>
    <w:rsid w:val="00DA1E2B"/>
    <w:rsid w:val="00DA1EE8"/>
    <w:rsid w:val="00DA23F9"/>
    <w:rsid w:val="00DA25AF"/>
    <w:rsid w:val="00DA29F1"/>
    <w:rsid w:val="00DA2B76"/>
    <w:rsid w:val="00DA2C90"/>
    <w:rsid w:val="00DA2F2F"/>
    <w:rsid w:val="00DA310B"/>
    <w:rsid w:val="00DA31C2"/>
    <w:rsid w:val="00DA32DB"/>
    <w:rsid w:val="00DA339F"/>
    <w:rsid w:val="00DA38EA"/>
    <w:rsid w:val="00DA3A54"/>
    <w:rsid w:val="00DA41B3"/>
    <w:rsid w:val="00DA42FC"/>
    <w:rsid w:val="00DA46DE"/>
    <w:rsid w:val="00DA4851"/>
    <w:rsid w:val="00DA4F8E"/>
    <w:rsid w:val="00DA50CD"/>
    <w:rsid w:val="00DA515D"/>
    <w:rsid w:val="00DA5271"/>
    <w:rsid w:val="00DA53AD"/>
    <w:rsid w:val="00DA579B"/>
    <w:rsid w:val="00DA5899"/>
    <w:rsid w:val="00DA5B72"/>
    <w:rsid w:val="00DA5BDB"/>
    <w:rsid w:val="00DA5BDC"/>
    <w:rsid w:val="00DA5C5E"/>
    <w:rsid w:val="00DA5E5C"/>
    <w:rsid w:val="00DA606F"/>
    <w:rsid w:val="00DA609C"/>
    <w:rsid w:val="00DA60BE"/>
    <w:rsid w:val="00DA63E6"/>
    <w:rsid w:val="00DA6432"/>
    <w:rsid w:val="00DA667E"/>
    <w:rsid w:val="00DA6921"/>
    <w:rsid w:val="00DA6B12"/>
    <w:rsid w:val="00DA6F9B"/>
    <w:rsid w:val="00DA7357"/>
    <w:rsid w:val="00DA75A3"/>
    <w:rsid w:val="00DA75B2"/>
    <w:rsid w:val="00DB04EA"/>
    <w:rsid w:val="00DB0B57"/>
    <w:rsid w:val="00DB0BC7"/>
    <w:rsid w:val="00DB0D7C"/>
    <w:rsid w:val="00DB15DA"/>
    <w:rsid w:val="00DB1913"/>
    <w:rsid w:val="00DB1C1E"/>
    <w:rsid w:val="00DB2190"/>
    <w:rsid w:val="00DB21D7"/>
    <w:rsid w:val="00DB22F9"/>
    <w:rsid w:val="00DB23E5"/>
    <w:rsid w:val="00DB251C"/>
    <w:rsid w:val="00DB2700"/>
    <w:rsid w:val="00DB27BF"/>
    <w:rsid w:val="00DB2D14"/>
    <w:rsid w:val="00DB2DE0"/>
    <w:rsid w:val="00DB2E90"/>
    <w:rsid w:val="00DB2FAB"/>
    <w:rsid w:val="00DB304D"/>
    <w:rsid w:val="00DB30F7"/>
    <w:rsid w:val="00DB318D"/>
    <w:rsid w:val="00DB3368"/>
    <w:rsid w:val="00DB33FB"/>
    <w:rsid w:val="00DB3B66"/>
    <w:rsid w:val="00DB3B78"/>
    <w:rsid w:val="00DB3BEC"/>
    <w:rsid w:val="00DB3FCB"/>
    <w:rsid w:val="00DB4211"/>
    <w:rsid w:val="00DB4621"/>
    <w:rsid w:val="00DB4660"/>
    <w:rsid w:val="00DB47EA"/>
    <w:rsid w:val="00DB51E0"/>
    <w:rsid w:val="00DB5353"/>
    <w:rsid w:val="00DB5368"/>
    <w:rsid w:val="00DB5526"/>
    <w:rsid w:val="00DB5616"/>
    <w:rsid w:val="00DB5C04"/>
    <w:rsid w:val="00DB5DC2"/>
    <w:rsid w:val="00DB5EC8"/>
    <w:rsid w:val="00DB62D7"/>
    <w:rsid w:val="00DB640D"/>
    <w:rsid w:val="00DB6693"/>
    <w:rsid w:val="00DB679E"/>
    <w:rsid w:val="00DB6808"/>
    <w:rsid w:val="00DB6929"/>
    <w:rsid w:val="00DB6D12"/>
    <w:rsid w:val="00DB72D7"/>
    <w:rsid w:val="00DB750A"/>
    <w:rsid w:val="00DB7676"/>
    <w:rsid w:val="00DB7896"/>
    <w:rsid w:val="00DB78F1"/>
    <w:rsid w:val="00DB7B1E"/>
    <w:rsid w:val="00DB7D74"/>
    <w:rsid w:val="00DB7D7D"/>
    <w:rsid w:val="00DB7FDD"/>
    <w:rsid w:val="00DC00E0"/>
    <w:rsid w:val="00DC022D"/>
    <w:rsid w:val="00DC05D2"/>
    <w:rsid w:val="00DC09E0"/>
    <w:rsid w:val="00DC0D5C"/>
    <w:rsid w:val="00DC0F26"/>
    <w:rsid w:val="00DC12B6"/>
    <w:rsid w:val="00DC1466"/>
    <w:rsid w:val="00DC1E0E"/>
    <w:rsid w:val="00DC1E3C"/>
    <w:rsid w:val="00DC1FCB"/>
    <w:rsid w:val="00DC2674"/>
    <w:rsid w:val="00DC2997"/>
    <w:rsid w:val="00DC333D"/>
    <w:rsid w:val="00DC3374"/>
    <w:rsid w:val="00DC34ED"/>
    <w:rsid w:val="00DC3BCA"/>
    <w:rsid w:val="00DC3DC2"/>
    <w:rsid w:val="00DC4083"/>
    <w:rsid w:val="00DC42CC"/>
    <w:rsid w:val="00DC488E"/>
    <w:rsid w:val="00DC48DF"/>
    <w:rsid w:val="00DC4922"/>
    <w:rsid w:val="00DC4BC3"/>
    <w:rsid w:val="00DC502B"/>
    <w:rsid w:val="00DC563C"/>
    <w:rsid w:val="00DC5E19"/>
    <w:rsid w:val="00DC61E2"/>
    <w:rsid w:val="00DC6226"/>
    <w:rsid w:val="00DC639C"/>
    <w:rsid w:val="00DC675B"/>
    <w:rsid w:val="00DC69A5"/>
    <w:rsid w:val="00DC6B58"/>
    <w:rsid w:val="00DC6F26"/>
    <w:rsid w:val="00DC6FD5"/>
    <w:rsid w:val="00DC732B"/>
    <w:rsid w:val="00DC747F"/>
    <w:rsid w:val="00DC76D3"/>
    <w:rsid w:val="00DC7A07"/>
    <w:rsid w:val="00DC7CF9"/>
    <w:rsid w:val="00DD011E"/>
    <w:rsid w:val="00DD0582"/>
    <w:rsid w:val="00DD05B2"/>
    <w:rsid w:val="00DD08C6"/>
    <w:rsid w:val="00DD092D"/>
    <w:rsid w:val="00DD0A35"/>
    <w:rsid w:val="00DD0DED"/>
    <w:rsid w:val="00DD0FC8"/>
    <w:rsid w:val="00DD1415"/>
    <w:rsid w:val="00DD1C6B"/>
    <w:rsid w:val="00DD1E0B"/>
    <w:rsid w:val="00DD208E"/>
    <w:rsid w:val="00DD2247"/>
    <w:rsid w:val="00DD284D"/>
    <w:rsid w:val="00DD2914"/>
    <w:rsid w:val="00DD2E85"/>
    <w:rsid w:val="00DD306C"/>
    <w:rsid w:val="00DD30C8"/>
    <w:rsid w:val="00DD3467"/>
    <w:rsid w:val="00DD379E"/>
    <w:rsid w:val="00DD386C"/>
    <w:rsid w:val="00DD3C5A"/>
    <w:rsid w:val="00DD3E0F"/>
    <w:rsid w:val="00DD4843"/>
    <w:rsid w:val="00DD4A15"/>
    <w:rsid w:val="00DD4B28"/>
    <w:rsid w:val="00DD4DBA"/>
    <w:rsid w:val="00DD504A"/>
    <w:rsid w:val="00DD509A"/>
    <w:rsid w:val="00DD5203"/>
    <w:rsid w:val="00DD521C"/>
    <w:rsid w:val="00DD5238"/>
    <w:rsid w:val="00DD56AB"/>
    <w:rsid w:val="00DD592B"/>
    <w:rsid w:val="00DD5A00"/>
    <w:rsid w:val="00DD5A9B"/>
    <w:rsid w:val="00DD5ADE"/>
    <w:rsid w:val="00DD5B8C"/>
    <w:rsid w:val="00DD5C5D"/>
    <w:rsid w:val="00DD5D78"/>
    <w:rsid w:val="00DD5E07"/>
    <w:rsid w:val="00DD6193"/>
    <w:rsid w:val="00DD63F4"/>
    <w:rsid w:val="00DD723D"/>
    <w:rsid w:val="00DD74DC"/>
    <w:rsid w:val="00DD763F"/>
    <w:rsid w:val="00DD780F"/>
    <w:rsid w:val="00DD7F8F"/>
    <w:rsid w:val="00DE00B6"/>
    <w:rsid w:val="00DE0486"/>
    <w:rsid w:val="00DE063B"/>
    <w:rsid w:val="00DE0753"/>
    <w:rsid w:val="00DE08E9"/>
    <w:rsid w:val="00DE0952"/>
    <w:rsid w:val="00DE0E2F"/>
    <w:rsid w:val="00DE0EE6"/>
    <w:rsid w:val="00DE1F61"/>
    <w:rsid w:val="00DE1FEB"/>
    <w:rsid w:val="00DE2074"/>
    <w:rsid w:val="00DE317C"/>
    <w:rsid w:val="00DE336A"/>
    <w:rsid w:val="00DE3A13"/>
    <w:rsid w:val="00DE3DA8"/>
    <w:rsid w:val="00DE4124"/>
    <w:rsid w:val="00DE4753"/>
    <w:rsid w:val="00DE4756"/>
    <w:rsid w:val="00DE47A4"/>
    <w:rsid w:val="00DE546E"/>
    <w:rsid w:val="00DE591C"/>
    <w:rsid w:val="00DE5992"/>
    <w:rsid w:val="00DE5A26"/>
    <w:rsid w:val="00DE5AAA"/>
    <w:rsid w:val="00DE5BFD"/>
    <w:rsid w:val="00DE5C08"/>
    <w:rsid w:val="00DE61F6"/>
    <w:rsid w:val="00DE6407"/>
    <w:rsid w:val="00DE64A6"/>
    <w:rsid w:val="00DE64AF"/>
    <w:rsid w:val="00DE6615"/>
    <w:rsid w:val="00DE6912"/>
    <w:rsid w:val="00DE6A80"/>
    <w:rsid w:val="00DE6BA1"/>
    <w:rsid w:val="00DE755F"/>
    <w:rsid w:val="00DE76BC"/>
    <w:rsid w:val="00DE7710"/>
    <w:rsid w:val="00DE7A99"/>
    <w:rsid w:val="00DE7FF4"/>
    <w:rsid w:val="00DF0628"/>
    <w:rsid w:val="00DF0A3F"/>
    <w:rsid w:val="00DF0AFB"/>
    <w:rsid w:val="00DF0D0C"/>
    <w:rsid w:val="00DF0DC2"/>
    <w:rsid w:val="00DF0F1D"/>
    <w:rsid w:val="00DF117C"/>
    <w:rsid w:val="00DF17AF"/>
    <w:rsid w:val="00DF17C1"/>
    <w:rsid w:val="00DF17EF"/>
    <w:rsid w:val="00DF18F0"/>
    <w:rsid w:val="00DF19BF"/>
    <w:rsid w:val="00DF1A83"/>
    <w:rsid w:val="00DF2300"/>
    <w:rsid w:val="00DF2B7F"/>
    <w:rsid w:val="00DF341E"/>
    <w:rsid w:val="00DF392D"/>
    <w:rsid w:val="00DF42F5"/>
    <w:rsid w:val="00DF43B1"/>
    <w:rsid w:val="00DF445E"/>
    <w:rsid w:val="00DF4980"/>
    <w:rsid w:val="00DF4E23"/>
    <w:rsid w:val="00DF4FFE"/>
    <w:rsid w:val="00DF5106"/>
    <w:rsid w:val="00DF51A2"/>
    <w:rsid w:val="00DF52ED"/>
    <w:rsid w:val="00DF5651"/>
    <w:rsid w:val="00DF590D"/>
    <w:rsid w:val="00DF5F42"/>
    <w:rsid w:val="00DF601E"/>
    <w:rsid w:val="00DF62E9"/>
    <w:rsid w:val="00DF6451"/>
    <w:rsid w:val="00DF691E"/>
    <w:rsid w:val="00DF69B3"/>
    <w:rsid w:val="00DF6AE5"/>
    <w:rsid w:val="00DF6CFD"/>
    <w:rsid w:val="00DF7086"/>
    <w:rsid w:val="00DF70A6"/>
    <w:rsid w:val="00DF7440"/>
    <w:rsid w:val="00DF745A"/>
    <w:rsid w:val="00DF7CDA"/>
    <w:rsid w:val="00DF7DEF"/>
    <w:rsid w:val="00E002A8"/>
    <w:rsid w:val="00E00375"/>
    <w:rsid w:val="00E0038C"/>
    <w:rsid w:val="00E00437"/>
    <w:rsid w:val="00E004BD"/>
    <w:rsid w:val="00E00CAE"/>
    <w:rsid w:val="00E00D37"/>
    <w:rsid w:val="00E00FB5"/>
    <w:rsid w:val="00E01C38"/>
    <w:rsid w:val="00E0205D"/>
    <w:rsid w:val="00E02336"/>
    <w:rsid w:val="00E02391"/>
    <w:rsid w:val="00E024EF"/>
    <w:rsid w:val="00E024F6"/>
    <w:rsid w:val="00E02515"/>
    <w:rsid w:val="00E02604"/>
    <w:rsid w:val="00E026F3"/>
    <w:rsid w:val="00E0296A"/>
    <w:rsid w:val="00E02AEF"/>
    <w:rsid w:val="00E02C0B"/>
    <w:rsid w:val="00E02FC2"/>
    <w:rsid w:val="00E039DF"/>
    <w:rsid w:val="00E03DCF"/>
    <w:rsid w:val="00E03EC7"/>
    <w:rsid w:val="00E03ED6"/>
    <w:rsid w:val="00E040F4"/>
    <w:rsid w:val="00E04141"/>
    <w:rsid w:val="00E04545"/>
    <w:rsid w:val="00E04E43"/>
    <w:rsid w:val="00E05464"/>
    <w:rsid w:val="00E055D3"/>
    <w:rsid w:val="00E05723"/>
    <w:rsid w:val="00E05770"/>
    <w:rsid w:val="00E05B34"/>
    <w:rsid w:val="00E05CBD"/>
    <w:rsid w:val="00E06412"/>
    <w:rsid w:val="00E066A6"/>
    <w:rsid w:val="00E06D7F"/>
    <w:rsid w:val="00E06FD7"/>
    <w:rsid w:val="00E07179"/>
    <w:rsid w:val="00E0773C"/>
    <w:rsid w:val="00E077E4"/>
    <w:rsid w:val="00E07BD6"/>
    <w:rsid w:val="00E07CFE"/>
    <w:rsid w:val="00E07DCF"/>
    <w:rsid w:val="00E101B7"/>
    <w:rsid w:val="00E1057F"/>
    <w:rsid w:val="00E11092"/>
    <w:rsid w:val="00E110E3"/>
    <w:rsid w:val="00E111EB"/>
    <w:rsid w:val="00E1129E"/>
    <w:rsid w:val="00E1133F"/>
    <w:rsid w:val="00E11384"/>
    <w:rsid w:val="00E11995"/>
    <w:rsid w:val="00E11ED9"/>
    <w:rsid w:val="00E11FEC"/>
    <w:rsid w:val="00E121EC"/>
    <w:rsid w:val="00E125BD"/>
    <w:rsid w:val="00E12892"/>
    <w:rsid w:val="00E12C58"/>
    <w:rsid w:val="00E13056"/>
    <w:rsid w:val="00E13457"/>
    <w:rsid w:val="00E13872"/>
    <w:rsid w:val="00E138AD"/>
    <w:rsid w:val="00E13AA6"/>
    <w:rsid w:val="00E13AC2"/>
    <w:rsid w:val="00E13EAD"/>
    <w:rsid w:val="00E13F8F"/>
    <w:rsid w:val="00E14598"/>
    <w:rsid w:val="00E148D6"/>
    <w:rsid w:val="00E149C4"/>
    <w:rsid w:val="00E14A58"/>
    <w:rsid w:val="00E14B67"/>
    <w:rsid w:val="00E14BD4"/>
    <w:rsid w:val="00E14E74"/>
    <w:rsid w:val="00E14FC2"/>
    <w:rsid w:val="00E15311"/>
    <w:rsid w:val="00E153D8"/>
    <w:rsid w:val="00E15524"/>
    <w:rsid w:val="00E155FF"/>
    <w:rsid w:val="00E1578F"/>
    <w:rsid w:val="00E15ADA"/>
    <w:rsid w:val="00E161B4"/>
    <w:rsid w:val="00E16230"/>
    <w:rsid w:val="00E16327"/>
    <w:rsid w:val="00E16C2A"/>
    <w:rsid w:val="00E172C9"/>
    <w:rsid w:val="00E17FE4"/>
    <w:rsid w:val="00E20058"/>
    <w:rsid w:val="00E200D2"/>
    <w:rsid w:val="00E20149"/>
    <w:rsid w:val="00E20521"/>
    <w:rsid w:val="00E20B1E"/>
    <w:rsid w:val="00E20DF9"/>
    <w:rsid w:val="00E20E2C"/>
    <w:rsid w:val="00E210A3"/>
    <w:rsid w:val="00E2125F"/>
    <w:rsid w:val="00E2217D"/>
    <w:rsid w:val="00E22579"/>
    <w:rsid w:val="00E228B9"/>
    <w:rsid w:val="00E228F8"/>
    <w:rsid w:val="00E23166"/>
    <w:rsid w:val="00E232E1"/>
    <w:rsid w:val="00E23354"/>
    <w:rsid w:val="00E2370B"/>
    <w:rsid w:val="00E23D82"/>
    <w:rsid w:val="00E24079"/>
    <w:rsid w:val="00E2440B"/>
    <w:rsid w:val="00E24563"/>
    <w:rsid w:val="00E24574"/>
    <w:rsid w:val="00E2489A"/>
    <w:rsid w:val="00E2495B"/>
    <w:rsid w:val="00E25259"/>
    <w:rsid w:val="00E25525"/>
    <w:rsid w:val="00E25833"/>
    <w:rsid w:val="00E25AF6"/>
    <w:rsid w:val="00E25B75"/>
    <w:rsid w:val="00E25F73"/>
    <w:rsid w:val="00E25FE7"/>
    <w:rsid w:val="00E2659D"/>
    <w:rsid w:val="00E26940"/>
    <w:rsid w:val="00E26C2A"/>
    <w:rsid w:val="00E26D53"/>
    <w:rsid w:val="00E271AA"/>
    <w:rsid w:val="00E27277"/>
    <w:rsid w:val="00E274AF"/>
    <w:rsid w:val="00E27831"/>
    <w:rsid w:val="00E27A67"/>
    <w:rsid w:val="00E27FAD"/>
    <w:rsid w:val="00E30156"/>
    <w:rsid w:val="00E302E7"/>
    <w:rsid w:val="00E303D9"/>
    <w:rsid w:val="00E30761"/>
    <w:rsid w:val="00E307E2"/>
    <w:rsid w:val="00E31943"/>
    <w:rsid w:val="00E31C6C"/>
    <w:rsid w:val="00E32694"/>
    <w:rsid w:val="00E32707"/>
    <w:rsid w:val="00E3276D"/>
    <w:rsid w:val="00E327F8"/>
    <w:rsid w:val="00E32842"/>
    <w:rsid w:val="00E3286E"/>
    <w:rsid w:val="00E32B2F"/>
    <w:rsid w:val="00E32C55"/>
    <w:rsid w:val="00E3379B"/>
    <w:rsid w:val="00E339C2"/>
    <w:rsid w:val="00E33AD8"/>
    <w:rsid w:val="00E33C3A"/>
    <w:rsid w:val="00E34090"/>
    <w:rsid w:val="00E341A8"/>
    <w:rsid w:val="00E34532"/>
    <w:rsid w:val="00E3480B"/>
    <w:rsid w:val="00E3509B"/>
    <w:rsid w:val="00E35385"/>
    <w:rsid w:val="00E354D5"/>
    <w:rsid w:val="00E3571F"/>
    <w:rsid w:val="00E3578B"/>
    <w:rsid w:val="00E3593B"/>
    <w:rsid w:val="00E35EB2"/>
    <w:rsid w:val="00E3620B"/>
    <w:rsid w:val="00E362A5"/>
    <w:rsid w:val="00E3642A"/>
    <w:rsid w:val="00E3647B"/>
    <w:rsid w:val="00E36C93"/>
    <w:rsid w:val="00E36D8F"/>
    <w:rsid w:val="00E36E67"/>
    <w:rsid w:val="00E37400"/>
    <w:rsid w:val="00E37614"/>
    <w:rsid w:val="00E37CD4"/>
    <w:rsid w:val="00E37EE9"/>
    <w:rsid w:val="00E37FB5"/>
    <w:rsid w:val="00E4030D"/>
    <w:rsid w:val="00E405BC"/>
    <w:rsid w:val="00E410B3"/>
    <w:rsid w:val="00E4134E"/>
    <w:rsid w:val="00E415E9"/>
    <w:rsid w:val="00E417FF"/>
    <w:rsid w:val="00E41A1B"/>
    <w:rsid w:val="00E42329"/>
    <w:rsid w:val="00E426F9"/>
    <w:rsid w:val="00E42862"/>
    <w:rsid w:val="00E429EA"/>
    <w:rsid w:val="00E42C20"/>
    <w:rsid w:val="00E42E42"/>
    <w:rsid w:val="00E42FC9"/>
    <w:rsid w:val="00E4344A"/>
    <w:rsid w:val="00E437A0"/>
    <w:rsid w:val="00E4394F"/>
    <w:rsid w:val="00E43A4E"/>
    <w:rsid w:val="00E43A69"/>
    <w:rsid w:val="00E43C5F"/>
    <w:rsid w:val="00E43C84"/>
    <w:rsid w:val="00E43C9E"/>
    <w:rsid w:val="00E43E37"/>
    <w:rsid w:val="00E43F7C"/>
    <w:rsid w:val="00E444AE"/>
    <w:rsid w:val="00E446FF"/>
    <w:rsid w:val="00E44904"/>
    <w:rsid w:val="00E44A63"/>
    <w:rsid w:val="00E44AA4"/>
    <w:rsid w:val="00E45186"/>
    <w:rsid w:val="00E451EA"/>
    <w:rsid w:val="00E45377"/>
    <w:rsid w:val="00E454B0"/>
    <w:rsid w:val="00E45A47"/>
    <w:rsid w:val="00E45BF3"/>
    <w:rsid w:val="00E45CB6"/>
    <w:rsid w:val="00E45F0A"/>
    <w:rsid w:val="00E46421"/>
    <w:rsid w:val="00E46658"/>
    <w:rsid w:val="00E466D7"/>
    <w:rsid w:val="00E469EF"/>
    <w:rsid w:val="00E46DF6"/>
    <w:rsid w:val="00E475C3"/>
    <w:rsid w:val="00E47693"/>
    <w:rsid w:val="00E4777F"/>
    <w:rsid w:val="00E47A31"/>
    <w:rsid w:val="00E47BE8"/>
    <w:rsid w:val="00E47D79"/>
    <w:rsid w:val="00E50323"/>
    <w:rsid w:val="00E5060B"/>
    <w:rsid w:val="00E506FC"/>
    <w:rsid w:val="00E50A21"/>
    <w:rsid w:val="00E50A65"/>
    <w:rsid w:val="00E511D4"/>
    <w:rsid w:val="00E51386"/>
    <w:rsid w:val="00E5144B"/>
    <w:rsid w:val="00E514C4"/>
    <w:rsid w:val="00E51A31"/>
    <w:rsid w:val="00E51D2D"/>
    <w:rsid w:val="00E51DEB"/>
    <w:rsid w:val="00E51EBB"/>
    <w:rsid w:val="00E52486"/>
    <w:rsid w:val="00E52682"/>
    <w:rsid w:val="00E5301C"/>
    <w:rsid w:val="00E53025"/>
    <w:rsid w:val="00E5323F"/>
    <w:rsid w:val="00E53480"/>
    <w:rsid w:val="00E53557"/>
    <w:rsid w:val="00E538C0"/>
    <w:rsid w:val="00E53CFE"/>
    <w:rsid w:val="00E53D59"/>
    <w:rsid w:val="00E53F70"/>
    <w:rsid w:val="00E542BF"/>
    <w:rsid w:val="00E544AD"/>
    <w:rsid w:val="00E54889"/>
    <w:rsid w:val="00E54CD7"/>
    <w:rsid w:val="00E54D7E"/>
    <w:rsid w:val="00E5562F"/>
    <w:rsid w:val="00E556A8"/>
    <w:rsid w:val="00E55DEF"/>
    <w:rsid w:val="00E560C6"/>
    <w:rsid w:val="00E56399"/>
    <w:rsid w:val="00E56548"/>
    <w:rsid w:val="00E56AE0"/>
    <w:rsid w:val="00E56DE4"/>
    <w:rsid w:val="00E570E3"/>
    <w:rsid w:val="00E57804"/>
    <w:rsid w:val="00E57900"/>
    <w:rsid w:val="00E57DDE"/>
    <w:rsid w:val="00E57F36"/>
    <w:rsid w:val="00E601B5"/>
    <w:rsid w:val="00E60285"/>
    <w:rsid w:val="00E6055A"/>
    <w:rsid w:val="00E60713"/>
    <w:rsid w:val="00E6110D"/>
    <w:rsid w:val="00E615ED"/>
    <w:rsid w:val="00E616A4"/>
    <w:rsid w:val="00E61728"/>
    <w:rsid w:val="00E61AAC"/>
    <w:rsid w:val="00E61BA9"/>
    <w:rsid w:val="00E61E48"/>
    <w:rsid w:val="00E61E7A"/>
    <w:rsid w:val="00E621A8"/>
    <w:rsid w:val="00E621CF"/>
    <w:rsid w:val="00E62499"/>
    <w:rsid w:val="00E62988"/>
    <w:rsid w:val="00E629C2"/>
    <w:rsid w:val="00E62D7E"/>
    <w:rsid w:val="00E62E96"/>
    <w:rsid w:val="00E6316E"/>
    <w:rsid w:val="00E63180"/>
    <w:rsid w:val="00E635A3"/>
    <w:rsid w:val="00E6429B"/>
    <w:rsid w:val="00E642DA"/>
    <w:rsid w:val="00E64336"/>
    <w:rsid w:val="00E644CC"/>
    <w:rsid w:val="00E647DD"/>
    <w:rsid w:val="00E64AA4"/>
    <w:rsid w:val="00E64C08"/>
    <w:rsid w:val="00E64D96"/>
    <w:rsid w:val="00E64E35"/>
    <w:rsid w:val="00E65085"/>
    <w:rsid w:val="00E65319"/>
    <w:rsid w:val="00E653EF"/>
    <w:rsid w:val="00E657A6"/>
    <w:rsid w:val="00E6629B"/>
    <w:rsid w:val="00E6630B"/>
    <w:rsid w:val="00E66394"/>
    <w:rsid w:val="00E665A8"/>
    <w:rsid w:val="00E66A99"/>
    <w:rsid w:val="00E6786E"/>
    <w:rsid w:val="00E67880"/>
    <w:rsid w:val="00E6791A"/>
    <w:rsid w:val="00E67CE5"/>
    <w:rsid w:val="00E70136"/>
    <w:rsid w:val="00E704D9"/>
    <w:rsid w:val="00E70574"/>
    <w:rsid w:val="00E705C5"/>
    <w:rsid w:val="00E708E9"/>
    <w:rsid w:val="00E70B40"/>
    <w:rsid w:val="00E717C9"/>
    <w:rsid w:val="00E71D04"/>
    <w:rsid w:val="00E71E4B"/>
    <w:rsid w:val="00E71EAF"/>
    <w:rsid w:val="00E71F1F"/>
    <w:rsid w:val="00E7231B"/>
    <w:rsid w:val="00E7240D"/>
    <w:rsid w:val="00E726EC"/>
    <w:rsid w:val="00E731DA"/>
    <w:rsid w:val="00E7369E"/>
    <w:rsid w:val="00E737B7"/>
    <w:rsid w:val="00E740B2"/>
    <w:rsid w:val="00E74615"/>
    <w:rsid w:val="00E749BC"/>
    <w:rsid w:val="00E74B0F"/>
    <w:rsid w:val="00E750F2"/>
    <w:rsid w:val="00E750F4"/>
    <w:rsid w:val="00E75249"/>
    <w:rsid w:val="00E7565D"/>
    <w:rsid w:val="00E75A78"/>
    <w:rsid w:val="00E75CA4"/>
    <w:rsid w:val="00E75CD7"/>
    <w:rsid w:val="00E762FF"/>
    <w:rsid w:val="00E76977"/>
    <w:rsid w:val="00E76A0C"/>
    <w:rsid w:val="00E76A6A"/>
    <w:rsid w:val="00E76B07"/>
    <w:rsid w:val="00E76EFB"/>
    <w:rsid w:val="00E771C6"/>
    <w:rsid w:val="00E77384"/>
    <w:rsid w:val="00E775D4"/>
    <w:rsid w:val="00E77600"/>
    <w:rsid w:val="00E77695"/>
    <w:rsid w:val="00E7774C"/>
    <w:rsid w:val="00E805AF"/>
    <w:rsid w:val="00E80A0C"/>
    <w:rsid w:val="00E80D22"/>
    <w:rsid w:val="00E80EB8"/>
    <w:rsid w:val="00E80F31"/>
    <w:rsid w:val="00E80FF0"/>
    <w:rsid w:val="00E8132E"/>
    <w:rsid w:val="00E81373"/>
    <w:rsid w:val="00E819F9"/>
    <w:rsid w:val="00E81C35"/>
    <w:rsid w:val="00E81ECF"/>
    <w:rsid w:val="00E824AC"/>
    <w:rsid w:val="00E826F2"/>
    <w:rsid w:val="00E82781"/>
    <w:rsid w:val="00E8281A"/>
    <w:rsid w:val="00E82C3D"/>
    <w:rsid w:val="00E82DE8"/>
    <w:rsid w:val="00E82EC6"/>
    <w:rsid w:val="00E82F70"/>
    <w:rsid w:val="00E831F3"/>
    <w:rsid w:val="00E83215"/>
    <w:rsid w:val="00E83325"/>
    <w:rsid w:val="00E83592"/>
    <w:rsid w:val="00E83B12"/>
    <w:rsid w:val="00E83DE6"/>
    <w:rsid w:val="00E83E28"/>
    <w:rsid w:val="00E8404C"/>
    <w:rsid w:val="00E84128"/>
    <w:rsid w:val="00E845CE"/>
    <w:rsid w:val="00E8465D"/>
    <w:rsid w:val="00E84A11"/>
    <w:rsid w:val="00E84C92"/>
    <w:rsid w:val="00E850E3"/>
    <w:rsid w:val="00E85296"/>
    <w:rsid w:val="00E852F3"/>
    <w:rsid w:val="00E853B0"/>
    <w:rsid w:val="00E85998"/>
    <w:rsid w:val="00E85A60"/>
    <w:rsid w:val="00E85B91"/>
    <w:rsid w:val="00E8609B"/>
    <w:rsid w:val="00E861D8"/>
    <w:rsid w:val="00E863A2"/>
    <w:rsid w:val="00E86542"/>
    <w:rsid w:val="00E8663B"/>
    <w:rsid w:val="00E8699C"/>
    <w:rsid w:val="00E870E2"/>
    <w:rsid w:val="00E870EA"/>
    <w:rsid w:val="00E87112"/>
    <w:rsid w:val="00E8714B"/>
    <w:rsid w:val="00E874EC"/>
    <w:rsid w:val="00E877AF"/>
    <w:rsid w:val="00E900B8"/>
    <w:rsid w:val="00E9037F"/>
    <w:rsid w:val="00E9086B"/>
    <w:rsid w:val="00E90956"/>
    <w:rsid w:val="00E90A35"/>
    <w:rsid w:val="00E90B26"/>
    <w:rsid w:val="00E90CDA"/>
    <w:rsid w:val="00E90FE6"/>
    <w:rsid w:val="00E91583"/>
    <w:rsid w:val="00E91737"/>
    <w:rsid w:val="00E918C9"/>
    <w:rsid w:val="00E922CC"/>
    <w:rsid w:val="00E9254D"/>
    <w:rsid w:val="00E926A0"/>
    <w:rsid w:val="00E92CBD"/>
    <w:rsid w:val="00E92E4B"/>
    <w:rsid w:val="00E93553"/>
    <w:rsid w:val="00E935EC"/>
    <w:rsid w:val="00E939ED"/>
    <w:rsid w:val="00E939FD"/>
    <w:rsid w:val="00E93D55"/>
    <w:rsid w:val="00E93E0F"/>
    <w:rsid w:val="00E93EC0"/>
    <w:rsid w:val="00E9412A"/>
    <w:rsid w:val="00E94384"/>
    <w:rsid w:val="00E946AC"/>
    <w:rsid w:val="00E9478D"/>
    <w:rsid w:val="00E94CA9"/>
    <w:rsid w:val="00E94F72"/>
    <w:rsid w:val="00E952F0"/>
    <w:rsid w:val="00E953BC"/>
    <w:rsid w:val="00E95664"/>
    <w:rsid w:val="00E956A7"/>
    <w:rsid w:val="00E957A9"/>
    <w:rsid w:val="00E9581F"/>
    <w:rsid w:val="00E95E11"/>
    <w:rsid w:val="00E96027"/>
    <w:rsid w:val="00E96046"/>
    <w:rsid w:val="00E9605A"/>
    <w:rsid w:val="00E965BE"/>
    <w:rsid w:val="00E968F0"/>
    <w:rsid w:val="00E96B9B"/>
    <w:rsid w:val="00E9701F"/>
    <w:rsid w:val="00E974EB"/>
    <w:rsid w:val="00E9798F"/>
    <w:rsid w:val="00E97D0E"/>
    <w:rsid w:val="00E97EB6"/>
    <w:rsid w:val="00E97EDB"/>
    <w:rsid w:val="00E97F8C"/>
    <w:rsid w:val="00EA0110"/>
    <w:rsid w:val="00EA0224"/>
    <w:rsid w:val="00EA0232"/>
    <w:rsid w:val="00EA044A"/>
    <w:rsid w:val="00EA06F1"/>
    <w:rsid w:val="00EA0911"/>
    <w:rsid w:val="00EA1067"/>
    <w:rsid w:val="00EA18C4"/>
    <w:rsid w:val="00EA1EB3"/>
    <w:rsid w:val="00EA1F19"/>
    <w:rsid w:val="00EA1F55"/>
    <w:rsid w:val="00EA1FF9"/>
    <w:rsid w:val="00EA2048"/>
    <w:rsid w:val="00EA22C3"/>
    <w:rsid w:val="00EA22F9"/>
    <w:rsid w:val="00EA2C52"/>
    <w:rsid w:val="00EA2F59"/>
    <w:rsid w:val="00EA3279"/>
    <w:rsid w:val="00EA32AE"/>
    <w:rsid w:val="00EA3734"/>
    <w:rsid w:val="00EA3E8A"/>
    <w:rsid w:val="00EA4361"/>
    <w:rsid w:val="00EA4A47"/>
    <w:rsid w:val="00EA4C1A"/>
    <w:rsid w:val="00EA535D"/>
    <w:rsid w:val="00EA53AA"/>
    <w:rsid w:val="00EA544D"/>
    <w:rsid w:val="00EA5BF5"/>
    <w:rsid w:val="00EA5DC7"/>
    <w:rsid w:val="00EA61A3"/>
    <w:rsid w:val="00EA6206"/>
    <w:rsid w:val="00EA68B4"/>
    <w:rsid w:val="00EA6CCE"/>
    <w:rsid w:val="00EA71EB"/>
    <w:rsid w:val="00EA72DC"/>
    <w:rsid w:val="00EA75CA"/>
    <w:rsid w:val="00EA78B9"/>
    <w:rsid w:val="00EA7994"/>
    <w:rsid w:val="00EA7B8E"/>
    <w:rsid w:val="00EA7DDB"/>
    <w:rsid w:val="00EB0308"/>
    <w:rsid w:val="00EB03BD"/>
    <w:rsid w:val="00EB0436"/>
    <w:rsid w:val="00EB048B"/>
    <w:rsid w:val="00EB0640"/>
    <w:rsid w:val="00EB0884"/>
    <w:rsid w:val="00EB0A4C"/>
    <w:rsid w:val="00EB0A9F"/>
    <w:rsid w:val="00EB0B34"/>
    <w:rsid w:val="00EB0CF5"/>
    <w:rsid w:val="00EB0F0F"/>
    <w:rsid w:val="00EB1335"/>
    <w:rsid w:val="00EB1350"/>
    <w:rsid w:val="00EB13DB"/>
    <w:rsid w:val="00EB1A6F"/>
    <w:rsid w:val="00EB1D21"/>
    <w:rsid w:val="00EB1EC9"/>
    <w:rsid w:val="00EB22BB"/>
    <w:rsid w:val="00EB2763"/>
    <w:rsid w:val="00EB342D"/>
    <w:rsid w:val="00EB3655"/>
    <w:rsid w:val="00EB3E8A"/>
    <w:rsid w:val="00EB3EB1"/>
    <w:rsid w:val="00EB4016"/>
    <w:rsid w:val="00EB4610"/>
    <w:rsid w:val="00EB4684"/>
    <w:rsid w:val="00EB4766"/>
    <w:rsid w:val="00EB483D"/>
    <w:rsid w:val="00EB4BE4"/>
    <w:rsid w:val="00EB4DF6"/>
    <w:rsid w:val="00EB50D0"/>
    <w:rsid w:val="00EB5429"/>
    <w:rsid w:val="00EB5497"/>
    <w:rsid w:val="00EB5A0D"/>
    <w:rsid w:val="00EB5A4D"/>
    <w:rsid w:val="00EB5CBC"/>
    <w:rsid w:val="00EB5EF3"/>
    <w:rsid w:val="00EB5F44"/>
    <w:rsid w:val="00EB621B"/>
    <w:rsid w:val="00EB6A42"/>
    <w:rsid w:val="00EB6B1F"/>
    <w:rsid w:val="00EB74F3"/>
    <w:rsid w:val="00EB7872"/>
    <w:rsid w:val="00EB799B"/>
    <w:rsid w:val="00EB7CFB"/>
    <w:rsid w:val="00EB7F81"/>
    <w:rsid w:val="00EC006E"/>
    <w:rsid w:val="00EC045D"/>
    <w:rsid w:val="00EC0576"/>
    <w:rsid w:val="00EC0630"/>
    <w:rsid w:val="00EC0C8A"/>
    <w:rsid w:val="00EC0D8D"/>
    <w:rsid w:val="00EC0EA6"/>
    <w:rsid w:val="00EC0F0D"/>
    <w:rsid w:val="00EC14BB"/>
    <w:rsid w:val="00EC155B"/>
    <w:rsid w:val="00EC1707"/>
    <w:rsid w:val="00EC1ACD"/>
    <w:rsid w:val="00EC1D8D"/>
    <w:rsid w:val="00EC1F53"/>
    <w:rsid w:val="00EC21A1"/>
    <w:rsid w:val="00EC25A9"/>
    <w:rsid w:val="00EC2709"/>
    <w:rsid w:val="00EC2711"/>
    <w:rsid w:val="00EC2A4E"/>
    <w:rsid w:val="00EC2B72"/>
    <w:rsid w:val="00EC2BA9"/>
    <w:rsid w:val="00EC2CDA"/>
    <w:rsid w:val="00EC2E9B"/>
    <w:rsid w:val="00EC3347"/>
    <w:rsid w:val="00EC3478"/>
    <w:rsid w:val="00EC38DA"/>
    <w:rsid w:val="00EC391B"/>
    <w:rsid w:val="00EC3A5F"/>
    <w:rsid w:val="00EC3D03"/>
    <w:rsid w:val="00EC3EF3"/>
    <w:rsid w:val="00EC3F11"/>
    <w:rsid w:val="00EC3F28"/>
    <w:rsid w:val="00EC3F6F"/>
    <w:rsid w:val="00EC3F88"/>
    <w:rsid w:val="00EC45C8"/>
    <w:rsid w:val="00EC477D"/>
    <w:rsid w:val="00EC485B"/>
    <w:rsid w:val="00EC4C06"/>
    <w:rsid w:val="00EC5179"/>
    <w:rsid w:val="00EC5232"/>
    <w:rsid w:val="00EC5414"/>
    <w:rsid w:val="00EC5471"/>
    <w:rsid w:val="00EC5B1D"/>
    <w:rsid w:val="00EC5FE4"/>
    <w:rsid w:val="00EC6034"/>
    <w:rsid w:val="00EC60BB"/>
    <w:rsid w:val="00EC64A7"/>
    <w:rsid w:val="00EC67AD"/>
    <w:rsid w:val="00EC75CE"/>
    <w:rsid w:val="00EC7612"/>
    <w:rsid w:val="00EC773D"/>
    <w:rsid w:val="00EC77B6"/>
    <w:rsid w:val="00EC7E37"/>
    <w:rsid w:val="00ED042D"/>
    <w:rsid w:val="00ED054F"/>
    <w:rsid w:val="00ED08D0"/>
    <w:rsid w:val="00ED09D6"/>
    <w:rsid w:val="00ED0E86"/>
    <w:rsid w:val="00ED106D"/>
    <w:rsid w:val="00ED1282"/>
    <w:rsid w:val="00ED12E5"/>
    <w:rsid w:val="00ED1BA9"/>
    <w:rsid w:val="00ED20A1"/>
    <w:rsid w:val="00ED22A4"/>
    <w:rsid w:val="00ED2C61"/>
    <w:rsid w:val="00ED2EAC"/>
    <w:rsid w:val="00ED2F24"/>
    <w:rsid w:val="00ED3BEB"/>
    <w:rsid w:val="00ED3CFC"/>
    <w:rsid w:val="00ED3CFE"/>
    <w:rsid w:val="00ED4ED3"/>
    <w:rsid w:val="00ED4FB2"/>
    <w:rsid w:val="00ED5C21"/>
    <w:rsid w:val="00ED5CF9"/>
    <w:rsid w:val="00ED5ED0"/>
    <w:rsid w:val="00ED66DD"/>
    <w:rsid w:val="00ED6978"/>
    <w:rsid w:val="00ED6E81"/>
    <w:rsid w:val="00ED74B5"/>
    <w:rsid w:val="00ED7663"/>
    <w:rsid w:val="00ED7819"/>
    <w:rsid w:val="00ED79AE"/>
    <w:rsid w:val="00EE0A80"/>
    <w:rsid w:val="00EE0A8C"/>
    <w:rsid w:val="00EE0B78"/>
    <w:rsid w:val="00EE103C"/>
    <w:rsid w:val="00EE10D0"/>
    <w:rsid w:val="00EE15AC"/>
    <w:rsid w:val="00EE1772"/>
    <w:rsid w:val="00EE1EB1"/>
    <w:rsid w:val="00EE2298"/>
    <w:rsid w:val="00EE2308"/>
    <w:rsid w:val="00EE2316"/>
    <w:rsid w:val="00EE25AD"/>
    <w:rsid w:val="00EE2DB0"/>
    <w:rsid w:val="00EE2F55"/>
    <w:rsid w:val="00EE3031"/>
    <w:rsid w:val="00EE31C0"/>
    <w:rsid w:val="00EE34C3"/>
    <w:rsid w:val="00EE388A"/>
    <w:rsid w:val="00EE3A1D"/>
    <w:rsid w:val="00EE3B74"/>
    <w:rsid w:val="00EE402E"/>
    <w:rsid w:val="00EE4117"/>
    <w:rsid w:val="00EE41A4"/>
    <w:rsid w:val="00EE4740"/>
    <w:rsid w:val="00EE47EA"/>
    <w:rsid w:val="00EE4D12"/>
    <w:rsid w:val="00EE4D56"/>
    <w:rsid w:val="00EE4F54"/>
    <w:rsid w:val="00EE533F"/>
    <w:rsid w:val="00EE54BA"/>
    <w:rsid w:val="00EE5622"/>
    <w:rsid w:val="00EE5676"/>
    <w:rsid w:val="00EE58D1"/>
    <w:rsid w:val="00EE594F"/>
    <w:rsid w:val="00EE5C4D"/>
    <w:rsid w:val="00EE65F8"/>
    <w:rsid w:val="00EE6605"/>
    <w:rsid w:val="00EE6634"/>
    <w:rsid w:val="00EE71CF"/>
    <w:rsid w:val="00EE746D"/>
    <w:rsid w:val="00EE7484"/>
    <w:rsid w:val="00EE7DCD"/>
    <w:rsid w:val="00EE7E5D"/>
    <w:rsid w:val="00EF025B"/>
    <w:rsid w:val="00EF0282"/>
    <w:rsid w:val="00EF088E"/>
    <w:rsid w:val="00EF0E7F"/>
    <w:rsid w:val="00EF13EA"/>
    <w:rsid w:val="00EF17FF"/>
    <w:rsid w:val="00EF19C2"/>
    <w:rsid w:val="00EF231C"/>
    <w:rsid w:val="00EF271E"/>
    <w:rsid w:val="00EF2987"/>
    <w:rsid w:val="00EF2B99"/>
    <w:rsid w:val="00EF3340"/>
    <w:rsid w:val="00EF3560"/>
    <w:rsid w:val="00EF3AE4"/>
    <w:rsid w:val="00EF3E40"/>
    <w:rsid w:val="00EF3E84"/>
    <w:rsid w:val="00EF43D1"/>
    <w:rsid w:val="00EF467F"/>
    <w:rsid w:val="00EF48D5"/>
    <w:rsid w:val="00EF48F0"/>
    <w:rsid w:val="00EF494D"/>
    <w:rsid w:val="00EF49F5"/>
    <w:rsid w:val="00EF4A0D"/>
    <w:rsid w:val="00EF4E39"/>
    <w:rsid w:val="00EF4F34"/>
    <w:rsid w:val="00EF5472"/>
    <w:rsid w:val="00EF575F"/>
    <w:rsid w:val="00EF5E75"/>
    <w:rsid w:val="00EF6007"/>
    <w:rsid w:val="00EF6328"/>
    <w:rsid w:val="00EF6789"/>
    <w:rsid w:val="00EF67C3"/>
    <w:rsid w:val="00EF6A5A"/>
    <w:rsid w:val="00EF6ADD"/>
    <w:rsid w:val="00EF6CD0"/>
    <w:rsid w:val="00EF76A4"/>
    <w:rsid w:val="00EF76CD"/>
    <w:rsid w:val="00EF7984"/>
    <w:rsid w:val="00EF7B27"/>
    <w:rsid w:val="00F00081"/>
    <w:rsid w:val="00F0015D"/>
    <w:rsid w:val="00F00412"/>
    <w:rsid w:val="00F004AB"/>
    <w:rsid w:val="00F0084B"/>
    <w:rsid w:val="00F00FD1"/>
    <w:rsid w:val="00F0106B"/>
    <w:rsid w:val="00F01ACE"/>
    <w:rsid w:val="00F02005"/>
    <w:rsid w:val="00F02207"/>
    <w:rsid w:val="00F026D0"/>
    <w:rsid w:val="00F033F2"/>
    <w:rsid w:val="00F035C7"/>
    <w:rsid w:val="00F03B77"/>
    <w:rsid w:val="00F03E9A"/>
    <w:rsid w:val="00F0426F"/>
    <w:rsid w:val="00F04945"/>
    <w:rsid w:val="00F04E7F"/>
    <w:rsid w:val="00F04FD8"/>
    <w:rsid w:val="00F0523C"/>
    <w:rsid w:val="00F0533F"/>
    <w:rsid w:val="00F05C5C"/>
    <w:rsid w:val="00F05EF5"/>
    <w:rsid w:val="00F05FA6"/>
    <w:rsid w:val="00F062A6"/>
    <w:rsid w:val="00F06F79"/>
    <w:rsid w:val="00F07124"/>
    <w:rsid w:val="00F076BE"/>
    <w:rsid w:val="00F07A20"/>
    <w:rsid w:val="00F07D7F"/>
    <w:rsid w:val="00F1005E"/>
    <w:rsid w:val="00F1011B"/>
    <w:rsid w:val="00F101A3"/>
    <w:rsid w:val="00F103F2"/>
    <w:rsid w:val="00F10425"/>
    <w:rsid w:val="00F106ED"/>
    <w:rsid w:val="00F1087A"/>
    <w:rsid w:val="00F1109E"/>
    <w:rsid w:val="00F1169C"/>
    <w:rsid w:val="00F11715"/>
    <w:rsid w:val="00F11859"/>
    <w:rsid w:val="00F1185D"/>
    <w:rsid w:val="00F11886"/>
    <w:rsid w:val="00F119FF"/>
    <w:rsid w:val="00F11C5E"/>
    <w:rsid w:val="00F12009"/>
    <w:rsid w:val="00F12108"/>
    <w:rsid w:val="00F12332"/>
    <w:rsid w:val="00F1245B"/>
    <w:rsid w:val="00F128EE"/>
    <w:rsid w:val="00F12A87"/>
    <w:rsid w:val="00F12B76"/>
    <w:rsid w:val="00F12C99"/>
    <w:rsid w:val="00F13ADE"/>
    <w:rsid w:val="00F13C72"/>
    <w:rsid w:val="00F13DC6"/>
    <w:rsid w:val="00F13DE6"/>
    <w:rsid w:val="00F14364"/>
    <w:rsid w:val="00F144BE"/>
    <w:rsid w:val="00F144D3"/>
    <w:rsid w:val="00F145DD"/>
    <w:rsid w:val="00F1469F"/>
    <w:rsid w:val="00F14AD2"/>
    <w:rsid w:val="00F150EF"/>
    <w:rsid w:val="00F15494"/>
    <w:rsid w:val="00F15DAF"/>
    <w:rsid w:val="00F16903"/>
    <w:rsid w:val="00F16B5B"/>
    <w:rsid w:val="00F17776"/>
    <w:rsid w:val="00F178E8"/>
    <w:rsid w:val="00F17EC3"/>
    <w:rsid w:val="00F17FAA"/>
    <w:rsid w:val="00F20039"/>
    <w:rsid w:val="00F2035D"/>
    <w:rsid w:val="00F207E5"/>
    <w:rsid w:val="00F20845"/>
    <w:rsid w:val="00F20BCC"/>
    <w:rsid w:val="00F211D1"/>
    <w:rsid w:val="00F2140D"/>
    <w:rsid w:val="00F21983"/>
    <w:rsid w:val="00F21C6F"/>
    <w:rsid w:val="00F21D01"/>
    <w:rsid w:val="00F21D28"/>
    <w:rsid w:val="00F2203F"/>
    <w:rsid w:val="00F22334"/>
    <w:rsid w:val="00F224BB"/>
    <w:rsid w:val="00F2256C"/>
    <w:rsid w:val="00F228BE"/>
    <w:rsid w:val="00F22924"/>
    <w:rsid w:val="00F22B28"/>
    <w:rsid w:val="00F22D78"/>
    <w:rsid w:val="00F22DC1"/>
    <w:rsid w:val="00F2355D"/>
    <w:rsid w:val="00F23B81"/>
    <w:rsid w:val="00F23B89"/>
    <w:rsid w:val="00F23DC4"/>
    <w:rsid w:val="00F23F04"/>
    <w:rsid w:val="00F23F5B"/>
    <w:rsid w:val="00F24081"/>
    <w:rsid w:val="00F24093"/>
    <w:rsid w:val="00F24251"/>
    <w:rsid w:val="00F249CD"/>
    <w:rsid w:val="00F25374"/>
    <w:rsid w:val="00F254C0"/>
    <w:rsid w:val="00F25C9C"/>
    <w:rsid w:val="00F25EDD"/>
    <w:rsid w:val="00F261F0"/>
    <w:rsid w:val="00F26532"/>
    <w:rsid w:val="00F2655F"/>
    <w:rsid w:val="00F26EDD"/>
    <w:rsid w:val="00F27062"/>
    <w:rsid w:val="00F27361"/>
    <w:rsid w:val="00F27542"/>
    <w:rsid w:val="00F27605"/>
    <w:rsid w:val="00F278A9"/>
    <w:rsid w:val="00F27A7C"/>
    <w:rsid w:val="00F27B6E"/>
    <w:rsid w:val="00F27F87"/>
    <w:rsid w:val="00F30722"/>
    <w:rsid w:val="00F3080B"/>
    <w:rsid w:val="00F308FC"/>
    <w:rsid w:val="00F30A1F"/>
    <w:rsid w:val="00F30B17"/>
    <w:rsid w:val="00F30C5F"/>
    <w:rsid w:val="00F31257"/>
    <w:rsid w:val="00F3125E"/>
    <w:rsid w:val="00F314A3"/>
    <w:rsid w:val="00F317C1"/>
    <w:rsid w:val="00F317C2"/>
    <w:rsid w:val="00F317C7"/>
    <w:rsid w:val="00F31F78"/>
    <w:rsid w:val="00F32247"/>
    <w:rsid w:val="00F33308"/>
    <w:rsid w:val="00F334F5"/>
    <w:rsid w:val="00F33798"/>
    <w:rsid w:val="00F3382C"/>
    <w:rsid w:val="00F33943"/>
    <w:rsid w:val="00F33B33"/>
    <w:rsid w:val="00F33C4D"/>
    <w:rsid w:val="00F33E00"/>
    <w:rsid w:val="00F341D6"/>
    <w:rsid w:val="00F34934"/>
    <w:rsid w:val="00F34A17"/>
    <w:rsid w:val="00F34A36"/>
    <w:rsid w:val="00F34D3A"/>
    <w:rsid w:val="00F3546D"/>
    <w:rsid w:val="00F3587E"/>
    <w:rsid w:val="00F35AB5"/>
    <w:rsid w:val="00F36254"/>
    <w:rsid w:val="00F364F0"/>
    <w:rsid w:val="00F36867"/>
    <w:rsid w:val="00F368B2"/>
    <w:rsid w:val="00F36B41"/>
    <w:rsid w:val="00F36E0F"/>
    <w:rsid w:val="00F36EFA"/>
    <w:rsid w:val="00F37702"/>
    <w:rsid w:val="00F377A2"/>
    <w:rsid w:val="00F37AB0"/>
    <w:rsid w:val="00F37C97"/>
    <w:rsid w:val="00F40759"/>
    <w:rsid w:val="00F40777"/>
    <w:rsid w:val="00F409B6"/>
    <w:rsid w:val="00F40E4E"/>
    <w:rsid w:val="00F410B7"/>
    <w:rsid w:val="00F41461"/>
    <w:rsid w:val="00F4161C"/>
    <w:rsid w:val="00F417FB"/>
    <w:rsid w:val="00F41803"/>
    <w:rsid w:val="00F4189E"/>
    <w:rsid w:val="00F41B9A"/>
    <w:rsid w:val="00F41D04"/>
    <w:rsid w:val="00F41D8B"/>
    <w:rsid w:val="00F41F35"/>
    <w:rsid w:val="00F420B1"/>
    <w:rsid w:val="00F420D8"/>
    <w:rsid w:val="00F421E7"/>
    <w:rsid w:val="00F423DC"/>
    <w:rsid w:val="00F42407"/>
    <w:rsid w:val="00F426C7"/>
    <w:rsid w:val="00F42981"/>
    <w:rsid w:val="00F42C75"/>
    <w:rsid w:val="00F43416"/>
    <w:rsid w:val="00F43806"/>
    <w:rsid w:val="00F439E2"/>
    <w:rsid w:val="00F43CD1"/>
    <w:rsid w:val="00F4465F"/>
    <w:rsid w:val="00F45057"/>
    <w:rsid w:val="00F450BC"/>
    <w:rsid w:val="00F45729"/>
    <w:rsid w:val="00F45757"/>
    <w:rsid w:val="00F45AB9"/>
    <w:rsid w:val="00F45E1D"/>
    <w:rsid w:val="00F45E32"/>
    <w:rsid w:val="00F467ED"/>
    <w:rsid w:val="00F47244"/>
    <w:rsid w:val="00F475B8"/>
    <w:rsid w:val="00F476E8"/>
    <w:rsid w:val="00F47980"/>
    <w:rsid w:val="00F5007A"/>
    <w:rsid w:val="00F50477"/>
    <w:rsid w:val="00F50483"/>
    <w:rsid w:val="00F5058E"/>
    <w:rsid w:val="00F5073D"/>
    <w:rsid w:val="00F50C05"/>
    <w:rsid w:val="00F512EE"/>
    <w:rsid w:val="00F51936"/>
    <w:rsid w:val="00F51B12"/>
    <w:rsid w:val="00F52216"/>
    <w:rsid w:val="00F52813"/>
    <w:rsid w:val="00F52912"/>
    <w:rsid w:val="00F52BFD"/>
    <w:rsid w:val="00F53099"/>
    <w:rsid w:val="00F53110"/>
    <w:rsid w:val="00F5362B"/>
    <w:rsid w:val="00F5364B"/>
    <w:rsid w:val="00F53B64"/>
    <w:rsid w:val="00F540FC"/>
    <w:rsid w:val="00F5426B"/>
    <w:rsid w:val="00F54B16"/>
    <w:rsid w:val="00F54C67"/>
    <w:rsid w:val="00F54EAD"/>
    <w:rsid w:val="00F55225"/>
    <w:rsid w:val="00F552E9"/>
    <w:rsid w:val="00F5553A"/>
    <w:rsid w:val="00F55B0B"/>
    <w:rsid w:val="00F56013"/>
    <w:rsid w:val="00F562B1"/>
    <w:rsid w:val="00F569AA"/>
    <w:rsid w:val="00F56A1E"/>
    <w:rsid w:val="00F56DB3"/>
    <w:rsid w:val="00F57116"/>
    <w:rsid w:val="00F57284"/>
    <w:rsid w:val="00F579E1"/>
    <w:rsid w:val="00F60F92"/>
    <w:rsid w:val="00F61ABE"/>
    <w:rsid w:val="00F61B80"/>
    <w:rsid w:val="00F61BE5"/>
    <w:rsid w:val="00F61C92"/>
    <w:rsid w:val="00F6246A"/>
    <w:rsid w:val="00F624A5"/>
    <w:rsid w:val="00F62625"/>
    <w:rsid w:val="00F62985"/>
    <w:rsid w:val="00F62996"/>
    <w:rsid w:val="00F62CB6"/>
    <w:rsid w:val="00F62CD8"/>
    <w:rsid w:val="00F62E42"/>
    <w:rsid w:val="00F62E9A"/>
    <w:rsid w:val="00F6327D"/>
    <w:rsid w:val="00F632B0"/>
    <w:rsid w:val="00F63DFD"/>
    <w:rsid w:val="00F642D0"/>
    <w:rsid w:val="00F64483"/>
    <w:rsid w:val="00F644DF"/>
    <w:rsid w:val="00F64931"/>
    <w:rsid w:val="00F649C2"/>
    <w:rsid w:val="00F64DFF"/>
    <w:rsid w:val="00F6532A"/>
    <w:rsid w:val="00F65AC0"/>
    <w:rsid w:val="00F65BAF"/>
    <w:rsid w:val="00F65D42"/>
    <w:rsid w:val="00F65DBF"/>
    <w:rsid w:val="00F660D1"/>
    <w:rsid w:val="00F6614B"/>
    <w:rsid w:val="00F66697"/>
    <w:rsid w:val="00F666AA"/>
    <w:rsid w:val="00F66AD6"/>
    <w:rsid w:val="00F66B42"/>
    <w:rsid w:val="00F66EDB"/>
    <w:rsid w:val="00F6720F"/>
    <w:rsid w:val="00F67758"/>
    <w:rsid w:val="00F67DAF"/>
    <w:rsid w:val="00F70506"/>
    <w:rsid w:val="00F705BF"/>
    <w:rsid w:val="00F70CB8"/>
    <w:rsid w:val="00F71073"/>
    <w:rsid w:val="00F719CB"/>
    <w:rsid w:val="00F71BE4"/>
    <w:rsid w:val="00F71E9B"/>
    <w:rsid w:val="00F723D0"/>
    <w:rsid w:val="00F723E1"/>
    <w:rsid w:val="00F72536"/>
    <w:rsid w:val="00F726A3"/>
    <w:rsid w:val="00F7273A"/>
    <w:rsid w:val="00F72AD3"/>
    <w:rsid w:val="00F72AEE"/>
    <w:rsid w:val="00F72BB5"/>
    <w:rsid w:val="00F72C07"/>
    <w:rsid w:val="00F72C94"/>
    <w:rsid w:val="00F72F82"/>
    <w:rsid w:val="00F7371D"/>
    <w:rsid w:val="00F73C0F"/>
    <w:rsid w:val="00F74346"/>
    <w:rsid w:val="00F743DD"/>
    <w:rsid w:val="00F74687"/>
    <w:rsid w:val="00F749C5"/>
    <w:rsid w:val="00F74DC1"/>
    <w:rsid w:val="00F752D2"/>
    <w:rsid w:val="00F753AA"/>
    <w:rsid w:val="00F754A8"/>
    <w:rsid w:val="00F755E6"/>
    <w:rsid w:val="00F75764"/>
    <w:rsid w:val="00F757AB"/>
    <w:rsid w:val="00F75831"/>
    <w:rsid w:val="00F7589F"/>
    <w:rsid w:val="00F75E6D"/>
    <w:rsid w:val="00F76295"/>
    <w:rsid w:val="00F76883"/>
    <w:rsid w:val="00F76FB8"/>
    <w:rsid w:val="00F7735A"/>
    <w:rsid w:val="00F77409"/>
    <w:rsid w:val="00F77444"/>
    <w:rsid w:val="00F774FD"/>
    <w:rsid w:val="00F77554"/>
    <w:rsid w:val="00F776CC"/>
    <w:rsid w:val="00F778D9"/>
    <w:rsid w:val="00F80330"/>
    <w:rsid w:val="00F80554"/>
    <w:rsid w:val="00F80BA4"/>
    <w:rsid w:val="00F80F0A"/>
    <w:rsid w:val="00F812EA"/>
    <w:rsid w:val="00F81377"/>
    <w:rsid w:val="00F8141B"/>
    <w:rsid w:val="00F81437"/>
    <w:rsid w:val="00F8145A"/>
    <w:rsid w:val="00F81736"/>
    <w:rsid w:val="00F8202E"/>
    <w:rsid w:val="00F8216E"/>
    <w:rsid w:val="00F82197"/>
    <w:rsid w:val="00F82206"/>
    <w:rsid w:val="00F828D6"/>
    <w:rsid w:val="00F82932"/>
    <w:rsid w:val="00F82D07"/>
    <w:rsid w:val="00F82F45"/>
    <w:rsid w:val="00F830E6"/>
    <w:rsid w:val="00F8343E"/>
    <w:rsid w:val="00F837F7"/>
    <w:rsid w:val="00F83CEE"/>
    <w:rsid w:val="00F83D6C"/>
    <w:rsid w:val="00F83DF8"/>
    <w:rsid w:val="00F84AE1"/>
    <w:rsid w:val="00F84C17"/>
    <w:rsid w:val="00F84E19"/>
    <w:rsid w:val="00F85135"/>
    <w:rsid w:val="00F85254"/>
    <w:rsid w:val="00F85592"/>
    <w:rsid w:val="00F857AC"/>
    <w:rsid w:val="00F858AC"/>
    <w:rsid w:val="00F85B10"/>
    <w:rsid w:val="00F8622C"/>
    <w:rsid w:val="00F8631C"/>
    <w:rsid w:val="00F8639A"/>
    <w:rsid w:val="00F8670E"/>
    <w:rsid w:val="00F867EE"/>
    <w:rsid w:val="00F86AA5"/>
    <w:rsid w:val="00F86B70"/>
    <w:rsid w:val="00F86C31"/>
    <w:rsid w:val="00F86C3F"/>
    <w:rsid w:val="00F86D33"/>
    <w:rsid w:val="00F86D69"/>
    <w:rsid w:val="00F86ED1"/>
    <w:rsid w:val="00F8726E"/>
    <w:rsid w:val="00F872A5"/>
    <w:rsid w:val="00F8752A"/>
    <w:rsid w:val="00F87687"/>
    <w:rsid w:val="00F87786"/>
    <w:rsid w:val="00F87A08"/>
    <w:rsid w:val="00F87BA6"/>
    <w:rsid w:val="00F87E44"/>
    <w:rsid w:val="00F87E50"/>
    <w:rsid w:val="00F87EDA"/>
    <w:rsid w:val="00F87F29"/>
    <w:rsid w:val="00F87F84"/>
    <w:rsid w:val="00F90690"/>
    <w:rsid w:val="00F90ABA"/>
    <w:rsid w:val="00F91534"/>
    <w:rsid w:val="00F9154A"/>
    <w:rsid w:val="00F9168A"/>
    <w:rsid w:val="00F9209F"/>
    <w:rsid w:val="00F9238F"/>
    <w:rsid w:val="00F92408"/>
    <w:rsid w:val="00F92DAD"/>
    <w:rsid w:val="00F92DDF"/>
    <w:rsid w:val="00F930B0"/>
    <w:rsid w:val="00F93133"/>
    <w:rsid w:val="00F93A66"/>
    <w:rsid w:val="00F93C69"/>
    <w:rsid w:val="00F94128"/>
    <w:rsid w:val="00F9433E"/>
    <w:rsid w:val="00F94D09"/>
    <w:rsid w:val="00F94EDD"/>
    <w:rsid w:val="00F952A1"/>
    <w:rsid w:val="00F954D9"/>
    <w:rsid w:val="00F95783"/>
    <w:rsid w:val="00F9585D"/>
    <w:rsid w:val="00F95A87"/>
    <w:rsid w:val="00F95EA0"/>
    <w:rsid w:val="00F95EEB"/>
    <w:rsid w:val="00F95F1C"/>
    <w:rsid w:val="00F9616D"/>
    <w:rsid w:val="00F9663B"/>
    <w:rsid w:val="00F967F9"/>
    <w:rsid w:val="00F9687A"/>
    <w:rsid w:val="00F968DC"/>
    <w:rsid w:val="00F9699C"/>
    <w:rsid w:val="00F96BF6"/>
    <w:rsid w:val="00F971D4"/>
    <w:rsid w:val="00F971DC"/>
    <w:rsid w:val="00F972BD"/>
    <w:rsid w:val="00F972F3"/>
    <w:rsid w:val="00F97506"/>
    <w:rsid w:val="00F979AF"/>
    <w:rsid w:val="00F979FB"/>
    <w:rsid w:val="00F97C42"/>
    <w:rsid w:val="00F97DAD"/>
    <w:rsid w:val="00F97F11"/>
    <w:rsid w:val="00FA01C3"/>
    <w:rsid w:val="00FA0279"/>
    <w:rsid w:val="00FA05BF"/>
    <w:rsid w:val="00FA064F"/>
    <w:rsid w:val="00FA08BB"/>
    <w:rsid w:val="00FA08CE"/>
    <w:rsid w:val="00FA0A0E"/>
    <w:rsid w:val="00FA0FEA"/>
    <w:rsid w:val="00FA1074"/>
    <w:rsid w:val="00FA115E"/>
    <w:rsid w:val="00FA11A9"/>
    <w:rsid w:val="00FA12F3"/>
    <w:rsid w:val="00FA1319"/>
    <w:rsid w:val="00FA14E1"/>
    <w:rsid w:val="00FA16F1"/>
    <w:rsid w:val="00FA19B0"/>
    <w:rsid w:val="00FA1ADF"/>
    <w:rsid w:val="00FA1C0D"/>
    <w:rsid w:val="00FA1D85"/>
    <w:rsid w:val="00FA1EB6"/>
    <w:rsid w:val="00FA1F7F"/>
    <w:rsid w:val="00FA20A2"/>
    <w:rsid w:val="00FA227E"/>
    <w:rsid w:val="00FA2998"/>
    <w:rsid w:val="00FA3112"/>
    <w:rsid w:val="00FA31E7"/>
    <w:rsid w:val="00FA3546"/>
    <w:rsid w:val="00FA3C5A"/>
    <w:rsid w:val="00FA3FE6"/>
    <w:rsid w:val="00FA44BB"/>
    <w:rsid w:val="00FA4613"/>
    <w:rsid w:val="00FA48A5"/>
    <w:rsid w:val="00FA4A08"/>
    <w:rsid w:val="00FA4D66"/>
    <w:rsid w:val="00FA5449"/>
    <w:rsid w:val="00FA56F6"/>
    <w:rsid w:val="00FA57FD"/>
    <w:rsid w:val="00FA580F"/>
    <w:rsid w:val="00FA5C04"/>
    <w:rsid w:val="00FA6A5A"/>
    <w:rsid w:val="00FA7594"/>
    <w:rsid w:val="00FA76AE"/>
    <w:rsid w:val="00FA76D2"/>
    <w:rsid w:val="00FA77CC"/>
    <w:rsid w:val="00FA794C"/>
    <w:rsid w:val="00FA7A06"/>
    <w:rsid w:val="00FA7B73"/>
    <w:rsid w:val="00FA7D10"/>
    <w:rsid w:val="00FB02A7"/>
    <w:rsid w:val="00FB0329"/>
    <w:rsid w:val="00FB0BA4"/>
    <w:rsid w:val="00FB10FF"/>
    <w:rsid w:val="00FB1126"/>
    <w:rsid w:val="00FB133D"/>
    <w:rsid w:val="00FB1A9E"/>
    <w:rsid w:val="00FB22D8"/>
    <w:rsid w:val="00FB2463"/>
    <w:rsid w:val="00FB29B8"/>
    <w:rsid w:val="00FB2B3C"/>
    <w:rsid w:val="00FB2BF1"/>
    <w:rsid w:val="00FB2D28"/>
    <w:rsid w:val="00FB2FD2"/>
    <w:rsid w:val="00FB317C"/>
    <w:rsid w:val="00FB35BA"/>
    <w:rsid w:val="00FB3A00"/>
    <w:rsid w:val="00FB3C9B"/>
    <w:rsid w:val="00FB3DD4"/>
    <w:rsid w:val="00FB43C0"/>
    <w:rsid w:val="00FB43C3"/>
    <w:rsid w:val="00FB454A"/>
    <w:rsid w:val="00FB45D9"/>
    <w:rsid w:val="00FB487F"/>
    <w:rsid w:val="00FB48A1"/>
    <w:rsid w:val="00FB4FF8"/>
    <w:rsid w:val="00FB52B1"/>
    <w:rsid w:val="00FB5401"/>
    <w:rsid w:val="00FB5524"/>
    <w:rsid w:val="00FB55AB"/>
    <w:rsid w:val="00FB590B"/>
    <w:rsid w:val="00FB5947"/>
    <w:rsid w:val="00FB59C8"/>
    <w:rsid w:val="00FB5A1F"/>
    <w:rsid w:val="00FB5AD4"/>
    <w:rsid w:val="00FB67AF"/>
    <w:rsid w:val="00FB68C2"/>
    <w:rsid w:val="00FB68D7"/>
    <w:rsid w:val="00FB6AD9"/>
    <w:rsid w:val="00FB6C17"/>
    <w:rsid w:val="00FB6C8F"/>
    <w:rsid w:val="00FB7060"/>
    <w:rsid w:val="00FB715B"/>
    <w:rsid w:val="00FB7572"/>
    <w:rsid w:val="00FB7721"/>
    <w:rsid w:val="00FB772F"/>
    <w:rsid w:val="00FB776A"/>
    <w:rsid w:val="00FB7FCF"/>
    <w:rsid w:val="00FC0087"/>
    <w:rsid w:val="00FC0155"/>
    <w:rsid w:val="00FC0425"/>
    <w:rsid w:val="00FC048C"/>
    <w:rsid w:val="00FC0713"/>
    <w:rsid w:val="00FC080A"/>
    <w:rsid w:val="00FC0B0A"/>
    <w:rsid w:val="00FC1442"/>
    <w:rsid w:val="00FC165C"/>
    <w:rsid w:val="00FC2016"/>
    <w:rsid w:val="00FC2035"/>
    <w:rsid w:val="00FC24EE"/>
    <w:rsid w:val="00FC269F"/>
    <w:rsid w:val="00FC2760"/>
    <w:rsid w:val="00FC2855"/>
    <w:rsid w:val="00FC2889"/>
    <w:rsid w:val="00FC28E0"/>
    <w:rsid w:val="00FC2A64"/>
    <w:rsid w:val="00FC2CC1"/>
    <w:rsid w:val="00FC333E"/>
    <w:rsid w:val="00FC3557"/>
    <w:rsid w:val="00FC367C"/>
    <w:rsid w:val="00FC3DC5"/>
    <w:rsid w:val="00FC42E4"/>
    <w:rsid w:val="00FC438C"/>
    <w:rsid w:val="00FC44C2"/>
    <w:rsid w:val="00FC46EA"/>
    <w:rsid w:val="00FC4711"/>
    <w:rsid w:val="00FC48B9"/>
    <w:rsid w:val="00FC48F6"/>
    <w:rsid w:val="00FC4E40"/>
    <w:rsid w:val="00FC5076"/>
    <w:rsid w:val="00FC5229"/>
    <w:rsid w:val="00FC53F1"/>
    <w:rsid w:val="00FC5401"/>
    <w:rsid w:val="00FC54C2"/>
    <w:rsid w:val="00FC59A2"/>
    <w:rsid w:val="00FC5B1C"/>
    <w:rsid w:val="00FC5B67"/>
    <w:rsid w:val="00FC6529"/>
    <w:rsid w:val="00FC669B"/>
    <w:rsid w:val="00FC68D5"/>
    <w:rsid w:val="00FC6CC2"/>
    <w:rsid w:val="00FC6F47"/>
    <w:rsid w:val="00FC6FE8"/>
    <w:rsid w:val="00FC7040"/>
    <w:rsid w:val="00FC70FB"/>
    <w:rsid w:val="00FC741A"/>
    <w:rsid w:val="00FC76E4"/>
    <w:rsid w:val="00FC7817"/>
    <w:rsid w:val="00FC798B"/>
    <w:rsid w:val="00FC7A9C"/>
    <w:rsid w:val="00FC7D8F"/>
    <w:rsid w:val="00FC7E52"/>
    <w:rsid w:val="00FD008D"/>
    <w:rsid w:val="00FD018D"/>
    <w:rsid w:val="00FD089C"/>
    <w:rsid w:val="00FD0A54"/>
    <w:rsid w:val="00FD0D9D"/>
    <w:rsid w:val="00FD0EE7"/>
    <w:rsid w:val="00FD1413"/>
    <w:rsid w:val="00FD1A73"/>
    <w:rsid w:val="00FD1DBA"/>
    <w:rsid w:val="00FD1F80"/>
    <w:rsid w:val="00FD23A3"/>
    <w:rsid w:val="00FD2728"/>
    <w:rsid w:val="00FD274E"/>
    <w:rsid w:val="00FD2EDC"/>
    <w:rsid w:val="00FD32BD"/>
    <w:rsid w:val="00FD35D6"/>
    <w:rsid w:val="00FD366A"/>
    <w:rsid w:val="00FD3C19"/>
    <w:rsid w:val="00FD409C"/>
    <w:rsid w:val="00FD42D2"/>
    <w:rsid w:val="00FD43AA"/>
    <w:rsid w:val="00FD44D7"/>
    <w:rsid w:val="00FD45DC"/>
    <w:rsid w:val="00FD47DF"/>
    <w:rsid w:val="00FD48B5"/>
    <w:rsid w:val="00FD4A2C"/>
    <w:rsid w:val="00FD5085"/>
    <w:rsid w:val="00FD50C1"/>
    <w:rsid w:val="00FD50D8"/>
    <w:rsid w:val="00FD52E9"/>
    <w:rsid w:val="00FD5640"/>
    <w:rsid w:val="00FD5655"/>
    <w:rsid w:val="00FD58D8"/>
    <w:rsid w:val="00FD58DF"/>
    <w:rsid w:val="00FD598C"/>
    <w:rsid w:val="00FD5EE5"/>
    <w:rsid w:val="00FD5FAF"/>
    <w:rsid w:val="00FD6224"/>
    <w:rsid w:val="00FD643B"/>
    <w:rsid w:val="00FD6B28"/>
    <w:rsid w:val="00FD7405"/>
    <w:rsid w:val="00FD7456"/>
    <w:rsid w:val="00FD7488"/>
    <w:rsid w:val="00FD766E"/>
    <w:rsid w:val="00FD76CA"/>
    <w:rsid w:val="00FD777B"/>
    <w:rsid w:val="00FD79D8"/>
    <w:rsid w:val="00FD7BAF"/>
    <w:rsid w:val="00FE0331"/>
    <w:rsid w:val="00FE115A"/>
    <w:rsid w:val="00FE11F9"/>
    <w:rsid w:val="00FE1234"/>
    <w:rsid w:val="00FE173D"/>
    <w:rsid w:val="00FE1957"/>
    <w:rsid w:val="00FE1F32"/>
    <w:rsid w:val="00FE2056"/>
    <w:rsid w:val="00FE2182"/>
    <w:rsid w:val="00FE2330"/>
    <w:rsid w:val="00FE24DB"/>
    <w:rsid w:val="00FE2D57"/>
    <w:rsid w:val="00FE2D58"/>
    <w:rsid w:val="00FE2F9D"/>
    <w:rsid w:val="00FE2FE5"/>
    <w:rsid w:val="00FE30C8"/>
    <w:rsid w:val="00FE337A"/>
    <w:rsid w:val="00FE340D"/>
    <w:rsid w:val="00FE3743"/>
    <w:rsid w:val="00FE37B6"/>
    <w:rsid w:val="00FE41D3"/>
    <w:rsid w:val="00FE4298"/>
    <w:rsid w:val="00FE4A44"/>
    <w:rsid w:val="00FE4A4A"/>
    <w:rsid w:val="00FE4A60"/>
    <w:rsid w:val="00FE4F11"/>
    <w:rsid w:val="00FE4FE6"/>
    <w:rsid w:val="00FE5989"/>
    <w:rsid w:val="00FE5A0D"/>
    <w:rsid w:val="00FE5AF7"/>
    <w:rsid w:val="00FE5F3E"/>
    <w:rsid w:val="00FE60AC"/>
    <w:rsid w:val="00FE65B9"/>
    <w:rsid w:val="00FE6744"/>
    <w:rsid w:val="00FE681C"/>
    <w:rsid w:val="00FE6D69"/>
    <w:rsid w:val="00FE7779"/>
    <w:rsid w:val="00FE779B"/>
    <w:rsid w:val="00FE7A40"/>
    <w:rsid w:val="00FE7AF9"/>
    <w:rsid w:val="00FF018F"/>
    <w:rsid w:val="00FF0218"/>
    <w:rsid w:val="00FF02A4"/>
    <w:rsid w:val="00FF02F4"/>
    <w:rsid w:val="00FF06E6"/>
    <w:rsid w:val="00FF0F2A"/>
    <w:rsid w:val="00FF123A"/>
    <w:rsid w:val="00FF14DD"/>
    <w:rsid w:val="00FF2077"/>
    <w:rsid w:val="00FF22DC"/>
    <w:rsid w:val="00FF2467"/>
    <w:rsid w:val="00FF2841"/>
    <w:rsid w:val="00FF2C0B"/>
    <w:rsid w:val="00FF3711"/>
    <w:rsid w:val="00FF3971"/>
    <w:rsid w:val="00FF3AE0"/>
    <w:rsid w:val="00FF3D25"/>
    <w:rsid w:val="00FF3DF1"/>
    <w:rsid w:val="00FF3E69"/>
    <w:rsid w:val="00FF4353"/>
    <w:rsid w:val="00FF46C7"/>
    <w:rsid w:val="00FF49FF"/>
    <w:rsid w:val="00FF4BED"/>
    <w:rsid w:val="00FF5246"/>
    <w:rsid w:val="00FF53F4"/>
    <w:rsid w:val="00FF5D9D"/>
    <w:rsid w:val="00FF611A"/>
    <w:rsid w:val="00FF653B"/>
    <w:rsid w:val="00FF6850"/>
    <w:rsid w:val="00FF6A31"/>
    <w:rsid w:val="00FF6E56"/>
    <w:rsid w:val="00FF7074"/>
    <w:rsid w:val="00FF7095"/>
    <w:rsid w:val="00FF7289"/>
    <w:rsid w:val="00FF791C"/>
    <w:rsid w:val="00FF7B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6D08918-F563-4188-8D34-8B245710D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11F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1">
    <w:name w:val="1"/>
    <w:basedOn w:val="a"/>
    <w:semiHidden/>
    <w:rsid w:val="00AB15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22"/>
    <w:autoRedefine/>
    <w:uiPriority w:val="39"/>
    <w:rsid w:val="00667B39"/>
    <w:pPr>
      <w:tabs>
        <w:tab w:val="right" w:leader="hyphen" w:pos="8259"/>
      </w:tabs>
      <w:ind w:leftChars="133" w:left="133" w:rightChars="234" w:right="234" w:hangingChars="183" w:hanging="448"/>
    </w:pPr>
    <w:rPr>
      <w:noProof/>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5427C1"/>
    <w:rPr>
      <w:rFonts w:ascii="標楷體" w:eastAsia="標楷體"/>
      <w:b/>
      <w:snapToGrid w:val="0"/>
      <w:kern w:val="2"/>
      <w:sz w:val="28"/>
      <w:lang w:val="en-US" w:eastAsia="zh-TW" w:bidi="ar-SA"/>
    </w:rPr>
  </w:style>
  <w:style w:type="character" w:customStyle="1" w:styleId="a5">
    <w:name w:val="(一)(二)(三) 字元"/>
    <w:link w:val="a4"/>
    <w:rsid w:val="002F5866"/>
    <w:rPr>
      <w:rFonts w:ascii="標楷體" w:eastAsia="標楷體"/>
      <w:snapToGrid w:val="0"/>
      <w:kern w:val="2"/>
      <w:sz w:val="28"/>
      <w:szCs w:val="28"/>
      <w:lang w:val="en-US" w:eastAsia="zh-TW" w:bidi="ar-SA"/>
    </w:rPr>
  </w:style>
  <w:style w:type="character" w:customStyle="1" w:styleId="1230">
    <w:name w:val="1.2.3. 字元"/>
    <w:link w:val="123"/>
    <w:rsid w:val="002F5866"/>
    <w:rPr>
      <w:rFonts w:ascii="標楷體" w:eastAsia="標楷體"/>
      <w:snapToGrid w:val="0"/>
      <w:kern w:val="2"/>
      <w:sz w:val="28"/>
      <w:szCs w:val="28"/>
      <w:lang w:val="en-US" w:eastAsia="zh-TW" w:bidi="ar-SA"/>
    </w:rPr>
  </w:style>
  <w:style w:type="table" w:styleId="ad">
    <w:name w:val="Table Grid"/>
    <w:basedOn w:val="a1"/>
    <w:uiPriority w:val="59"/>
    <w:rsid w:val="00EE0A8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下內文縮2 字元"/>
    <w:link w:val="2"/>
    <w:qFormat/>
    <w:rsid w:val="00EF3340"/>
    <w:rPr>
      <w:rFonts w:ascii="標楷體" w:eastAsia="標楷體"/>
      <w:snapToGrid w:val="0"/>
      <w:kern w:val="2"/>
      <w:sz w:val="28"/>
      <w:szCs w:val="28"/>
      <w:lang w:val="en-US" w:eastAsia="zh-TW" w:bidi="ar-SA"/>
    </w:rPr>
  </w:style>
  <w:style w:type="paragraph" w:styleId="ae">
    <w:name w:val="footer"/>
    <w:basedOn w:val="a"/>
    <w:link w:val="af"/>
    <w:uiPriority w:val="99"/>
    <w:rsid w:val="00B279F5"/>
    <w:pPr>
      <w:tabs>
        <w:tab w:val="center" w:pos="4153"/>
        <w:tab w:val="right" w:pos="8306"/>
      </w:tabs>
      <w:snapToGrid w:val="0"/>
    </w:pPr>
    <w:rPr>
      <w:sz w:val="20"/>
      <w:szCs w:val="20"/>
    </w:rPr>
  </w:style>
  <w:style w:type="character" w:styleId="af0">
    <w:name w:val="page number"/>
    <w:basedOn w:val="a0"/>
    <w:rsid w:val="00B279F5"/>
  </w:style>
  <w:style w:type="character" w:styleId="af1">
    <w:name w:val="Hyperlink"/>
    <w:uiPriority w:val="99"/>
    <w:rsid w:val="00B279F5"/>
    <w:rPr>
      <w:color w:val="0000FF"/>
      <w:u w:val="single"/>
    </w:rPr>
  </w:style>
  <w:style w:type="paragraph" w:styleId="af2">
    <w:name w:val="header"/>
    <w:basedOn w:val="a"/>
    <w:link w:val="af3"/>
    <w:uiPriority w:val="99"/>
    <w:rsid w:val="007F343F"/>
    <w:pPr>
      <w:tabs>
        <w:tab w:val="center" w:pos="4153"/>
        <w:tab w:val="right" w:pos="8306"/>
      </w:tabs>
      <w:snapToGrid w:val="0"/>
    </w:pPr>
    <w:rPr>
      <w:sz w:val="20"/>
      <w:szCs w:val="20"/>
    </w:rPr>
  </w:style>
  <w:style w:type="character" w:customStyle="1" w:styleId="23">
    <w:name w:val="(一)(二)(三) 字元2"/>
    <w:rsid w:val="00432C14"/>
    <w:rPr>
      <w:rFonts w:ascii="標楷體" w:eastAsia="標楷體"/>
      <w:kern w:val="2"/>
      <w:sz w:val="28"/>
      <w:szCs w:val="24"/>
      <w:lang w:val="en-US" w:eastAsia="zh-TW" w:bidi="ar-SA"/>
    </w:rPr>
  </w:style>
  <w:style w:type="paragraph" w:styleId="af4">
    <w:name w:val="footnote text"/>
    <w:basedOn w:val="a"/>
    <w:link w:val="af5"/>
    <w:rsid w:val="00432C14"/>
    <w:pPr>
      <w:snapToGrid w:val="0"/>
      <w:jc w:val="left"/>
    </w:pPr>
    <w:rPr>
      <w:rFonts w:ascii="Times New Roman"/>
      <w:snapToGrid/>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432C14"/>
    <w:rPr>
      <w:vertAlign w:val="superscript"/>
    </w:rPr>
  </w:style>
  <w:style w:type="paragraph" w:customStyle="1" w:styleId="4">
    <w:name w:val="字元 字元4"/>
    <w:basedOn w:val="a"/>
    <w:semiHidden/>
    <w:rsid w:val="00C7634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4E1E8F"/>
    <w:rPr>
      <w:sz w:val="18"/>
      <w:szCs w:val="18"/>
    </w:rPr>
  </w:style>
  <w:style w:type="paragraph" w:styleId="af8">
    <w:name w:val="annotation text"/>
    <w:basedOn w:val="a"/>
    <w:semiHidden/>
    <w:rsid w:val="004E1E8F"/>
    <w:pPr>
      <w:jc w:val="left"/>
    </w:pPr>
  </w:style>
  <w:style w:type="paragraph" w:styleId="af9">
    <w:name w:val="annotation subject"/>
    <w:basedOn w:val="af8"/>
    <w:next w:val="af8"/>
    <w:semiHidden/>
    <w:rsid w:val="004E1E8F"/>
    <w:rPr>
      <w:b/>
      <w:bCs/>
    </w:rPr>
  </w:style>
  <w:style w:type="paragraph" w:styleId="afa">
    <w:name w:val="Balloon Text"/>
    <w:basedOn w:val="a"/>
    <w:link w:val="afb"/>
    <w:uiPriority w:val="99"/>
    <w:semiHidden/>
    <w:rsid w:val="004E1E8F"/>
    <w:rPr>
      <w:rFonts w:ascii="Arial" w:eastAsia="新細明體" w:hAnsi="Arial"/>
      <w:sz w:val="18"/>
      <w:szCs w:val="18"/>
    </w:rPr>
  </w:style>
  <w:style w:type="paragraph" w:styleId="Web">
    <w:name w:val="Normal (Web)"/>
    <w:basedOn w:val="a"/>
    <w:rsid w:val="00715C78"/>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c">
    <w:name w:val="Body Text Indent"/>
    <w:basedOn w:val="a"/>
    <w:rsid w:val="00630A6F"/>
    <w:pPr>
      <w:spacing w:line="480" w:lineRule="exact"/>
      <w:ind w:leftChars="94" w:left="906" w:hangingChars="340" w:hanging="680"/>
    </w:pPr>
    <w:rPr>
      <w:rFonts w:hAnsi="標楷體"/>
      <w:snapToGrid/>
      <w:color w:val="000000"/>
    </w:rPr>
  </w:style>
  <w:style w:type="paragraph" w:customStyle="1" w:styleId="afd">
    <w:name w:val="字元 字元"/>
    <w:basedOn w:val="a"/>
    <w:semiHidden/>
    <w:rsid w:val="00BD6CF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e">
    <w:name w:val="endnote text"/>
    <w:basedOn w:val="a"/>
    <w:link w:val="aff"/>
    <w:uiPriority w:val="99"/>
    <w:semiHidden/>
    <w:unhideWhenUsed/>
    <w:rsid w:val="009015EE"/>
    <w:pPr>
      <w:snapToGrid w:val="0"/>
      <w:jc w:val="left"/>
    </w:pPr>
  </w:style>
  <w:style w:type="character" w:customStyle="1" w:styleId="aff">
    <w:name w:val="章節附註文字 字元"/>
    <w:link w:val="afe"/>
    <w:uiPriority w:val="99"/>
    <w:semiHidden/>
    <w:rsid w:val="009015EE"/>
    <w:rPr>
      <w:rFonts w:ascii="標楷體" w:eastAsia="標楷體"/>
      <w:snapToGrid w:val="0"/>
      <w:kern w:val="2"/>
      <w:sz w:val="28"/>
      <w:szCs w:val="28"/>
    </w:rPr>
  </w:style>
  <w:style w:type="character" w:styleId="aff0">
    <w:name w:val="endnote reference"/>
    <w:uiPriority w:val="99"/>
    <w:semiHidden/>
    <w:unhideWhenUsed/>
    <w:rsid w:val="009015EE"/>
    <w:rPr>
      <w:vertAlign w:val="superscript"/>
    </w:rPr>
  </w:style>
  <w:style w:type="character" w:customStyle="1" w:styleId="1410">
    <w:name w:val="第二層(14號字) 字元1"/>
    <w:rsid w:val="00817ACE"/>
    <w:rPr>
      <w:rFonts w:ascii="標楷體" w:eastAsia="標楷體"/>
      <w:b/>
      <w:snapToGrid w:val="0"/>
      <w:kern w:val="2"/>
      <w:sz w:val="28"/>
      <w:lang w:val="en-US" w:eastAsia="zh-TW" w:bidi="ar-SA"/>
    </w:rPr>
  </w:style>
  <w:style w:type="character" w:customStyle="1" w:styleId="af">
    <w:name w:val="頁尾 字元"/>
    <w:link w:val="ae"/>
    <w:uiPriority w:val="99"/>
    <w:rsid w:val="00BE3AB6"/>
    <w:rPr>
      <w:rFonts w:ascii="標楷體" w:eastAsia="標楷體"/>
      <w:snapToGrid w:val="0"/>
      <w:kern w:val="2"/>
    </w:rPr>
  </w:style>
  <w:style w:type="numbering" w:customStyle="1" w:styleId="11">
    <w:name w:val="無清單1"/>
    <w:next w:val="a2"/>
    <w:semiHidden/>
    <w:unhideWhenUsed/>
    <w:rsid w:val="00B76F6E"/>
  </w:style>
  <w:style w:type="character" w:customStyle="1" w:styleId="af3">
    <w:name w:val="頁首 字元"/>
    <w:link w:val="af2"/>
    <w:uiPriority w:val="99"/>
    <w:rsid w:val="00B76F6E"/>
    <w:rPr>
      <w:rFonts w:ascii="標楷體" w:eastAsia="標楷體"/>
      <w:snapToGrid w:val="0"/>
      <w:kern w:val="2"/>
    </w:rPr>
  </w:style>
  <w:style w:type="character" w:customStyle="1" w:styleId="143">
    <w:name w:val="表格內文(14行高) 字元"/>
    <w:link w:val="142"/>
    <w:qFormat/>
    <w:locked/>
    <w:rsid w:val="00B76F6E"/>
    <w:rPr>
      <w:rFonts w:ascii="標楷體" w:eastAsia="標楷體"/>
      <w:snapToGrid w:val="0"/>
      <w:kern w:val="2"/>
      <w:sz w:val="24"/>
      <w:szCs w:val="28"/>
    </w:rPr>
  </w:style>
  <w:style w:type="character" w:customStyle="1" w:styleId="12">
    <w:name w:val="(一)(二)(三) 字元1"/>
    <w:rsid w:val="00B76F6E"/>
    <w:rPr>
      <w:rFonts w:ascii="標楷體" w:eastAsia="標楷體" w:hAnsi="標楷體" w:hint="eastAsia"/>
      <w:snapToGrid w:val="0"/>
      <w:kern w:val="2"/>
      <w:sz w:val="28"/>
      <w:szCs w:val="28"/>
      <w:lang w:val="en-US" w:eastAsia="zh-TW" w:bidi="ar-SA"/>
    </w:rPr>
  </w:style>
  <w:style w:type="paragraph" w:styleId="aff1">
    <w:name w:val="List Paragraph"/>
    <w:basedOn w:val="a"/>
    <w:uiPriority w:val="34"/>
    <w:qFormat/>
    <w:rsid w:val="00B76F6E"/>
    <w:pPr>
      <w:ind w:left="480"/>
    </w:pPr>
    <w:rPr>
      <w:rFonts w:hAnsi="標楷體"/>
      <w:kern w:val="0"/>
      <w:sz w:val="24"/>
    </w:rPr>
  </w:style>
  <w:style w:type="character" w:customStyle="1" w:styleId="af5">
    <w:name w:val="註腳文字 字元"/>
    <w:link w:val="af4"/>
    <w:rsid w:val="00B76F6E"/>
    <w:rPr>
      <w:rFonts w:eastAsia="標楷體"/>
      <w:kern w:val="2"/>
    </w:rPr>
  </w:style>
  <w:style w:type="table" w:customStyle="1" w:styleId="13">
    <w:name w:val="表格格線1"/>
    <w:basedOn w:val="a1"/>
    <w:next w:val="ad"/>
    <w:uiPriority w:val="59"/>
    <w:rsid w:val="00B76F6E"/>
    <w:rPr>
      <w:rFonts w:ascii="標楷體" w:eastAsia="標楷體" w:hAnsi="標楷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註解方塊文字 字元"/>
    <w:link w:val="afa"/>
    <w:uiPriority w:val="99"/>
    <w:semiHidden/>
    <w:rsid w:val="00B76F6E"/>
    <w:rPr>
      <w:rFonts w:ascii="Arial" w:hAnsi="Arial"/>
      <w:snapToGrid w:val="0"/>
      <w:kern w:val="2"/>
      <w:sz w:val="18"/>
      <w:szCs w:val="18"/>
    </w:rPr>
  </w:style>
  <w:style w:type="paragraph" w:customStyle="1" w:styleId="Default">
    <w:name w:val="Default"/>
    <w:rsid w:val="006E12E9"/>
    <w:pPr>
      <w:widowControl w:val="0"/>
      <w:autoSpaceDE w:val="0"/>
      <w:autoSpaceDN w:val="0"/>
      <w:adjustRightInd w:val="0"/>
    </w:pPr>
    <w:rPr>
      <w:rFonts w:ascii="標楷體" w:eastAsia="標楷體" w:cs="標楷體"/>
      <w:color w:val="000000"/>
      <w:sz w:val="24"/>
      <w:szCs w:val="24"/>
    </w:rPr>
  </w:style>
  <w:style w:type="paragraph" w:styleId="aff2">
    <w:name w:val="Body Text"/>
    <w:basedOn w:val="a"/>
    <w:link w:val="aff3"/>
    <w:uiPriority w:val="99"/>
    <w:semiHidden/>
    <w:unhideWhenUsed/>
    <w:rsid w:val="007728A8"/>
    <w:pPr>
      <w:spacing w:after="120"/>
    </w:pPr>
  </w:style>
  <w:style w:type="character" w:customStyle="1" w:styleId="aff3">
    <w:name w:val="本文 字元"/>
    <w:link w:val="aff2"/>
    <w:uiPriority w:val="99"/>
    <w:semiHidden/>
    <w:rsid w:val="007728A8"/>
    <w:rPr>
      <w:rFonts w:ascii="標楷體" w:eastAsia="標楷體"/>
      <w:snapToGrid w:val="0"/>
      <w:kern w:val="2"/>
      <w:sz w:val="28"/>
      <w:szCs w:val="28"/>
    </w:rPr>
  </w:style>
  <w:style w:type="character" w:styleId="aff4">
    <w:name w:val="FollowedHyperlink"/>
    <w:uiPriority w:val="99"/>
    <w:semiHidden/>
    <w:unhideWhenUsed/>
    <w:rsid w:val="00617054"/>
    <w:rPr>
      <w:color w:val="800080"/>
      <w:u w:val="single"/>
    </w:rPr>
  </w:style>
  <w:style w:type="paragraph" w:styleId="aff5">
    <w:name w:val="Salutation"/>
    <w:basedOn w:val="a"/>
    <w:next w:val="a"/>
    <w:link w:val="aff6"/>
    <w:uiPriority w:val="99"/>
    <w:unhideWhenUsed/>
    <w:rsid w:val="007F3B2E"/>
    <w:rPr>
      <w:snapToGrid/>
      <w:color w:val="0070C0"/>
    </w:rPr>
  </w:style>
  <w:style w:type="character" w:customStyle="1" w:styleId="aff6">
    <w:name w:val="問候 字元"/>
    <w:link w:val="aff5"/>
    <w:uiPriority w:val="99"/>
    <w:rsid w:val="007F3B2E"/>
    <w:rPr>
      <w:rFonts w:ascii="標楷體" w:eastAsia="標楷體"/>
      <w:color w:val="0070C0"/>
      <w:kern w:val="2"/>
      <w:sz w:val="28"/>
      <w:szCs w:val="28"/>
    </w:rPr>
  </w:style>
  <w:style w:type="paragraph" w:styleId="aff7">
    <w:name w:val="Closing"/>
    <w:basedOn w:val="a"/>
    <w:link w:val="aff8"/>
    <w:uiPriority w:val="99"/>
    <w:unhideWhenUsed/>
    <w:rsid w:val="007F3B2E"/>
    <w:pPr>
      <w:ind w:leftChars="1800" w:left="100"/>
    </w:pPr>
    <w:rPr>
      <w:snapToGrid/>
      <w:color w:val="0070C0"/>
    </w:rPr>
  </w:style>
  <w:style w:type="character" w:customStyle="1" w:styleId="aff8">
    <w:name w:val="結語 字元"/>
    <w:link w:val="aff7"/>
    <w:uiPriority w:val="99"/>
    <w:rsid w:val="007F3B2E"/>
    <w:rPr>
      <w:rFonts w:ascii="標楷體" w:eastAsia="標楷體"/>
      <w:color w:val="0070C0"/>
      <w:kern w:val="2"/>
      <w:sz w:val="28"/>
      <w:szCs w:val="28"/>
    </w:rPr>
  </w:style>
  <w:style w:type="table" w:customStyle="1" w:styleId="24">
    <w:name w:val="表格格線2"/>
    <w:basedOn w:val="a1"/>
    <w:next w:val="ad"/>
    <w:uiPriority w:val="59"/>
    <w:rsid w:val="00262EB0"/>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AD7511"/>
    <w:rPr>
      <w:rFonts w:ascii="標楷體" w:eastAsia="標楷體"/>
      <w:snapToGrid w:val="0"/>
      <w:kern w:val="2"/>
      <w:sz w:val="24"/>
      <w:szCs w:val="28"/>
    </w:rPr>
  </w:style>
  <w:style w:type="paragraph" w:customStyle="1" w:styleId="0">
    <w:name w:val="0註腳"/>
    <w:basedOn w:val="af4"/>
    <w:qFormat/>
    <w:rsid w:val="009A4485"/>
    <w:pPr>
      <w:spacing w:line="300" w:lineRule="exact"/>
      <w:ind w:leftChars="5" w:left="168" w:hangingChars="77" w:hanging="154"/>
      <w:jc w:val="both"/>
    </w:pPr>
    <w:rPr>
      <w:rFonts w:ascii="標楷體" w:hAnsi="標楷體" w:cs="Arial"/>
      <w:sz w:val="24"/>
      <w:szCs w:val="24"/>
    </w:rPr>
  </w:style>
  <w:style w:type="paragraph" w:styleId="aff9">
    <w:name w:val="Revision"/>
    <w:hidden/>
    <w:uiPriority w:val="99"/>
    <w:semiHidden/>
    <w:rsid w:val="00965751"/>
    <w:rPr>
      <w:rFonts w:ascii="標楷體" w:eastAsia="標楷體"/>
      <w:snapToGrid w:val="0"/>
      <w:kern w:val="2"/>
      <w:sz w:val="28"/>
      <w:szCs w:val="28"/>
    </w:rPr>
  </w:style>
  <w:style w:type="paragraph" w:customStyle="1" w:styleId="00">
    <w:name w:val="0一下內文"/>
    <w:basedOn w:val="a"/>
    <w:qFormat/>
    <w:rsid w:val="00FA3C5A"/>
    <w:pPr>
      <w:ind w:leftChars="225" w:left="630" w:firstLineChars="220" w:firstLine="61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158919">
      <w:bodyDiv w:val="1"/>
      <w:marLeft w:val="0"/>
      <w:marRight w:val="0"/>
      <w:marTop w:val="0"/>
      <w:marBottom w:val="0"/>
      <w:divBdr>
        <w:top w:val="none" w:sz="0" w:space="0" w:color="auto"/>
        <w:left w:val="none" w:sz="0" w:space="0" w:color="auto"/>
        <w:bottom w:val="none" w:sz="0" w:space="0" w:color="auto"/>
        <w:right w:val="none" w:sz="0" w:space="0" w:color="auto"/>
      </w:divBdr>
    </w:div>
    <w:div w:id="274990990">
      <w:bodyDiv w:val="1"/>
      <w:marLeft w:val="0"/>
      <w:marRight w:val="0"/>
      <w:marTop w:val="0"/>
      <w:marBottom w:val="0"/>
      <w:divBdr>
        <w:top w:val="none" w:sz="0" w:space="0" w:color="auto"/>
        <w:left w:val="none" w:sz="0" w:space="0" w:color="auto"/>
        <w:bottom w:val="none" w:sz="0" w:space="0" w:color="auto"/>
        <w:right w:val="none" w:sz="0" w:space="0" w:color="auto"/>
      </w:divBdr>
    </w:div>
    <w:div w:id="416050798">
      <w:bodyDiv w:val="1"/>
      <w:marLeft w:val="0"/>
      <w:marRight w:val="0"/>
      <w:marTop w:val="0"/>
      <w:marBottom w:val="0"/>
      <w:divBdr>
        <w:top w:val="none" w:sz="0" w:space="0" w:color="auto"/>
        <w:left w:val="none" w:sz="0" w:space="0" w:color="auto"/>
        <w:bottom w:val="none" w:sz="0" w:space="0" w:color="auto"/>
        <w:right w:val="none" w:sz="0" w:space="0" w:color="auto"/>
      </w:divBdr>
    </w:div>
    <w:div w:id="559287221">
      <w:bodyDiv w:val="1"/>
      <w:marLeft w:val="0"/>
      <w:marRight w:val="0"/>
      <w:marTop w:val="0"/>
      <w:marBottom w:val="0"/>
      <w:divBdr>
        <w:top w:val="none" w:sz="0" w:space="0" w:color="auto"/>
        <w:left w:val="none" w:sz="0" w:space="0" w:color="auto"/>
        <w:bottom w:val="none" w:sz="0" w:space="0" w:color="auto"/>
        <w:right w:val="none" w:sz="0" w:space="0" w:color="auto"/>
      </w:divBdr>
    </w:div>
    <w:div w:id="667561443">
      <w:bodyDiv w:val="1"/>
      <w:marLeft w:val="0"/>
      <w:marRight w:val="0"/>
      <w:marTop w:val="0"/>
      <w:marBottom w:val="0"/>
      <w:divBdr>
        <w:top w:val="none" w:sz="0" w:space="0" w:color="auto"/>
        <w:left w:val="none" w:sz="0" w:space="0" w:color="auto"/>
        <w:bottom w:val="none" w:sz="0" w:space="0" w:color="auto"/>
        <w:right w:val="none" w:sz="0" w:space="0" w:color="auto"/>
      </w:divBdr>
    </w:div>
    <w:div w:id="679043682">
      <w:bodyDiv w:val="1"/>
      <w:marLeft w:val="0"/>
      <w:marRight w:val="0"/>
      <w:marTop w:val="0"/>
      <w:marBottom w:val="0"/>
      <w:divBdr>
        <w:top w:val="none" w:sz="0" w:space="0" w:color="auto"/>
        <w:left w:val="none" w:sz="0" w:space="0" w:color="auto"/>
        <w:bottom w:val="none" w:sz="0" w:space="0" w:color="auto"/>
        <w:right w:val="none" w:sz="0" w:space="0" w:color="auto"/>
      </w:divBdr>
      <w:divsChild>
        <w:div w:id="921569051">
          <w:marLeft w:val="0"/>
          <w:marRight w:val="0"/>
          <w:marTop w:val="0"/>
          <w:marBottom w:val="0"/>
          <w:divBdr>
            <w:top w:val="none" w:sz="0" w:space="0" w:color="auto"/>
            <w:left w:val="none" w:sz="0" w:space="0" w:color="auto"/>
            <w:bottom w:val="none" w:sz="0" w:space="0" w:color="auto"/>
            <w:right w:val="none" w:sz="0" w:space="0" w:color="auto"/>
          </w:divBdr>
        </w:div>
      </w:divsChild>
    </w:div>
    <w:div w:id="713575383">
      <w:bodyDiv w:val="1"/>
      <w:marLeft w:val="0"/>
      <w:marRight w:val="0"/>
      <w:marTop w:val="0"/>
      <w:marBottom w:val="0"/>
      <w:divBdr>
        <w:top w:val="none" w:sz="0" w:space="0" w:color="auto"/>
        <w:left w:val="none" w:sz="0" w:space="0" w:color="auto"/>
        <w:bottom w:val="none" w:sz="0" w:space="0" w:color="auto"/>
        <w:right w:val="none" w:sz="0" w:space="0" w:color="auto"/>
      </w:divBdr>
    </w:div>
    <w:div w:id="731972383">
      <w:bodyDiv w:val="1"/>
      <w:marLeft w:val="0"/>
      <w:marRight w:val="0"/>
      <w:marTop w:val="0"/>
      <w:marBottom w:val="0"/>
      <w:divBdr>
        <w:top w:val="none" w:sz="0" w:space="0" w:color="auto"/>
        <w:left w:val="none" w:sz="0" w:space="0" w:color="auto"/>
        <w:bottom w:val="none" w:sz="0" w:space="0" w:color="auto"/>
        <w:right w:val="none" w:sz="0" w:space="0" w:color="auto"/>
      </w:divBdr>
    </w:div>
    <w:div w:id="733700981">
      <w:bodyDiv w:val="1"/>
      <w:marLeft w:val="0"/>
      <w:marRight w:val="0"/>
      <w:marTop w:val="0"/>
      <w:marBottom w:val="0"/>
      <w:divBdr>
        <w:top w:val="none" w:sz="0" w:space="0" w:color="auto"/>
        <w:left w:val="none" w:sz="0" w:space="0" w:color="auto"/>
        <w:bottom w:val="none" w:sz="0" w:space="0" w:color="auto"/>
        <w:right w:val="none" w:sz="0" w:space="0" w:color="auto"/>
      </w:divBdr>
    </w:div>
    <w:div w:id="1258753318">
      <w:bodyDiv w:val="1"/>
      <w:marLeft w:val="0"/>
      <w:marRight w:val="0"/>
      <w:marTop w:val="0"/>
      <w:marBottom w:val="0"/>
      <w:divBdr>
        <w:top w:val="none" w:sz="0" w:space="0" w:color="auto"/>
        <w:left w:val="none" w:sz="0" w:space="0" w:color="auto"/>
        <w:bottom w:val="none" w:sz="0" w:space="0" w:color="auto"/>
        <w:right w:val="none" w:sz="0" w:space="0" w:color="auto"/>
      </w:divBdr>
    </w:div>
    <w:div w:id="1271624314">
      <w:bodyDiv w:val="1"/>
      <w:marLeft w:val="0"/>
      <w:marRight w:val="0"/>
      <w:marTop w:val="0"/>
      <w:marBottom w:val="0"/>
      <w:divBdr>
        <w:top w:val="none" w:sz="0" w:space="0" w:color="auto"/>
        <w:left w:val="none" w:sz="0" w:space="0" w:color="auto"/>
        <w:bottom w:val="none" w:sz="0" w:space="0" w:color="auto"/>
        <w:right w:val="none" w:sz="0" w:space="0" w:color="auto"/>
      </w:divBdr>
      <w:divsChild>
        <w:div w:id="200361540">
          <w:marLeft w:val="0"/>
          <w:marRight w:val="0"/>
          <w:marTop w:val="0"/>
          <w:marBottom w:val="0"/>
          <w:divBdr>
            <w:top w:val="none" w:sz="0" w:space="0" w:color="auto"/>
            <w:left w:val="none" w:sz="0" w:space="0" w:color="auto"/>
            <w:bottom w:val="none" w:sz="0" w:space="0" w:color="auto"/>
            <w:right w:val="none" w:sz="0" w:space="0" w:color="auto"/>
          </w:divBdr>
        </w:div>
      </w:divsChild>
    </w:div>
    <w:div w:id="1276056842">
      <w:bodyDiv w:val="1"/>
      <w:marLeft w:val="0"/>
      <w:marRight w:val="0"/>
      <w:marTop w:val="0"/>
      <w:marBottom w:val="0"/>
      <w:divBdr>
        <w:top w:val="none" w:sz="0" w:space="0" w:color="auto"/>
        <w:left w:val="none" w:sz="0" w:space="0" w:color="auto"/>
        <w:bottom w:val="none" w:sz="0" w:space="0" w:color="auto"/>
        <w:right w:val="none" w:sz="0" w:space="0" w:color="auto"/>
      </w:divBdr>
    </w:div>
    <w:div w:id="1526169139">
      <w:bodyDiv w:val="1"/>
      <w:marLeft w:val="0"/>
      <w:marRight w:val="0"/>
      <w:marTop w:val="0"/>
      <w:marBottom w:val="0"/>
      <w:divBdr>
        <w:top w:val="none" w:sz="0" w:space="0" w:color="auto"/>
        <w:left w:val="none" w:sz="0" w:space="0" w:color="auto"/>
        <w:bottom w:val="none" w:sz="0" w:space="0" w:color="auto"/>
        <w:right w:val="none" w:sz="0" w:space="0" w:color="auto"/>
      </w:divBdr>
    </w:div>
    <w:div w:id="1619099494">
      <w:bodyDiv w:val="1"/>
      <w:marLeft w:val="0"/>
      <w:marRight w:val="0"/>
      <w:marTop w:val="0"/>
      <w:marBottom w:val="0"/>
      <w:divBdr>
        <w:top w:val="none" w:sz="0" w:space="0" w:color="auto"/>
        <w:left w:val="none" w:sz="0" w:space="0" w:color="auto"/>
        <w:bottom w:val="none" w:sz="0" w:space="0" w:color="auto"/>
        <w:right w:val="none" w:sz="0" w:space="0" w:color="auto"/>
      </w:divBdr>
    </w:div>
    <w:div w:id="1644894337">
      <w:bodyDiv w:val="1"/>
      <w:marLeft w:val="0"/>
      <w:marRight w:val="0"/>
      <w:marTop w:val="0"/>
      <w:marBottom w:val="0"/>
      <w:divBdr>
        <w:top w:val="none" w:sz="0" w:space="0" w:color="auto"/>
        <w:left w:val="none" w:sz="0" w:space="0" w:color="auto"/>
        <w:bottom w:val="none" w:sz="0" w:space="0" w:color="auto"/>
        <w:right w:val="none" w:sz="0" w:space="0" w:color="auto"/>
      </w:divBdr>
    </w:div>
    <w:div w:id="1983995848">
      <w:bodyDiv w:val="1"/>
      <w:marLeft w:val="0"/>
      <w:marRight w:val="0"/>
      <w:marTop w:val="0"/>
      <w:marBottom w:val="0"/>
      <w:divBdr>
        <w:top w:val="none" w:sz="0" w:space="0" w:color="auto"/>
        <w:left w:val="none" w:sz="0" w:space="0" w:color="auto"/>
        <w:bottom w:val="none" w:sz="0" w:space="0" w:color="auto"/>
        <w:right w:val="none" w:sz="0" w:space="0" w:color="auto"/>
      </w:divBdr>
      <w:divsChild>
        <w:div w:id="1836606871">
          <w:marLeft w:val="0"/>
          <w:marRight w:val="0"/>
          <w:marTop w:val="0"/>
          <w:marBottom w:val="0"/>
          <w:divBdr>
            <w:top w:val="none" w:sz="0" w:space="0" w:color="auto"/>
            <w:left w:val="none" w:sz="0" w:space="0" w:color="auto"/>
            <w:bottom w:val="none" w:sz="0" w:space="0" w:color="auto"/>
            <w:right w:val="none" w:sz="0" w:space="0" w:color="auto"/>
          </w:divBdr>
        </w:div>
      </w:divsChild>
    </w:div>
    <w:div w:id="2075734655">
      <w:bodyDiv w:val="1"/>
      <w:marLeft w:val="0"/>
      <w:marRight w:val="0"/>
      <w:marTop w:val="0"/>
      <w:marBottom w:val="0"/>
      <w:divBdr>
        <w:top w:val="none" w:sz="0" w:space="0" w:color="auto"/>
        <w:left w:val="none" w:sz="0" w:space="0" w:color="auto"/>
        <w:bottom w:val="none" w:sz="0" w:space="0" w:color="auto"/>
        <w:right w:val="none" w:sz="0" w:space="0" w:color="auto"/>
      </w:divBdr>
    </w:div>
    <w:div w:id="214553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hart" Target="charts/chart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eader" Target="header6.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users\4CE04312MZ\Desktop\11406&#23560;&#38988;\&#20840;&#22283;&#21450;&#20013;&#22830;&#36070;&#31237;&#25910;&#20837;--104&#24180;&#24230;&#33267;114&#24180;&#24230;&#20840;&#22283;&#21450;&#20013;&#22830;.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d:\users\4CE04312MZ\Desktop\11406&#23560;&#38988;\&#20840;&#22283;&#21450;&#20013;&#22830;&#36070;&#31237;&#25910;&#20837;--104&#24180;&#24230;&#33267;114&#24180;&#24230;&#20840;&#22283;&#21450;&#20013;&#22830;.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D:\users\4CE04312MZ\OneDrive\&#32047;&#35336;&#36088;&#39192;104-11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145625546806648"/>
          <c:y val="0.1069981862449375"/>
          <c:w val="0.76479593175853022"/>
          <c:h val="0.80290318713904207"/>
        </c:manualLayout>
      </c:layout>
      <c:barChart>
        <c:barDir val="col"/>
        <c:grouping val="clustered"/>
        <c:varyColors val="0"/>
        <c:ser>
          <c:idx val="0"/>
          <c:order val="0"/>
          <c:tx>
            <c:strRef>
              <c:f>Sheet1!$N$4</c:f>
              <c:strCache>
                <c:ptCount val="1"/>
                <c:pt idx="0">
                  <c:v>實徵數與預算數差距</c:v>
                </c:pt>
              </c:strCache>
            </c:strRef>
          </c:tx>
          <c:spPr>
            <a:solidFill>
              <a:schemeClr val="accent1"/>
            </a:solidFill>
            <a:ln>
              <a:noFill/>
            </a:ln>
            <a:effectLst/>
          </c:spPr>
          <c:invertIfNegative val="0"/>
          <c:dPt>
            <c:idx val="5"/>
            <c:invertIfNegative val="0"/>
            <c:bubble3D val="0"/>
            <c:spPr>
              <a:solidFill>
                <a:srgbClr val="FF0000"/>
              </a:solidFill>
              <a:ln>
                <a:noFill/>
              </a:ln>
              <a:effectLst/>
            </c:spPr>
            <c:extLst>
              <c:ext xmlns:c16="http://schemas.microsoft.com/office/drawing/2014/chart" uri="{C3380CC4-5D6E-409C-BE32-E72D297353CC}">
                <c16:uniqueId val="{00000001-AB9F-4013-8330-23F63BF16414}"/>
              </c:ext>
            </c:extLst>
          </c:dPt>
          <c:dLbls>
            <c:dLbl>
              <c:idx val="5"/>
              <c:layout>
                <c:manualLayout>
                  <c:x val="-2.7777777777777779E-3"/>
                  <c:y val="-1.228878450052058E-2"/>
                </c:manualLayout>
              </c:layout>
              <c:tx>
                <c:rich>
                  <a:bodyPr/>
                  <a:lstStyle/>
                  <a:p>
                    <a:fld id="{B50E6895-81F6-4F72-832D-A29AA13AD29F}" type="VALUE">
                      <a:rPr lang="en-US" altLang="zh-TW">
                        <a:solidFill>
                          <a:srgbClr val="FF0000"/>
                        </a:solidFill>
                      </a:rPr>
                      <a:pPr/>
                      <a:t>[值]</a:t>
                    </a:fld>
                    <a:endParaRPr lang="zh-TW" altLang="en-US"/>
                  </a:p>
                </c:rich>
              </c:tx>
              <c:showLegendKey val="0"/>
              <c:showVal val="1"/>
              <c:showCatName val="0"/>
              <c:showSerName val="0"/>
              <c:showPercent val="0"/>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1-AB9F-4013-8330-23F63BF16414}"/>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rgbClr val="00B0F0"/>
                    </a:solidFill>
                    <a:latin typeface="+mn-lt"/>
                    <a:ea typeface="+mn-ea"/>
                    <a:cs typeface="+mn-cs"/>
                  </a:defRPr>
                </a:pPr>
                <a:endParaRPr lang="zh-TW"/>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Sheet1!$K$5:$K$14</c:f>
              <c:numCache>
                <c:formatCode>General</c:formatCode>
                <c:ptCount val="10"/>
                <c:pt idx="0">
                  <c:v>104</c:v>
                </c:pt>
                <c:pt idx="1">
                  <c:v>105</c:v>
                </c:pt>
                <c:pt idx="2">
                  <c:v>106</c:v>
                </c:pt>
                <c:pt idx="3">
                  <c:v>107</c:v>
                </c:pt>
                <c:pt idx="4">
                  <c:v>108</c:v>
                </c:pt>
                <c:pt idx="5">
                  <c:v>109</c:v>
                </c:pt>
                <c:pt idx="6">
                  <c:v>110</c:v>
                </c:pt>
                <c:pt idx="7">
                  <c:v>111</c:v>
                </c:pt>
                <c:pt idx="8">
                  <c:v>112</c:v>
                </c:pt>
                <c:pt idx="9">
                  <c:v>113</c:v>
                </c:pt>
              </c:numCache>
            </c:numRef>
          </c:cat>
          <c:val>
            <c:numRef>
              <c:f>Sheet1!$N$5:$N$14</c:f>
              <c:numCache>
                <c:formatCode>_-* #,##0_-;\-* #,##0_-;_-* "-"??_-;_-@_-</c:formatCode>
                <c:ptCount val="10"/>
                <c:pt idx="0">
                  <c:v>1877.8751000000011</c:v>
                </c:pt>
                <c:pt idx="1">
                  <c:v>1277.8952200000022</c:v>
                </c:pt>
                <c:pt idx="2">
                  <c:v>960.11788999999771</c:v>
                </c:pt>
                <c:pt idx="3">
                  <c:v>896.51256999999896</c:v>
                </c:pt>
                <c:pt idx="4">
                  <c:v>829.97521000000052</c:v>
                </c:pt>
                <c:pt idx="5">
                  <c:v>-222.68846000000121</c:v>
                </c:pt>
                <c:pt idx="6">
                  <c:v>4327.0260999999991</c:v>
                </c:pt>
                <c:pt idx="7">
                  <c:v>5237.00864</c:v>
                </c:pt>
                <c:pt idx="8">
                  <c:v>3860.2105699999956</c:v>
                </c:pt>
                <c:pt idx="9">
                  <c:v>5282.8571000000011</c:v>
                </c:pt>
              </c:numCache>
            </c:numRef>
          </c:val>
          <c:extLst>
            <c:ext xmlns:c16="http://schemas.microsoft.com/office/drawing/2014/chart" uri="{C3380CC4-5D6E-409C-BE32-E72D297353CC}">
              <c16:uniqueId val="{00000002-AB9F-4013-8330-23F63BF16414}"/>
            </c:ext>
          </c:extLst>
        </c:ser>
        <c:dLbls>
          <c:showLegendKey val="0"/>
          <c:showVal val="0"/>
          <c:showCatName val="0"/>
          <c:showSerName val="0"/>
          <c:showPercent val="0"/>
          <c:showBubbleSize val="0"/>
        </c:dLbls>
        <c:gapWidth val="219"/>
        <c:overlap val="-27"/>
        <c:axId val="467890352"/>
        <c:axId val="467887072"/>
      </c:barChart>
      <c:lineChart>
        <c:grouping val="standard"/>
        <c:varyColors val="0"/>
        <c:ser>
          <c:idx val="1"/>
          <c:order val="1"/>
          <c:tx>
            <c:strRef>
              <c:f>Sheet1!$O$4</c:f>
              <c:strCache>
                <c:ptCount val="1"/>
                <c:pt idx="0">
                  <c:v>估測誤差率</c:v>
                </c:pt>
              </c:strCache>
            </c:strRef>
          </c:tx>
          <c:spPr>
            <a:ln w="28575" cap="rnd">
              <a:solidFill>
                <a:schemeClr val="accent2"/>
              </a:solidFill>
              <a:round/>
            </a:ln>
            <a:effectLst/>
          </c:spPr>
          <c:marker>
            <c:symbol val="none"/>
          </c:marker>
          <c:dLbls>
            <c:dLbl>
              <c:idx val="0"/>
              <c:layout>
                <c:manualLayout>
                  <c:x val="-6.3888888888888898E-2"/>
                  <c:y val="0.22529438250954398"/>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AB9F-4013-8330-23F63BF16414}"/>
                </c:ext>
              </c:extLst>
            </c:dLbl>
            <c:dLbl>
              <c:idx val="1"/>
              <c:layout>
                <c:manualLayout>
                  <c:x val="-7.2222222222222215E-2"/>
                  <c:y val="0.16385046000694106"/>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AB9F-4013-8330-23F63BF16414}"/>
                </c:ext>
              </c:extLst>
            </c:dLbl>
            <c:dLbl>
              <c:idx val="2"/>
              <c:layout>
                <c:manualLayout>
                  <c:x val="-6.6666666666666666E-2"/>
                  <c:y val="0.1433691525060734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AB9F-4013-8330-23F63BF16414}"/>
                </c:ext>
              </c:extLst>
            </c:dLbl>
            <c:dLbl>
              <c:idx val="3"/>
              <c:layout>
                <c:manualLayout>
                  <c:x val="-7.2222222222222271E-2"/>
                  <c:y val="0.1392728910058999"/>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AB9F-4013-8330-23F63BF16414}"/>
                </c:ext>
              </c:extLst>
            </c:dLbl>
            <c:dLbl>
              <c:idx val="4"/>
              <c:layout>
                <c:manualLayout>
                  <c:x val="-5.8333333333333383E-2"/>
                  <c:y val="0.1269841065053793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AB9F-4013-8330-23F63BF16414}"/>
                </c:ext>
              </c:extLst>
            </c:dLbl>
            <c:dLbl>
              <c:idx val="5"/>
              <c:layout>
                <c:manualLayout>
                  <c:x val="-5.8333333333333438E-2"/>
                  <c:y val="9.011775300381758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zh-TW"/>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AB9F-4013-8330-23F63BF16414}"/>
                </c:ext>
              </c:extLst>
            </c:dLbl>
            <c:dLbl>
              <c:idx val="6"/>
              <c:layout>
                <c:manualLayout>
                  <c:x val="-5.2777777777777778E-2"/>
                  <c:y val="0.35227848901492331"/>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AB9F-4013-8330-23F63BF16414}"/>
                </c:ext>
              </c:extLst>
            </c:dLbl>
            <c:dLbl>
              <c:idx val="7"/>
              <c:layout>
                <c:manualLayout>
                  <c:x val="-5.5555555555555643E-2"/>
                  <c:y val="0.36355077878038961"/>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AB9F-4013-8330-23F63BF16414}"/>
                </c:ext>
              </c:extLst>
            </c:dLbl>
            <c:dLbl>
              <c:idx val="8"/>
              <c:layout>
                <c:manualLayout>
                  <c:x val="-4.7222222222222221E-2"/>
                  <c:y val="0.28264204351197336"/>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AB9F-4013-8330-23F63BF16414}"/>
                </c:ext>
              </c:extLst>
            </c:dLbl>
            <c:dLbl>
              <c:idx val="9"/>
              <c:layout>
                <c:manualLayout>
                  <c:x val="-4.3203216619199368E-2"/>
                  <c:y val="0.36074755254133378"/>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AB9F-4013-8330-23F63BF1641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zh-TW"/>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Sheet1!$K$5:$K$14</c:f>
              <c:numCache>
                <c:formatCode>General</c:formatCode>
                <c:ptCount val="10"/>
                <c:pt idx="0">
                  <c:v>104</c:v>
                </c:pt>
                <c:pt idx="1">
                  <c:v>105</c:v>
                </c:pt>
                <c:pt idx="2">
                  <c:v>106</c:v>
                </c:pt>
                <c:pt idx="3">
                  <c:v>107</c:v>
                </c:pt>
                <c:pt idx="4">
                  <c:v>108</c:v>
                </c:pt>
                <c:pt idx="5">
                  <c:v>109</c:v>
                </c:pt>
                <c:pt idx="6">
                  <c:v>110</c:v>
                </c:pt>
                <c:pt idx="7">
                  <c:v>111</c:v>
                </c:pt>
                <c:pt idx="8">
                  <c:v>112</c:v>
                </c:pt>
                <c:pt idx="9">
                  <c:v>113</c:v>
                </c:pt>
              </c:numCache>
            </c:numRef>
          </c:cat>
          <c:val>
            <c:numRef>
              <c:f>Sheet1!$O$5:$O$14</c:f>
              <c:numCache>
                <c:formatCode>0.00%</c:formatCode>
                <c:ptCount val="10"/>
                <c:pt idx="0">
                  <c:v>9.6446224438810985E-2</c:v>
                </c:pt>
                <c:pt idx="1">
                  <c:v>6.0959967363841572E-2</c:v>
                </c:pt>
                <c:pt idx="2">
                  <c:v>4.454819270472854E-2</c:v>
                </c:pt>
                <c:pt idx="3">
                  <c:v>3.9024726837206383E-2</c:v>
                </c:pt>
                <c:pt idx="4">
                  <c:v>3.4763043313899997E-2</c:v>
                </c:pt>
                <c:pt idx="5">
                  <c:v>-9.198445014938458E-3</c:v>
                </c:pt>
                <c:pt idx="6">
                  <c:v>0.17722746159037248</c:v>
                </c:pt>
                <c:pt idx="7">
                  <c:v>0.19224191383572908</c:v>
                </c:pt>
                <c:pt idx="8">
                  <c:v>0.12573415277649855</c:v>
                </c:pt>
                <c:pt idx="9">
                  <c:v>0.16337407125946179</c:v>
                </c:pt>
              </c:numCache>
            </c:numRef>
          </c:val>
          <c:smooth val="0"/>
          <c:extLst>
            <c:ext xmlns:c16="http://schemas.microsoft.com/office/drawing/2014/chart" uri="{C3380CC4-5D6E-409C-BE32-E72D297353CC}">
              <c16:uniqueId val="{0000000D-AB9F-4013-8330-23F63BF16414}"/>
            </c:ext>
          </c:extLst>
        </c:ser>
        <c:dLbls>
          <c:showLegendKey val="0"/>
          <c:showVal val="0"/>
          <c:showCatName val="0"/>
          <c:showSerName val="0"/>
          <c:showPercent val="0"/>
          <c:showBubbleSize val="0"/>
        </c:dLbls>
        <c:marker val="1"/>
        <c:smooth val="0"/>
        <c:axId val="467885104"/>
        <c:axId val="467882808"/>
      </c:lineChart>
      <c:catAx>
        <c:axId val="467890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7887072"/>
        <c:crosses val="autoZero"/>
        <c:auto val="1"/>
        <c:lblAlgn val="ctr"/>
        <c:lblOffset val="100"/>
        <c:noMultiLvlLbl val="0"/>
      </c:catAx>
      <c:valAx>
        <c:axId val="467887072"/>
        <c:scaling>
          <c:orientation val="minMax"/>
          <c:max val="6000"/>
        </c:scaling>
        <c:delete val="0"/>
        <c:axPos val="l"/>
        <c:majorGridlines>
          <c:spPr>
            <a:ln w="9525" cap="flat" cmpd="sng" algn="ctr">
              <a:noFill/>
              <a:round/>
            </a:ln>
            <a:effectLst/>
          </c:spPr>
        </c:majorGridlines>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7890352"/>
        <c:crosses val="autoZero"/>
        <c:crossBetween val="between"/>
        <c:majorUnit val="2000"/>
      </c:valAx>
      <c:valAx>
        <c:axId val="467882808"/>
        <c:scaling>
          <c:orientation val="minMax"/>
          <c:max val="0.4"/>
          <c:min val="-0.1"/>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7885104"/>
        <c:crosses val="max"/>
        <c:crossBetween val="between"/>
        <c:majorUnit val="0.1"/>
      </c:valAx>
      <c:catAx>
        <c:axId val="467885104"/>
        <c:scaling>
          <c:orientation val="minMax"/>
        </c:scaling>
        <c:delete val="1"/>
        <c:axPos val="b"/>
        <c:numFmt formatCode="General" sourceLinked="1"/>
        <c:majorTickMark val="none"/>
        <c:minorTickMark val="none"/>
        <c:tickLblPos val="nextTo"/>
        <c:crossAx val="467882808"/>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zh-TW"/>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347969559897856"/>
          <c:y val="5.7172341511918516E-2"/>
          <c:w val="0.78162871807368373"/>
          <c:h val="0.80940080442163165"/>
        </c:manualLayout>
      </c:layout>
      <c:barChart>
        <c:barDir val="col"/>
        <c:grouping val="clustered"/>
        <c:varyColors val="0"/>
        <c:ser>
          <c:idx val="0"/>
          <c:order val="0"/>
          <c:tx>
            <c:strRef>
              <c:f>Sheet1!$S$4</c:f>
              <c:strCache>
                <c:ptCount val="1"/>
                <c:pt idx="0">
                  <c:v>實徵數與預算數差距</c:v>
                </c:pt>
              </c:strCache>
            </c:strRef>
          </c:tx>
          <c:spPr>
            <a:solidFill>
              <a:srgbClr val="92D050"/>
            </a:solidFill>
            <a:ln>
              <a:noFill/>
            </a:ln>
            <a:effectLst/>
          </c:spPr>
          <c:invertIfNegative val="0"/>
          <c:dPt>
            <c:idx val="5"/>
            <c:invertIfNegative val="0"/>
            <c:bubble3D val="0"/>
            <c:spPr>
              <a:solidFill>
                <a:srgbClr val="FF0000"/>
              </a:solidFill>
              <a:ln>
                <a:noFill/>
              </a:ln>
              <a:effectLst/>
            </c:spPr>
            <c:extLst>
              <c:ext xmlns:c16="http://schemas.microsoft.com/office/drawing/2014/chart" uri="{C3380CC4-5D6E-409C-BE32-E72D297353CC}">
                <c16:uniqueId val="{00000001-EABD-4D50-8772-BF7A8A06D49C}"/>
              </c:ext>
            </c:extLst>
          </c:dPt>
          <c:dLbls>
            <c:dLbl>
              <c:idx val="5"/>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rgbClr val="FF0000"/>
                      </a:solidFill>
                      <a:latin typeface="+mn-lt"/>
                      <a:ea typeface="+mn-ea"/>
                      <a:cs typeface="+mn-cs"/>
                    </a:defRPr>
                  </a:pPr>
                  <a:endParaRPr lang="zh-TW"/>
                </a:p>
              </c:txPr>
              <c:showLegendKey val="0"/>
              <c:showVal val="1"/>
              <c:showCatName val="0"/>
              <c:showSerName val="0"/>
              <c:showPercent val="0"/>
              <c:showBubbleSize val="0"/>
              <c:extLst>
                <c:ext xmlns:c16="http://schemas.microsoft.com/office/drawing/2014/chart" uri="{C3380CC4-5D6E-409C-BE32-E72D297353CC}">
                  <c16:uniqueId val="{00000001-EABD-4D50-8772-BF7A8A06D49C}"/>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rgbClr val="00B050"/>
                    </a:solidFill>
                    <a:latin typeface="+mn-lt"/>
                    <a:ea typeface="+mn-ea"/>
                    <a:cs typeface="+mn-cs"/>
                  </a:defRPr>
                </a:pPr>
                <a:endParaRPr lang="zh-TW"/>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Sheet1!$K$5:$K$14</c:f>
              <c:numCache>
                <c:formatCode>General</c:formatCode>
                <c:ptCount val="10"/>
                <c:pt idx="0">
                  <c:v>104</c:v>
                </c:pt>
                <c:pt idx="1">
                  <c:v>105</c:v>
                </c:pt>
                <c:pt idx="2">
                  <c:v>106</c:v>
                </c:pt>
                <c:pt idx="3">
                  <c:v>107</c:v>
                </c:pt>
                <c:pt idx="4">
                  <c:v>108</c:v>
                </c:pt>
                <c:pt idx="5">
                  <c:v>109</c:v>
                </c:pt>
                <c:pt idx="6">
                  <c:v>110</c:v>
                </c:pt>
                <c:pt idx="7">
                  <c:v>111</c:v>
                </c:pt>
                <c:pt idx="8">
                  <c:v>112</c:v>
                </c:pt>
                <c:pt idx="9">
                  <c:v>113</c:v>
                </c:pt>
              </c:numCache>
            </c:numRef>
          </c:cat>
          <c:val>
            <c:numRef>
              <c:f>Sheet1!$S$5:$S$14</c:f>
              <c:numCache>
                <c:formatCode>_-* #,##0_-;\-* #,##0_-;_-* "-"??_-;_-@_-</c:formatCode>
                <c:ptCount val="10"/>
                <c:pt idx="0">
                  <c:v>1457.1447000000007</c:v>
                </c:pt>
                <c:pt idx="1">
                  <c:v>938.33021000000008</c:v>
                </c:pt>
                <c:pt idx="2">
                  <c:v>535.66569999999956</c:v>
                </c:pt>
                <c:pt idx="3">
                  <c:v>617.21919000000162</c:v>
                </c:pt>
                <c:pt idx="4">
                  <c:v>390.31999999999971</c:v>
                </c:pt>
                <c:pt idx="5">
                  <c:v>-741.99708999999893</c:v>
                </c:pt>
                <c:pt idx="6">
                  <c:v>3252.3991799999967</c:v>
                </c:pt>
                <c:pt idx="7">
                  <c:v>4002.3502200000003</c:v>
                </c:pt>
                <c:pt idx="8">
                  <c:v>2933.6792800000003</c:v>
                </c:pt>
                <c:pt idx="9">
                  <c:v>3757.3552600000003</c:v>
                </c:pt>
              </c:numCache>
            </c:numRef>
          </c:val>
          <c:extLst>
            <c:ext xmlns:c16="http://schemas.microsoft.com/office/drawing/2014/chart" uri="{C3380CC4-5D6E-409C-BE32-E72D297353CC}">
              <c16:uniqueId val="{00000002-EABD-4D50-8772-BF7A8A06D49C}"/>
            </c:ext>
          </c:extLst>
        </c:ser>
        <c:dLbls>
          <c:showLegendKey val="0"/>
          <c:showVal val="0"/>
          <c:showCatName val="0"/>
          <c:showSerName val="0"/>
          <c:showPercent val="0"/>
          <c:showBubbleSize val="0"/>
        </c:dLbls>
        <c:gapWidth val="219"/>
        <c:overlap val="-27"/>
        <c:axId val="460699864"/>
        <c:axId val="460691664"/>
      </c:barChart>
      <c:lineChart>
        <c:grouping val="standard"/>
        <c:varyColors val="0"/>
        <c:ser>
          <c:idx val="1"/>
          <c:order val="1"/>
          <c:tx>
            <c:strRef>
              <c:f>Sheet1!$T$4</c:f>
              <c:strCache>
                <c:ptCount val="1"/>
                <c:pt idx="0">
                  <c:v>估測誤差率</c:v>
                </c:pt>
              </c:strCache>
            </c:strRef>
          </c:tx>
          <c:spPr>
            <a:ln w="28575" cap="rnd">
              <a:solidFill>
                <a:srgbClr val="7030A0"/>
              </a:solidFill>
              <a:round/>
            </a:ln>
            <a:effectLst/>
          </c:spPr>
          <c:marker>
            <c:symbol val="none"/>
          </c:marker>
          <c:dLbls>
            <c:dLbl>
              <c:idx val="0"/>
              <c:layout>
                <c:manualLayout>
                  <c:x val="-8.0555555555555561E-2"/>
                  <c:y val="0.22981025887198706"/>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EABD-4D50-8772-BF7A8A06D49C}"/>
                </c:ext>
              </c:extLst>
            </c:dLbl>
            <c:dLbl>
              <c:idx val="1"/>
              <c:layout>
                <c:manualLayout>
                  <c:x val="-5.8333333333333362E-2"/>
                  <c:y val="0.15176149170791581"/>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EABD-4D50-8772-BF7A8A06D49C}"/>
                </c:ext>
              </c:extLst>
            </c:dLbl>
            <c:dLbl>
              <c:idx val="2"/>
              <c:layout>
                <c:manualLayout>
                  <c:x val="-5.8333333333333334E-2"/>
                  <c:y val="0.12574523598655896"/>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EABD-4D50-8772-BF7A8A06D49C}"/>
                </c:ext>
              </c:extLst>
            </c:dLbl>
            <c:dLbl>
              <c:idx val="3"/>
              <c:layout>
                <c:manualLayout>
                  <c:x val="-4.166666666666672E-2"/>
                  <c:y val="0.11707315074610661"/>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EABD-4D50-8772-BF7A8A06D49C}"/>
                </c:ext>
              </c:extLst>
            </c:dLbl>
            <c:dLbl>
              <c:idx val="4"/>
              <c:layout>
                <c:manualLayout>
                  <c:x val="-5.2777777777777826E-2"/>
                  <c:y val="0.1300812786067851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EABD-4D50-8772-BF7A8A06D49C}"/>
                </c:ext>
              </c:extLst>
            </c:dLbl>
            <c:dLbl>
              <c:idx val="5"/>
              <c:layout>
                <c:manualLayout>
                  <c:x val="-5.1579626047711151E-2"/>
                  <c:y val="9.2979995683385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mn-lt"/>
                      <a:ea typeface="+mn-ea"/>
                      <a:cs typeface="+mn-cs"/>
                    </a:defRPr>
                  </a:pPr>
                  <a:endParaRPr lang="zh-TW"/>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EABD-4D50-8772-BF7A8A06D49C}"/>
                </c:ext>
              </c:extLst>
            </c:dLbl>
            <c:dLbl>
              <c:idx val="6"/>
              <c:layout>
                <c:manualLayout>
                  <c:x val="-5.6737588652482268E-2"/>
                  <c:y val="0.35704318342419994"/>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EABD-4D50-8772-BF7A8A06D49C}"/>
                </c:ext>
              </c:extLst>
            </c:dLbl>
            <c:dLbl>
              <c:idx val="7"/>
              <c:layout>
                <c:manualLayout>
                  <c:x val="-4.4269217944634141E-2"/>
                  <c:y val="0.4364601865039906"/>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EABD-4D50-8772-BF7A8A06D49C}"/>
                </c:ext>
              </c:extLst>
            </c:dLbl>
            <c:dLbl>
              <c:idx val="8"/>
              <c:layout>
                <c:manualLayout>
                  <c:x val="-4.6421663442940041E-2"/>
                  <c:y val="0.2677823875681498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EABD-4D50-8772-BF7A8A06D49C}"/>
                </c:ext>
              </c:extLst>
            </c:dLbl>
            <c:dLbl>
              <c:idx val="9"/>
              <c:layout>
                <c:manualLayout>
                  <c:x val="-4.7061354733071596E-2"/>
                  <c:y val="0.3236147017458994"/>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EABD-4D50-8772-BF7A8A06D49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7030A0"/>
                    </a:solidFill>
                    <a:latin typeface="+mn-lt"/>
                    <a:ea typeface="+mn-ea"/>
                    <a:cs typeface="+mn-cs"/>
                  </a:defRPr>
                </a:pPr>
                <a:endParaRPr lang="zh-TW"/>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Sheet1!$K$5:$K$14</c:f>
              <c:numCache>
                <c:formatCode>General</c:formatCode>
                <c:ptCount val="10"/>
                <c:pt idx="0">
                  <c:v>104</c:v>
                </c:pt>
                <c:pt idx="1">
                  <c:v>105</c:v>
                </c:pt>
                <c:pt idx="2">
                  <c:v>106</c:v>
                </c:pt>
                <c:pt idx="3">
                  <c:v>107</c:v>
                </c:pt>
                <c:pt idx="4">
                  <c:v>108</c:v>
                </c:pt>
                <c:pt idx="5">
                  <c:v>109</c:v>
                </c:pt>
                <c:pt idx="6">
                  <c:v>110</c:v>
                </c:pt>
                <c:pt idx="7">
                  <c:v>111</c:v>
                </c:pt>
                <c:pt idx="8">
                  <c:v>112</c:v>
                </c:pt>
                <c:pt idx="9">
                  <c:v>113</c:v>
                </c:pt>
              </c:numCache>
            </c:numRef>
          </c:cat>
          <c:val>
            <c:numRef>
              <c:f>Sheet1!$T$5:$T$14</c:f>
              <c:numCache>
                <c:formatCode>0.00%</c:formatCode>
                <c:ptCount val="10"/>
                <c:pt idx="0">
                  <c:v>0.11043953145546673</c:v>
                </c:pt>
                <c:pt idx="1">
                  <c:v>6.5161412925309095E-2</c:v>
                </c:pt>
                <c:pt idx="2">
                  <c:v>3.6456955986143125E-2</c:v>
                </c:pt>
                <c:pt idx="3">
                  <c:v>3.9126538619220157E-2</c:v>
                </c:pt>
                <c:pt idx="4">
                  <c:v>2.369730683938728E-2</c:v>
                </c:pt>
                <c:pt idx="5">
                  <c:v>-4.4177222232647646E-2</c:v>
                </c:pt>
                <c:pt idx="6">
                  <c:v>0.19376334807603043</c:v>
                </c:pt>
                <c:pt idx="7">
                  <c:v>0.21023316358581914</c:v>
                </c:pt>
                <c:pt idx="8">
                  <c:v>0.13365829487313832</c:v>
                </c:pt>
                <c:pt idx="9">
                  <c:v>0.16237349972672083</c:v>
                </c:pt>
              </c:numCache>
            </c:numRef>
          </c:val>
          <c:smooth val="0"/>
          <c:extLst>
            <c:ext xmlns:c16="http://schemas.microsoft.com/office/drawing/2014/chart" uri="{C3380CC4-5D6E-409C-BE32-E72D297353CC}">
              <c16:uniqueId val="{0000000D-EABD-4D50-8772-BF7A8A06D49C}"/>
            </c:ext>
          </c:extLst>
        </c:ser>
        <c:dLbls>
          <c:showLegendKey val="0"/>
          <c:showVal val="0"/>
          <c:showCatName val="0"/>
          <c:showSerName val="0"/>
          <c:showPercent val="0"/>
          <c:showBubbleSize val="0"/>
        </c:dLbls>
        <c:marker val="1"/>
        <c:smooth val="0"/>
        <c:axId val="460692320"/>
        <c:axId val="460700192"/>
      </c:lineChart>
      <c:catAx>
        <c:axId val="460699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0691664"/>
        <c:crosses val="autoZero"/>
        <c:auto val="1"/>
        <c:lblAlgn val="ctr"/>
        <c:lblOffset val="100"/>
        <c:noMultiLvlLbl val="0"/>
      </c:catAx>
      <c:valAx>
        <c:axId val="460691664"/>
        <c:scaling>
          <c:orientation val="minMax"/>
          <c:max val="4500"/>
        </c:scaling>
        <c:delete val="0"/>
        <c:axPos val="l"/>
        <c:majorGridlines>
          <c:spPr>
            <a:ln w="9525" cap="flat" cmpd="sng" algn="ctr">
              <a:noFill/>
              <a:round/>
            </a:ln>
            <a:effectLst/>
          </c:spPr>
        </c:majorGridlines>
        <c:numFmt formatCode="_-* #,##0_-;\-* #,##0_-;_-* &quot;-&quot;??_-;_-@_-" sourceLinked="1"/>
        <c:majorTickMark val="none"/>
        <c:minorTickMark val="none"/>
        <c:tickLblPos val="nextTo"/>
        <c:spPr>
          <a:noFill/>
          <a:ln w="3175">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0699864"/>
        <c:crosses val="autoZero"/>
        <c:crossBetween val="between"/>
        <c:majorUnit val="2000"/>
      </c:valAx>
      <c:valAx>
        <c:axId val="460700192"/>
        <c:scaling>
          <c:orientation val="minMax"/>
          <c:max val="0.4"/>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60692320"/>
        <c:crosses val="max"/>
        <c:crossBetween val="between"/>
        <c:majorUnit val="0.1"/>
      </c:valAx>
      <c:catAx>
        <c:axId val="460692320"/>
        <c:scaling>
          <c:orientation val="minMax"/>
        </c:scaling>
        <c:delete val="1"/>
        <c:axPos val="b"/>
        <c:numFmt formatCode="General" sourceLinked="1"/>
        <c:majorTickMark val="none"/>
        <c:minorTickMark val="none"/>
        <c:tickLblPos val="nextTo"/>
        <c:crossAx val="460700192"/>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zh-TW"/>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9639472149314675E-2"/>
          <c:y val="0.10408589116697163"/>
          <c:w val="0.89702518955963839"/>
          <c:h val="0.78909528695443087"/>
        </c:manualLayout>
      </c:layout>
      <c:barChart>
        <c:barDir val="col"/>
        <c:grouping val="clustered"/>
        <c:varyColors val="0"/>
        <c:ser>
          <c:idx val="0"/>
          <c:order val="0"/>
          <c:tx>
            <c:strRef>
              <c:f>工作表1!$B$2</c:f>
              <c:strCache>
                <c:ptCount val="1"/>
                <c:pt idx="0">
                  <c:v>累計賸餘(億元)</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zh-TW"/>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工作表1!$A$3:$A$12</c:f>
              <c:numCache>
                <c:formatCode>General</c:formatCode>
                <c:ptCount val="10"/>
                <c:pt idx="0">
                  <c:v>104</c:v>
                </c:pt>
                <c:pt idx="1">
                  <c:v>105</c:v>
                </c:pt>
                <c:pt idx="2">
                  <c:v>106</c:v>
                </c:pt>
                <c:pt idx="3">
                  <c:v>107</c:v>
                </c:pt>
                <c:pt idx="4">
                  <c:v>108</c:v>
                </c:pt>
                <c:pt idx="5">
                  <c:v>109</c:v>
                </c:pt>
                <c:pt idx="6">
                  <c:v>110</c:v>
                </c:pt>
                <c:pt idx="7">
                  <c:v>111</c:v>
                </c:pt>
                <c:pt idx="8">
                  <c:v>112</c:v>
                </c:pt>
                <c:pt idx="9">
                  <c:v>113</c:v>
                </c:pt>
              </c:numCache>
            </c:numRef>
          </c:cat>
          <c:val>
            <c:numRef>
              <c:f>工作表1!$B$3:$B$12</c:f>
              <c:numCache>
                <c:formatCode>_-* #,##0_-;\-* #,##0_-;_-* "-"??_-;_-@_-</c:formatCode>
                <c:ptCount val="10"/>
                <c:pt idx="0">
                  <c:v>27</c:v>
                </c:pt>
                <c:pt idx="1">
                  <c:v>24</c:v>
                </c:pt>
                <c:pt idx="2">
                  <c:v>175</c:v>
                </c:pt>
                <c:pt idx="3">
                  <c:v>510</c:v>
                </c:pt>
                <c:pt idx="4">
                  <c:v>663</c:v>
                </c:pt>
                <c:pt idx="5">
                  <c:v>1121</c:v>
                </c:pt>
                <c:pt idx="6">
                  <c:v>2751</c:v>
                </c:pt>
                <c:pt idx="7">
                  <c:v>5908</c:v>
                </c:pt>
                <c:pt idx="8">
                  <c:v>7044</c:v>
                </c:pt>
                <c:pt idx="9">
                  <c:v>8385</c:v>
                </c:pt>
              </c:numCache>
            </c:numRef>
          </c:val>
          <c:extLst>
            <c:ext xmlns:c16="http://schemas.microsoft.com/office/drawing/2014/chart" uri="{C3380CC4-5D6E-409C-BE32-E72D297353CC}">
              <c16:uniqueId val="{00000000-426A-4FA6-A6FB-3D6D37061590}"/>
            </c:ext>
          </c:extLst>
        </c:ser>
        <c:dLbls>
          <c:showLegendKey val="0"/>
          <c:showVal val="0"/>
          <c:showCatName val="0"/>
          <c:showSerName val="0"/>
          <c:showPercent val="0"/>
          <c:showBubbleSize val="0"/>
        </c:dLbls>
        <c:gapWidth val="219"/>
        <c:overlap val="-27"/>
        <c:axId val="483818064"/>
        <c:axId val="483815112"/>
      </c:barChart>
      <c:catAx>
        <c:axId val="483818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83815112"/>
        <c:crosses val="autoZero"/>
        <c:auto val="1"/>
        <c:lblAlgn val="ctr"/>
        <c:lblOffset val="100"/>
        <c:noMultiLvlLbl val="0"/>
      </c:catAx>
      <c:valAx>
        <c:axId val="483815112"/>
        <c:scaling>
          <c:orientation val="minMax"/>
        </c:scaling>
        <c:delete val="0"/>
        <c:axPos val="l"/>
        <c:majorGridlines>
          <c:spPr>
            <a:ln w="9525" cap="flat" cmpd="sng" algn="ctr">
              <a:noFill/>
              <a:round/>
            </a:ln>
            <a:effectLst/>
          </c:spPr>
        </c:majorGridlines>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83818064"/>
        <c:crosses val="autoZero"/>
        <c:crossBetween val="between"/>
        <c:majorUnit val="3000"/>
      </c:valAx>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zh-TW"/>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EC4BA-C250-44FB-A23A-9CAF43B8C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2628</Words>
  <Characters>14986</Characters>
  <Application>Microsoft Office Word</Application>
  <DocSecurity>0</DocSecurity>
  <Lines>124</Lines>
  <Paragraphs>35</Paragraphs>
  <ScaleCrop>false</ScaleCrop>
  <Company/>
  <LinksUpToDate>false</LinksUpToDate>
  <CharactersWithSpaces>17579</CharactersWithSpaces>
  <SharedDoc>false</SharedDoc>
  <HLinks>
    <vt:vector size="60" baseType="variant">
      <vt:variant>
        <vt:i4>1507391</vt:i4>
      </vt:variant>
      <vt:variant>
        <vt:i4>56</vt:i4>
      </vt:variant>
      <vt:variant>
        <vt:i4>0</vt:i4>
      </vt:variant>
      <vt:variant>
        <vt:i4>5</vt:i4>
      </vt:variant>
      <vt:variant>
        <vt:lpwstr/>
      </vt:variant>
      <vt:variant>
        <vt:lpwstr>_Toc203481655</vt:lpwstr>
      </vt:variant>
      <vt:variant>
        <vt:i4>1507391</vt:i4>
      </vt:variant>
      <vt:variant>
        <vt:i4>50</vt:i4>
      </vt:variant>
      <vt:variant>
        <vt:i4>0</vt:i4>
      </vt:variant>
      <vt:variant>
        <vt:i4>5</vt:i4>
      </vt:variant>
      <vt:variant>
        <vt:lpwstr/>
      </vt:variant>
      <vt:variant>
        <vt:lpwstr>_Toc203481654</vt:lpwstr>
      </vt:variant>
      <vt:variant>
        <vt:i4>1507391</vt:i4>
      </vt:variant>
      <vt:variant>
        <vt:i4>44</vt:i4>
      </vt:variant>
      <vt:variant>
        <vt:i4>0</vt:i4>
      </vt:variant>
      <vt:variant>
        <vt:i4>5</vt:i4>
      </vt:variant>
      <vt:variant>
        <vt:lpwstr/>
      </vt:variant>
      <vt:variant>
        <vt:lpwstr>_Toc203481653</vt:lpwstr>
      </vt:variant>
      <vt:variant>
        <vt:i4>1507391</vt:i4>
      </vt:variant>
      <vt:variant>
        <vt:i4>38</vt:i4>
      </vt:variant>
      <vt:variant>
        <vt:i4>0</vt:i4>
      </vt:variant>
      <vt:variant>
        <vt:i4>5</vt:i4>
      </vt:variant>
      <vt:variant>
        <vt:lpwstr/>
      </vt:variant>
      <vt:variant>
        <vt:lpwstr>_Toc203481652</vt:lpwstr>
      </vt:variant>
      <vt:variant>
        <vt:i4>1507391</vt:i4>
      </vt:variant>
      <vt:variant>
        <vt:i4>32</vt:i4>
      </vt:variant>
      <vt:variant>
        <vt:i4>0</vt:i4>
      </vt:variant>
      <vt:variant>
        <vt:i4>5</vt:i4>
      </vt:variant>
      <vt:variant>
        <vt:lpwstr/>
      </vt:variant>
      <vt:variant>
        <vt:lpwstr>_Toc203481651</vt:lpwstr>
      </vt:variant>
      <vt:variant>
        <vt:i4>1507391</vt:i4>
      </vt:variant>
      <vt:variant>
        <vt:i4>26</vt:i4>
      </vt:variant>
      <vt:variant>
        <vt:i4>0</vt:i4>
      </vt:variant>
      <vt:variant>
        <vt:i4>5</vt:i4>
      </vt:variant>
      <vt:variant>
        <vt:lpwstr/>
      </vt:variant>
      <vt:variant>
        <vt:lpwstr>_Toc203481650</vt:lpwstr>
      </vt:variant>
      <vt:variant>
        <vt:i4>1441855</vt:i4>
      </vt:variant>
      <vt:variant>
        <vt:i4>20</vt:i4>
      </vt:variant>
      <vt:variant>
        <vt:i4>0</vt:i4>
      </vt:variant>
      <vt:variant>
        <vt:i4>5</vt:i4>
      </vt:variant>
      <vt:variant>
        <vt:lpwstr/>
      </vt:variant>
      <vt:variant>
        <vt:lpwstr>_Toc203481649</vt:lpwstr>
      </vt:variant>
      <vt:variant>
        <vt:i4>1441855</vt:i4>
      </vt:variant>
      <vt:variant>
        <vt:i4>14</vt:i4>
      </vt:variant>
      <vt:variant>
        <vt:i4>0</vt:i4>
      </vt:variant>
      <vt:variant>
        <vt:i4>5</vt:i4>
      </vt:variant>
      <vt:variant>
        <vt:lpwstr/>
      </vt:variant>
      <vt:variant>
        <vt:lpwstr>_Toc203481648</vt:lpwstr>
      </vt:variant>
      <vt:variant>
        <vt:i4>1441855</vt:i4>
      </vt:variant>
      <vt:variant>
        <vt:i4>8</vt:i4>
      </vt:variant>
      <vt:variant>
        <vt:i4>0</vt:i4>
      </vt:variant>
      <vt:variant>
        <vt:i4>5</vt:i4>
      </vt:variant>
      <vt:variant>
        <vt:lpwstr/>
      </vt:variant>
      <vt:variant>
        <vt:lpwstr>_Toc203481647</vt:lpwstr>
      </vt:variant>
      <vt:variant>
        <vt:i4>1441855</vt:i4>
      </vt:variant>
      <vt:variant>
        <vt:i4>2</vt:i4>
      </vt:variant>
      <vt:variant>
        <vt:i4>0</vt:i4>
      </vt:variant>
      <vt:variant>
        <vt:i4>5</vt:i4>
      </vt:variant>
      <vt:variant>
        <vt:lpwstr/>
      </vt:variant>
      <vt:variant>
        <vt:lpwstr>_Toc203481646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98年度財團法人石材暨資源產業研究發展中心</dc:title>
  <dc:subject/>
  <dc:creator>20230</dc:creator>
  <cp:keywords/>
  <cp:lastModifiedBy>Administrator</cp:lastModifiedBy>
  <cp:revision>2</cp:revision>
  <cp:lastPrinted>2025-07-24T02:03:00Z</cp:lastPrinted>
  <dcterms:created xsi:type="dcterms:W3CDTF">2025-08-29T08:27:00Z</dcterms:created>
  <dcterms:modified xsi:type="dcterms:W3CDTF">2025-08-29T08:27:00Z</dcterms:modified>
</cp:coreProperties>
</file>