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E17BE0" w:rsidRPr="0085594B" w:rsidRDefault="00E17BE0" w:rsidP="00E17BE0">
      <w:pPr>
        <w:pStyle w:val="14"/>
        <w:ind w:left="567" w:hanging="567"/>
      </w:pPr>
      <w:bookmarkStart w:id="1" w:name="_Toc204765515"/>
      <w:r w:rsidRPr="0085594B">
        <w:rPr>
          <w:rFonts w:hint="eastAsia"/>
        </w:rPr>
        <w:t>八、退輔會轉投資事業公股代表董事之遴派，仍以該會所屬中、高階現職人員為主，惟因公司經營階層與</w:t>
      </w:r>
      <w:r w:rsidR="00A30E13" w:rsidRPr="0085594B">
        <w:rPr>
          <w:rFonts w:hint="eastAsia"/>
        </w:rPr>
        <w:t>該</w:t>
      </w:r>
      <w:r w:rsidRPr="0085594B">
        <w:rPr>
          <w:rFonts w:hint="eastAsia"/>
        </w:rPr>
        <w:t>會中高階主管多有重疊，恐不利公股監督及考核，亟待研謀改善，俾維政府投資權益</w:t>
      </w:r>
      <w:bookmarkEnd w:id="1"/>
    </w:p>
    <w:p w:rsidR="00E17BE0" w:rsidRPr="0085594B" w:rsidRDefault="00E17BE0" w:rsidP="00E17BE0">
      <w:pPr>
        <w:ind w:left="566" w:firstLine="566"/>
      </w:pPr>
      <w:r w:rsidRPr="0085594B">
        <w:rPr>
          <w:rFonts w:hint="eastAsia"/>
        </w:rPr>
        <w:t>截至114年4月底止安置基金轉投資民營事業計有28家，核派公股代表董事計100席，其中專任董事由會薦高階經理人擔任(董事長、副董事長、或具董事身分之總經理)，計核派19席(會薦總經理除欣欣客運、大南汽車外，均任董事</w:t>
      </w:r>
      <w:r w:rsidRPr="0085594B">
        <w:t>)</w:t>
      </w:r>
      <w:r w:rsidRPr="0085594B">
        <w:rPr>
          <w:rFonts w:hint="eastAsia"/>
        </w:rPr>
        <w:t>，兼任董事則依規定於退輔會現職人員(本職為退輔會編制之公務人員)中擇適員兼任，計核派81席。經查：</w:t>
      </w:r>
    </w:p>
    <w:p w:rsidR="00E17BE0" w:rsidRPr="0085594B" w:rsidRDefault="00E17BE0" w:rsidP="00DD2FB1">
      <w:pPr>
        <w:pStyle w:val="a4"/>
        <w:ind w:left="849" w:hanging="283"/>
        <w:rPr>
          <w:snapToGrid/>
          <w:w w:val="90"/>
        </w:rPr>
      </w:pPr>
      <w:r w:rsidRPr="0085594B">
        <w:rPr>
          <w:rFonts w:hint="eastAsia"/>
          <w:snapToGrid/>
        </w:rPr>
        <w:t>(一)政府轉投資事業之公股代表，宜由學有專長及經驗豐富人士擔任，以發揮監督功能</w:t>
      </w:r>
    </w:p>
    <w:p w:rsidR="00E17BE0" w:rsidRPr="0085594B" w:rsidRDefault="00E17BE0" w:rsidP="00DD2FB1">
      <w:pPr>
        <w:pStyle w:val="21"/>
        <w:ind w:left="850" w:firstLine="566"/>
        <w:rPr>
          <w:snapToGrid/>
        </w:rPr>
      </w:pPr>
      <w:r w:rsidRPr="0085594B">
        <w:rPr>
          <w:rFonts w:hint="eastAsia"/>
          <w:snapToGrid/>
        </w:rPr>
        <w:t>依</w:t>
      </w:r>
      <w:r w:rsidRPr="0085594B">
        <w:rPr>
          <w:rFonts w:ascii="新細明體" w:eastAsia="新細明體" w:hAnsi="新細明體" w:hint="eastAsia"/>
          <w:snapToGrid/>
        </w:rPr>
        <w:t>「</w:t>
      </w:r>
      <w:r w:rsidRPr="0085594B">
        <w:rPr>
          <w:rFonts w:hint="eastAsia"/>
          <w:snapToGrid/>
        </w:rPr>
        <w:t>中央政府特種基金參加民營事業投資管理要點</w:t>
      </w:r>
      <w:r w:rsidRPr="0085594B">
        <w:rPr>
          <w:rFonts w:ascii="新細明體" w:eastAsia="新細明體" w:hAnsi="新細明體" w:hint="eastAsia"/>
          <w:snapToGrid/>
        </w:rPr>
        <w:t>」</w:t>
      </w:r>
      <w:r w:rsidRPr="0085594B">
        <w:rPr>
          <w:rFonts w:hint="eastAsia"/>
          <w:snapToGrid/>
        </w:rPr>
        <w:t>第6點第1項</w:t>
      </w:r>
      <w:r w:rsidRPr="0085594B">
        <w:rPr>
          <w:snapToGrid/>
          <w:vertAlign w:val="superscript"/>
        </w:rPr>
        <w:footnoteReference w:id="1"/>
      </w:r>
      <w:r w:rsidRPr="0085594B">
        <w:rPr>
          <w:rFonts w:hint="eastAsia"/>
          <w:snapToGrid/>
        </w:rPr>
        <w:t>及</w:t>
      </w:r>
      <w:r w:rsidR="00A30E13" w:rsidRPr="0085594B">
        <w:rPr>
          <w:rFonts w:hAnsi="標楷體" w:hint="eastAsia"/>
          <w:snapToGrid/>
        </w:rPr>
        <w:t>「</w:t>
      </w:r>
      <w:r w:rsidRPr="0085594B">
        <w:rPr>
          <w:rFonts w:hint="eastAsia"/>
          <w:snapToGrid/>
        </w:rPr>
        <w:t>公股股權管理及處分要點</w:t>
      </w:r>
      <w:r w:rsidR="00A30E13" w:rsidRPr="0085594B">
        <w:rPr>
          <w:rFonts w:hAnsi="標楷體" w:hint="eastAsia"/>
          <w:snapToGrid/>
        </w:rPr>
        <w:t>」</w:t>
      </w:r>
      <w:r w:rsidRPr="0085594B">
        <w:rPr>
          <w:snapToGrid/>
          <w:vertAlign w:val="superscript"/>
        </w:rPr>
        <w:footnoteReference w:id="2"/>
      </w:r>
      <w:r w:rsidRPr="0085594B">
        <w:rPr>
          <w:rFonts w:hint="eastAsia"/>
          <w:snapToGrid/>
        </w:rPr>
        <w:t>第12點規定，針對政府轉投資事業公股代表之資格，均要求以具備一定學經歷者選派，以確保政府轉投資事業符合專業經營原則，並維護國營事業民營化後公股股權權益。為避免公股代表之能力不足，致未能善盡監督與管理之責，或被投資公司未依協議之比率安置榮民</w:t>
      </w:r>
      <w:r w:rsidRPr="0085594B">
        <w:rPr>
          <w:snapToGrid/>
        </w:rPr>
        <w:t>(</w:t>
      </w:r>
      <w:r w:rsidRPr="0085594B">
        <w:rPr>
          <w:rFonts w:hint="eastAsia"/>
          <w:snapToGrid/>
        </w:rPr>
        <w:t>眷</w:t>
      </w:r>
      <w:r w:rsidRPr="0085594B">
        <w:rPr>
          <w:snapToGrid/>
        </w:rPr>
        <w:t>)</w:t>
      </w:r>
      <w:r w:rsidRPr="0085594B">
        <w:rPr>
          <w:rFonts w:hint="eastAsia"/>
          <w:snapToGrid/>
        </w:rPr>
        <w:t>，影響榮民(眷)生計，退輔會轉投資事業之公股代表亦宜由學有專長及經驗豐富人士擔任，以發揮監督及安置功能。</w:t>
      </w:r>
    </w:p>
    <w:p w:rsidR="00E17BE0" w:rsidRPr="0085594B" w:rsidRDefault="00E17BE0" w:rsidP="00DD2FB1">
      <w:pPr>
        <w:pStyle w:val="a4"/>
        <w:ind w:left="849" w:hanging="283"/>
        <w:rPr>
          <w:snapToGrid/>
        </w:rPr>
      </w:pPr>
      <w:r w:rsidRPr="0085594B">
        <w:rPr>
          <w:rFonts w:hint="eastAsia"/>
          <w:snapToGrid/>
        </w:rPr>
        <w:lastRenderedPageBreak/>
        <w:t>(二</w:t>
      </w:r>
      <w:r w:rsidRPr="0085594B">
        <w:rPr>
          <w:snapToGrid/>
        </w:rPr>
        <w:t>)</w:t>
      </w:r>
      <w:r w:rsidRPr="0085594B">
        <w:rPr>
          <w:rFonts w:hint="eastAsia"/>
          <w:snapToGrid/>
        </w:rPr>
        <w:t>退輔會轉投資事業之兼任董事，主要由該會科長以上層級之中、高階人員遴選派任，每月最多得領受2個兼職費，且總額</w:t>
      </w:r>
      <w:r w:rsidRPr="0085594B">
        <w:rPr>
          <w:rFonts w:hint="eastAsia"/>
          <w:snapToGrid/>
        </w:rPr>
        <w:lastRenderedPageBreak/>
        <w:t>以1萬7千元為限</w:t>
      </w:r>
    </w:p>
    <w:p w:rsidR="00E17BE0" w:rsidRPr="0085594B" w:rsidRDefault="00E17BE0" w:rsidP="00DD2FB1">
      <w:pPr>
        <w:pStyle w:val="21"/>
        <w:ind w:left="850" w:firstLine="566"/>
        <w:rPr>
          <w:snapToGrid/>
        </w:rPr>
      </w:pPr>
      <w:r w:rsidRPr="0085594B">
        <w:rPr>
          <w:rFonts w:hint="eastAsia"/>
          <w:snapToGrid/>
        </w:rPr>
        <w:t>參據「國軍退除役官兵輔導委員會投資事業機構會派董事及監察人管理要點」第7點第1項規定</w:t>
      </w:r>
      <w:r w:rsidRPr="0085594B">
        <w:rPr>
          <w:snapToGrid/>
          <w:vertAlign w:val="superscript"/>
        </w:rPr>
        <w:footnoteReference w:id="3"/>
      </w:r>
      <w:r w:rsidRPr="0085594B">
        <w:rPr>
          <w:rFonts w:hint="eastAsia"/>
          <w:snapToGrid/>
        </w:rPr>
        <w:t>，會派董事及監察人，主要由該會科長以上層級之中、高階人員遴選派任，其中，常務董監事更限定為該會現任處主管以上層級人員或該會派任之現任投資事業機構之首長，亦即轉投資事業之會派公股代表仍以該會中、高階人員或現任所屬機構、轉投資事業機構首長為主。另退輔會派兼董事支給部分，則係依</w:t>
      </w:r>
      <w:r w:rsidRPr="0085594B">
        <w:rPr>
          <w:rFonts w:ascii="新細明體" w:eastAsia="新細明體" w:hAnsi="新細明體" w:hint="eastAsia"/>
          <w:snapToGrid/>
        </w:rPr>
        <w:t>「</w:t>
      </w:r>
      <w:r w:rsidRPr="0085594B">
        <w:rPr>
          <w:rFonts w:hint="eastAsia"/>
          <w:snapToGrid/>
        </w:rPr>
        <w:t>行政院軍公教人員兼職費支給表</w:t>
      </w:r>
      <w:r w:rsidRPr="0085594B">
        <w:rPr>
          <w:rFonts w:ascii="新細明體" w:eastAsia="新細明體" w:hAnsi="新細明體" w:hint="eastAsia"/>
          <w:snapToGrid/>
        </w:rPr>
        <w:t>」</w:t>
      </w:r>
      <w:r w:rsidRPr="0085594B">
        <w:rPr>
          <w:snapToGrid/>
          <w:vertAlign w:val="superscript"/>
        </w:rPr>
        <w:footnoteReference w:id="4"/>
      </w:r>
      <w:r w:rsidRPr="0085594B">
        <w:rPr>
          <w:rFonts w:hint="eastAsia"/>
          <w:snapToGrid/>
        </w:rPr>
        <w:t>，月支數額單一職務以受領8</w:t>
      </w:r>
      <w:r w:rsidRPr="0085594B">
        <w:rPr>
          <w:snapToGrid/>
        </w:rPr>
        <w:t>,</w:t>
      </w:r>
      <w:r w:rsidRPr="0085594B">
        <w:rPr>
          <w:rFonts w:hint="eastAsia"/>
          <w:snapToGrid/>
        </w:rPr>
        <w:t>500元為限，但兼任公司常務董事者以1萬2,750元為限，最多受領2個職務總額以1萬7,000元為限。</w:t>
      </w:r>
    </w:p>
    <w:p w:rsidR="00E17BE0" w:rsidRPr="0085594B" w:rsidRDefault="00E17BE0" w:rsidP="00DD2FB1">
      <w:pPr>
        <w:pStyle w:val="a4"/>
        <w:ind w:left="849" w:hanging="283"/>
        <w:rPr>
          <w:snapToGrid/>
        </w:rPr>
      </w:pPr>
      <w:r w:rsidRPr="0085594B">
        <w:rPr>
          <w:rFonts w:hint="eastAsia"/>
          <w:snapToGrid/>
        </w:rPr>
        <w:t>(三)依本院決議，退輔會應即檢討改進轉投資事業公股代表董事之遴選派任方式，並避免公股董事全數均由會內職員指派，俾利營運結構合理化及效率化</w:t>
      </w:r>
    </w:p>
    <w:p w:rsidR="00E17BE0" w:rsidRPr="0085594B" w:rsidRDefault="00E17BE0" w:rsidP="00DD2FB1">
      <w:pPr>
        <w:pStyle w:val="21"/>
        <w:ind w:left="850" w:firstLine="566"/>
        <w:rPr>
          <w:snapToGrid/>
        </w:rPr>
      </w:pPr>
      <w:r w:rsidRPr="0085594B">
        <w:rPr>
          <w:rFonts w:hint="eastAsia"/>
          <w:snapToGrid/>
        </w:rPr>
        <w:t>依據本院審查</w:t>
      </w:r>
      <w:r w:rsidRPr="0085594B">
        <w:rPr>
          <w:snapToGrid/>
        </w:rPr>
        <w:t>104</w:t>
      </w:r>
      <w:r w:rsidRPr="0085594B">
        <w:rPr>
          <w:rFonts w:hint="eastAsia"/>
          <w:snapToGrid/>
        </w:rPr>
        <w:t>年度中央政府總預算案附屬單位預算營業及非營業部分案時有關安置基金</w:t>
      </w:r>
      <w:r w:rsidR="008B7D3C" w:rsidRPr="0085594B">
        <w:rPr>
          <w:rFonts w:hint="eastAsia"/>
          <w:snapToGrid/>
        </w:rPr>
        <w:t>第</w:t>
      </w:r>
      <w:r w:rsidRPr="0085594B">
        <w:rPr>
          <w:rFonts w:hint="eastAsia"/>
          <w:snapToGrid/>
        </w:rPr>
        <w:t>(八</w:t>
      </w:r>
      <w:r w:rsidRPr="0085594B">
        <w:rPr>
          <w:snapToGrid/>
        </w:rPr>
        <w:t>)</w:t>
      </w:r>
      <w:r w:rsidRPr="0085594B">
        <w:rPr>
          <w:rFonts w:hint="eastAsia"/>
          <w:snapToGrid/>
        </w:rPr>
        <w:t>、8項決議：「公股代</w:t>
      </w:r>
      <w:r w:rsidRPr="0085594B">
        <w:rPr>
          <w:rFonts w:hint="eastAsia"/>
          <w:snapToGrid/>
        </w:rPr>
        <w:lastRenderedPageBreak/>
        <w:t>表宜由學有專長及經驗豐富人士擔任，以發揮監督功能，然國軍退除役官兵安置基金轉投資事業多達27家，渠等事業公股董</w:t>
      </w:r>
      <w:r w:rsidRPr="0085594B">
        <w:rPr>
          <w:rFonts w:hint="eastAsia"/>
          <w:snapToGrid/>
        </w:rPr>
        <w:lastRenderedPageBreak/>
        <w:t>監事均由國軍退除役官兵輔導委員會遴選派任，對於企業經營經驗多所不足，顯然欠缺專業性考量。又國軍退除役官兵輔導委員會以其會內職員職級作為轉投資事業公股代表選派標準，致所指派110席公股代表中，除21席董事由該會退休職員或退役將領擔任，俾擔任董事長或總經理職務外，其餘高達 89席董、監事職務全數由國軍退除役官兵輔導委員會內中高階現職人員兼任，此舉因不具專業性而不利轉投資事業之經營外，亦致每人每月得額外支領高額兼職費，已形成嚴重變相酬庸加薪之公平性問題。</w:t>
      </w:r>
      <w:r w:rsidRPr="0085594B">
        <w:rPr>
          <w:rFonts w:hAnsi="標楷體"/>
          <w:snapToGrid/>
        </w:rPr>
        <w:t>…</w:t>
      </w:r>
      <w:r w:rsidRPr="0085594B">
        <w:rPr>
          <w:rFonts w:hint="eastAsia"/>
          <w:snapToGrid/>
        </w:rPr>
        <w:t>。要求國軍退除役官兵輔導委員會</w:t>
      </w:r>
      <w:r w:rsidRPr="0085594B">
        <w:rPr>
          <w:rFonts w:hAnsi="標楷體"/>
          <w:snapToGrid/>
        </w:rPr>
        <w:t>…</w:t>
      </w:r>
      <w:r w:rsidRPr="0085594B">
        <w:rPr>
          <w:rFonts w:hint="eastAsia"/>
          <w:snapToGrid/>
        </w:rPr>
        <w:t>提出相關書面檢討報告，並擬出公平可行之解決方案，澈底杜絕外界觀感不佳之肥貓問題。」</w:t>
      </w:r>
    </w:p>
    <w:p w:rsidR="00E17BE0" w:rsidRPr="0085594B" w:rsidRDefault="00E17BE0" w:rsidP="00DD2FB1">
      <w:pPr>
        <w:pStyle w:val="a4"/>
        <w:ind w:left="849" w:hanging="283"/>
        <w:rPr>
          <w:snapToGrid/>
        </w:rPr>
      </w:pPr>
      <w:r w:rsidRPr="0085594B">
        <w:rPr>
          <w:rFonts w:hint="eastAsia"/>
          <w:snapToGrid/>
        </w:rPr>
        <w:t>(四</w:t>
      </w:r>
      <w:r w:rsidRPr="0085594B">
        <w:rPr>
          <w:snapToGrid/>
        </w:rPr>
        <w:t>)</w:t>
      </w:r>
      <w:r w:rsidRPr="0085594B">
        <w:rPr>
          <w:rFonts w:hint="eastAsia"/>
          <w:snapToGrid/>
        </w:rPr>
        <w:t>截至1</w:t>
      </w:r>
      <w:r w:rsidRPr="0085594B">
        <w:rPr>
          <w:snapToGrid/>
        </w:rPr>
        <w:t>14</w:t>
      </w:r>
      <w:r w:rsidRPr="0085594B">
        <w:rPr>
          <w:rFonts w:hint="eastAsia"/>
          <w:snapToGrid/>
        </w:rPr>
        <w:t>年4月底，退輔會安置基金轉投資事業之公股代表仍全由退輔會中高階現職人員兼任，且部分人員身兼2席公股代表，恐不易落實專業監督</w:t>
      </w:r>
    </w:p>
    <w:p w:rsidR="00E17BE0" w:rsidRPr="0085594B" w:rsidRDefault="00E17BE0" w:rsidP="00DD2FB1">
      <w:pPr>
        <w:pStyle w:val="21"/>
        <w:ind w:left="850" w:firstLine="566"/>
        <w:rPr>
          <w:snapToGrid/>
        </w:rPr>
      </w:pPr>
      <w:r w:rsidRPr="0085594B">
        <w:rPr>
          <w:rFonts w:hint="eastAsia"/>
          <w:snapToGrid/>
        </w:rPr>
        <w:t>公股代表宜由學有專長及經驗豐富人士擔任，以發揮監督功能，然觀察退輔會安置基金於1</w:t>
      </w:r>
      <w:r w:rsidRPr="0085594B">
        <w:rPr>
          <w:snapToGrid/>
        </w:rPr>
        <w:t>14</w:t>
      </w:r>
      <w:r w:rsidRPr="0085594B">
        <w:rPr>
          <w:rFonts w:hint="eastAsia"/>
          <w:snapToGrid/>
        </w:rPr>
        <w:t>年</w:t>
      </w:r>
      <w:r w:rsidRPr="0085594B">
        <w:rPr>
          <w:snapToGrid/>
        </w:rPr>
        <w:t>4</w:t>
      </w:r>
      <w:r w:rsidRPr="0085594B">
        <w:rPr>
          <w:rFonts w:hint="eastAsia"/>
          <w:snapToGrid/>
        </w:rPr>
        <w:t>月所提供轉投資事業公股代表名單，退輔會</w:t>
      </w:r>
      <w:r w:rsidRPr="0085594B">
        <w:rPr>
          <w:snapToGrid/>
        </w:rPr>
        <w:t>28</w:t>
      </w:r>
      <w:r w:rsidRPr="0085594B">
        <w:rPr>
          <w:rFonts w:hint="eastAsia"/>
          <w:snapToGrid/>
        </w:rPr>
        <w:t>家轉投資事業合計指派</w:t>
      </w:r>
      <w:r w:rsidRPr="0085594B">
        <w:rPr>
          <w:snapToGrid/>
        </w:rPr>
        <w:t>100</w:t>
      </w:r>
      <w:r w:rsidRPr="0085594B">
        <w:rPr>
          <w:rFonts w:hint="eastAsia"/>
          <w:snapToGrid/>
        </w:rPr>
        <w:t>席公股代表董事，其中8</w:t>
      </w:r>
      <w:r w:rsidRPr="0085594B">
        <w:rPr>
          <w:snapToGrid/>
        </w:rPr>
        <w:t>1</w:t>
      </w:r>
      <w:r w:rsidRPr="0085594B">
        <w:rPr>
          <w:rFonts w:hint="eastAsia"/>
          <w:snapToGrid/>
        </w:rPr>
        <w:t>席仍全由退輔會中高階現職人員兼任，部分人員甚至兼任2席公股代表，如嚴主任委員</w:t>
      </w:r>
      <w:r w:rsidRPr="0085594B">
        <w:rPr>
          <w:snapToGrid/>
          <w:vertAlign w:val="superscript"/>
        </w:rPr>
        <w:footnoteReference w:id="5"/>
      </w:r>
      <w:r w:rsidRPr="0085594B">
        <w:rPr>
          <w:rFonts w:hint="eastAsia"/>
          <w:snapToGrid/>
        </w:rPr>
        <w:t>等多人，己達公務人員兼職費請領上限。</w:t>
      </w:r>
    </w:p>
    <w:p w:rsidR="00E17BE0" w:rsidRPr="0085594B" w:rsidRDefault="00E17BE0" w:rsidP="00DD2FB1">
      <w:pPr>
        <w:pStyle w:val="21"/>
        <w:ind w:left="850" w:firstLine="566"/>
        <w:rPr>
          <w:snapToGrid/>
        </w:rPr>
      </w:pPr>
      <w:r w:rsidRPr="0085594B">
        <w:rPr>
          <w:rFonts w:hint="eastAsia"/>
          <w:snapToGrid/>
        </w:rPr>
        <w:lastRenderedPageBreak/>
        <w:t>考量公股出任公司之董事，係代表政府行使職權，並領有兼職薪酬(每月最多得領受2個兼職費1萬7,000元為上限</w:t>
      </w:r>
      <w:r w:rsidRPr="0085594B">
        <w:rPr>
          <w:snapToGrid/>
        </w:rPr>
        <w:t>)</w:t>
      </w:r>
      <w:r w:rsidRPr="0085594B">
        <w:rPr>
          <w:rFonts w:hint="eastAsia"/>
          <w:snapToGrid/>
        </w:rPr>
        <w:t>，</w:t>
      </w:r>
      <w:r w:rsidRPr="0085594B">
        <w:rPr>
          <w:rFonts w:hint="eastAsia"/>
          <w:snapToGrid/>
        </w:rPr>
        <w:lastRenderedPageBreak/>
        <w:t>而退輔會中高階現職人員多為處主管以上層級，平日公務繁忙，欲兼顧轉投資事業之經營管理恐分身乏術，又多數人員出身常任文官，或具備高階軍、文職背景，除較</w:t>
      </w:r>
      <w:r w:rsidR="008B7D3C" w:rsidRPr="0085594B">
        <w:rPr>
          <w:rFonts w:hint="eastAsia"/>
          <w:snapToGrid/>
        </w:rPr>
        <w:t>缺乏經營實務經驗外，在重視公務或軍中倫理之安置基金管理體系中，恐</w:t>
      </w:r>
      <w:r w:rsidRPr="0085594B">
        <w:rPr>
          <w:rFonts w:hint="eastAsia"/>
          <w:snapToGrid/>
        </w:rPr>
        <w:t>不利發揮實質監督功能，恐影響經營績效。</w:t>
      </w:r>
    </w:p>
    <w:p w:rsidR="00E17BE0" w:rsidRPr="0085594B" w:rsidRDefault="00E17BE0" w:rsidP="00DD2FB1">
      <w:pPr>
        <w:pStyle w:val="a4"/>
        <w:ind w:left="849" w:hanging="283"/>
        <w:rPr>
          <w:snapToGrid/>
        </w:rPr>
      </w:pPr>
      <w:r w:rsidRPr="0085594B">
        <w:rPr>
          <w:rFonts w:hint="eastAsia"/>
          <w:snapToGrid/>
        </w:rPr>
        <w:t>(五</w:t>
      </w:r>
      <w:r w:rsidRPr="0085594B">
        <w:rPr>
          <w:snapToGrid/>
        </w:rPr>
        <w:t>)</w:t>
      </w:r>
      <w:r w:rsidRPr="0085594B">
        <w:rPr>
          <w:rFonts w:hint="eastAsia"/>
          <w:snapToGrid/>
        </w:rPr>
        <w:t>退輔會指派中高階主管擔任轉投資事業公股董事，除需代表政府參與事業經營外，同時又需對該等公股董事工作績效考核，恐難避免</w:t>
      </w:r>
      <w:r w:rsidRPr="0085594B">
        <w:rPr>
          <w:rFonts w:ascii="新細明體" w:eastAsia="新細明體" w:hAnsi="新細明體" w:hint="eastAsia"/>
          <w:snapToGrid/>
        </w:rPr>
        <w:t>「</w:t>
      </w:r>
      <w:r w:rsidRPr="0085594B">
        <w:rPr>
          <w:rFonts w:hint="eastAsia"/>
          <w:snapToGrid/>
        </w:rPr>
        <w:t>球員兼裁判</w:t>
      </w:r>
      <w:r w:rsidRPr="0085594B">
        <w:rPr>
          <w:rFonts w:ascii="新細明體" w:eastAsia="新細明體" w:hAnsi="新細明體" w:hint="eastAsia"/>
          <w:snapToGrid/>
        </w:rPr>
        <w:t>」</w:t>
      </w:r>
      <w:r w:rsidRPr="0085594B">
        <w:rPr>
          <w:rFonts w:hint="eastAsia"/>
          <w:snapToGrid/>
        </w:rPr>
        <w:t>質疑</w:t>
      </w:r>
    </w:p>
    <w:p w:rsidR="00E17BE0" w:rsidRPr="0085594B" w:rsidRDefault="00E17BE0" w:rsidP="00DD2FB1">
      <w:pPr>
        <w:pStyle w:val="21"/>
        <w:ind w:left="850" w:firstLine="566"/>
        <w:rPr>
          <w:snapToGrid/>
        </w:rPr>
      </w:pPr>
      <w:r w:rsidRPr="0085594B">
        <w:rPr>
          <w:rFonts w:hint="eastAsia"/>
          <w:snapToGrid/>
        </w:rPr>
        <w:t>依「國軍退除役官兵輔導委員會投資事業機構會派董事及監察人管理要點」第1</w:t>
      </w:r>
      <w:r w:rsidRPr="0085594B">
        <w:rPr>
          <w:snapToGrid/>
        </w:rPr>
        <w:t>7</w:t>
      </w:r>
      <w:r w:rsidRPr="0085594B">
        <w:rPr>
          <w:rFonts w:hint="eastAsia"/>
          <w:snapToGrid/>
        </w:rPr>
        <w:t>點規定</w:t>
      </w:r>
      <w:r w:rsidRPr="0085594B">
        <w:rPr>
          <w:snapToGrid/>
          <w:vertAlign w:val="superscript"/>
        </w:rPr>
        <w:footnoteReference w:id="6"/>
      </w:r>
      <w:r w:rsidR="008B7D3C" w:rsidRPr="0085594B">
        <w:rPr>
          <w:rFonts w:hint="eastAsia"/>
          <w:snapToGrid/>
        </w:rPr>
        <w:t>略以</w:t>
      </w:r>
      <w:r w:rsidRPr="0085594B">
        <w:rPr>
          <w:rFonts w:hint="eastAsia"/>
          <w:snapToGrid/>
        </w:rPr>
        <w:t>，退輔會對會薦董事長、董事兼總經理(專任董事</w:t>
      </w:r>
      <w:r w:rsidRPr="0085594B">
        <w:rPr>
          <w:snapToGrid/>
        </w:rPr>
        <w:t>)</w:t>
      </w:r>
      <w:r w:rsidRPr="0085594B">
        <w:rPr>
          <w:rFonts w:hint="eastAsia"/>
          <w:snapToGrid/>
        </w:rPr>
        <w:t>之績效考核，以經營管理、營運績效、安置狀況為重點，由各業務主管處提供具體資料，於年度結束後彙提該會投資事業人事審議小組評議，並簽報主任委員核定。同管理要點第16</w:t>
      </w:r>
      <w:r w:rsidR="008B7D3C" w:rsidRPr="0085594B">
        <w:rPr>
          <w:rFonts w:hint="eastAsia"/>
          <w:snapToGrid/>
        </w:rPr>
        <w:t>及</w:t>
      </w:r>
      <w:r w:rsidRPr="0085594B">
        <w:rPr>
          <w:rFonts w:hint="eastAsia"/>
          <w:snapToGrid/>
        </w:rPr>
        <w:t>18點亦規定</w:t>
      </w:r>
      <w:r w:rsidRPr="0085594B">
        <w:rPr>
          <w:snapToGrid/>
          <w:vertAlign w:val="superscript"/>
        </w:rPr>
        <w:footnoteReference w:id="7"/>
      </w:r>
      <w:r w:rsidRPr="0085594B">
        <w:rPr>
          <w:rFonts w:hint="eastAsia"/>
          <w:snapToGrid/>
        </w:rPr>
        <w:t>，退輔會對會薦董事(兼任董事</w:t>
      </w:r>
      <w:r w:rsidRPr="0085594B">
        <w:rPr>
          <w:snapToGrid/>
        </w:rPr>
        <w:t>)</w:t>
      </w:r>
      <w:r w:rsidRPr="0085594B">
        <w:rPr>
          <w:rFonts w:hint="eastAsia"/>
          <w:snapToGrid/>
        </w:rPr>
        <w:t>之任務查考，以出席會議、發言及政策任務交辦事項執行情形為重點，由會薦董監事聯絡人負責記錄，於每次會議後填報，由各業務主管處負責評審，並將評審結果於每年底列冊彙送人事處，作為退輔會對公股董事工作績效考核之參考。</w:t>
      </w:r>
    </w:p>
    <w:p w:rsidR="00E17BE0" w:rsidRPr="0085594B" w:rsidRDefault="00E17BE0" w:rsidP="00DD2FB1">
      <w:pPr>
        <w:pStyle w:val="21"/>
        <w:ind w:left="850" w:firstLine="566"/>
        <w:rPr>
          <w:snapToGrid/>
        </w:rPr>
      </w:pPr>
      <w:r w:rsidRPr="0085594B">
        <w:rPr>
          <w:rFonts w:hint="eastAsia"/>
          <w:snapToGrid/>
        </w:rPr>
        <w:lastRenderedPageBreak/>
        <w:t>由上可知，退輔會與各業務主管處負責公股董事工作績效考核之責，惟退輔會所指派</w:t>
      </w:r>
      <w:r w:rsidRPr="0085594B">
        <w:rPr>
          <w:snapToGrid/>
        </w:rPr>
        <w:t>100</w:t>
      </w:r>
      <w:r w:rsidRPr="0085594B">
        <w:rPr>
          <w:rFonts w:hint="eastAsia"/>
          <w:snapToGrid/>
        </w:rPr>
        <w:t>席公股代表董事中，除</w:t>
      </w:r>
      <w:r w:rsidRPr="0085594B">
        <w:rPr>
          <w:snapToGrid/>
        </w:rPr>
        <w:t>19</w:t>
      </w:r>
      <w:r w:rsidRPr="0085594B">
        <w:rPr>
          <w:rFonts w:hint="eastAsia"/>
          <w:snapToGrid/>
        </w:rPr>
        <w:t>席專</w:t>
      </w:r>
      <w:r w:rsidRPr="0085594B">
        <w:rPr>
          <w:rFonts w:hint="eastAsia"/>
          <w:snapToGrid/>
        </w:rPr>
        <w:lastRenderedPageBreak/>
        <w:t>任董事由該會退休職員或退役將領擔任轉投資事業董事長或總經理職務外，其餘高達 8</w:t>
      </w:r>
      <w:r w:rsidRPr="0085594B">
        <w:rPr>
          <w:snapToGrid/>
        </w:rPr>
        <w:t>1</w:t>
      </w:r>
      <w:r w:rsidRPr="0085594B">
        <w:rPr>
          <w:rFonts w:hint="eastAsia"/>
          <w:snapToGrid/>
        </w:rPr>
        <w:t>席董事職務全數由退輔會內中高階現職人員兼任，且其中</w:t>
      </w:r>
      <w:r w:rsidRPr="0085594B">
        <w:rPr>
          <w:rFonts w:ascii="新細明體" w:eastAsia="新細明體" w:hAnsi="新細明體" w:hint="eastAsia"/>
          <w:snapToGrid/>
        </w:rPr>
        <w:t>「</w:t>
      </w:r>
      <w:r w:rsidRPr="0085594B">
        <w:rPr>
          <w:rFonts w:hint="eastAsia"/>
          <w:snapToGrid/>
        </w:rPr>
        <w:t>處長、副處長」層級以上兼任董事多達5</w:t>
      </w:r>
      <w:r w:rsidRPr="0085594B">
        <w:rPr>
          <w:snapToGrid/>
        </w:rPr>
        <w:t>2</w:t>
      </w:r>
      <w:r w:rsidRPr="0085594B">
        <w:rPr>
          <w:rFonts w:hint="eastAsia"/>
          <w:snapToGrid/>
        </w:rPr>
        <w:t>席(詳表</w:t>
      </w:r>
      <w:r w:rsidR="00FF6D76" w:rsidRPr="0085594B">
        <w:rPr>
          <w:rFonts w:hint="eastAsia"/>
          <w:snapToGrid/>
        </w:rPr>
        <w:t>3</w:t>
      </w:r>
      <w:r w:rsidRPr="0085594B">
        <w:rPr>
          <w:snapToGrid/>
        </w:rPr>
        <w:t>-</w:t>
      </w:r>
      <w:r w:rsidR="00E444DF" w:rsidRPr="0085594B">
        <w:rPr>
          <w:rFonts w:hint="eastAsia"/>
          <w:snapToGrid/>
        </w:rPr>
        <w:t>8-1</w:t>
      </w:r>
      <w:r w:rsidRPr="0085594B">
        <w:rPr>
          <w:snapToGrid/>
        </w:rPr>
        <w:t>)</w:t>
      </w:r>
      <w:r w:rsidRPr="0085594B">
        <w:rPr>
          <w:rFonts w:hint="eastAsia"/>
          <w:snapToGrid/>
        </w:rPr>
        <w:t>，占兼任董事比率6</w:t>
      </w:r>
      <w:r w:rsidRPr="0085594B">
        <w:rPr>
          <w:snapToGrid/>
        </w:rPr>
        <w:t>4.20%</w:t>
      </w:r>
      <w:r w:rsidRPr="0085594B">
        <w:rPr>
          <w:rFonts w:hint="eastAsia"/>
          <w:snapToGrid/>
        </w:rPr>
        <w:t>，比率偏高，顯示公司經營階層與退輔會中高階主管多有重疊，使得公股董事一方面需代表政府參與事業經營(或執行政策任務</w:t>
      </w:r>
      <w:r w:rsidRPr="0085594B">
        <w:rPr>
          <w:snapToGrid/>
        </w:rPr>
        <w:t>)</w:t>
      </w:r>
      <w:r w:rsidRPr="0085594B">
        <w:rPr>
          <w:rFonts w:hint="eastAsia"/>
          <w:snapToGrid/>
        </w:rPr>
        <w:t>，一方面又需以主管機關身份，對自身工作績效進行考核，未來仍宜明確劃分權責，以避免外界有「執行兼考核」、「球員兼裁判」之疑慮。</w:t>
      </w:r>
    </w:p>
    <w:p w:rsidR="00E17BE0" w:rsidRPr="0085594B" w:rsidRDefault="00E17BE0" w:rsidP="00E444DF">
      <w:pPr>
        <w:adjustRightInd w:val="0"/>
        <w:spacing w:line="400" w:lineRule="exact"/>
        <w:ind w:leftChars="0" w:left="1247" w:hangingChars="440" w:hanging="1247"/>
        <w:rPr>
          <w:snapToGrid/>
        </w:rPr>
      </w:pPr>
      <w:r w:rsidRPr="0085594B">
        <w:rPr>
          <w:rFonts w:hint="eastAsia"/>
          <w:b/>
          <w:snapToGrid/>
        </w:rPr>
        <w:t>表</w:t>
      </w:r>
      <w:r w:rsidR="00FF6D76" w:rsidRPr="0085594B">
        <w:rPr>
          <w:rFonts w:hint="eastAsia"/>
          <w:b/>
          <w:snapToGrid/>
        </w:rPr>
        <w:t>3</w:t>
      </w:r>
      <w:r w:rsidRPr="0085594B">
        <w:rPr>
          <w:b/>
          <w:snapToGrid/>
        </w:rPr>
        <w:t>-</w:t>
      </w:r>
      <w:r w:rsidR="00E444DF" w:rsidRPr="0085594B">
        <w:rPr>
          <w:rFonts w:hint="eastAsia"/>
          <w:b/>
          <w:snapToGrid/>
        </w:rPr>
        <w:t>8-1</w:t>
      </w:r>
      <w:r w:rsidRPr="0085594B">
        <w:rPr>
          <w:rFonts w:hint="eastAsia"/>
          <w:b/>
          <w:snapToGrid/>
        </w:rPr>
        <w:t xml:space="preserve"> 截至114年4月底止退輔會安置基金轉投資民營事業核派公股代表董事概況表</w:t>
      </w:r>
      <w:r w:rsidRPr="0085594B">
        <w:rPr>
          <w:rFonts w:hint="eastAsia"/>
          <w:snapToGrid/>
        </w:rPr>
        <w:t xml:space="preserve"> </w:t>
      </w:r>
      <w:r w:rsidRPr="0085594B">
        <w:rPr>
          <w:snapToGrid/>
        </w:rPr>
        <w:t xml:space="preserve">                            </w:t>
      </w:r>
      <w:r w:rsidRPr="0085594B">
        <w:rPr>
          <w:rFonts w:hint="eastAsia"/>
          <w:snapToGrid/>
          <w:sz w:val="24"/>
          <w:szCs w:val="24"/>
        </w:rPr>
        <w:t>單位：席</w:t>
      </w: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2164"/>
        <w:gridCol w:w="616"/>
        <w:gridCol w:w="644"/>
        <w:gridCol w:w="658"/>
        <w:gridCol w:w="658"/>
        <w:gridCol w:w="646"/>
        <w:gridCol w:w="709"/>
        <w:gridCol w:w="632"/>
        <w:gridCol w:w="673"/>
        <w:gridCol w:w="679"/>
      </w:tblGrid>
      <w:tr w:rsidR="008B7D3C" w:rsidRPr="0085594B" w:rsidTr="008B7D3C">
        <w:trPr>
          <w:trHeight w:val="324"/>
          <w:tblHeader/>
          <w:jc w:val="center"/>
        </w:trPr>
        <w:tc>
          <w:tcPr>
            <w:tcW w:w="426" w:type="dxa"/>
            <w:vMerge w:val="restart"/>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編號</w:t>
            </w:r>
          </w:p>
        </w:tc>
        <w:tc>
          <w:tcPr>
            <w:tcW w:w="2164" w:type="dxa"/>
            <w:vMerge w:val="restart"/>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機構名稱</w:t>
            </w:r>
          </w:p>
        </w:tc>
        <w:tc>
          <w:tcPr>
            <w:tcW w:w="1260" w:type="dxa"/>
            <w:gridSpan w:val="2"/>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專任董事</w:t>
            </w:r>
          </w:p>
        </w:tc>
        <w:tc>
          <w:tcPr>
            <w:tcW w:w="3976" w:type="dxa"/>
            <w:gridSpan w:val="6"/>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kern w:val="0"/>
                <w:sz w:val="24"/>
                <w:szCs w:val="24"/>
              </w:rPr>
            </w:pPr>
            <w:r w:rsidRPr="0085594B">
              <w:rPr>
                <w:rFonts w:hAnsi="標楷體" w:hint="eastAsia"/>
                <w:b/>
                <w:snapToGrid/>
                <w:sz w:val="24"/>
                <w:szCs w:val="24"/>
              </w:rPr>
              <w:t>兼任董事</w:t>
            </w:r>
          </w:p>
        </w:tc>
        <w:tc>
          <w:tcPr>
            <w:tcW w:w="679" w:type="dxa"/>
            <w:vMerge w:val="restart"/>
            <w:shd w:val="clear" w:color="auto" w:fill="auto"/>
            <w:vAlign w:val="center"/>
          </w:tcPr>
          <w:p w:rsidR="008B7D3C" w:rsidRPr="0085594B" w:rsidRDefault="008B7D3C" w:rsidP="008B7D3C">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合計</w:t>
            </w:r>
          </w:p>
        </w:tc>
      </w:tr>
      <w:tr w:rsidR="008B7D3C" w:rsidRPr="0085594B" w:rsidTr="008B7D3C">
        <w:trPr>
          <w:trHeight w:val="324"/>
          <w:tblHeader/>
          <w:jc w:val="center"/>
        </w:trPr>
        <w:tc>
          <w:tcPr>
            <w:tcW w:w="426" w:type="dxa"/>
            <w:vMerge/>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p>
        </w:tc>
        <w:tc>
          <w:tcPr>
            <w:tcW w:w="2164" w:type="dxa"/>
            <w:vMerge/>
            <w:shd w:val="clear" w:color="auto" w:fill="auto"/>
            <w:noWrap/>
            <w:vAlign w:val="center"/>
            <w:hideMark/>
          </w:tcPr>
          <w:p w:rsidR="008B7D3C" w:rsidRPr="0085594B" w:rsidRDefault="008B7D3C" w:rsidP="00E17BE0">
            <w:pPr>
              <w:spacing w:line="280" w:lineRule="exact"/>
              <w:ind w:leftChars="0" w:left="0" w:firstLineChars="0" w:firstLine="0"/>
              <w:jc w:val="center"/>
              <w:rPr>
                <w:rFonts w:hAnsi="標楷體"/>
                <w:b/>
                <w:snapToGrid/>
                <w:sz w:val="24"/>
                <w:szCs w:val="24"/>
              </w:rPr>
            </w:pPr>
          </w:p>
        </w:tc>
        <w:tc>
          <w:tcPr>
            <w:tcW w:w="616"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會薦董事長</w:t>
            </w:r>
          </w:p>
        </w:tc>
        <w:tc>
          <w:tcPr>
            <w:tcW w:w="644"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會薦總經理</w:t>
            </w:r>
          </w:p>
        </w:tc>
        <w:tc>
          <w:tcPr>
            <w:tcW w:w="658"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主委</w:t>
            </w:r>
          </w:p>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、副主委</w:t>
            </w:r>
          </w:p>
        </w:tc>
        <w:tc>
          <w:tcPr>
            <w:tcW w:w="658"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會主秘、參事</w:t>
            </w:r>
          </w:p>
        </w:tc>
        <w:tc>
          <w:tcPr>
            <w:tcW w:w="646"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處長</w:t>
            </w:r>
          </w:p>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、副處長</w:t>
            </w:r>
          </w:p>
        </w:tc>
        <w:tc>
          <w:tcPr>
            <w:tcW w:w="709"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簡任非主管</w:t>
            </w:r>
          </w:p>
        </w:tc>
        <w:tc>
          <w:tcPr>
            <w:tcW w:w="632"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科長</w:t>
            </w:r>
          </w:p>
        </w:tc>
        <w:tc>
          <w:tcPr>
            <w:tcW w:w="673" w:type="dxa"/>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b/>
                <w:snapToGrid/>
                <w:sz w:val="22"/>
                <w:szCs w:val="22"/>
              </w:rPr>
            </w:pPr>
            <w:r w:rsidRPr="0085594B">
              <w:rPr>
                <w:rFonts w:hAnsi="標楷體" w:hint="eastAsia"/>
                <w:b/>
                <w:snapToGrid/>
                <w:sz w:val="22"/>
                <w:szCs w:val="22"/>
              </w:rPr>
              <w:t>榮服處及其他</w:t>
            </w:r>
          </w:p>
        </w:tc>
        <w:tc>
          <w:tcPr>
            <w:tcW w:w="679" w:type="dxa"/>
            <w:vMerge/>
            <w:shd w:val="clear" w:color="auto" w:fill="auto"/>
            <w:noWrap/>
            <w:vAlign w:val="center"/>
            <w:hideMark/>
          </w:tcPr>
          <w:p w:rsidR="008B7D3C" w:rsidRPr="0085594B" w:rsidRDefault="008B7D3C" w:rsidP="00E17BE0">
            <w:pPr>
              <w:spacing w:line="220" w:lineRule="exact"/>
              <w:ind w:leftChars="0" w:left="0" w:firstLineChars="0" w:firstLine="0"/>
              <w:jc w:val="center"/>
              <w:rPr>
                <w:rFonts w:hAnsi="標楷體" w:cs="新細明體"/>
                <w:b/>
                <w:snapToGrid/>
                <w:kern w:val="0"/>
                <w:sz w:val="24"/>
                <w:szCs w:val="24"/>
              </w:rPr>
            </w:pP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欣欣水泥公司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4</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遠榮氣體公司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欣欣客運公司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5</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8</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大南汽車公司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欣欣大眾公司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欣欣天然氣公司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6</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欣湖天然氣公司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欣隆天然氣公司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3</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7</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9</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欣桃天然氣公司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7</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10</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欣中天然氣公司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4</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8</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欣彰天然氣公司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3</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欣高石油氣公司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欣雄天然氣公司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欣泰石油氣公司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欣嘉石油氣公司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4</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大台南天然氣公司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19</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欣雲天然氣公司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2</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20</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欣屏天然氣公司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3</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lastRenderedPageBreak/>
              <w:t>21</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泛亞工程公司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6</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22</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欣泉投資公司</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2</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5</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23</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達榮環保</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24</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歐欣環保</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25</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遠東氣體</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26</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榮工工程</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27</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聯合大地</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426" w:type="dxa"/>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snapToGrid/>
                <w:sz w:val="24"/>
                <w:szCs w:val="24"/>
              </w:rPr>
            </w:pPr>
            <w:r w:rsidRPr="0085594B">
              <w:rPr>
                <w:rFonts w:hAnsi="標楷體" w:hint="eastAsia"/>
                <w:snapToGrid/>
                <w:sz w:val="24"/>
                <w:szCs w:val="24"/>
              </w:rPr>
              <w:t>28</w:t>
            </w:r>
          </w:p>
        </w:tc>
        <w:tc>
          <w:tcPr>
            <w:tcW w:w="2164" w:type="dxa"/>
            <w:shd w:val="clear" w:color="auto" w:fill="auto"/>
            <w:noWrap/>
            <w:vAlign w:val="center"/>
            <w:hideMark/>
          </w:tcPr>
          <w:p w:rsidR="00E17BE0" w:rsidRPr="0085594B" w:rsidRDefault="00E17BE0" w:rsidP="00E17BE0">
            <w:pPr>
              <w:spacing w:line="280" w:lineRule="exact"/>
              <w:ind w:leftChars="0" w:left="0" w:firstLineChars="0" w:firstLine="0"/>
              <w:jc w:val="left"/>
              <w:rPr>
                <w:rFonts w:hAnsi="標楷體"/>
                <w:snapToGrid/>
                <w:sz w:val="24"/>
                <w:szCs w:val="24"/>
              </w:rPr>
            </w:pPr>
            <w:r w:rsidRPr="0085594B">
              <w:rPr>
                <w:rFonts w:hAnsi="標楷體" w:hint="eastAsia"/>
                <w:snapToGrid/>
                <w:sz w:val="24"/>
                <w:szCs w:val="24"/>
              </w:rPr>
              <w:t>世正開發</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r w:rsidRPr="0085594B">
              <w:rPr>
                <w:rFonts w:hAnsi="標楷體" w:hint="eastAsia"/>
                <w:snapToGrid/>
                <w:sz w:val="24"/>
                <w:szCs w:val="24"/>
              </w:rPr>
              <w:t>1</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snapToGrid/>
                <w:sz w:val="24"/>
                <w:szCs w:val="24"/>
              </w:rPr>
            </w:pP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snapToGrid/>
                <w:kern w:val="0"/>
                <w:sz w:val="24"/>
                <w:szCs w:val="24"/>
              </w:rPr>
            </w:pPr>
            <w:r w:rsidRPr="0085594B">
              <w:rPr>
                <w:rFonts w:hAnsi="標楷體" w:cs="新細明體" w:hint="eastAsia"/>
                <w:snapToGrid/>
                <w:kern w:val="0"/>
                <w:sz w:val="24"/>
                <w:szCs w:val="24"/>
              </w:rPr>
              <w:t>1</w:t>
            </w:r>
          </w:p>
        </w:tc>
      </w:tr>
      <w:tr w:rsidR="00E17BE0" w:rsidRPr="0085594B" w:rsidTr="008B7D3C">
        <w:trPr>
          <w:trHeight w:val="324"/>
          <w:jc w:val="center"/>
        </w:trPr>
        <w:tc>
          <w:tcPr>
            <w:tcW w:w="2590" w:type="dxa"/>
            <w:gridSpan w:val="2"/>
            <w:shd w:val="clear" w:color="auto" w:fill="auto"/>
            <w:noWrap/>
            <w:vAlign w:val="center"/>
            <w:hideMark/>
          </w:tcPr>
          <w:p w:rsidR="00E17BE0" w:rsidRPr="0085594B" w:rsidRDefault="00E17BE0" w:rsidP="00E17BE0">
            <w:pPr>
              <w:spacing w:line="280" w:lineRule="exact"/>
              <w:ind w:leftChars="0" w:left="0" w:firstLineChars="0" w:firstLine="0"/>
              <w:jc w:val="center"/>
              <w:rPr>
                <w:rFonts w:hAnsi="標楷體"/>
                <w:b/>
                <w:snapToGrid/>
                <w:sz w:val="24"/>
                <w:szCs w:val="24"/>
              </w:rPr>
            </w:pPr>
            <w:r w:rsidRPr="0085594B">
              <w:rPr>
                <w:rFonts w:hAnsi="標楷體" w:hint="eastAsia"/>
                <w:b/>
                <w:snapToGrid/>
                <w:sz w:val="24"/>
                <w:szCs w:val="24"/>
              </w:rPr>
              <w:t xml:space="preserve">合 </w:t>
            </w:r>
            <w:r w:rsidRPr="0085594B">
              <w:rPr>
                <w:rFonts w:hAnsi="標楷體"/>
                <w:b/>
                <w:snapToGrid/>
                <w:sz w:val="24"/>
                <w:szCs w:val="24"/>
              </w:rPr>
              <w:t xml:space="preserve">       </w:t>
            </w:r>
            <w:r w:rsidRPr="0085594B">
              <w:rPr>
                <w:rFonts w:hAnsi="標楷體" w:hint="eastAsia"/>
                <w:b/>
                <w:snapToGrid/>
                <w:sz w:val="24"/>
                <w:szCs w:val="24"/>
              </w:rPr>
              <w:t>計</w:t>
            </w:r>
          </w:p>
        </w:tc>
        <w:tc>
          <w:tcPr>
            <w:tcW w:w="61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13</w:t>
            </w:r>
          </w:p>
        </w:tc>
        <w:tc>
          <w:tcPr>
            <w:tcW w:w="644"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6</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7</w:t>
            </w:r>
          </w:p>
        </w:tc>
        <w:tc>
          <w:tcPr>
            <w:tcW w:w="658"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5</w:t>
            </w:r>
          </w:p>
        </w:tc>
        <w:tc>
          <w:tcPr>
            <w:tcW w:w="646"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40</w:t>
            </w:r>
          </w:p>
        </w:tc>
        <w:tc>
          <w:tcPr>
            <w:tcW w:w="70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13</w:t>
            </w:r>
          </w:p>
        </w:tc>
        <w:tc>
          <w:tcPr>
            <w:tcW w:w="632"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8</w:t>
            </w:r>
          </w:p>
        </w:tc>
        <w:tc>
          <w:tcPr>
            <w:tcW w:w="673"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b/>
                <w:snapToGrid/>
                <w:sz w:val="24"/>
                <w:szCs w:val="24"/>
              </w:rPr>
            </w:pPr>
            <w:r w:rsidRPr="0085594B">
              <w:rPr>
                <w:rFonts w:hAnsi="標楷體" w:hint="eastAsia"/>
                <w:b/>
                <w:snapToGrid/>
                <w:sz w:val="24"/>
                <w:szCs w:val="24"/>
              </w:rPr>
              <w:t>8</w:t>
            </w:r>
          </w:p>
        </w:tc>
        <w:tc>
          <w:tcPr>
            <w:tcW w:w="679" w:type="dxa"/>
            <w:shd w:val="clear" w:color="auto" w:fill="auto"/>
            <w:noWrap/>
            <w:vAlign w:val="center"/>
            <w:hideMark/>
          </w:tcPr>
          <w:p w:rsidR="00E17BE0" w:rsidRPr="0085594B" w:rsidRDefault="00E17BE0" w:rsidP="00E17BE0">
            <w:pPr>
              <w:spacing w:line="280" w:lineRule="exact"/>
              <w:ind w:leftChars="0" w:left="0" w:firstLineChars="0" w:firstLine="0"/>
              <w:jc w:val="right"/>
              <w:rPr>
                <w:rFonts w:hAnsi="標楷體" w:cs="新細明體"/>
                <w:b/>
                <w:snapToGrid/>
                <w:kern w:val="0"/>
                <w:sz w:val="24"/>
                <w:szCs w:val="24"/>
              </w:rPr>
            </w:pPr>
            <w:r w:rsidRPr="0085594B">
              <w:rPr>
                <w:rFonts w:hAnsi="標楷體" w:cs="新細明體" w:hint="eastAsia"/>
                <w:b/>
                <w:snapToGrid/>
                <w:kern w:val="0"/>
                <w:sz w:val="24"/>
                <w:szCs w:val="24"/>
              </w:rPr>
              <w:t>100</w:t>
            </w:r>
          </w:p>
        </w:tc>
      </w:tr>
    </w:tbl>
    <w:p w:rsidR="00E17BE0" w:rsidRPr="0085594B" w:rsidRDefault="00E17BE0" w:rsidP="00E17BE0">
      <w:pPr>
        <w:adjustRightInd w:val="0"/>
        <w:spacing w:line="300" w:lineRule="exact"/>
        <w:ind w:leftChars="0" w:left="1216" w:hangingChars="500" w:hanging="1216"/>
        <w:rPr>
          <w:rFonts w:hAnsi="標楷體"/>
          <w:sz w:val="24"/>
          <w:szCs w:val="24"/>
        </w:rPr>
      </w:pPr>
      <w:r w:rsidRPr="0085594B">
        <w:rPr>
          <w:rFonts w:hint="eastAsia"/>
          <w:sz w:val="24"/>
          <w:szCs w:val="24"/>
        </w:rPr>
        <w:t xml:space="preserve">說 </w:t>
      </w:r>
      <w:r w:rsidRPr="0085594B">
        <w:rPr>
          <w:sz w:val="24"/>
          <w:szCs w:val="24"/>
        </w:rPr>
        <w:t xml:space="preserve">   </w:t>
      </w:r>
      <w:r w:rsidRPr="0085594B">
        <w:rPr>
          <w:rFonts w:hint="eastAsia"/>
          <w:sz w:val="24"/>
          <w:szCs w:val="24"/>
        </w:rPr>
        <w:t>明：</w:t>
      </w:r>
      <w:r w:rsidRPr="0085594B">
        <w:rPr>
          <w:rFonts w:hAnsi="標楷體" w:hint="eastAsia"/>
          <w:sz w:val="24"/>
          <w:szCs w:val="24"/>
        </w:rPr>
        <w:t>欣欣客運、大南汽車之會薦總經理因未兼任董事，故未列入本表。專任董事之會薦董事長中，大台南天然氣公司1席為副董事長。本表「處長、副處長」含法規會執行秘書。本表「簡任非主管」含簡任視察(秘書、技正)、專門委員、高級分析師。</w:t>
      </w:r>
    </w:p>
    <w:p w:rsidR="00E444DF" w:rsidRPr="0085594B" w:rsidRDefault="00E444DF" w:rsidP="00E444DF">
      <w:pPr>
        <w:adjustRightInd w:val="0"/>
        <w:spacing w:line="300" w:lineRule="exact"/>
        <w:ind w:leftChars="0" w:left="973" w:hangingChars="400" w:hanging="973"/>
        <w:rPr>
          <w:sz w:val="24"/>
          <w:szCs w:val="24"/>
        </w:rPr>
      </w:pPr>
      <w:r w:rsidRPr="0085594B">
        <w:rPr>
          <w:rFonts w:hint="eastAsia"/>
          <w:sz w:val="24"/>
          <w:szCs w:val="24"/>
        </w:rPr>
        <w:t>資料來源：退輔會提供。</w:t>
      </w:r>
    </w:p>
    <w:sectPr w:rsidR="00E444DF"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AB0455">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A40F1A" w:rsidRDefault="00286B9C" w:rsidP="000B1D24">
      <w:pPr>
        <w:pStyle w:val="1a"/>
      </w:pPr>
      <w:r>
        <w:rPr>
          <w:rStyle w:val="af5"/>
        </w:rPr>
        <w:footnoteRef/>
      </w:r>
      <w:r>
        <w:rPr>
          <w:rFonts w:hint="eastAsia"/>
        </w:rPr>
        <w:t>「</w:t>
      </w:r>
      <w:r w:rsidRPr="00A40F1A">
        <w:rPr>
          <w:rFonts w:hint="eastAsia"/>
        </w:rPr>
        <w:t>中央政府特種基金參加民營事業投資管理要點</w:t>
      </w:r>
      <w:r>
        <w:rPr>
          <w:rFonts w:hint="eastAsia"/>
        </w:rPr>
        <w:t>」</w:t>
      </w:r>
      <w:r w:rsidRPr="00A40F1A">
        <w:rPr>
          <w:rFonts w:hint="eastAsia"/>
        </w:rPr>
        <w:t>第6點第1項規定：「各基金依股權應指派參加民營事業之公股代表，其選派、考核及解職，由主管機關訂定管理要點辦理；其內容對於下列事項應有具體規範：(一)公股代表之選派方式、專業能力、年齡及公務員兼職數目之限制。(二)對公股代表之考核內容、程序及考核結果之處理。(三)公股代表之解職事宜。」</w:t>
      </w:r>
    </w:p>
  </w:footnote>
  <w:footnote w:id="2">
    <w:p w:rsidR="00286B9C" w:rsidRDefault="00286B9C" w:rsidP="000B1D24">
      <w:pPr>
        <w:pStyle w:val="1a"/>
      </w:pPr>
      <w:r>
        <w:rPr>
          <w:rStyle w:val="af5"/>
        </w:rPr>
        <w:footnoteRef/>
      </w:r>
      <w:r>
        <w:rPr>
          <w:rFonts w:hint="eastAsia"/>
        </w:rPr>
        <w:t>「</w:t>
      </w:r>
      <w:r w:rsidRPr="00A40F1A">
        <w:rPr>
          <w:rFonts w:hint="eastAsia"/>
        </w:rPr>
        <w:t>公股股權管理及處分要點</w:t>
      </w:r>
      <w:r>
        <w:rPr>
          <w:rFonts w:hint="eastAsia"/>
        </w:rPr>
        <w:t>」</w:t>
      </w:r>
      <w:r w:rsidRPr="00A40F1A">
        <w:rPr>
          <w:rFonts w:hint="eastAsia"/>
        </w:rPr>
        <w:t>第12點規定：「已民營化事業之公股代表，宜由學有專長及經驗豐富人士擔任，以發揮監督功能。…；公股代表之遴選、考核及解職，由公股股權管理機關參照相關法規，訂定管理考核要點辦理。」</w:t>
      </w:r>
    </w:p>
  </w:footnote>
  <w:footnote w:id="3">
    <w:p w:rsidR="00286B9C" w:rsidRPr="008B7D3C" w:rsidRDefault="00286B9C" w:rsidP="000B1D24">
      <w:pPr>
        <w:pStyle w:val="1a"/>
      </w:pPr>
      <w:r w:rsidRPr="008B7D3C">
        <w:rPr>
          <w:rStyle w:val="af5"/>
        </w:rPr>
        <w:footnoteRef/>
      </w:r>
      <w:r w:rsidRPr="008B7D3C">
        <w:rPr>
          <w:rFonts w:hint="eastAsia"/>
        </w:rPr>
        <w:t>「國軍退除役官兵輔導委員會投資事業機構會派董事及監察人管理要點」第7點第1項規定：「會派遴選之董事、監察人，除應具有良好聲譽，對本會任務有深切瞭解，能協助本會達成投資合作之目標外，並應具備下列資格之一。(一)常務董事、常務監察人：1.現任本會處主管以上職務者。2.現任會薦投資事業機構之首長。(二)董事：1.現任本會科長以上職務者。2.現任本會所屬機構首長具有下列情形之一者：(1)業務性質與投資事業有相互支援關係者。(2)有轉投資關係者。3.本會人員因任務需要，經專案核定者。(三)監察人：1.現任本會科長以上職務。2.現任本會所屬機構首長有下列情形之一者：(1)業務性質與投資事業有相互支援關係者。(2)有轉投資關係者。(3)具有財務、會計專長者。3.具有財務、會計實務經驗之會計師、律師或助理教授以上者。」。</w:t>
      </w:r>
    </w:p>
  </w:footnote>
  <w:footnote w:id="4">
    <w:p w:rsidR="00286B9C" w:rsidRPr="00BC6EF7" w:rsidRDefault="00286B9C" w:rsidP="000B1D24">
      <w:pPr>
        <w:pStyle w:val="1a"/>
      </w:pPr>
      <w:r>
        <w:rPr>
          <w:rStyle w:val="af5"/>
        </w:rPr>
        <w:footnoteRef/>
      </w:r>
      <w:r w:rsidRPr="00BC6EF7">
        <w:rPr>
          <w:rFonts w:hint="eastAsia"/>
        </w:rPr>
        <w:t>「行政院軍公教人員兼職費支給表」領受限制：一、基於法令規定或經權責機關核准有數個兼職者，每月最多得領受2個兼職費，且總額以17,000元為限。二、單一兼任職務兼職費領受以8,500元為限。但兼任公司常務董事或常駐監察人以12,750元為限。</w:t>
      </w:r>
    </w:p>
  </w:footnote>
  <w:footnote w:id="5">
    <w:p w:rsidR="00286B9C" w:rsidRPr="00E850BA" w:rsidRDefault="00286B9C" w:rsidP="000B1D24">
      <w:pPr>
        <w:pStyle w:val="1a"/>
      </w:pPr>
      <w:r>
        <w:rPr>
          <w:rStyle w:val="af5"/>
        </w:rPr>
        <w:footnoteRef/>
      </w:r>
      <w:r w:rsidRPr="00E850BA">
        <w:rPr>
          <w:rFonts w:hint="eastAsia"/>
        </w:rPr>
        <w:t>嚴主任委員、吳副主任委員、傅副主任委員、簡主任秘書、事業處楊處長、就業處池處長、服照處曹處長、就醫處劉處長、就養處陳處長、給付處羅處長、行管處詹處長、綜規處厲處長、會計處蔡處長、人事處吳處長、政風處王處長、統計處張處長、法規會陳執行秘書(以上為退輔會正、副首長、主任秘書及一級主管)，以及給付處陳副處長、綜規處黃副處長、事業處楊副處長、事業處唐專門委員、事業處藍科長等多人</w:t>
      </w:r>
      <w:r>
        <w:rPr>
          <w:rFonts w:hint="eastAsia"/>
        </w:rPr>
        <w:t>。</w:t>
      </w:r>
    </w:p>
  </w:footnote>
  <w:footnote w:id="6">
    <w:p w:rsidR="00286B9C" w:rsidRPr="00771EDF" w:rsidRDefault="00286B9C" w:rsidP="000B1D24">
      <w:pPr>
        <w:pStyle w:val="1a"/>
      </w:pPr>
      <w:r>
        <w:rPr>
          <w:rStyle w:val="af5"/>
        </w:rPr>
        <w:footnoteRef/>
      </w:r>
      <w:r w:rsidRPr="00771EDF">
        <w:rPr>
          <w:rFonts w:hint="eastAsia"/>
        </w:rPr>
        <w:t>「國軍退除役官兵輔導委員會投資事業機構會派董事及監察人管理要點」第17點規定：「本會對會薦董事長、董事兼總經理之績效考核，以經營管理、營運績效、安置狀況為重點，由各業務主管處提供具體資料，於年度結束後彙提本會投資事業人事審議小組評議，並簽報主任委員核定。…。」</w:t>
      </w:r>
    </w:p>
  </w:footnote>
  <w:footnote w:id="7">
    <w:p w:rsidR="00286B9C" w:rsidRPr="00771EDF" w:rsidRDefault="00286B9C" w:rsidP="000B1D24">
      <w:pPr>
        <w:pStyle w:val="1a"/>
      </w:pPr>
      <w:r>
        <w:rPr>
          <w:rStyle w:val="af5"/>
        </w:rPr>
        <w:footnoteRef/>
      </w:r>
      <w:r w:rsidRPr="00771EDF">
        <w:rPr>
          <w:rFonts w:hint="eastAsia"/>
        </w:rPr>
        <w:t>「國軍退除役官兵輔導委員會投資事業機構會派董事及監察人管理要點」第16、18點規定：「會薦董監事出席董事會、董監事聯席會及其發言情形，由會薦董事長或總經理詳載會議紀錄，以為本會對會薦董監事工作績效查考之參考。」、「本會對會薦董事、監察人及董監事聯絡人之任務查考，以出席會議、發言及政策任務交辦事項執行情形為重點。由會薦董監事聯絡人負責記錄，於每次會議後填報，由各業務主管處負責評審，將評審結果於每年底列冊彙送人事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55"/>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269BE1B-8C7D-4A63-AFD9-217368149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C6C4E-B42E-4392-9EB5-FBFA4872F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