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247331" w:rsidRPr="00247331" w:rsidRDefault="00247331" w:rsidP="00247331">
      <w:pPr>
        <w:pStyle w:val="14"/>
        <w:ind w:left="567" w:hanging="567"/>
      </w:pPr>
      <w:bookmarkStart w:id="10" w:name="_Toc480890729"/>
      <w:bookmarkStart w:id="11" w:name="_Toc208849991"/>
      <w:r w:rsidRPr="00247331">
        <w:rPr>
          <w:rFonts w:hint="eastAsia"/>
        </w:rPr>
        <w:t>一、特別條例之法律位階</w:t>
      </w:r>
      <w:bookmarkEnd w:id="11"/>
    </w:p>
    <w:p w:rsidR="008155B2" w:rsidRDefault="008668A5" w:rsidP="00741AC0">
      <w:pPr>
        <w:ind w:left="567" w:firstLine="567"/>
      </w:pPr>
      <w:r w:rsidRPr="008668A5">
        <w:rPr>
          <w:rFonts w:hint="eastAsia"/>
        </w:rPr>
        <w:t>中央法規標準法第2條規定：「法律得定名為法、律、條例或通則。」同法第16條規定：「法規對其他法規所規定之同一事項而為特別之規定者，應優先適用之。其他法規修正後，仍應優先適用。」爰特別條例係屬特別法律，依規定應優先適用之，即特別法優先於普通法原則。</w:t>
      </w:r>
      <w:bookmarkEnd w:id="1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sectPr w:rsidR="008155B2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741AC0" w:rsidRPr="00741AC0">
      <w:rPr>
        <w:rFonts w:ascii="標楷體" w:hAnsi="標楷體"/>
        <w:noProof/>
        <w:szCs w:val="20"/>
        <w:lang w:val="zh-TW"/>
      </w:rPr>
      <w:t>1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AC0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7F7E11B-481A-4A08-87F5-D0FCBC2CC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2EAB4-DEC0-4B11-ACA5-B0073D776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