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8668A5" w:rsidRPr="008668A5" w:rsidRDefault="008668A5" w:rsidP="008668A5">
      <w:pPr>
        <w:pStyle w:val="14"/>
        <w:ind w:left="567" w:hanging="567"/>
      </w:pPr>
      <w:bookmarkStart w:id="10" w:name="_Toc480890729"/>
      <w:bookmarkStart w:id="11" w:name="_Toc208849992"/>
      <w:r w:rsidRPr="008668A5">
        <w:rPr>
          <w:rFonts w:hint="eastAsia"/>
        </w:rPr>
        <w:t>二、特別條例與特別預算於審議階段之差異</w:t>
      </w:r>
      <w:bookmarkEnd w:id="11"/>
    </w:p>
    <w:p w:rsidR="008A0D95" w:rsidRDefault="008668A5" w:rsidP="008668A5">
      <w:pPr>
        <w:ind w:left="567" w:firstLine="567"/>
      </w:pPr>
      <w:r w:rsidRPr="00CA7AA2">
        <w:rPr>
          <w:rFonts w:hint="eastAsia"/>
        </w:rPr>
        <w:t>有關特別條例及特別預算之審議，依據立法院職權行使法第7條規定</w:t>
      </w:r>
      <w:r w:rsidRPr="00CA7AA2">
        <w:rPr>
          <w:rStyle w:val="af6"/>
          <w:b/>
          <w:bCs/>
        </w:rPr>
        <w:footnoteReference w:id="1"/>
      </w:r>
      <w:r w:rsidRPr="00CA7AA2">
        <w:rPr>
          <w:rFonts w:hint="eastAsia"/>
        </w:rPr>
        <w:t>，法律案及預算案均應經本院三讀議決，嗣經總統公布後，始成為正式法律及法定預算</w:t>
      </w:r>
      <w:r>
        <w:rPr>
          <w:rFonts w:hint="eastAsia"/>
        </w:rPr>
        <w:t>。</w:t>
      </w:r>
      <w:r w:rsidR="0039112C">
        <w:rPr>
          <w:rFonts w:hint="eastAsia"/>
        </w:rPr>
        <w:t>其中</w:t>
      </w:r>
      <w:r w:rsidRPr="00CA7AA2">
        <w:rPr>
          <w:rFonts w:hint="eastAsia"/>
        </w:rPr>
        <w:t>特別預算案之審</w:t>
      </w:r>
      <w:r w:rsidR="0039112C">
        <w:rPr>
          <w:rFonts w:hint="eastAsia"/>
        </w:rPr>
        <w:t>議程序</w:t>
      </w:r>
      <w:r>
        <w:rPr>
          <w:rFonts w:hint="eastAsia"/>
        </w:rPr>
        <w:t>，依</w:t>
      </w:r>
      <w:r w:rsidR="002B03E5">
        <w:rPr>
          <w:rFonts w:hint="eastAsia"/>
        </w:rPr>
        <w:t>預算法第84條</w:t>
      </w:r>
      <w:r w:rsidR="002B03E5" w:rsidRPr="002B03E5">
        <w:rPr>
          <w:rStyle w:val="af6"/>
        </w:rPr>
        <w:footnoteReference w:id="2"/>
      </w:r>
      <w:r w:rsidR="0039112C">
        <w:rPr>
          <w:rFonts w:hint="eastAsia"/>
        </w:rPr>
        <w:t>係準用總預算之規定，惟依據</w:t>
      </w:r>
      <w:r w:rsidRPr="00CA7AA2">
        <w:rPr>
          <w:rFonts w:hint="eastAsia"/>
        </w:rPr>
        <w:t>「中央政府總預算案審查程序」</w:t>
      </w:r>
      <w:r w:rsidR="0039112C">
        <w:rPr>
          <w:rFonts w:hint="eastAsia"/>
        </w:rPr>
        <w:t>之</w:t>
      </w:r>
      <w:r w:rsidRPr="00CA7AA2">
        <w:rPr>
          <w:rFonts w:hint="eastAsia"/>
        </w:rPr>
        <w:t>規定</w:t>
      </w:r>
      <w:r w:rsidR="0039112C" w:rsidRPr="008668A5">
        <w:rPr>
          <w:rStyle w:val="af6"/>
        </w:rPr>
        <w:footnoteReference w:id="3"/>
      </w:r>
      <w:r>
        <w:rPr>
          <w:rFonts w:hint="eastAsia"/>
        </w:rPr>
        <w:t>，於</w:t>
      </w:r>
      <w:r w:rsidRPr="00CA7AA2">
        <w:rPr>
          <w:rFonts w:hint="eastAsia"/>
        </w:rPr>
        <w:t>必要時得逕交財政委員會會同有關委員會審查，</w:t>
      </w:r>
      <w:r>
        <w:rPr>
          <w:rFonts w:hint="eastAsia"/>
        </w:rPr>
        <w:t>故</w:t>
      </w:r>
      <w:r w:rsidRPr="00CA7AA2">
        <w:rPr>
          <w:rFonts w:hint="eastAsia"/>
        </w:rPr>
        <w:t>毋須比照總預算案交由各委員會分別審查，以兼顧特別預算之緊急時效性，並節省審議時間。</w:t>
      </w:r>
    </w:p>
    <w:p w:rsidR="008668A5" w:rsidRDefault="008A0D95" w:rsidP="008668A5">
      <w:pPr>
        <w:ind w:left="567" w:firstLine="567"/>
      </w:pPr>
      <w:r>
        <w:rPr>
          <w:rFonts w:hint="eastAsia"/>
        </w:rPr>
        <w:t>另有關法律案之審議方式，立法院可</w:t>
      </w:r>
      <w:r w:rsidRPr="008A0D95">
        <w:rPr>
          <w:rFonts w:hint="eastAsia"/>
        </w:rPr>
        <w:t>逐條、逐句增刪修改</w:t>
      </w:r>
      <w:r>
        <w:rPr>
          <w:rFonts w:hint="eastAsia"/>
        </w:rPr>
        <w:t>；而預算案之審議，依大法官釋字第391號解釋則</w:t>
      </w:r>
      <w:r w:rsidRPr="008A0D95">
        <w:rPr>
          <w:rFonts w:hint="eastAsia"/>
        </w:rPr>
        <w:t>可刪減特定預算科目及金額，但不得在款項目節間移動增減並追加或削減原預算之項目</w:t>
      </w:r>
      <w:r>
        <w:rPr>
          <w:rFonts w:hint="eastAsia"/>
        </w:rPr>
        <w:t>；</w:t>
      </w:r>
      <w:r w:rsidR="00424246">
        <w:rPr>
          <w:rFonts w:hint="eastAsia"/>
        </w:rPr>
        <w:t>且</w:t>
      </w:r>
      <w:r w:rsidR="002E15EB">
        <w:rPr>
          <w:rFonts w:hint="eastAsia"/>
        </w:rPr>
        <w:t>經本院</w:t>
      </w:r>
      <w:r>
        <w:rPr>
          <w:rFonts w:hint="eastAsia"/>
        </w:rPr>
        <w:t>三讀通過後之法律案屬持續性法律</w:t>
      </w:r>
      <w:r w:rsidR="00494959">
        <w:rPr>
          <w:rFonts w:hint="eastAsia"/>
        </w:rPr>
        <w:t>，可無限制的反覆產生其規範效力</w:t>
      </w:r>
      <w:r>
        <w:rPr>
          <w:rFonts w:hint="eastAsia"/>
        </w:rPr>
        <w:t>，而三讀通過後之預算案則屬措施性法律，其效力僅及於預算期間(詳表</w:t>
      </w:r>
      <w:r w:rsidR="003F457E">
        <w:rPr>
          <w:rFonts w:hint="eastAsia"/>
        </w:rPr>
        <w:t>2</w:t>
      </w:r>
      <w:r>
        <w:rPr>
          <w:rFonts w:hint="eastAsia"/>
        </w:rPr>
        <w:t>)。</w:t>
      </w:r>
    </w:p>
    <w:p w:rsidR="008541BB" w:rsidRDefault="008A0D95" w:rsidP="008A0D95">
      <w:pPr>
        <w:ind w:left="1413" w:hangingChars="298" w:hanging="846"/>
        <w:rPr>
          <w:rFonts w:hint="eastAsia"/>
        </w:rPr>
      </w:pPr>
      <w:r w:rsidRPr="00D23CC6">
        <w:rPr>
          <w:rFonts w:hAnsi="標楷體"/>
          <w:b/>
        </w:rPr>
        <w:t>表</w:t>
      </w:r>
      <w:r w:rsidR="003F457E">
        <w:rPr>
          <w:rFonts w:hAnsi="標楷體" w:hint="eastAsia"/>
          <w:b/>
        </w:rPr>
        <w:t>2</w:t>
      </w:r>
      <w:r w:rsidRPr="00D23CC6">
        <w:rPr>
          <w:rFonts w:hAnsi="標楷體"/>
          <w:b/>
        </w:rPr>
        <w:t xml:space="preserve">  </w:t>
      </w:r>
      <w:r w:rsidRPr="00247E39">
        <w:rPr>
          <w:rFonts w:hint="eastAsia"/>
          <w:b/>
          <w:bCs/>
        </w:rPr>
        <w:t>法律案與預算案</w:t>
      </w:r>
      <w:r>
        <w:rPr>
          <w:rFonts w:hint="eastAsia"/>
          <w:b/>
          <w:bCs/>
        </w:rPr>
        <w:t>於</w:t>
      </w:r>
      <w:r w:rsidRPr="00247E39">
        <w:rPr>
          <w:rFonts w:hint="eastAsia"/>
          <w:b/>
          <w:bCs/>
        </w:rPr>
        <w:t>審議階段之差異</w:t>
      </w:r>
      <w:r>
        <w:rPr>
          <w:rFonts w:hint="eastAsia"/>
          <w:b/>
          <w:bCs/>
        </w:rPr>
        <w:t>摘要表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2835"/>
        <w:gridCol w:w="2835"/>
      </w:tblGrid>
      <w:tr w:rsidR="008668A5" w:rsidRPr="008668A5" w:rsidTr="00A5276D">
        <w:trPr>
          <w:tblHeader/>
        </w:trPr>
        <w:tc>
          <w:tcPr>
            <w:tcW w:w="2268" w:type="dxa"/>
            <w:shd w:val="clear" w:color="auto" w:fill="auto"/>
            <w:vAlign w:val="center"/>
          </w:tcPr>
          <w:p w:rsidR="008668A5" w:rsidRPr="008668A5" w:rsidRDefault="008668A5" w:rsidP="008668A5">
            <w:pPr>
              <w:pStyle w:val="144"/>
              <w:jc w:val="center"/>
              <w:rPr>
                <w:b/>
                <w:bCs/>
              </w:rPr>
            </w:pPr>
            <w:r w:rsidRPr="008668A5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Pr="008668A5" w:rsidRDefault="008668A5" w:rsidP="008668A5">
            <w:pPr>
              <w:pStyle w:val="144"/>
              <w:jc w:val="center"/>
              <w:rPr>
                <w:b/>
                <w:bCs/>
              </w:rPr>
            </w:pPr>
            <w:r w:rsidRPr="008668A5">
              <w:rPr>
                <w:rFonts w:hint="eastAsia"/>
                <w:b/>
                <w:bCs/>
              </w:rPr>
              <w:t>法律案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Pr="008668A5" w:rsidRDefault="008668A5" w:rsidP="008668A5">
            <w:pPr>
              <w:pStyle w:val="144"/>
              <w:jc w:val="center"/>
              <w:rPr>
                <w:b/>
                <w:bCs/>
              </w:rPr>
            </w:pPr>
            <w:r w:rsidRPr="008668A5">
              <w:rPr>
                <w:rFonts w:hint="eastAsia"/>
                <w:b/>
                <w:bCs/>
              </w:rPr>
              <w:t>預算案</w:t>
            </w:r>
          </w:p>
        </w:tc>
      </w:tr>
      <w:tr w:rsidR="008668A5" w:rsidTr="00A5276D">
        <w:tc>
          <w:tcPr>
            <w:tcW w:w="2268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審議方式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 w:rsidRPr="00247E39">
              <w:rPr>
                <w:rFonts w:hint="eastAsia"/>
              </w:rPr>
              <w:t>逐條</w:t>
            </w:r>
            <w:r>
              <w:rPr>
                <w:rFonts w:hint="eastAsia"/>
              </w:rPr>
              <w:t>、</w:t>
            </w:r>
            <w:r w:rsidRPr="00247E39">
              <w:rPr>
                <w:rFonts w:hint="eastAsia"/>
              </w:rPr>
              <w:t>逐句增刪修改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可刪減特定預算科目及金額，但不得</w:t>
            </w:r>
            <w:r w:rsidRPr="00247E39">
              <w:rPr>
                <w:rFonts w:hint="eastAsia"/>
              </w:rPr>
              <w:t>在款項目節間移動增減並追加或削減原預算之項目</w:t>
            </w:r>
          </w:p>
        </w:tc>
      </w:tr>
      <w:tr w:rsidR="008668A5" w:rsidTr="00A5276D">
        <w:tc>
          <w:tcPr>
            <w:tcW w:w="2268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可否作成自行調整之決議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否(文字不可自行調整)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可(實務上，可作成刪減</w:t>
            </w:r>
            <w:r w:rsidRPr="00A44339">
              <w:rPr>
                <w:rFonts w:hint="eastAsia"/>
              </w:rPr>
              <w:t>細節由該機關自行調整之決議</w:t>
            </w:r>
            <w:r>
              <w:rPr>
                <w:rFonts w:hint="eastAsia"/>
              </w:rPr>
              <w:t>)</w:t>
            </w:r>
          </w:p>
        </w:tc>
      </w:tr>
      <w:tr w:rsidR="008668A5" w:rsidTr="00A5276D">
        <w:tc>
          <w:tcPr>
            <w:tcW w:w="2268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是否有</w:t>
            </w:r>
            <w:r w:rsidRPr="00A44339">
              <w:rPr>
                <w:rFonts w:hint="eastAsia"/>
              </w:rPr>
              <w:t>審議時程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lastRenderedPageBreak/>
              <w:t>規定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Pr="00247E39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無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有(總預算案)</w:t>
            </w:r>
          </w:p>
          <w:p w:rsidR="008668A5" w:rsidRDefault="008668A5" w:rsidP="008668A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無(特別預算案)</w:t>
            </w:r>
          </w:p>
        </w:tc>
      </w:tr>
      <w:tr w:rsidR="008668A5" w:rsidTr="00A5276D">
        <w:tc>
          <w:tcPr>
            <w:tcW w:w="2268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lastRenderedPageBreak/>
              <w:t>是否須三讀通過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是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是</w:t>
            </w:r>
          </w:p>
        </w:tc>
      </w:tr>
      <w:tr w:rsidR="008668A5" w:rsidTr="00A5276D">
        <w:tc>
          <w:tcPr>
            <w:tcW w:w="2268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 w:rsidRPr="00A44339">
              <w:rPr>
                <w:rFonts w:hint="eastAsia"/>
              </w:rPr>
              <w:t>規範效力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持續性法律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8A5" w:rsidRDefault="008668A5" w:rsidP="008668A5">
            <w:pPr>
              <w:pStyle w:val="144"/>
            </w:pPr>
            <w:r>
              <w:rPr>
                <w:rFonts w:hint="eastAsia"/>
              </w:rPr>
              <w:t>措施性法律</w:t>
            </w:r>
          </w:p>
        </w:tc>
      </w:tr>
    </w:tbl>
    <w:p w:rsidR="008155B2" w:rsidRDefault="008668A5" w:rsidP="0002282B">
      <w:pPr>
        <w:pStyle w:val="144"/>
        <w:wordWrap w:val="0"/>
        <w:ind w:leftChars="200" w:left="1704" w:hangingChars="467" w:hanging="1137"/>
      </w:pPr>
      <w:r>
        <w:rPr>
          <w:rFonts w:hint="eastAsia"/>
        </w:rPr>
        <w:t>資料來源：整理自</w:t>
      </w:r>
      <w:r w:rsidRPr="00AE5AFF">
        <w:rPr>
          <w:rFonts w:hint="eastAsia"/>
        </w:rPr>
        <w:t>憲法法庭網站，https://cons.judicial.gov.tw/docdata.aspx?fid=100&amp;id=310572</w:t>
      </w:r>
      <w:bookmarkEnd w:id="1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02282B" w:rsidRPr="0002282B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  <w:footnote w:id="1">
    <w:p w:rsidR="008668A5" w:rsidRPr="00AA0BAE" w:rsidRDefault="008668A5" w:rsidP="008668A5">
      <w:pPr>
        <w:pStyle w:val="144"/>
        <w:wordWrap w:val="0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AA0BAE">
        <w:rPr>
          <w:rFonts w:hint="eastAsia"/>
        </w:rPr>
        <w:t>立法院職權行使法第7條規定：「立法院依憲法第</w:t>
      </w:r>
      <w:r w:rsidR="00494959">
        <w:rPr>
          <w:rFonts w:hint="eastAsia"/>
        </w:rPr>
        <w:t>6</w:t>
      </w:r>
      <w:r w:rsidR="00494959">
        <w:t>3</w:t>
      </w:r>
      <w:r w:rsidRPr="00AA0BAE">
        <w:rPr>
          <w:rFonts w:hint="eastAsia"/>
        </w:rPr>
        <w:t>條規定所議決之議案，除法律案、預算案應經三讀會議決外，其餘均經二讀會議決之。」</w:t>
      </w:r>
    </w:p>
  </w:footnote>
  <w:footnote w:id="2">
    <w:p w:rsidR="002B03E5" w:rsidRPr="0037639A" w:rsidRDefault="002B03E5" w:rsidP="002B03E5">
      <w:pPr>
        <w:pStyle w:val="144"/>
        <w:wordWrap w:val="0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預算法第84條規定：「</w:t>
      </w:r>
      <w:r w:rsidRPr="0037639A">
        <w:rPr>
          <w:rFonts w:hint="eastAsia"/>
        </w:rPr>
        <w:t>特別預算之審議程序，準用本法關於總預算之規定。但合於前條第</w:t>
      </w:r>
      <w:r w:rsidR="00494959">
        <w:rPr>
          <w:rFonts w:hint="eastAsia"/>
        </w:rPr>
        <w:t>1</w:t>
      </w:r>
      <w:r w:rsidRPr="0037639A">
        <w:rPr>
          <w:rFonts w:hint="eastAsia"/>
        </w:rPr>
        <w:t>款至第</w:t>
      </w:r>
      <w:r w:rsidR="00494959">
        <w:rPr>
          <w:rFonts w:hint="eastAsia"/>
        </w:rPr>
        <w:t>3</w:t>
      </w:r>
      <w:r w:rsidRPr="0037639A">
        <w:rPr>
          <w:rFonts w:hint="eastAsia"/>
        </w:rPr>
        <w:t>款者，為因應情勢之緊急需要，得先支付其一部。</w:t>
      </w:r>
      <w:r>
        <w:rPr>
          <w:rFonts w:hint="eastAsia"/>
        </w:rPr>
        <w:t>」</w:t>
      </w:r>
    </w:p>
  </w:footnote>
  <w:footnote w:id="3">
    <w:p w:rsidR="0039112C" w:rsidRPr="00A9339B" w:rsidRDefault="0039112C" w:rsidP="0039112C">
      <w:pPr>
        <w:pStyle w:val="144"/>
        <w:wordWrap w:val="0"/>
        <w:ind w:left="224" w:hangingChars="92" w:hanging="22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「</w:t>
      </w:r>
      <w:r w:rsidRPr="00A9339B">
        <w:rPr>
          <w:rFonts w:hint="eastAsia"/>
        </w:rPr>
        <w:t>央政府總預算案審查程序」第8條第1項規定：「追加預算案及特別預算案，其審查程序與總預算案同，但必要時經院會聽取編製經過報告並質詢後，得逕交財政委員會會同有關委員會審查並提報院會。」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2B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7C5210C-5747-4073-9378-77B1BCB54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7BCDA-DBE6-46FC-A140-CE1A1EBDF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