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247331" w:rsidRPr="007B2313" w:rsidRDefault="00247331" w:rsidP="00247331">
      <w:pPr>
        <w:pStyle w:val="142"/>
        <w:ind w:left="567" w:hanging="567"/>
        <w:rPr>
          <w:rFonts w:hint="eastAsia"/>
        </w:rPr>
      </w:pPr>
      <w:bookmarkStart w:id="10" w:name="_Toc480890729"/>
      <w:bookmarkStart w:id="11" w:name="_Toc208849994"/>
      <w:r>
        <w:rPr>
          <w:rFonts w:hint="eastAsia"/>
        </w:rPr>
        <w:t>肆</w:t>
      </w:r>
      <w:r w:rsidRPr="007B2313">
        <w:rPr>
          <w:rFonts w:hint="eastAsia"/>
        </w:rPr>
        <w:t>、</w:t>
      </w:r>
      <w:r>
        <w:rPr>
          <w:rFonts w:hint="eastAsia"/>
        </w:rPr>
        <w:t>特別預算之提出是否</w:t>
      </w:r>
      <w:r w:rsidR="001F211C">
        <w:rPr>
          <w:rFonts w:hint="eastAsia"/>
        </w:rPr>
        <w:t>應</w:t>
      </w:r>
      <w:r>
        <w:rPr>
          <w:rFonts w:hint="eastAsia"/>
        </w:rPr>
        <w:t>以制定特別條例為前提之</w:t>
      </w:r>
      <w:r w:rsidRPr="007B2313">
        <w:rPr>
          <w:rFonts w:hint="eastAsia"/>
        </w:rPr>
        <w:t>探討</w:t>
      </w:r>
      <w:bookmarkEnd w:id="11"/>
    </w:p>
    <w:p w:rsidR="008155B2" w:rsidRDefault="00B41991" w:rsidP="00151D3E">
      <w:pPr>
        <w:pStyle w:val="aa"/>
        <w:ind w:firstLine="567"/>
      </w:pPr>
      <w:r>
        <w:rPr>
          <w:rFonts w:hint="eastAsia"/>
        </w:rPr>
        <w:t>綜前所述，</w:t>
      </w:r>
      <w:r w:rsidRPr="00B41991">
        <w:rPr>
          <w:rFonts w:hint="eastAsia"/>
        </w:rPr>
        <w:t>特別預算之提出是否</w:t>
      </w:r>
      <w:r w:rsidR="003438D4">
        <w:rPr>
          <w:rFonts w:hint="eastAsia"/>
        </w:rPr>
        <w:t>應</w:t>
      </w:r>
      <w:r w:rsidRPr="00B41991">
        <w:rPr>
          <w:rFonts w:hint="eastAsia"/>
        </w:rPr>
        <w:t>以制定特別條例為前提</w:t>
      </w:r>
      <w:r>
        <w:rPr>
          <w:rFonts w:hint="eastAsia"/>
        </w:rPr>
        <w:t>，謹就</w:t>
      </w:r>
      <w:r w:rsidR="008276C4" w:rsidRPr="008276C4">
        <w:rPr>
          <w:rFonts w:hint="eastAsia"/>
        </w:rPr>
        <w:t>行政部門之施政彈性、立法部門之監督權限，以及財政紀律之維護</w:t>
      </w:r>
      <w:r w:rsidR="008276C4">
        <w:rPr>
          <w:rFonts w:hint="eastAsia"/>
        </w:rPr>
        <w:t>等面向</w:t>
      </w:r>
      <w:r w:rsidR="00C6138D">
        <w:rPr>
          <w:rFonts w:hint="eastAsia"/>
        </w:rPr>
        <w:t>，</w:t>
      </w:r>
      <w:r>
        <w:rPr>
          <w:rFonts w:hint="eastAsia"/>
        </w:rPr>
        <w:t>分析如下</w:t>
      </w:r>
      <w:r w:rsidR="00247331" w:rsidRPr="00D23CC6">
        <w:rPr>
          <w:rFonts w:hint="eastAsia"/>
        </w:rPr>
        <w:t>：</w:t>
      </w:r>
      <w:bookmarkEnd w:id="1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8155B2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151D3E" w:rsidRPr="00151D3E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1D3E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0331229-7271-482D-9DA4-A5347EF9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04DE2-984D-474A-AC78-F48E61634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