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0237E" w:rsidRDefault="00E0237E" w:rsidP="007668ED">
      <w:pPr>
        <w:pStyle w:val="aa"/>
        <w:ind w:left="567" w:hanging="567"/>
      </w:pPr>
      <w:bookmarkStart w:id="0" w:name="_Toc202516649"/>
      <w:bookmarkStart w:id="1" w:name="_GoBack"/>
      <w:bookmarkEnd w:id="1"/>
      <w:r w:rsidRPr="00620246">
        <w:rPr>
          <w:rFonts w:hint="eastAsia"/>
        </w:rPr>
        <w:t>11</w:t>
      </w:r>
      <w:r>
        <w:t>3</w:t>
      </w:r>
      <w:r w:rsidRPr="00620246">
        <w:rPr>
          <w:rFonts w:hint="eastAsia"/>
        </w:rPr>
        <w:t>年度中央政府總決算審核報告整體評估報告</w:t>
      </w:r>
    </w:p>
    <w:p w:rsidR="00E0237E" w:rsidRDefault="00E0237E" w:rsidP="007668ED">
      <w:pPr>
        <w:pStyle w:val="14"/>
        <w:ind w:left="567" w:hanging="567"/>
      </w:pPr>
      <w:bookmarkStart w:id="2" w:name="_Toc208942774"/>
      <w:r>
        <w:rPr>
          <w:rFonts w:hint="eastAsia"/>
        </w:rPr>
        <w:t>一、</w:t>
      </w:r>
      <w:bookmarkStart w:id="3" w:name="OLE_LINK2"/>
      <w:r w:rsidRPr="00D60624">
        <w:rPr>
          <w:rFonts w:hint="eastAsia"/>
        </w:rPr>
        <w:t>整體公共建設</w:t>
      </w:r>
      <w:r>
        <w:rPr>
          <w:rFonts w:hint="eastAsia"/>
        </w:rPr>
        <w:t>經費</w:t>
      </w:r>
      <w:r w:rsidRPr="00D60624">
        <w:rPr>
          <w:rFonts w:hint="eastAsia"/>
        </w:rPr>
        <w:t>執行率降至近年最低</w:t>
      </w:r>
      <w:r>
        <w:rPr>
          <w:rFonts w:hint="eastAsia"/>
        </w:rPr>
        <w:t>，且</w:t>
      </w:r>
      <w:r w:rsidRPr="002014DB">
        <w:rPr>
          <w:rFonts w:hint="eastAsia"/>
        </w:rPr>
        <w:t>財政收支劃分法之修正及美國對等關稅政策</w:t>
      </w:r>
      <w:r>
        <w:rPr>
          <w:rFonts w:hint="eastAsia"/>
        </w:rPr>
        <w:t>對全球經貿影響</w:t>
      </w:r>
      <w:r w:rsidRPr="002014DB">
        <w:rPr>
          <w:rFonts w:hint="eastAsia"/>
        </w:rPr>
        <w:t>之不確定性，恐影響</w:t>
      </w:r>
      <w:r>
        <w:rPr>
          <w:rFonts w:hint="eastAsia"/>
        </w:rPr>
        <w:t>嗣後</w:t>
      </w:r>
      <w:r w:rsidRPr="002014DB">
        <w:rPr>
          <w:rFonts w:hint="eastAsia"/>
        </w:rPr>
        <w:t>公共建設之執行</w:t>
      </w:r>
      <w:bookmarkEnd w:id="0"/>
      <w:r>
        <w:rPr>
          <w:rFonts w:hint="eastAsia"/>
        </w:rPr>
        <w:t>，允宜</w:t>
      </w:r>
      <w:r w:rsidRPr="00A45948">
        <w:rPr>
          <w:rFonts w:hint="eastAsia"/>
        </w:rPr>
        <w:t>妥為因應</w:t>
      </w:r>
      <w:bookmarkEnd w:id="2"/>
      <w:bookmarkEnd w:id="3"/>
    </w:p>
    <w:p w:rsidR="00E0237E" w:rsidRDefault="00E0237E" w:rsidP="007668ED">
      <w:pPr>
        <w:ind w:left="566" w:firstLine="566"/>
      </w:pPr>
      <w:r w:rsidRPr="00CB1ADE">
        <w:rPr>
          <w:rFonts w:hint="eastAsia"/>
        </w:rPr>
        <w:t>中央政府11</w:t>
      </w:r>
      <w:r>
        <w:rPr>
          <w:rFonts w:hint="eastAsia"/>
        </w:rPr>
        <w:t>3</w:t>
      </w:r>
      <w:r w:rsidRPr="00CB1ADE">
        <w:rPr>
          <w:rFonts w:hint="eastAsia"/>
        </w:rPr>
        <w:t>年度公共建設計畫預算共</w:t>
      </w:r>
      <w:r>
        <w:rPr>
          <w:rFonts w:hint="eastAsia"/>
        </w:rPr>
        <w:t>編列</w:t>
      </w:r>
      <w:r w:rsidRPr="00CB1ADE">
        <w:rPr>
          <w:rFonts w:hint="eastAsia"/>
        </w:rPr>
        <w:t>5,</w:t>
      </w:r>
      <w:r>
        <w:rPr>
          <w:rFonts w:hint="eastAsia"/>
        </w:rPr>
        <w:t>682</w:t>
      </w:r>
      <w:r w:rsidRPr="00CB1ADE">
        <w:rPr>
          <w:rFonts w:hint="eastAsia"/>
        </w:rPr>
        <w:t>億元，包括</w:t>
      </w:r>
      <w:r>
        <w:rPr>
          <w:rFonts w:hint="eastAsia"/>
        </w:rPr>
        <w:t>總</w:t>
      </w:r>
      <w:r w:rsidRPr="00CB1ADE">
        <w:rPr>
          <w:rFonts w:hint="eastAsia"/>
        </w:rPr>
        <w:t>預算1,</w:t>
      </w:r>
      <w:r>
        <w:rPr>
          <w:rFonts w:hint="eastAsia"/>
        </w:rPr>
        <w:t>846</w:t>
      </w:r>
      <w:r w:rsidRPr="00CB1ADE">
        <w:rPr>
          <w:rFonts w:hint="eastAsia"/>
        </w:rPr>
        <w:t>億元、特別預算</w:t>
      </w:r>
      <w:r>
        <w:rPr>
          <w:rFonts w:hint="eastAsia"/>
        </w:rPr>
        <w:t>844</w:t>
      </w:r>
      <w:r w:rsidRPr="00CB1ADE">
        <w:rPr>
          <w:rFonts w:hint="eastAsia"/>
        </w:rPr>
        <w:t>億元、營業基金</w:t>
      </w:r>
      <w:r>
        <w:t>2,247</w:t>
      </w:r>
      <w:r w:rsidRPr="00CB1ADE">
        <w:rPr>
          <w:rFonts w:hint="eastAsia"/>
        </w:rPr>
        <w:t>億元及非營業基金</w:t>
      </w:r>
      <w:r>
        <w:rPr>
          <w:rFonts w:hint="eastAsia"/>
        </w:rPr>
        <w:t>745</w:t>
      </w:r>
      <w:r w:rsidRPr="00CB1ADE">
        <w:rPr>
          <w:rFonts w:hint="eastAsia"/>
        </w:rPr>
        <w:t>億元</w:t>
      </w:r>
      <w:r>
        <w:rPr>
          <w:rStyle w:val="af4"/>
        </w:rPr>
        <w:footnoteReference w:id="1"/>
      </w:r>
      <w:r>
        <w:rPr>
          <w:rFonts w:hint="eastAsia"/>
        </w:rPr>
        <w:t>。鑒於公共建設計畫多為跨年期計畫，部分由地方政府提報請中央政府補助，爰依循國家發展委員會(以下簡稱國發會)對計畫執行之列管定義，年計畫經費係</w:t>
      </w:r>
      <w:r w:rsidRPr="00045D21">
        <w:rPr>
          <w:rFonts w:hint="eastAsia"/>
        </w:rPr>
        <w:t>當年度可支用經費，包括</w:t>
      </w:r>
      <w:r>
        <w:rPr>
          <w:rFonts w:hint="eastAsia"/>
        </w:rPr>
        <w:t>中央</w:t>
      </w:r>
      <w:r w:rsidRPr="00045D21">
        <w:rPr>
          <w:rFonts w:hint="eastAsia"/>
        </w:rPr>
        <w:t>政府當年度編列預算(含總預算、特別預算、營業基金及非營業基金預算)、以前年度保留數及地方政府自籌款等</w:t>
      </w:r>
      <w:r>
        <w:rPr>
          <w:rFonts w:hint="eastAsia"/>
        </w:rPr>
        <w:t>，檢視近年公共建設計畫</w:t>
      </w:r>
      <w:r>
        <w:rPr>
          <w:rFonts w:hAnsi="標楷體" w:hint="eastAsia"/>
        </w:rPr>
        <w:t>經費之執行情形如下：</w:t>
      </w:r>
    </w:p>
    <w:p w:rsidR="00E0237E" w:rsidRDefault="00E0237E" w:rsidP="007668ED">
      <w:pPr>
        <w:pStyle w:val="a5"/>
        <w:ind w:left="849" w:hanging="283"/>
        <w:rPr>
          <w:b/>
        </w:rPr>
      </w:pPr>
      <w:r w:rsidRPr="005C55BF">
        <w:rPr>
          <w:rFonts w:hint="eastAsia"/>
          <w:b/>
        </w:rPr>
        <w:t>(一)</w:t>
      </w:r>
      <w:r>
        <w:rPr>
          <w:rFonts w:hint="eastAsia"/>
          <w:b/>
        </w:rPr>
        <w:t>整體公共建設執行量能自109年度起概呈增加，至113年度逾7</w:t>
      </w:r>
      <w:r>
        <w:rPr>
          <w:b/>
        </w:rPr>
        <w:t>,000</w:t>
      </w:r>
      <w:r>
        <w:rPr>
          <w:rFonts w:hint="eastAsia"/>
          <w:b/>
        </w:rPr>
        <w:t>億元，惟執行率</w:t>
      </w:r>
      <w:r w:rsidRPr="00A905EE">
        <w:rPr>
          <w:rFonts w:hint="eastAsia"/>
          <w:b/>
        </w:rPr>
        <w:t>降至近年最低</w:t>
      </w:r>
    </w:p>
    <w:p w:rsidR="00E0237E" w:rsidRDefault="00E0237E" w:rsidP="007668ED">
      <w:pPr>
        <w:pStyle w:val="21"/>
        <w:ind w:left="850" w:firstLine="566"/>
        <w:rPr>
          <w:rFonts w:hAnsi="標楷體"/>
        </w:rPr>
      </w:pPr>
      <w:r>
        <w:rPr>
          <w:rFonts w:hint="eastAsia"/>
        </w:rPr>
        <w:t>據國發會提供資料</w:t>
      </w:r>
      <w:r>
        <w:rPr>
          <w:rFonts w:hAnsi="標楷體" w:hint="eastAsia"/>
        </w:rPr>
        <w:t>(詳表1)，整體公共建設年計畫經費自109年度之5,045.64億元，概增至113年度之7.882.46億元，增幅56.22%；執行數亦由109年度之4,817.73億元，概增至113年度之7,391.85億元，執行量能成長53.43%。惟執行率自109年度之95</w:t>
      </w:r>
      <w:r>
        <w:rPr>
          <w:rFonts w:hAnsi="標楷體"/>
        </w:rPr>
        <w:t>.48%</w:t>
      </w:r>
      <w:r>
        <w:rPr>
          <w:rFonts w:hAnsi="標楷體" w:hint="eastAsia"/>
        </w:rPr>
        <w:t>，逐年上升至112年度之96.21%後，113年度降至93.78%，較109至112年度減少1.7至2.43個百分點。</w:t>
      </w:r>
    </w:p>
    <w:p w:rsidR="00E0237E" w:rsidRPr="00411CE1" w:rsidRDefault="00E0237E" w:rsidP="007668ED">
      <w:pPr>
        <w:pStyle w:val="ad"/>
        <w:ind w:left="1259" w:hangingChars="444" w:hanging="1259"/>
        <w:rPr>
          <w:b/>
          <w:bCs/>
          <w:snapToGrid/>
        </w:rPr>
      </w:pPr>
      <w:r w:rsidRPr="00441D6C">
        <w:rPr>
          <w:rFonts w:hint="eastAsia"/>
          <w:b/>
          <w:bCs/>
          <w:snapToGrid/>
        </w:rPr>
        <w:t>表</w:t>
      </w:r>
      <w:r>
        <w:rPr>
          <w:rFonts w:hint="eastAsia"/>
          <w:b/>
          <w:bCs/>
          <w:snapToGrid/>
        </w:rPr>
        <w:t>1</w:t>
      </w:r>
      <w:r>
        <w:rPr>
          <w:b/>
          <w:bCs/>
          <w:snapToGrid/>
        </w:rPr>
        <w:t xml:space="preserve">  109</w:t>
      </w:r>
      <w:r>
        <w:rPr>
          <w:rFonts w:hint="eastAsia"/>
          <w:b/>
          <w:bCs/>
          <w:snapToGrid/>
        </w:rPr>
        <w:t>至1</w:t>
      </w:r>
      <w:r>
        <w:rPr>
          <w:b/>
          <w:bCs/>
          <w:snapToGrid/>
        </w:rPr>
        <w:t>13</w:t>
      </w:r>
      <w:r>
        <w:rPr>
          <w:rFonts w:hint="eastAsia"/>
          <w:b/>
          <w:bCs/>
          <w:snapToGrid/>
        </w:rPr>
        <w:t>年度</w:t>
      </w:r>
      <w:r w:rsidRPr="00411CE1">
        <w:rPr>
          <w:rFonts w:hint="eastAsia"/>
          <w:b/>
          <w:bCs/>
          <w:snapToGrid/>
        </w:rPr>
        <w:t>公共建設計畫執行情形簡表</w:t>
      </w:r>
    </w:p>
    <w:p w:rsidR="00E0237E" w:rsidRDefault="00E0237E" w:rsidP="007668ED">
      <w:pPr>
        <w:pStyle w:val="142"/>
        <w:ind w:left="567" w:hanging="567"/>
        <w:jc w:val="right"/>
        <w:rPr>
          <w:snapToGrid/>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428" w:type="dxa"/>
        <w:tblInd w:w="112"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621"/>
        <w:gridCol w:w="1952"/>
        <w:gridCol w:w="1951"/>
        <w:gridCol w:w="1952"/>
        <w:gridCol w:w="1952"/>
      </w:tblGrid>
      <w:tr w:rsidR="00E0237E" w:rsidRPr="00E874DE" w:rsidTr="007668ED">
        <w:trPr>
          <w:trHeight w:val="340"/>
          <w:tblHeader/>
        </w:trPr>
        <w:tc>
          <w:tcPr>
            <w:tcW w:w="621" w:type="dxa"/>
            <w:vAlign w:val="center"/>
          </w:tcPr>
          <w:p w:rsidR="00E0237E" w:rsidRPr="00E874DE" w:rsidRDefault="00E0237E" w:rsidP="007668ED">
            <w:pPr>
              <w:pStyle w:val="142"/>
              <w:ind w:left="567" w:hanging="567"/>
              <w:jc w:val="center"/>
            </w:pPr>
            <w:r>
              <w:rPr>
                <w:rFonts w:hint="eastAsia"/>
              </w:rPr>
              <w:t>年度</w:t>
            </w:r>
          </w:p>
        </w:tc>
        <w:tc>
          <w:tcPr>
            <w:tcW w:w="1952" w:type="dxa"/>
            <w:shd w:val="clear" w:color="auto" w:fill="auto"/>
            <w:vAlign w:val="center"/>
            <w:hideMark/>
          </w:tcPr>
          <w:p w:rsidR="00E0237E" w:rsidRDefault="00E0237E" w:rsidP="007668ED">
            <w:pPr>
              <w:pStyle w:val="142"/>
              <w:ind w:left="567" w:hanging="567"/>
              <w:jc w:val="center"/>
            </w:pPr>
            <w:r w:rsidRPr="00E874DE">
              <w:rPr>
                <w:rFonts w:hint="eastAsia"/>
              </w:rPr>
              <w:t>年計畫經費</w:t>
            </w:r>
          </w:p>
          <w:p w:rsidR="00E0237E" w:rsidRPr="00E874DE" w:rsidRDefault="00E0237E" w:rsidP="007668ED">
            <w:pPr>
              <w:pStyle w:val="142"/>
              <w:ind w:left="567" w:hanging="567"/>
              <w:jc w:val="center"/>
            </w:pPr>
            <w:r>
              <w:t>A</w:t>
            </w:r>
          </w:p>
        </w:tc>
        <w:tc>
          <w:tcPr>
            <w:tcW w:w="1951" w:type="dxa"/>
            <w:shd w:val="clear" w:color="auto" w:fill="auto"/>
            <w:vAlign w:val="center"/>
            <w:hideMark/>
          </w:tcPr>
          <w:p w:rsidR="00E0237E" w:rsidRDefault="00E0237E" w:rsidP="007668ED">
            <w:pPr>
              <w:pStyle w:val="142"/>
              <w:ind w:left="567" w:hanging="567"/>
              <w:jc w:val="center"/>
            </w:pPr>
            <w:r w:rsidRPr="00E874DE">
              <w:rPr>
                <w:rFonts w:hint="eastAsia"/>
              </w:rPr>
              <w:t>執行數</w:t>
            </w:r>
          </w:p>
          <w:p w:rsidR="00E0237E" w:rsidRPr="00E874DE" w:rsidRDefault="00E0237E" w:rsidP="007668ED">
            <w:pPr>
              <w:pStyle w:val="142"/>
              <w:ind w:left="567" w:hanging="567"/>
              <w:jc w:val="center"/>
            </w:pPr>
            <w:r>
              <w:t>B</w:t>
            </w:r>
          </w:p>
        </w:tc>
        <w:tc>
          <w:tcPr>
            <w:tcW w:w="1952" w:type="dxa"/>
            <w:shd w:val="clear" w:color="auto" w:fill="auto"/>
            <w:vAlign w:val="center"/>
            <w:hideMark/>
          </w:tcPr>
          <w:p w:rsidR="00E0237E" w:rsidRDefault="00E0237E" w:rsidP="007668ED">
            <w:pPr>
              <w:pStyle w:val="142"/>
              <w:ind w:left="567" w:hanging="567"/>
              <w:jc w:val="center"/>
            </w:pPr>
            <w:r>
              <w:rPr>
                <w:rFonts w:hint="eastAsia"/>
              </w:rPr>
              <w:t>執行率</w:t>
            </w:r>
          </w:p>
          <w:p w:rsidR="00E0237E" w:rsidRPr="00E874DE" w:rsidRDefault="00E0237E" w:rsidP="007668ED">
            <w:pPr>
              <w:pStyle w:val="142"/>
              <w:ind w:left="567" w:hanging="567"/>
              <w:jc w:val="center"/>
            </w:pPr>
            <w:r>
              <w:t>B/A</w:t>
            </w:r>
          </w:p>
        </w:tc>
        <w:tc>
          <w:tcPr>
            <w:tcW w:w="1952" w:type="dxa"/>
            <w:vAlign w:val="center"/>
          </w:tcPr>
          <w:p w:rsidR="00E0237E" w:rsidRDefault="00E0237E" w:rsidP="007668ED">
            <w:pPr>
              <w:pStyle w:val="142"/>
              <w:ind w:left="567" w:hanging="567"/>
              <w:jc w:val="center"/>
            </w:pPr>
            <w:r w:rsidRPr="00E874DE">
              <w:rPr>
                <w:rFonts w:hint="eastAsia"/>
              </w:rPr>
              <w:t>計畫</w:t>
            </w:r>
          </w:p>
          <w:p w:rsidR="00E0237E" w:rsidRPr="00E874DE" w:rsidRDefault="00E0237E" w:rsidP="007668ED">
            <w:pPr>
              <w:pStyle w:val="142"/>
              <w:ind w:left="567" w:hanging="567"/>
              <w:jc w:val="center"/>
            </w:pPr>
            <w:r w:rsidRPr="00E874DE">
              <w:rPr>
                <w:rFonts w:hint="eastAsia"/>
              </w:rPr>
              <w:t>項數</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109</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504,564,000</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481,773,000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95.48</w:t>
            </w:r>
          </w:p>
        </w:tc>
        <w:tc>
          <w:tcPr>
            <w:tcW w:w="1952" w:type="dxa"/>
            <w:vAlign w:val="center"/>
          </w:tcPr>
          <w:p w:rsidR="00E0237E" w:rsidRPr="00821853" w:rsidRDefault="00E0237E" w:rsidP="007668ED">
            <w:pPr>
              <w:pStyle w:val="142"/>
              <w:ind w:left="567" w:hanging="567"/>
              <w:jc w:val="right"/>
            </w:pPr>
            <w:r w:rsidRPr="00821853">
              <w:rPr>
                <w:rFonts w:hint="eastAsia"/>
              </w:rPr>
              <w:t>388</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566,745,846</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542,083,705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95.65</w:t>
            </w:r>
          </w:p>
        </w:tc>
        <w:tc>
          <w:tcPr>
            <w:tcW w:w="1952" w:type="dxa"/>
            <w:vAlign w:val="center"/>
          </w:tcPr>
          <w:p w:rsidR="00E0237E" w:rsidRPr="00821853" w:rsidRDefault="00E0237E" w:rsidP="007668ED">
            <w:pPr>
              <w:pStyle w:val="142"/>
              <w:ind w:left="567" w:hanging="567"/>
              <w:jc w:val="right"/>
            </w:pPr>
            <w:r w:rsidRPr="00821853">
              <w:rPr>
                <w:rFonts w:hint="eastAsia"/>
              </w:rPr>
              <w:t>407</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111</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526,521,681</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503,805,875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95.69</w:t>
            </w:r>
          </w:p>
        </w:tc>
        <w:tc>
          <w:tcPr>
            <w:tcW w:w="1952" w:type="dxa"/>
            <w:vAlign w:val="center"/>
          </w:tcPr>
          <w:p w:rsidR="00E0237E" w:rsidRPr="00821853" w:rsidRDefault="00E0237E" w:rsidP="007668ED">
            <w:pPr>
              <w:pStyle w:val="142"/>
              <w:ind w:left="567" w:hanging="567"/>
              <w:jc w:val="right"/>
            </w:pPr>
            <w:r w:rsidRPr="00821853">
              <w:rPr>
                <w:rFonts w:hint="eastAsia"/>
              </w:rPr>
              <w:t>385</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lastRenderedPageBreak/>
              <w:t>112</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678,741,892</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653,051,685</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96.21</w:t>
            </w:r>
          </w:p>
        </w:tc>
        <w:tc>
          <w:tcPr>
            <w:tcW w:w="1952" w:type="dxa"/>
            <w:vAlign w:val="center"/>
          </w:tcPr>
          <w:p w:rsidR="00E0237E" w:rsidRPr="00821853" w:rsidRDefault="00E0237E" w:rsidP="007668ED">
            <w:pPr>
              <w:pStyle w:val="142"/>
              <w:ind w:left="567" w:hanging="567"/>
              <w:jc w:val="right"/>
            </w:pPr>
            <w:r w:rsidRPr="00821853">
              <w:rPr>
                <w:rFonts w:hint="eastAsia"/>
              </w:rPr>
              <w:t>388</w:t>
            </w:r>
          </w:p>
        </w:tc>
      </w:tr>
      <w:tr w:rsidR="00E0237E" w:rsidRPr="00E874DE" w:rsidTr="007668ED">
        <w:trPr>
          <w:trHeight w:val="340"/>
        </w:trPr>
        <w:tc>
          <w:tcPr>
            <w:tcW w:w="621" w:type="dxa"/>
            <w:vAlign w:val="center"/>
          </w:tcPr>
          <w:p w:rsidR="00E0237E" w:rsidRPr="00E874DE" w:rsidRDefault="00E0237E" w:rsidP="007668ED">
            <w:pPr>
              <w:pStyle w:val="142"/>
              <w:ind w:left="567" w:hanging="567"/>
              <w:jc w:val="center"/>
            </w:pPr>
            <w:r>
              <w:rPr>
                <w:rFonts w:hint="eastAsia"/>
              </w:rPr>
              <w:t>113</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788,246,223</w:t>
            </w:r>
          </w:p>
        </w:tc>
        <w:tc>
          <w:tcPr>
            <w:tcW w:w="1951"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739,184,570</w:t>
            </w:r>
          </w:p>
        </w:tc>
        <w:tc>
          <w:tcPr>
            <w:tcW w:w="1952" w:type="dxa"/>
            <w:shd w:val="clear" w:color="auto" w:fill="auto"/>
            <w:noWrap/>
            <w:vAlign w:val="center"/>
            <w:hideMark/>
          </w:tcPr>
          <w:p w:rsidR="00E0237E" w:rsidRPr="00821853" w:rsidRDefault="00E0237E" w:rsidP="007668ED">
            <w:pPr>
              <w:pStyle w:val="142"/>
              <w:ind w:left="567" w:hanging="567"/>
              <w:jc w:val="right"/>
            </w:pPr>
            <w:r w:rsidRPr="00821853">
              <w:rPr>
                <w:rFonts w:hint="eastAsia"/>
              </w:rPr>
              <w:t>93.78</w:t>
            </w:r>
          </w:p>
        </w:tc>
        <w:tc>
          <w:tcPr>
            <w:tcW w:w="1952" w:type="dxa"/>
            <w:vAlign w:val="center"/>
          </w:tcPr>
          <w:p w:rsidR="00E0237E" w:rsidRPr="00821853" w:rsidRDefault="00E0237E" w:rsidP="007668ED">
            <w:pPr>
              <w:pStyle w:val="142"/>
              <w:ind w:left="567" w:hanging="567"/>
              <w:jc w:val="right"/>
            </w:pPr>
            <w:r w:rsidRPr="00821853">
              <w:rPr>
                <w:rFonts w:hint="eastAsia"/>
              </w:rPr>
              <w:t>411</w:t>
            </w:r>
          </w:p>
        </w:tc>
      </w:tr>
    </w:tbl>
    <w:p w:rsidR="00E0237E" w:rsidRDefault="00E0237E" w:rsidP="007668ED">
      <w:pPr>
        <w:pStyle w:val="142"/>
        <w:ind w:leftChars="1" w:left="1428" w:hangingChars="586" w:hanging="1425"/>
        <w:jc w:val="both"/>
      </w:pPr>
      <w:r w:rsidRPr="00441D6C">
        <w:rPr>
          <w:rFonts w:hint="eastAsia"/>
        </w:rPr>
        <w:t>說    明：</w:t>
      </w:r>
      <w:r>
        <w:rPr>
          <w:rFonts w:hint="eastAsia"/>
        </w:rPr>
        <w:t>1.</w:t>
      </w:r>
      <w:r w:rsidRPr="00F304D8">
        <w:rPr>
          <w:rFonts w:hint="eastAsia"/>
        </w:rPr>
        <w:t>年計畫經費係計畫當年度可支用經費，包</w:t>
      </w:r>
      <w:r>
        <w:rPr>
          <w:rFonts w:hint="eastAsia"/>
        </w:rPr>
        <w:t>括中央</w:t>
      </w:r>
      <w:r w:rsidRPr="00F304D8">
        <w:rPr>
          <w:rFonts w:hint="eastAsia"/>
        </w:rPr>
        <w:t>政府當年度編列之預算(</w:t>
      </w:r>
      <w:r>
        <w:rPr>
          <w:rFonts w:hint="eastAsia"/>
        </w:rPr>
        <w:t>含總</w:t>
      </w:r>
      <w:r w:rsidRPr="00F304D8">
        <w:rPr>
          <w:rFonts w:hint="eastAsia"/>
        </w:rPr>
        <w:t>預算、特別預算</w:t>
      </w:r>
      <w:r>
        <w:rPr>
          <w:rFonts w:hint="eastAsia"/>
        </w:rPr>
        <w:t>、營業</w:t>
      </w:r>
      <w:r w:rsidRPr="00F304D8">
        <w:rPr>
          <w:rFonts w:hint="eastAsia"/>
        </w:rPr>
        <w:t>基金</w:t>
      </w:r>
      <w:r>
        <w:rPr>
          <w:rFonts w:hint="eastAsia"/>
        </w:rPr>
        <w:t>及非營業基金預算</w:t>
      </w:r>
      <w:r w:rsidRPr="00F304D8">
        <w:rPr>
          <w:rFonts w:hint="eastAsia"/>
        </w:rPr>
        <w:t>)、以前年度保留數及地方政府自籌款等</w:t>
      </w:r>
      <w:r>
        <w:rPr>
          <w:rFonts w:hint="eastAsia"/>
        </w:rPr>
        <w:t>，以下各表同</w:t>
      </w:r>
      <w:r w:rsidRPr="006507A7">
        <w:rPr>
          <w:rFonts w:hint="eastAsia"/>
        </w:rPr>
        <w:t>。</w:t>
      </w:r>
    </w:p>
    <w:p w:rsidR="00E0237E" w:rsidRDefault="00E0237E" w:rsidP="007668ED">
      <w:pPr>
        <w:pStyle w:val="142"/>
        <w:ind w:leftChars="425" w:left="1416" w:hangingChars="87" w:hanging="212"/>
        <w:jc w:val="both"/>
      </w:pPr>
      <w:r>
        <w:rPr>
          <w:rFonts w:hint="eastAsia"/>
        </w:rPr>
        <w:t>2.執行數包括實現數、已執行應付未付數、預付數及節餘數，以下各表同。</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5C55BF">
        <w:rPr>
          <w:rFonts w:hint="eastAsia"/>
          <w:b/>
        </w:rPr>
        <w:t>(</w:t>
      </w:r>
      <w:r>
        <w:rPr>
          <w:rFonts w:hint="eastAsia"/>
          <w:b/>
        </w:rPr>
        <w:t>二</w:t>
      </w:r>
      <w:r w:rsidRPr="005C55BF">
        <w:rPr>
          <w:rFonts w:hint="eastAsia"/>
          <w:b/>
        </w:rPr>
        <w:t>)</w:t>
      </w:r>
      <w:r>
        <w:rPr>
          <w:rFonts w:hint="eastAsia"/>
          <w:b/>
        </w:rPr>
        <w:t>113年度</w:t>
      </w:r>
      <w:r w:rsidRPr="004043B8">
        <w:rPr>
          <w:rFonts w:hint="eastAsia"/>
          <w:b/>
        </w:rPr>
        <w:t>整體公共建設經費未執行數490.62億元</w:t>
      </w:r>
      <w:r>
        <w:rPr>
          <w:rFonts w:hint="eastAsia"/>
          <w:b/>
        </w:rPr>
        <w:t>，其中</w:t>
      </w:r>
      <w:r w:rsidRPr="00E220F9">
        <w:rPr>
          <w:rFonts w:hint="eastAsia"/>
          <w:b/>
        </w:rPr>
        <w:t>經濟部主管台電公司3項計畫未執行數</w:t>
      </w:r>
      <w:r>
        <w:rPr>
          <w:rFonts w:hint="eastAsia"/>
          <w:b/>
        </w:rPr>
        <w:t>合計即</w:t>
      </w:r>
      <w:r w:rsidRPr="00E220F9">
        <w:rPr>
          <w:rFonts w:hint="eastAsia"/>
          <w:b/>
        </w:rPr>
        <w:t>達288.7億元</w:t>
      </w:r>
    </w:p>
    <w:p w:rsidR="00E0237E" w:rsidRPr="004043B8" w:rsidRDefault="00E0237E" w:rsidP="007668ED">
      <w:pPr>
        <w:pStyle w:val="21"/>
        <w:ind w:left="850" w:firstLine="566"/>
        <w:rPr>
          <w:b/>
          <w:bCs/>
          <w:snapToGrid/>
        </w:rPr>
      </w:pPr>
      <w:r>
        <w:rPr>
          <w:rFonts w:hAnsi="標楷體" w:hint="eastAsia"/>
        </w:rPr>
        <w:t>113年度整體公共建設經費未執行數(年計畫經費減執行數，以下同)為490.62億元，執行率93.78 %降至近年最低，主要係經濟部主管</w:t>
      </w:r>
      <w:r w:rsidRPr="00807B48">
        <w:rPr>
          <w:rFonts w:hAnsi="標楷體" w:hint="eastAsia"/>
        </w:rPr>
        <w:t>台灣電力股份有限公司</w:t>
      </w:r>
      <w:r>
        <w:rPr>
          <w:rFonts w:hAnsi="標楷體" w:hint="eastAsia"/>
        </w:rPr>
        <w:t>(以下簡稱台電公司)</w:t>
      </w:r>
      <w:r w:rsidRPr="00214FFE">
        <w:rPr>
          <w:rFonts w:hAnsi="標楷體" w:hint="eastAsia"/>
        </w:rPr>
        <w:t>部分電力建設</w:t>
      </w:r>
      <w:r>
        <w:rPr>
          <w:rFonts w:hAnsi="標楷體" w:hint="eastAsia"/>
        </w:rPr>
        <w:t>受C</w:t>
      </w:r>
      <w:r>
        <w:rPr>
          <w:rFonts w:hAnsi="標楷體"/>
        </w:rPr>
        <w:t>OVID-19</w:t>
      </w:r>
      <w:r w:rsidRPr="005F78A6">
        <w:rPr>
          <w:rFonts w:hAnsi="標楷體" w:hint="eastAsia"/>
        </w:rPr>
        <w:t>疫情、烏俄戰爭造成物價飆升、施工介面及缺工等影響，致主發電設備採購案多次流標，</w:t>
      </w:r>
      <w:r>
        <w:rPr>
          <w:rFonts w:hAnsi="標楷體" w:hint="eastAsia"/>
        </w:rPr>
        <w:t>該公司</w:t>
      </w:r>
      <w:r w:rsidRPr="005F78A6">
        <w:rPr>
          <w:rFonts w:hAnsi="標楷體" w:hint="eastAsia"/>
        </w:rPr>
        <w:t>「通霄電廠第二期更新改建計畫」、「大林電廠燃氣機組更新改建計畫」及「一般建築及設備計畫」3項計畫未執行數合計達288.7億元，影響整體</w:t>
      </w:r>
      <w:r>
        <w:rPr>
          <w:rFonts w:hAnsi="標楷體" w:hint="eastAsia"/>
        </w:rPr>
        <w:t>公共建設</w:t>
      </w:r>
      <w:r w:rsidRPr="005F78A6">
        <w:rPr>
          <w:rFonts w:hAnsi="標楷體" w:hint="eastAsia"/>
        </w:rPr>
        <w:t>預算執行；</w:t>
      </w:r>
      <w:r>
        <w:rPr>
          <w:rFonts w:hAnsi="標楷體" w:hint="eastAsia"/>
        </w:rPr>
        <w:t>另未執行數逾10億元之公共建設計畫，尚有經濟部主管</w:t>
      </w:r>
      <w:r w:rsidRPr="00807B48">
        <w:rPr>
          <w:rFonts w:hAnsi="標楷體" w:hint="eastAsia"/>
        </w:rPr>
        <w:t>台灣中油股份有限公司</w:t>
      </w:r>
      <w:r>
        <w:rPr>
          <w:rFonts w:hAnsi="標楷體" w:hint="eastAsia"/>
        </w:rPr>
        <w:t>(以下簡稱中油公司)「</w:t>
      </w:r>
      <w:r w:rsidRPr="004043B8">
        <w:rPr>
          <w:rFonts w:hAnsi="標楷體" w:hint="eastAsia"/>
        </w:rPr>
        <w:t>(L10901)天然氣事業部台中廠三期投資計畫</w:t>
      </w:r>
      <w:r>
        <w:rPr>
          <w:rFonts w:hAnsi="標楷體" w:hint="eastAsia"/>
        </w:rPr>
        <w:t>」、內政部主管「</w:t>
      </w:r>
      <w:r w:rsidRPr="004043B8">
        <w:rPr>
          <w:rFonts w:hAnsi="標楷體" w:hint="eastAsia"/>
        </w:rPr>
        <w:t>公有危險建築補強重建</w:t>
      </w:r>
      <w:r>
        <w:rPr>
          <w:rFonts w:hAnsi="標楷體" w:hint="eastAsia"/>
        </w:rPr>
        <w:t>(</w:t>
      </w:r>
      <w:r w:rsidRPr="004043B8">
        <w:rPr>
          <w:rFonts w:hAnsi="標楷體" w:hint="eastAsia"/>
        </w:rPr>
        <w:t>106</w:t>
      </w:r>
      <w:r>
        <w:rPr>
          <w:rFonts w:hAnsi="標楷體" w:hint="eastAsia"/>
        </w:rPr>
        <w:t>至</w:t>
      </w:r>
      <w:r w:rsidRPr="004043B8">
        <w:rPr>
          <w:rFonts w:hAnsi="標楷體" w:hint="eastAsia"/>
        </w:rPr>
        <w:t>114年</w:t>
      </w:r>
      <w:r>
        <w:rPr>
          <w:rFonts w:hAnsi="標楷體" w:hint="eastAsia"/>
        </w:rPr>
        <w:t>)」、農業部主管「</w:t>
      </w:r>
      <w:r w:rsidRPr="004043B8">
        <w:rPr>
          <w:rFonts w:hAnsi="標楷體" w:hint="eastAsia"/>
        </w:rPr>
        <w:t>阿里山林業鐵路設施設備安全提升計畫</w:t>
      </w:r>
      <w:r>
        <w:rPr>
          <w:rFonts w:hAnsi="標楷體" w:hint="eastAsia"/>
        </w:rPr>
        <w:t>」、交通部主管「</w:t>
      </w:r>
      <w:r w:rsidRPr="004043B8">
        <w:rPr>
          <w:rFonts w:hAnsi="標楷體" w:hint="eastAsia"/>
        </w:rPr>
        <w:t>臺鐵電務智慧化提升計畫</w:t>
      </w:r>
      <w:r>
        <w:rPr>
          <w:rFonts w:hAnsi="標楷體" w:hint="eastAsia"/>
        </w:rPr>
        <w:t>」及「</w:t>
      </w:r>
      <w:r w:rsidRPr="004043B8">
        <w:rPr>
          <w:rFonts w:hAnsi="標楷體" w:hint="eastAsia"/>
        </w:rPr>
        <w:t>桃園都會區大眾捷運系統航空城捷運線</w:t>
      </w:r>
      <w:r>
        <w:rPr>
          <w:rFonts w:hAnsi="標楷體" w:hint="eastAsia"/>
        </w:rPr>
        <w:t>(</w:t>
      </w:r>
      <w:r w:rsidRPr="004043B8">
        <w:rPr>
          <w:rFonts w:hAnsi="標楷體" w:hint="eastAsia"/>
        </w:rPr>
        <w:t>綠線</w:t>
      </w:r>
      <w:r>
        <w:rPr>
          <w:rFonts w:hAnsi="標楷體" w:hint="eastAsia"/>
        </w:rPr>
        <w:t>)</w:t>
      </w:r>
      <w:r w:rsidRPr="004043B8">
        <w:rPr>
          <w:rFonts w:hAnsi="標楷體" w:hint="eastAsia"/>
        </w:rPr>
        <w:t>G01站延伸至中壢火車站暨其土地整合發展計畫</w:t>
      </w:r>
      <w:r>
        <w:rPr>
          <w:rFonts w:hAnsi="標楷體" w:hint="eastAsia"/>
        </w:rPr>
        <w:t>」，前揭計畫因計價程序略為冗長、工程經費審查尚未核定、招標不順、施工困難或安全考量評估等因素，致經費執行未如預期(詳表2)。</w:t>
      </w:r>
    </w:p>
    <w:p w:rsidR="00E0237E" w:rsidRDefault="00E0237E" w:rsidP="007668ED">
      <w:pPr>
        <w:pStyle w:val="ad"/>
        <w:ind w:left="283" w:hanging="283"/>
        <w:rPr>
          <w:b/>
          <w:bCs/>
          <w:snapToGrid/>
        </w:rPr>
      </w:pPr>
    </w:p>
    <w:p w:rsidR="00E0237E" w:rsidRDefault="00E0237E" w:rsidP="007668ED">
      <w:pPr>
        <w:pStyle w:val="ad"/>
        <w:ind w:left="283" w:hanging="283"/>
        <w:rPr>
          <w:b/>
        </w:rPr>
      </w:pPr>
      <w:r w:rsidRPr="00441D6C">
        <w:rPr>
          <w:rFonts w:hint="eastAsia"/>
          <w:b/>
          <w:bCs/>
          <w:snapToGrid/>
        </w:rPr>
        <w:lastRenderedPageBreak/>
        <w:t>表</w:t>
      </w:r>
      <w:r>
        <w:rPr>
          <w:rFonts w:hint="eastAsia"/>
          <w:b/>
          <w:bCs/>
          <w:snapToGrid/>
        </w:rPr>
        <w:t>2</w:t>
      </w:r>
      <w:r>
        <w:rPr>
          <w:b/>
          <w:bCs/>
          <w:snapToGrid/>
        </w:rPr>
        <w:t xml:space="preserve"> </w:t>
      </w:r>
      <w:r>
        <w:rPr>
          <w:rFonts w:hint="eastAsia"/>
          <w:b/>
          <w:bCs/>
          <w:snapToGrid/>
        </w:rPr>
        <w:t xml:space="preserve"> 1</w:t>
      </w:r>
      <w:r>
        <w:rPr>
          <w:b/>
          <w:bCs/>
          <w:snapToGrid/>
        </w:rPr>
        <w:t>13</w:t>
      </w:r>
      <w:r>
        <w:rPr>
          <w:rFonts w:hint="eastAsia"/>
          <w:b/>
          <w:bCs/>
          <w:snapToGrid/>
        </w:rPr>
        <w:t>年度</w:t>
      </w:r>
      <w:r w:rsidRPr="00D97FE3">
        <w:rPr>
          <w:rFonts w:hint="eastAsia"/>
          <w:b/>
        </w:rPr>
        <w:t>公共建設計畫</w:t>
      </w:r>
      <w:r>
        <w:rPr>
          <w:rFonts w:hint="eastAsia"/>
          <w:b/>
        </w:rPr>
        <w:t>經費未執行數10億元以上明細</w:t>
      </w:r>
      <w:r w:rsidRPr="00D97FE3">
        <w:rPr>
          <w:rFonts w:hint="eastAsia"/>
          <w:b/>
        </w:rPr>
        <w:t>表</w:t>
      </w:r>
    </w:p>
    <w:p w:rsidR="00E0237E" w:rsidRPr="00885895" w:rsidRDefault="00E0237E" w:rsidP="007668ED">
      <w:pPr>
        <w:pStyle w:val="142"/>
        <w:ind w:left="567" w:hanging="567"/>
        <w:jc w:val="right"/>
      </w:pPr>
      <w:r w:rsidRPr="00C104F2">
        <w:rPr>
          <w:rFonts w:hint="eastAsia"/>
          <w:snapToGrid/>
        </w:rPr>
        <w:t>單位：新臺幣</w:t>
      </w:r>
      <w:r>
        <w:rPr>
          <w:rFonts w:hint="eastAsia"/>
          <w:snapToGrid/>
        </w:rPr>
        <w:t>千</w:t>
      </w:r>
      <w:r w:rsidRPr="00C104F2">
        <w:rPr>
          <w:rFonts w:hint="eastAsia"/>
          <w:snapToGrid/>
        </w:rPr>
        <w:t>元</w:t>
      </w:r>
    </w:p>
    <w:tbl>
      <w:tblPr>
        <w:tblW w:w="8478" w:type="dxa"/>
        <w:tblInd w:w="3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562"/>
        <w:gridCol w:w="567"/>
        <w:gridCol w:w="598"/>
        <w:gridCol w:w="544"/>
        <w:gridCol w:w="1896"/>
        <w:gridCol w:w="1437"/>
        <w:gridCol w:w="1437"/>
        <w:gridCol w:w="1437"/>
      </w:tblGrid>
      <w:tr w:rsidR="00E0237E" w:rsidRPr="008260FD" w:rsidTr="007668ED">
        <w:trPr>
          <w:trHeight w:val="340"/>
          <w:tblHeader/>
        </w:trPr>
        <w:tc>
          <w:tcPr>
            <w:tcW w:w="562" w:type="dxa"/>
            <w:shd w:val="clear" w:color="auto" w:fill="auto"/>
            <w:vAlign w:val="center"/>
            <w:hideMark/>
          </w:tcPr>
          <w:p w:rsidR="00E0237E" w:rsidRPr="008260FD" w:rsidRDefault="00E0237E" w:rsidP="007668ED">
            <w:pPr>
              <w:pStyle w:val="142"/>
              <w:jc w:val="center"/>
            </w:pPr>
            <w:r w:rsidRPr="008260FD">
              <w:rPr>
                <w:rFonts w:hint="eastAsia"/>
              </w:rPr>
              <w:t>項次</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計畫類型</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主管機關</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主辦機關</w:t>
            </w:r>
          </w:p>
        </w:tc>
        <w:tc>
          <w:tcPr>
            <w:tcW w:w="1896" w:type="dxa"/>
            <w:shd w:val="clear" w:color="auto" w:fill="auto"/>
            <w:vAlign w:val="center"/>
            <w:hideMark/>
          </w:tcPr>
          <w:p w:rsidR="00E0237E" w:rsidRPr="008260FD" w:rsidRDefault="00E0237E" w:rsidP="007668ED">
            <w:pPr>
              <w:pStyle w:val="142"/>
              <w:jc w:val="center"/>
            </w:pPr>
            <w:r w:rsidRPr="008260FD">
              <w:rPr>
                <w:rFonts w:hint="eastAsia"/>
              </w:rPr>
              <w:t>計畫名稱</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年計畫經費A</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執行數B</w:t>
            </w:r>
          </w:p>
        </w:tc>
        <w:tc>
          <w:tcPr>
            <w:tcW w:w="1437" w:type="dxa"/>
            <w:shd w:val="clear" w:color="auto" w:fill="auto"/>
            <w:vAlign w:val="center"/>
            <w:hideMark/>
          </w:tcPr>
          <w:p w:rsidR="00E0237E" w:rsidRPr="008260FD" w:rsidRDefault="00E0237E" w:rsidP="007668ED">
            <w:pPr>
              <w:pStyle w:val="142"/>
              <w:jc w:val="center"/>
            </w:pPr>
            <w:r w:rsidRPr="008260FD">
              <w:rPr>
                <w:rFonts w:hint="eastAsia"/>
              </w:rPr>
              <w:t>未執行數A-B</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1</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通霄電廠第二期更新改建計畫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14,311,330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3,777,108</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10,534,222</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2</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大林電廠燃氣機組更新改建計畫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10,328,239</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855,355</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9,472,884</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3</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台電公司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一般建築及設備計畫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127,531,750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118,668,922</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8,862,828</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4</w:t>
            </w:r>
          </w:p>
        </w:tc>
        <w:tc>
          <w:tcPr>
            <w:tcW w:w="567" w:type="dxa"/>
            <w:shd w:val="clear" w:color="auto" w:fill="auto"/>
            <w:noWrap/>
            <w:vAlign w:val="center"/>
            <w:hideMark/>
          </w:tcPr>
          <w:p w:rsidR="00E0237E" w:rsidRPr="008260FD" w:rsidRDefault="00E0237E" w:rsidP="007668ED">
            <w:pPr>
              <w:pStyle w:val="142"/>
              <w:jc w:val="center"/>
            </w:pPr>
            <w:r w:rsidRPr="008260FD">
              <w:rPr>
                <w:rFonts w:hint="eastAsia"/>
              </w:rPr>
              <w:t>一般</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經濟部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中油公司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(L10901)天然氣事業部台中廠三期投資計畫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8,822,060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6,539,716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2,282,344</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5</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內政部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內政部國土管理署</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前瞻基礎建設—城鄉建設—公共服務據點整備—公有危險建築補強重建（106-114年）</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3,561,650</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2,226,623</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1,335,027</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6</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農業部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農業部林業及自然保育署</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阿里山林業鐵路設施設備安全提升計畫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2,195,566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1,082,276</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1,113,290</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7</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臺鐵公司</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臺鐵電務智慧化提升計畫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6,146,504</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5,040,199</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1,106,305</w:t>
            </w:r>
          </w:p>
        </w:tc>
      </w:tr>
      <w:tr w:rsidR="00E0237E" w:rsidRPr="008260FD" w:rsidTr="007668ED">
        <w:trPr>
          <w:trHeight w:val="340"/>
        </w:trPr>
        <w:tc>
          <w:tcPr>
            <w:tcW w:w="562" w:type="dxa"/>
            <w:shd w:val="clear" w:color="auto" w:fill="auto"/>
            <w:noWrap/>
            <w:vAlign w:val="center"/>
            <w:hideMark/>
          </w:tcPr>
          <w:p w:rsidR="00E0237E" w:rsidRPr="008260FD" w:rsidRDefault="00E0237E" w:rsidP="007668ED">
            <w:pPr>
              <w:pStyle w:val="142"/>
              <w:jc w:val="center"/>
            </w:pPr>
            <w:r w:rsidRPr="008260FD">
              <w:rPr>
                <w:rFonts w:hint="eastAsia"/>
              </w:rPr>
              <w:t>8</w:t>
            </w:r>
          </w:p>
        </w:tc>
        <w:tc>
          <w:tcPr>
            <w:tcW w:w="567" w:type="dxa"/>
            <w:shd w:val="clear" w:color="auto" w:fill="auto"/>
            <w:vAlign w:val="center"/>
            <w:hideMark/>
          </w:tcPr>
          <w:p w:rsidR="00E0237E" w:rsidRPr="008260FD" w:rsidRDefault="00E0237E" w:rsidP="007668ED">
            <w:pPr>
              <w:pStyle w:val="142"/>
              <w:jc w:val="center"/>
            </w:pPr>
            <w:r w:rsidRPr="008260FD">
              <w:rPr>
                <w:rFonts w:hint="eastAsia"/>
              </w:rPr>
              <w:t>前瞻</w:t>
            </w:r>
          </w:p>
        </w:tc>
        <w:tc>
          <w:tcPr>
            <w:tcW w:w="598"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544" w:type="dxa"/>
            <w:shd w:val="clear" w:color="auto" w:fill="auto"/>
            <w:vAlign w:val="center"/>
            <w:hideMark/>
          </w:tcPr>
          <w:p w:rsidR="00E0237E" w:rsidRPr="008260FD" w:rsidRDefault="00E0237E" w:rsidP="007668ED">
            <w:pPr>
              <w:pStyle w:val="142"/>
              <w:jc w:val="center"/>
            </w:pPr>
            <w:r w:rsidRPr="008260FD">
              <w:rPr>
                <w:rFonts w:hint="eastAsia"/>
              </w:rPr>
              <w:t>交通部</w:t>
            </w:r>
          </w:p>
        </w:tc>
        <w:tc>
          <w:tcPr>
            <w:tcW w:w="1896" w:type="dxa"/>
            <w:shd w:val="clear" w:color="auto" w:fill="auto"/>
            <w:vAlign w:val="center"/>
            <w:hideMark/>
          </w:tcPr>
          <w:p w:rsidR="00E0237E" w:rsidRPr="008260FD" w:rsidRDefault="00E0237E" w:rsidP="007668ED">
            <w:pPr>
              <w:pStyle w:val="142"/>
              <w:jc w:val="both"/>
            </w:pPr>
            <w:r w:rsidRPr="008260FD">
              <w:rPr>
                <w:rFonts w:hint="eastAsia"/>
              </w:rPr>
              <w:t>桃園都會區大眾捷運系統航空城捷運線（綠線）G01站延伸至中壢火車站暨其土地整合發展計畫</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1,117,045</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73,824</w:t>
            </w:r>
          </w:p>
        </w:tc>
        <w:tc>
          <w:tcPr>
            <w:tcW w:w="1437" w:type="dxa"/>
            <w:shd w:val="clear" w:color="auto" w:fill="auto"/>
            <w:noWrap/>
            <w:vAlign w:val="center"/>
            <w:hideMark/>
          </w:tcPr>
          <w:p w:rsidR="00E0237E" w:rsidRPr="008260FD" w:rsidRDefault="00E0237E" w:rsidP="007668ED">
            <w:pPr>
              <w:pStyle w:val="142"/>
              <w:jc w:val="right"/>
            </w:pPr>
            <w:r w:rsidRPr="008260FD">
              <w:rPr>
                <w:rFonts w:hint="eastAsia"/>
              </w:rPr>
              <w:t>1,043,221</w:t>
            </w:r>
          </w:p>
        </w:tc>
      </w:tr>
    </w:tbl>
    <w:p w:rsidR="00E0237E" w:rsidRDefault="00E0237E" w:rsidP="007668ED">
      <w:pPr>
        <w:pStyle w:val="142"/>
        <w:ind w:left="567" w:hanging="567"/>
        <w:jc w:val="both"/>
      </w:pPr>
      <w:r w:rsidRPr="00441D6C">
        <w:rPr>
          <w:rFonts w:hint="eastAsia"/>
        </w:rPr>
        <w:t>說    明：</w:t>
      </w:r>
      <w:r>
        <w:rPr>
          <w:rFonts w:hint="eastAsia"/>
        </w:rPr>
        <w:t>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三</w:t>
      </w:r>
      <w:r w:rsidRPr="009875E5">
        <w:rPr>
          <w:rFonts w:hint="eastAsia"/>
          <w:b/>
        </w:rPr>
        <w:t>)</w:t>
      </w:r>
      <w:r>
        <w:rPr>
          <w:rFonts w:hint="eastAsia"/>
          <w:b/>
        </w:rPr>
        <w:t>自110年度起，一般公共建設計畫經費執行率</w:t>
      </w:r>
      <w:r w:rsidRPr="006F72D9">
        <w:rPr>
          <w:rFonts w:hint="eastAsia"/>
          <w:b/>
        </w:rPr>
        <w:t>未達80%</w:t>
      </w:r>
      <w:r>
        <w:rPr>
          <w:rFonts w:hint="eastAsia"/>
          <w:b/>
        </w:rPr>
        <w:t>之項數及占比逐年增加，而</w:t>
      </w:r>
      <w:r w:rsidRPr="008C121B">
        <w:rPr>
          <w:rFonts w:hint="eastAsia"/>
          <w:b/>
        </w:rPr>
        <w:t>前瞻公共建設計畫</w:t>
      </w:r>
      <w:r w:rsidRPr="006F72D9">
        <w:rPr>
          <w:rFonts w:hint="eastAsia"/>
          <w:b/>
        </w:rPr>
        <w:t>未達80%</w:t>
      </w:r>
      <w:r>
        <w:rPr>
          <w:rFonts w:hint="eastAsia"/>
          <w:b/>
        </w:rPr>
        <w:t>之</w:t>
      </w:r>
      <w:r w:rsidRPr="006F72D9">
        <w:rPr>
          <w:rFonts w:hint="eastAsia"/>
          <w:b/>
        </w:rPr>
        <w:t>項數</w:t>
      </w:r>
      <w:r>
        <w:rPr>
          <w:rFonts w:hint="eastAsia"/>
          <w:b/>
        </w:rPr>
        <w:t>及占比雖</w:t>
      </w:r>
      <w:r w:rsidRPr="006F72D9">
        <w:rPr>
          <w:rFonts w:hint="eastAsia"/>
          <w:b/>
        </w:rPr>
        <w:t>逐</w:t>
      </w:r>
      <w:r>
        <w:rPr>
          <w:rFonts w:hint="eastAsia"/>
          <w:b/>
        </w:rPr>
        <w:t>年減少</w:t>
      </w:r>
      <w:r w:rsidRPr="006F72D9">
        <w:rPr>
          <w:rFonts w:hint="eastAsia"/>
          <w:b/>
        </w:rPr>
        <w:t>，</w:t>
      </w:r>
      <w:r>
        <w:rPr>
          <w:rFonts w:hint="eastAsia"/>
          <w:b/>
        </w:rPr>
        <w:t>惟</w:t>
      </w:r>
      <w:r w:rsidRPr="008C121B">
        <w:rPr>
          <w:rFonts w:hint="eastAsia"/>
          <w:b/>
        </w:rPr>
        <w:t>占比遠逾一般公共建設計畫</w:t>
      </w:r>
    </w:p>
    <w:p w:rsidR="00E0237E" w:rsidRDefault="00E0237E" w:rsidP="007668ED">
      <w:pPr>
        <w:pStyle w:val="21"/>
        <w:ind w:left="850" w:firstLine="566"/>
        <w:rPr>
          <w:rFonts w:hAnsi="標楷體"/>
        </w:rPr>
      </w:pPr>
      <w:r>
        <w:rPr>
          <w:rFonts w:hint="eastAsia"/>
        </w:rPr>
        <w:t>就</w:t>
      </w:r>
      <w:r w:rsidRPr="00FC42CA">
        <w:rPr>
          <w:rFonts w:hint="eastAsia"/>
        </w:rPr>
        <w:t>公共建設計畫</w:t>
      </w:r>
      <w:r>
        <w:rPr>
          <w:rFonts w:hint="eastAsia"/>
        </w:rPr>
        <w:t>之列管，概分為</w:t>
      </w:r>
      <w:r w:rsidRPr="005C55BF">
        <w:rPr>
          <w:rFonts w:hAnsi="標楷體" w:hint="eastAsia"/>
        </w:rPr>
        <w:t>一般公共建設計畫</w:t>
      </w:r>
      <w:r>
        <w:rPr>
          <w:rFonts w:hAnsi="標楷體" w:hint="eastAsia"/>
        </w:rPr>
        <w:t>(</w:t>
      </w:r>
      <w:r>
        <w:rPr>
          <w:rFonts w:hint="eastAsia"/>
        </w:rPr>
        <w:t>包括總</w:t>
      </w:r>
      <w:r w:rsidRPr="000A5446">
        <w:rPr>
          <w:rFonts w:hint="eastAsia"/>
        </w:rPr>
        <w:t>預算、營業基金及非營業基金</w:t>
      </w:r>
      <w:r>
        <w:rPr>
          <w:rFonts w:hint="eastAsia"/>
        </w:rPr>
        <w:t>支應</w:t>
      </w:r>
      <w:r w:rsidRPr="000A5446">
        <w:rPr>
          <w:rFonts w:hint="eastAsia"/>
        </w:rPr>
        <w:t>之公共建設計畫</w:t>
      </w:r>
      <w:r>
        <w:rPr>
          <w:rFonts w:hint="eastAsia"/>
        </w:rPr>
        <w:t>)</w:t>
      </w:r>
      <w:r>
        <w:rPr>
          <w:rFonts w:hAnsi="標楷體" w:hint="eastAsia"/>
        </w:rPr>
        <w:t>及</w:t>
      </w:r>
      <w:r w:rsidRPr="005C55BF">
        <w:rPr>
          <w:rFonts w:hAnsi="標楷體" w:hint="eastAsia"/>
        </w:rPr>
        <w:t>前瞻基礎建設公共建設</w:t>
      </w:r>
      <w:r>
        <w:rPr>
          <w:rFonts w:hAnsi="標楷體" w:hint="eastAsia"/>
        </w:rPr>
        <w:t>類計畫</w:t>
      </w:r>
      <w:r>
        <w:rPr>
          <w:rFonts w:hAnsi="標楷體"/>
        </w:rPr>
        <w:t>(</w:t>
      </w:r>
      <w:r>
        <w:rPr>
          <w:rFonts w:hAnsi="標楷體" w:hint="eastAsia"/>
        </w:rPr>
        <w:t>以下簡稱前瞻公共建設計畫)二大類。一</w:t>
      </w:r>
      <w:r>
        <w:rPr>
          <w:rFonts w:hAnsi="標楷體" w:hint="eastAsia"/>
        </w:rPr>
        <w:lastRenderedPageBreak/>
        <w:t>般公共建設計畫經費執行率於109至112年度介於97.17%至98.7%間，惟113年度主要因前述經濟部主管台電公司經費規模較大之計畫執行欠佳(詳表2)，執行率降至93.7%(詳表3)；前瞻公共建設計畫經費執行率近年概呈上升趨勢，由109年度8</w:t>
      </w:r>
      <w:r>
        <w:rPr>
          <w:rFonts w:hAnsi="標楷體"/>
        </w:rPr>
        <w:t>9.48</w:t>
      </w:r>
      <w:r>
        <w:rPr>
          <w:rFonts w:hAnsi="標楷體" w:hint="eastAsia"/>
        </w:rPr>
        <w:t>%，增至113年度94.06%(詳表4)。</w:t>
      </w:r>
    </w:p>
    <w:p w:rsidR="00E0237E" w:rsidRPr="00DB209C" w:rsidRDefault="00E0237E" w:rsidP="007668ED">
      <w:pPr>
        <w:pStyle w:val="21"/>
        <w:ind w:left="850" w:firstLine="566"/>
        <w:rPr>
          <w:rFonts w:hAnsi="標楷體"/>
        </w:rPr>
      </w:pPr>
      <w:r>
        <w:rPr>
          <w:rFonts w:hAnsi="標楷體" w:hint="eastAsia"/>
        </w:rPr>
        <w:t>一般公共建設計畫109年度執行率未達80%有38項，110年度減至19項後，逐年增至113年度31項，項數占比亦呈類似走勢，109年度執行率未達80%之項數占12.22%，110年度占6.05%後，逐年增至113年度占9.54%(詳表3)。前瞻公共建設計畫109年度執行率未達80%有24項，</w:t>
      </w:r>
      <w:r w:rsidRPr="007C06B6">
        <w:rPr>
          <w:rFonts w:hAnsi="標楷體" w:hint="eastAsia"/>
        </w:rPr>
        <w:t>110年度</w:t>
      </w:r>
      <w:r>
        <w:rPr>
          <w:rFonts w:hAnsi="標楷體" w:hint="eastAsia"/>
        </w:rPr>
        <w:t>增至30項後，</w:t>
      </w:r>
      <w:r w:rsidRPr="007C06B6">
        <w:rPr>
          <w:rFonts w:hAnsi="標楷體" w:hint="eastAsia"/>
        </w:rPr>
        <w:t>逐年</w:t>
      </w:r>
      <w:r>
        <w:rPr>
          <w:rFonts w:hAnsi="標楷體" w:hint="eastAsia"/>
        </w:rPr>
        <w:t>減</w:t>
      </w:r>
      <w:r w:rsidRPr="007C06B6">
        <w:rPr>
          <w:rFonts w:hAnsi="標楷體" w:hint="eastAsia"/>
        </w:rPr>
        <w:t>至113年度</w:t>
      </w:r>
      <w:r>
        <w:rPr>
          <w:rFonts w:hAnsi="標楷體" w:hint="eastAsia"/>
        </w:rPr>
        <w:t>21</w:t>
      </w:r>
      <w:r w:rsidRPr="007C06B6">
        <w:rPr>
          <w:rFonts w:hAnsi="標楷體" w:hint="eastAsia"/>
        </w:rPr>
        <w:t>項，</w:t>
      </w:r>
      <w:r>
        <w:rPr>
          <w:rFonts w:hAnsi="標楷體" w:hint="eastAsia"/>
        </w:rPr>
        <w:t>項數</w:t>
      </w:r>
      <w:r w:rsidRPr="007C06B6">
        <w:rPr>
          <w:rFonts w:hAnsi="標楷體" w:hint="eastAsia"/>
        </w:rPr>
        <w:t>占比亦呈類似</w:t>
      </w:r>
      <w:r>
        <w:rPr>
          <w:rFonts w:hAnsi="標楷體" w:hint="eastAsia"/>
        </w:rPr>
        <w:t>走</w:t>
      </w:r>
      <w:r w:rsidRPr="007C06B6">
        <w:rPr>
          <w:rFonts w:hAnsi="標楷體" w:hint="eastAsia"/>
        </w:rPr>
        <w:t>勢，</w:t>
      </w:r>
      <w:r>
        <w:rPr>
          <w:rFonts w:hAnsi="標楷體" w:hint="eastAsia"/>
        </w:rPr>
        <w:t>109年度執行率未達80%之項數占31.17%，110年度占32.26%後，逐年降至</w:t>
      </w:r>
      <w:r w:rsidRPr="007C06B6">
        <w:rPr>
          <w:rFonts w:hAnsi="標楷體" w:hint="eastAsia"/>
        </w:rPr>
        <w:t>113年度占</w:t>
      </w:r>
      <w:r>
        <w:rPr>
          <w:rFonts w:hAnsi="標楷體"/>
        </w:rPr>
        <w:t>24.42</w:t>
      </w:r>
      <w:r w:rsidRPr="007C06B6">
        <w:rPr>
          <w:rFonts w:hAnsi="標楷體" w:hint="eastAsia"/>
        </w:rPr>
        <w:t>%</w:t>
      </w:r>
      <w:r>
        <w:rPr>
          <w:rFonts w:hAnsi="標楷體" w:hint="eastAsia"/>
        </w:rPr>
        <w:t>(詳表4)，前瞻公共建設計畫近年整體執行情形逐漸改善，惟執行率未達80</w:t>
      </w:r>
      <w:r>
        <w:rPr>
          <w:rFonts w:hAnsi="標楷體"/>
        </w:rPr>
        <w:t>%</w:t>
      </w:r>
      <w:r>
        <w:rPr>
          <w:rFonts w:hAnsi="標楷體" w:hint="eastAsia"/>
        </w:rPr>
        <w:t>之項數占比仍遠逾一般公共建設計畫。</w:t>
      </w:r>
    </w:p>
    <w:p w:rsidR="00E0237E" w:rsidRDefault="00E0237E" w:rsidP="007668ED">
      <w:pPr>
        <w:pStyle w:val="ad"/>
        <w:ind w:left="283" w:hanging="283"/>
        <w:rPr>
          <w:b/>
        </w:rPr>
      </w:pPr>
      <w:r w:rsidRPr="00441D6C">
        <w:rPr>
          <w:rFonts w:hint="eastAsia"/>
          <w:b/>
          <w:bCs/>
          <w:snapToGrid/>
        </w:rPr>
        <w:t>表</w:t>
      </w:r>
      <w:r>
        <w:rPr>
          <w:b/>
          <w:bCs/>
          <w:snapToGrid/>
        </w:rPr>
        <w:t>3</w:t>
      </w:r>
      <w:r w:rsidRPr="00441D6C">
        <w:rPr>
          <w:rFonts w:hint="eastAsia"/>
          <w:b/>
          <w:bCs/>
          <w:snapToGrid/>
        </w:rPr>
        <w:t xml:space="preserve"> </w:t>
      </w:r>
      <w:r>
        <w:rPr>
          <w:b/>
          <w:bCs/>
          <w:snapToGrid/>
        </w:rPr>
        <w:t xml:space="preserve"> 109</w:t>
      </w:r>
      <w:r>
        <w:rPr>
          <w:rFonts w:hint="eastAsia"/>
          <w:b/>
          <w:bCs/>
          <w:snapToGrid/>
        </w:rPr>
        <w:t>至1</w:t>
      </w:r>
      <w:r>
        <w:rPr>
          <w:b/>
          <w:bCs/>
          <w:snapToGrid/>
        </w:rPr>
        <w:t>13</w:t>
      </w:r>
      <w:r>
        <w:rPr>
          <w:rFonts w:hint="eastAsia"/>
          <w:b/>
          <w:bCs/>
          <w:snapToGrid/>
        </w:rPr>
        <w:t>年度一般</w:t>
      </w:r>
      <w:r w:rsidRPr="00D97FE3">
        <w:rPr>
          <w:rFonts w:hint="eastAsia"/>
          <w:b/>
        </w:rPr>
        <w:t>公共建設計畫</w:t>
      </w:r>
      <w:r w:rsidRPr="00BF04AD">
        <w:rPr>
          <w:rFonts w:hint="eastAsia"/>
          <w:b/>
        </w:rPr>
        <w:t>執行</w:t>
      </w:r>
      <w:r>
        <w:rPr>
          <w:rFonts w:hint="eastAsia"/>
          <w:b/>
        </w:rPr>
        <w:t>概況表</w:t>
      </w:r>
    </w:p>
    <w:p w:rsidR="00E0237E" w:rsidRPr="007E2A68" w:rsidRDefault="00E0237E" w:rsidP="007668ED">
      <w:pPr>
        <w:pStyle w:val="142"/>
        <w:ind w:left="567" w:hanging="567"/>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46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702"/>
        <w:gridCol w:w="1808"/>
        <w:gridCol w:w="1820"/>
        <w:gridCol w:w="1255"/>
        <w:gridCol w:w="858"/>
        <w:gridCol w:w="1012"/>
        <w:gridCol w:w="1013"/>
      </w:tblGrid>
      <w:tr w:rsidR="00E0237E" w:rsidRPr="00BA4EA9" w:rsidTr="007668ED">
        <w:trPr>
          <w:trHeight w:val="340"/>
          <w:tblHeader/>
        </w:trPr>
        <w:tc>
          <w:tcPr>
            <w:tcW w:w="702" w:type="dxa"/>
            <w:vMerge w:val="restart"/>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年度</w:t>
            </w:r>
          </w:p>
        </w:tc>
        <w:tc>
          <w:tcPr>
            <w:tcW w:w="1808"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年計畫經費</w:t>
            </w:r>
          </w:p>
          <w:p w:rsidR="00E0237E" w:rsidRPr="00BA4EA9" w:rsidRDefault="00E0237E" w:rsidP="007668ED">
            <w:pPr>
              <w:pStyle w:val="142"/>
              <w:ind w:left="567" w:hanging="567"/>
              <w:jc w:val="center"/>
              <w:rPr>
                <w:snapToGrid/>
              </w:rPr>
            </w:pPr>
            <w:r>
              <w:rPr>
                <w:rFonts w:hint="eastAsia"/>
                <w:snapToGrid/>
              </w:rPr>
              <w:t>A</w:t>
            </w:r>
          </w:p>
        </w:tc>
        <w:tc>
          <w:tcPr>
            <w:tcW w:w="1820"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執行數</w:t>
            </w:r>
          </w:p>
          <w:p w:rsidR="00E0237E" w:rsidRPr="00BA4EA9" w:rsidRDefault="00E0237E" w:rsidP="007668ED">
            <w:pPr>
              <w:pStyle w:val="142"/>
              <w:ind w:left="567" w:hanging="567"/>
              <w:jc w:val="center"/>
              <w:rPr>
                <w:snapToGrid/>
              </w:rPr>
            </w:pPr>
            <w:r>
              <w:rPr>
                <w:rFonts w:hint="eastAsia"/>
                <w:snapToGrid/>
              </w:rPr>
              <w:t>B</w:t>
            </w:r>
          </w:p>
        </w:tc>
        <w:tc>
          <w:tcPr>
            <w:tcW w:w="1255"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執行率</w:t>
            </w:r>
          </w:p>
          <w:p w:rsidR="00E0237E" w:rsidRPr="00BA4EA9" w:rsidRDefault="00E0237E" w:rsidP="007668ED">
            <w:pPr>
              <w:pStyle w:val="142"/>
              <w:ind w:left="567" w:hanging="567"/>
              <w:jc w:val="center"/>
              <w:rPr>
                <w:snapToGrid/>
              </w:rPr>
            </w:pPr>
            <w:r w:rsidRPr="00BA4EA9">
              <w:rPr>
                <w:rFonts w:hint="eastAsia"/>
                <w:snapToGrid/>
              </w:rPr>
              <w:t>B</w:t>
            </w:r>
            <w:r>
              <w:rPr>
                <w:snapToGrid/>
              </w:rPr>
              <w:t>/A</w:t>
            </w:r>
          </w:p>
        </w:tc>
        <w:tc>
          <w:tcPr>
            <w:tcW w:w="858" w:type="dxa"/>
            <w:vMerge w:val="restart"/>
            <w:vAlign w:val="center"/>
          </w:tcPr>
          <w:p w:rsidR="00E0237E" w:rsidRPr="00BA4EA9" w:rsidRDefault="00E0237E" w:rsidP="007668ED">
            <w:pPr>
              <w:pStyle w:val="142"/>
              <w:ind w:left="-25"/>
              <w:jc w:val="center"/>
              <w:rPr>
                <w:snapToGrid/>
              </w:rPr>
            </w:pPr>
            <w:r w:rsidRPr="00BA4EA9">
              <w:rPr>
                <w:rFonts w:hint="eastAsia"/>
                <w:snapToGrid/>
              </w:rPr>
              <w:t xml:space="preserve">計畫項數 </w:t>
            </w:r>
            <w:r>
              <w:rPr>
                <w:snapToGrid/>
              </w:rPr>
              <w:t>C</w:t>
            </w:r>
          </w:p>
        </w:tc>
        <w:tc>
          <w:tcPr>
            <w:tcW w:w="2025" w:type="dxa"/>
            <w:gridSpan w:val="2"/>
            <w:shd w:val="clear" w:color="auto" w:fill="auto"/>
            <w:vAlign w:val="center"/>
            <w:hideMark/>
          </w:tcPr>
          <w:p w:rsidR="00E0237E" w:rsidRPr="00BA4EA9" w:rsidRDefault="00E0237E" w:rsidP="007668ED">
            <w:pPr>
              <w:pStyle w:val="142"/>
              <w:ind w:left="567" w:hanging="567"/>
              <w:jc w:val="center"/>
              <w:rPr>
                <w:snapToGrid/>
              </w:rPr>
            </w:pPr>
            <w:r>
              <w:rPr>
                <w:rFonts w:hint="eastAsia"/>
                <w:snapToGrid/>
              </w:rPr>
              <w:t>執行率未達80%</w:t>
            </w:r>
          </w:p>
        </w:tc>
      </w:tr>
      <w:tr w:rsidR="00E0237E" w:rsidRPr="00BA4EA9" w:rsidTr="007668ED">
        <w:trPr>
          <w:trHeight w:val="340"/>
          <w:tblHeader/>
        </w:trPr>
        <w:tc>
          <w:tcPr>
            <w:tcW w:w="702" w:type="dxa"/>
            <w:vMerge/>
            <w:shd w:val="clear" w:color="auto" w:fill="auto"/>
            <w:vAlign w:val="center"/>
          </w:tcPr>
          <w:p w:rsidR="00E0237E" w:rsidRPr="00BA4EA9" w:rsidRDefault="00E0237E" w:rsidP="007668ED">
            <w:pPr>
              <w:pStyle w:val="142"/>
              <w:ind w:left="567" w:hanging="567"/>
              <w:jc w:val="center"/>
              <w:rPr>
                <w:snapToGrid/>
              </w:rPr>
            </w:pPr>
          </w:p>
        </w:tc>
        <w:tc>
          <w:tcPr>
            <w:tcW w:w="1808" w:type="dxa"/>
            <w:vMerge/>
            <w:shd w:val="clear" w:color="auto" w:fill="auto"/>
            <w:noWrap/>
            <w:vAlign w:val="center"/>
          </w:tcPr>
          <w:p w:rsidR="00E0237E" w:rsidRPr="00BA4EA9" w:rsidRDefault="00E0237E" w:rsidP="007668ED">
            <w:pPr>
              <w:pStyle w:val="142"/>
              <w:ind w:left="567" w:hanging="567"/>
              <w:jc w:val="center"/>
              <w:rPr>
                <w:snapToGrid/>
              </w:rPr>
            </w:pPr>
          </w:p>
        </w:tc>
        <w:tc>
          <w:tcPr>
            <w:tcW w:w="1820" w:type="dxa"/>
            <w:vMerge/>
            <w:shd w:val="clear" w:color="auto" w:fill="auto"/>
            <w:noWrap/>
            <w:vAlign w:val="center"/>
          </w:tcPr>
          <w:p w:rsidR="00E0237E" w:rsidRPr="00BA4EA9" w:rsidRDefault="00E0237E" w:rsidP="007668ED">
            <w:pPr>
              <w:pStyle w:val="142"/>
              <w:ind w:left="567" w:hanging="567"/>
              <w:jc w:val="center"/>
              <w:rPr>
                <w:snapToGrid/>
              </w:rPr>
            </w:pPr>
          </w:p>
        </w:tc>
        <w:tc>
          <w:tcPr>
            <w:tcW w:w="1255" w:type="dxa"/>
            <w:vMerge/>
            <w:shd w:val="clear" w:color="auto" w:fill="auto"/>
            <w:noWrap/>
            <w:vAlign w:val="center"/>
          </w:tcPr>
          <w:p w:rsidR="00E0237E" w:rsidRPr="00BA4EA9" w:rsidRDefault="00E0237E" w:rsidP="007668ED">
            <w:pPr>
              <w:pStyle w:val="142"/>
              <w:ind w:left="567" w:hanging="567"/>
              <w:jc w:val="center"/>
              <w:rPr>
                <w:snapToGrid/>
              </w:rPr>
            </w:pPr>
          </w:p>
        </w:tc>
        <w:tc>
          <w:tcPr>
            <w:tcW w:w="858" w:type="dxa"/>
            <w:vMerge/>
            <w:vAlign w:val="center"/>
          </w:tcPr>
          <w:p w:rsidR="00E0237E" w:rsidRPr="00BA4EA9" w:rsidRDefault="00E0237E" w:rsidP="007668ED">
            <w:pPr>
              <w:pStyle w:val="142"/>
              <w:ind w:left="567" w:hanging="567"/>
              <w:jc w:val="center"/>
              <w:rPr>
                <w:snapToGrid/>
              </w:rPr>
            </w:pPr>
          </w:p>
        </w:tc>
        <w:tc>
          <w:tcPr>
            <w:tcW w:w="1012" w:type="dxa"/>
            <w:shd w:val="clear" w:color="auto" w:fill="auto"/>
            <w:noWrap/>
            <w:vAlign w:val="center"/>
          </w:tcPr>
          <w:p w:rsidR="00E0237E" w:rsidRPr="00BA4EA9" w:rsidRDefault="00E0237E" w:rsidP="007668ED">
            <w:pPr>
              <w:pStyle w:val="142"/>
              <w:ind w:left="567" w:hanging="567"/>
              <w:jc w:val="center"/>
              <w:rPr>
                <w:snapToGrid/>
              </w:rPr>
            </w:pPr>
            <w:r w:rsidRPr="00BA4EA9">
              <w:rPr>
                <w:rFonts w:hint="eastAsia"/>
                <w:snapToGrid/>
              </w:rPr>
              <w:t>項數</w:t>
            </w:r>
            <w:r>
              <w:rPr>
                <w:snapToGrid/>
              </w:rPr>
              <w:t>D</w:t>
            </w:r>
          </w:p>
        </w:tc>
        <w:tc>
          <w:tcPr>
            <w:tcW w:w="1013" w:type="dxa"/>
            <w:shd w:val="clear" w:color="auto" w:fill="auto"/>
            <w:vAlign w:val="center"/>
          </w:tcPr>
          <w:p w:rsidR="00E0237E" w:rsidRPr="00BA4EA9" w:rsidRDefault="00E0237E" w:rsidP="007668ED">
            <w:pPr>
              <w:pStyle w:val="142"/>
              <w:ind w:left="567" w:hanging="567"/>
              <w:jc w:val="center"/>
              <w:rPr>
                <w:snapToGrid/>
              </w:rPr>
            </w:pPr>
            <w:r w:rsidRPr="00BA4EA9">
              <w:rPr>
                <w:rFonts w:hint="eastAsia"/>
                <w:snapToGrid/>
              </w:rPr>
              <w:t>占比</w:t>
            </w:r>
            <w:r>
              <w:rPr>
                <w:rFonts w:hint="eastAsia"/>
                <w:snapToGrid/>
              </w:rPr>
              <w:t>D/C</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109</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358,229,000</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350,837,000</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97.94</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311</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38</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12.22</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110</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403,618,154</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394,538,349</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97.75</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314</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19</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6.05</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111</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381,433,873</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376,468,137</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98.7</w:t>
            </w:r>
            <w:r>
              <w:rPr>
                <w:rFonts w:hint="eastAsia"/>
                <w:snapToGrid/>
              </w:rPr>
              <w:t>0</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296</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22</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7.43</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112</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539,838,620</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524,576,023</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97.17</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293</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24</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8.19</w:t>
            </w:r>
          </w:p>
        </w:tc>
      </w:tr>
      <w:tr w:rsidR="00E0237E" w:rsidRPr="00BA4EA9" w:rsidTr="007668ED">
        <w:trPr>
          <w:trHeight w:val="340"/>
        </w:trPr>
        <w:tc>
          <w:tcPr>
            <w:tcW w:w="702"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113</w:t>
            </w:r>
          </w:p>
        </w:tc>
        <w:tc>
          <w:tcPr>
            <w:tcW w:w="1808"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629,885,762</w:t>
            </w:r>
          </w:p>
        </w:tc>
        <w:tc>
          <w:tcPr>
            <w:tcW w:w="1820"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590,224,384</w:t>
            </w:r>
          </w:p>
        </w:tc>
        <w:tc>
          <w:tcPr>
            <w:tcW w:w="1255"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93.7</w:t>
            </w:r>
            <w:r>
              <w:rPr>
                <w:rFonts w:hint="eastAsia"/>
                <w:snapToGrid/>
              </w:rPr>
              <w:t>0</w:t>
            </w:r>
          </w:p>
        </w:tc>
        <w:tc>
          <w:tcPr>
            <w:tcW w:w="858" w:type="dxa"/>
            <w:vAlign w:val="center"/>
          </w:tcPr>
          <w:p w:rsidR="00E0237E" w:rsidRPr="00BA4EA9" w:rsidRDefault="00E0237E" w:rsidP="007668ED">
            <w:pPr>
              <w:pStyle w:val="142"/>
              <w:ind w:left="567" w:hanging="567"/>
              <w:jc w:val="right"/>
              <w:rPr>
                <w:snapToGrid/>
              </w:rPr>
            </w:pPr>
            <w:r w:rsidRPr="00BA4EA9">
              <w:rPr>
                <w:rFonts w:hint="eastAsia"/>
                <w:snapToGrid/>
              </w:rPr>
              <w:t>325</w:t>
            </w:r>
          </w:p>
        </w:tc>
        <w:tc>
          <w:tcPr>
            <w:tcW w:w="1012" w:type="dxa"/>
            <w:shd w:val="clear" w:color="auto" w:fill="auto"/>
            <w:noWrap/>
            <w:vAlign w:val="center"/>
            <w:hideMark/>
          </w:tcPr>
          <w:p w:rsidR="00E0237E" w:rsidRPr="00BA4EA9" w:rsidRDefault="00E0237E" w:rsidP="007668ED">
            <w:pPr>
              <w:pStyle w:val="142"/>
              <w:ind w:left="567" w:hanging="567"/>
              <w:jc w:val="right"/>
              <w:rPr>
                <w:snapToGrid/>
              </w:rPr>
            </w:pPr>
            <w:r w:rsidRPr="00BA4EA9">
              <w:rPr>
                <w:rFonts w:hint="eastAsia"/>
                <w:snapToGrid/>
              </w:rPr>
              <w:t>31</w:t>
            </w:r>
          </w:p>
        </w:tc>
        <w:tc>
          <w:tcPr>
            <w:tcW w:w="1013" w:type="dxa"/>
            <w:shd w:val="clear" w:color="auto" w:fill="auto"/>
            <w:vAlign w:val="center"/>
            <w:hideMark/>
          </w:tcPr>
          <w:p w:rsidR="00E0237E" w:rsidRPr="00BA4EA9" w:rsidRDefault="00E0237E" w:rsidP="007668ED">
            <w:pPr>
              <w:pStyle w:val="142"/>
              <w:ind w:left="567" w:hanging="567"/>
              <w:jc w:val="right"/>
              <w:rPr>
                <w:snapToGrid/>
              </w:rPr>
            </w:pPr>
            <w:r w:rsidRPr="00BA4EA9">
              <w:rPr>
                <w:rFonts w:hint="eastAsia"/>
                <w:snapToGrid/>
              </w:rPr>
              <w:t>9.54</w:t>
            </w:r>
          </w:p>
        </w:tc>
      </w:tr>
    </w:tbl>
    <w:p w:rsidR="00E0237E" w:rsidRDefault="00E0237E" w:rsidP="007668ED">
      <w:pPr>
        <w:pStyle w:val="142"/>
        <w:ind w:leftChars="10" w:left="1176" w:hangingChars="472" w:hanging="1148"/>
        <w:jc w:val="both"/>
      </w:pPr>
      <w:r w:rsidRPr="00441D6C">
        <w:rPr>
          <w:rFonts w:hint="eastAsia"/>
        </w:rPr>
        <w:t>說    明：</w:t>
      </w:r>
      <w:r w:rsidRPr="008E4F55">
        <w:rPr>
          <w:rFonts w:hint="eastAsia"/>
        </w:rPr>
        <w:t>一般公共建設計畫包括</w:t>
      </w:r>
      <w:r>
        <w:rPr>
          <w:rFonts w:hint="eastAsia"/>
        </w:rPr>
        <w:t>總</w:t>
      </w:r>
      <w:r w:rsidRPr="008E4F55">
        <w:rPr>
          <w:rFonts w:hint="eastAsia"/>
        </w:rPr>
        <w:t>預算、營業基金及非營業基金支應之公共建設計畫</w:t>
      </w:r>
      <w:r>
        <w:rPr>
          <w:rFonts w:hint="eastAsia"/>
        </w:rPr>
        <w:t>，餘同表1 。</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d"/>
        <w:ind w:left="283" w:hanging="283"/>
        <w:rPr>
          <w:b/>
          <w:bCs/>
          <w:snapToGrid/>
        </w:rPr>
      </w:pPr>
    </w:p>
    <w:p w:rsidR="00E0237E" w:rsidRDefault="00E0237E" w:rsidP="007668ED">
      <w:pPr>
        <w:pStyle w:val="ad"/>
        <w:ind w:left="283" w:hanging="283"/>
        <w:rPr>
          <w:b/>
          <w:bCs/>
          <w:snapToGrid/>
        </w:rPr>
      </w:pPr>
    </w:p>
    <w:p w:rsidR="00E0237E" w:rsidRDefault="00E0237E" w:rsidP="007668ED">
      <w:pPr>
        <w:pStyle w:val="ad"/>
        <w:ind w:left="283" w:hanging="283"/>
        <w:rPr>
          <w:b/>
          <w:bCs/>
          <w:snapToGrid/>
        </w:rPr>
      </w:pPr>
    </w:p>
    <w:p w:rsidR="00E0237E" w:rsidRDefault="00E0237E" w:rsidP="007668ED">
      <w:pPr>
        <w:pStyle w:val="ad"/>
        <w:ind w:left="283" w:hanging="283"/>
        <w:rPr>
          <w:b/>
        </w:rPr>
      </w:pPr>
      <w:r w:rsidRPr="00441D6C">
        <w:rPr>
          <w:rFonts w:hint="eastAsia"/>
          <w:b/>
          <w:bCs/>
          <w:snapToGrid/>
        </w:rPr>
        <w:lastRenderedPageBreak/>
        <w:t>表</w:t>
      </w:r>
      <w:r>
        <w:rPr>
          <w:rFonts w:hint="eastAsia"/>
          <w:b/>
          <w:bCs/>
          <w:snapToGrid/>
        </w:rPr>
        <w:t>4</w:t>
      </w:r>
      <w:r w:rsidRPr="00441D6C">
        <w:rPr>
          <w:rFonts w:hint="eastAsia"/>
          <w:b/>
          <w:bCs/>
          <w:snapToGrid/>
        </w:rPr>
        <w:t xml:space="preserve"> </w:t>
      </w:r>
      <w:r>
        <w:rPr>
          <w:b/>
          <w:bCs/>
          <w:snapToGrid/>
        </w:rPr>
        <w:t xml:space="preserve"> 109</w:t>
      </w:r>
      <w:r>
        <w:rPr>
          <w:rFonts w:hint="eastAsia"/>
          <w:b/>
          <w:bCs/>
          <w:snapToGrid/>
        </w:rPr>
        <w:t>至1</w:t>
      </w:r>
      <w:r>
        <w:rPr>
          <w:b/>
          <w:bCs/>
          <w:snapToGrid/>
        </w:rPr>
        <w:t>13</w:t>
      </w:r>
      <w:r>
        <w:rPr>
          <w:rFonts w:hint="eastAsia"/>
          <w:b/>
          <w:bCs/>
          <w:snapToGrid/>
        </w:rPr>
        <w:t>年度前瞻</w:t>
      </w:r>
      <w:r w:rsidRPr="00D97FE3">
        <w:rPr>
          <w:rFonts w:hint="eastAsia"/>
          <w:b/>
        </w:rPr>
        <w:t>公共建設計畫</w:t>
      </w:r>
      <w:r w:rsidRPr="00BF04AD">
        <w:rPr>
          <w:rFonts w:hint="eastAsia"/>
          <w:b/>
        </w:rPr>
        <w:t>執行</w:t>
      </w:r>
      <w:r>
        <w:rPr>
          <w:rFonts w:hint="eastAsia"/>
          <w:b/>
        </w:rPr>
        <w:t>概況表</w:t>
      </w:r>
    </w:p>
    <w:p w:rsidR="00E0237E" w:rsidRPr="007E2A68" w:rsidRDefault="00E0237E" w:rsidP="007668ED">
      <w:pPr>
        <w:pStyle w:val="142"/>
        <w:ind w:left="567" w:hanging="567"/>
        <w:jc w:val="right"/>
        <w:rPr>
          <w:rFonts w:hAnsi="標楷體"/>
        </w:rPr>
      </w:pPr>
      <w:r w:rsidRPr="00C104F2">
        <w:rPr>
          <w:rFonts w:hint="eastAsia"/>
          <w:snapToGrid/>
        </w:rPr>
        <w:t>單位：新臺幣</w:t>
      </w:r>
      <w:r>
        <w:rPr>
          <w:rFonts w:hint="eastAsia"/>
          <w:snapToGrid/>
        </w:rPr>
        <w:t>千</w:t>
      </w:r>
      <w:r w:rsidRPr="00C104F2">
        <w:rPr>
          <w:rFonts w:hint="eastAsia"/>
          <w:snapToGrid/>
        </w:rPr>
        <w:t>元</w:t>
      </w:r>
      <w:r>
        <w:rPr>
          <w:rFonts w:hint="eastAsia"/>
          <w:snapToGrid/>
        </w:rPr>
        <w:t>；</w:t>
      </w:r>
      <w:r w:rsidRPr="00D22EC6">
        <w:rPr>
          <w:rFonts w:hint="eastAsia"/>
          <w:snapToGrid/>
        </w:rPr>
        <w:t>%</w:t>
      </w:r>
      <w:r>
        <w:rPr>
          <w:rFonts w:hint="eastAsia"/>
          <w:snapToGrid/>
        </w:rPr>
        <w:t>；項</w:t>
      </w:r>
    </w:p>
    <w:tbl>
      <w:tblPr>
        <w:tblW w:w="8518"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896"/>
        <w:gridCol w:w="1781"/>
        <w:gridCol w:w="1781"/>
        <w:gridCol w:w="1119"/>
        <w:gridCol w:w="897"/>
        <w:gridCol w:w="925"/>
        <w:gridCol w:w="1119"/>
      </w:tblGrid>
      <w:tr w:rsidR="00E0237E" w:rsidRPr="00BA4EA9" w:rsidTr="007668ED">
        <w:trPr>
          <w:trHeight w:val="340"/>
          <w:tblHeader/>
        </w:trPr>
        <w:tc>
          <w:tcPr>
            <w:tcW w:w="896" w:type="dxa"/>
            <w:vMerge w:val="restart"/>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年度</w:t>
            </w:r>
          </w:p>
        </w:tc>
        <w:tc>
          <w:tcPr>
            <w:tcW w:w="1781"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年計畫經費</w:t>
            </w:r>
          </w:p>
          <w:p w:rsidR="00E0237E" w:rsidRPr="00BA4EA9" w:rsidRDefault="00E0237E" w:rsidP="007668ED">
            <w:pPr>
              <w:pStyle w:val="142"/>
              <w:ind w:left="567" w:hanging="567"/>
              <w:jc w:val="center"/>
              <w:rPr>
                <w:snapToGrid/>
              </w:rPr>
            </w:pPr>
            <w:r>
              <w:rPr>
                <w:rFonts w:hint="eastAsia"/>
                <w:snapToGrid/>
              </w:rPr>
              <w:t>A</w:t>
            </w:r>
          </w:p>
        </w:tc>
        <w:tc>
          <w:tcPr>
            <w:tcW w:w="1781"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執行數</w:t>
            </w:r>
          </w:p>
          <w:p w:rsidR="00E0237E" w:rsidRPr="00BA4EA9" w:rsidRDefault="00E0237E" w:rsidP="007668ED">
            <w:pPr>
              <w:pStyle w:val="142"/>
              <w:ind w:left="567" w:hanging="567"/>
              <w:jc w:val="center"/>
              <w:rPr>
                <w:snapToGrid/>
              </w:rPr>
            </w:pPr>
            <w:r>
              <w:rPr>
                <w:rFonts w:hint="eastAsia"/>
                <w:snapToGrid/>
              </w:rPr>
              <w:t>B</w:t>
            </w:r>
          </w:p>
        </w:tc>
        <w:tc>
          <w:tcPr>
            <w:tcW w:w="1119" w:type="dxa"/>
            <w:vMerge w:val="restart"/>
            <w:shd w:val="clear" w:color="auto" w:fill="auto"/>
            <w:vAlign w:val="center"/>
            <w:hideMark/>
          </w:tcPr>
          <w:p w:rsidR="00E0237E" w:rsidRDefault="00E0237E" w:rsidP="007668ED">
            <w:pPr>
              <w:pStyle w:val="142"/>
              <w:ind w:left="567" w:hanging="567"/>
              <w:jc w:val="center"/>
              <w:rPr>
                <w:snapToGrid/>
              </w:rPr>
            </w:pPr>
            <w:r w:rsidRPr="00BA4EA9">
              <w:rPr>
                <w:rFonts w:hint="eastAsia"/>
                <w:snapToGrid/>
              </w:rPr>
              <w:t>執行率</w:t>
            </w:r>
          </w:p>
          <w:p w:rsidR="00E0237E" w:rsidRPr="00BA4EA9" w:rsidRDefault="00E0237E" w:rsidP="007668ED">
            <w:pPr>
              <w:pStyle w:val="142"/>
              <w:ind w:left="567" w:hanging="567"/>
              <w:jc w:val="center"/>
              <w:rPr>
                <w:snapToGrid/>
              </w:rPr>
            </w:pPr>
            <w:r w:rsidRPr="00BA4EA9">
              <w:rPr>
                <w:rFonts w:hint="eastAsia"/>
                <w:snapToGrid/>
              </w:rPr>
              <w:t>B</w:t>
            </w:r>
            <w:r>
              <w:rPr>
                <w:snapToGrid/>
              </w:rPr>
              <w:t>/A</w:t>
            </w:r>
          </w:p>
        </w:tc>
        <w:tc>
          <w:tcPr>
            <w:tcW w:w="897" w:type="dxa"/>
            <w:vMerge w:val="restart"/>
            <w:vAlign w:val="center"/>
          </w:tcPr>
          <w:p w:rsidR="00E0237E" w:rsidRPr="00BA4EA9" w:rsidRDefault="00E0237E" w:rsidP="007668ED">
            <w:pPr>
              <w:pStyle w:val="142"/>
              <w:ind w:left="23"/>
              <w:jc w:val="center"/>
              <w:rPr>
                <w:snapToGrid/>
              </w:rPr>
            </w:pPr>
            <w:r w:rsidRPr="00BA4EA9">
              <w:rPr>
                <w:rFonts w:hint="eastAsia"/>
                <w:snapToGrid/>
              </w:rPr>
              <w:t xml:space="preserve">計畫項數 </w:t>
            </w:r>
            <w:r>
              <w:rPr>
                <w:snapToGrid/>
              </w:rPr>
              <w:t>C</w:t>
            </w:r>
          </w:p>
        </w:tc>
        <w:tc>
          <w:tcPr>
            <w:tcW w:w="2044" w:type="dxa"/>
            <w:gridSpan w:val="2"/>
            <w:shd w:val="clear" w:color="auto" w:fill="auto"/>
            <w:vAlign w:val="center"/>
            <w:hideMark/>
          </w:tcPr>
          <w:p w:rsidR="00E0237E" w:rsidRPr="00BA4EA9" w:rsidRDefault="00E0237E" w:rsidP="007668ED">
            <w:pPr>
              <w:pStyle w:val="142"/>
              <w:ind w:left="567" w:hanging="567"/>
              <w:jc w:val="center"/>
              <w:rPr>
                <w:snapToGrid/>
              </w:rPr>
            </w:pPr>
            <w:r>
              <w:rPr>
                <w:rFonts w:hint="eastAsia"/>
                <w:snapToGrid/>
              </w:rPr>
              <w:t>執行率未達80%</w:t>
            </w:r>
          </w:p>
        </w:tc>
      </w:tr>
      <w:tr w:rsidR="00E0237E" w:rsidRPr="00BA4EA9" w:rsidTr="007668ED">
        <w:trPr>
          <w:trHeight w:val="340"/>
          <w:tblHeader/>
        </w:trPr>
        <w:tc>
          <w:tcPr>
            <w:tcW w:w="896" w:type="dxa"/>
            <w:vMerge/>
            <w:shd w:val="clear" w:color="auto" w:fill="auto"/>
            <w:vAlign w:val="center"/>
          </w:tcPr>
          <w:p w:rsidR="00E0237E" w:rsidRPr="00BA4EA9" w:rsidRDefault="00E0237E" w:rsidP="007668ED">
            <w:pPr>
              <w:pStyle w:val="142"/>
              <w:ind w:left="567" w:hanging="567"/>
              <w:jc w:val="center"/>
              <w:rPr>
                <w:snapToGrid/>
              </w:rPr>
            </w:pPr>
          </w:p>
        </w:tc>
        <w:tc>
          <w:tcPr>
            <w:tcW w:w="1781" w:type="dxa"/>
            <w:vMerge/>
            <w:shd w:val="clear" w:color="auto" w:fill="auto"/>
            <w:noWrap/>
            <w:vAlign w:val="center"/>
          </w:tcPr>
          <w:p w:rsidR="00E0237E" w:rsidRPr="00BA4EA9" w:rsidRDefault="00E0237E" w:rsidP="007668ED">
            <w:pPr>
              <w:pStyle w:val="142"/>
              <w:ind w:left="567" w:hanging="567"/>
              <w:jc w:val="center"/>
              <w:rPr>
                <w:snapToGrid/>
              </w:rPr>
            </w:pPr>
          </w:p>
        </w:tc>
        <w:tc>
          <w:tcPr>
            <w:tcW w:w="1781" w:type="dxa"/>
            <w:vMerge/>
            <w:shd w:val="clear" w:color="auto" w:fill="auto"/>
            <w:noWrap/>
            <w:vAlign w:val="center"/>
          </w:tcPr>
          <w:p w:rsidR="00E0237E" w:rsidRPr="00BA4EA9" w:rsidRDefault="00E0237E" w:rsidP="007668ED">
            <w:pPr>
              <w:pStyle w:val="142"/>
              <w:ind w:left="567" w:hanging="567"/>
              <w:jc w:val="center"/>
              <w:rPr>
                <w:snapToGrid/>
              </w:rPr>
            </w:pPr>
          </w:p>
        </w:tc>
        <w:tc>
          <w:tcPr>
            <w:tcW w:w="1119" w:type="dxa"/>
            <w:vMerge/>
            <w:shd w:val="clear" w:color="auto" w:fill="auto"/>
            <w:noWrap/>
            <w:vAlign w:val="center"/>
          </w:tcPr>
          <w:p w:rsidR="00E0237E" w:rsidRPr="00BA4EA9" w:rsidRDefault="00E0237E" w:rsidP="007668ED">
            <w:pPr>
              <w:pStyle w:val="142"/>
              <w:ind w:left="567" w:hanging="567"/>
              <w:jc w:val="center"/>
              <w:rPr>
                <w:snapToGrid/>
              </w:rPr>
            </w:pPr>
          </w:p>
        </w:tc>
        <w:tc>
          <w:tcPr>
            <w:tcW w:w="897" w:type="dxa"/>
            <w:vMerge/>
            <w:vAlign w:val="center"/>
          </w:tcPr>
          <w:p w:rsidR="00E0237E" w:rsidRPr="00BA4EA9" w:rsidRDefault="00E0237E" w:rsidP="007668ED">
            <w:pPr>
              <w:pStyle w:val="142"/>
              <w:ind w:left="567" w:hanging="567"/>
              <w:jc w:val="center"/>
              <w:rPr>
                <w:snapToGrid/>
              </w:rPr>
            </w:pPr>
          </w:p>
        </w:tc>
        <w:tc>
          <w:tcPr>
            <w:tcW w:w="925" w:type="dxa"/>
            <w:shd w:val="clear" w:color="auto" w:fill="auto"/>
            <w:noWrap/>
            <w:vAlign w:val="center"/>
          </w:tcPr>
          <w:p w:rsidR="00E0237E" w:rsidRPr="00BA4EA9" w:rsidRDefault="00E0237E" w:rsidP="007668ED">
            <w:pPr>
              <w:pStyle w:val="142"/>
              <w:ind w:left="567" w:hanging="567"/>
              <w:jc w:val="center"/>
              <w:rPr>
                <w:snapToGrid/>
              </w:rPr>
            </w:pPr>
            <w:r w:rsidRPr="00BA4EA9">
              <w:rPr>
                <w:rFonts w:hint="eastAsia"/>
                <w:snapToGrid/>
              </w:rPr>
              <w:t>項數</w:t>
            </w:r>
            <w:r>
              <w:rPr>
                <w:snapToGrid/>
              </w:rPr>
              <w:t>D</w:t>
            </w:r>
          </w:p>
        </w:tc>
        <w:tc>
          <w:tcPr>
            <w:tcW w:w="1119" w:type="dxa"/>
            <w:shd w:val="clear" w:color="auto" w:fill="auto"/>
            <w:vAlign w:val="center"/>
          </w:tcPr>
          <w:p w:rsidR="00E0237E" w:rsidRPr="00BA4EA9" w:rsidRDefault="00E0237E" w:rsidP="007668ED">
            <w:pPr>
              <w:pStyle w:val="142"/>
              <w:ind w:left="567" w:hanging="567"/>
              <w:jc w:val="center"/>
              <w:rPr>
                <w:snapToGrid/>
              </w:rPr>
            </w:pPr>
            <w:r w:rsidRPr="00BA4EA9">
              <w:rPr>
                <w:rFonts w:hint="eastAsia"/>
                <w:snapToGrid/>
              </w:rPr>
              <w:t>占比</w:t>
            </w:r>
            <w:r>
              <w:rPr>
                <w:rFonts w:hint="eastAsia"/>
                <w:snapToGrid/>
              </w:rPr>
              <w:t>D/C</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109</w:t>
            </w:r>
          </w:p>
        </w:tc>
        <w:tc>
          <w:tcPr>
            <w:tcW w:w="1781" w:type="dxa"/>
            <w:shd w:val="clear" w:color="auto" w:fill="auto"/>
            <w:noWrap/>
            <w:vAlign w:val="center"/>
            <w:hideMark/>
          </w:tcPr>
          <w:p w:rsidR="00E0237E" w:rsidRDefault="00E0237E" w:rsidP="007668ED">
            <w:pPr>
              <w:pStyle w:val="142"/>
              <w:ind w:left="567" w:hanging="567"/>
              <w:jc w:val="right"/>
              <w:rPr>
                <w:rFonts w:hAnsi="標楷體"/>
                <w:snapToGrid/>
                <w:color w:val="000000"/>
                <w:kern w:val="0"/>
                <w:szCs w:val="24"/>
              </w:rPr>
            </w:pPr>
            <w:r>
              <w:rPr>
                <w:rFonts w:hAnsi="標楷體" w:hint="eastAsia"/>
                <w:color w:val="000000"/>
              </w:rPr>
              <w:t>146,335,000</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130,936,000</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89.48</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77</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24</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31.17</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110</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163,127,692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147,545,356</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90.45</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93</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30</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32.26</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111</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145,087,808</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127,337,738</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87.77</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89</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26</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29.21</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138,903,272</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128,475,662</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92.49</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95</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25</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26.32</w:t>
            </w:r>
          </w:p>
        </w:tc>
      </w:tr>
      <w:tr w:rsidR="00E0237E" w:rsidRPr="00BA4EA9" w:rsidTr="007668ED">
        <w:trPr>
          <w:trHeight w:val="340"/>
        </w:trPr>
        <w:tc>
          <w:tcPr>
            <w:tcW w:w="896" w:type="dxa"/>
            <w:shd w:val="clear" w:color="auto" w:fill="auto"/>
            <w:vAlign w:val="center"/>
            <w:hideMark/>
          </w:tcPr>
          <w:p w:rsidR="00E0237E" w:rsidRPr="00BA4EA9" w:rsidRDefault="00E0237E" w:rsidP="007668ED">
            <w:pPr>
              <w:pStyle w:val="142"/>
              <w:ind w:left="567" w:hanging="567"/>
              <w:jc w:val="center"/>
              <w:rPr>
                <w:snapToGrid/>
              </w:rPr>
            </w:pPr>
            <w:r w:rsidRPr="00BA4EA9">
              <w:rPr>
                <w:rFonts w:hint="eastAsia"/>
                <w:snapToGrid/>
              </w:rPr>
              <w:t>113</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158,360,461</w:t>
            </w:r>
          </w:p>
        </w:tc>
        <w:tc>
          <w:tcPr>
            <w:tcW w:w="1781"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148,960,186</w:t>
            </w:r>
          </w:p>
        </w:tc>
        <w:tc>
          <w:tcPr>
            <w:tcW w:w="1119"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94.06</w:t>
            </w:r>
          </w:p>
        </w:tc>
        <w:tc>
          <w:tcPr>
            <w:tcW w:w="897" w:type="dxa"/>
            <w:vAlign w:val="center"/>
          </w:tcPr>
          <w:p w:rsidR="00E0237E" w:rsidRDefault="00E0237E" w:rsidP="007668ED">
            <w:pPr>
              <w:pStyle w:val="142"/>
              <w:ind w:left="567" w:hanging="567"/>
              <w:jc w:val="right"/>
              <w:rPr>
                <w:rFonts w:hAnsi="標楷體"/>
                <w:color w:val="000000"/>
              </w:rPr>
            </w:pPr>
            <w:r>
              <w:rPr>
                <w:rFonts w:hAnsi="標楷體" w:hint="eastAsia"/>
                <w:color w:val="000000"/>
              </w:rPr>
              <w:t>86</w:t>
            </w:r>
          </w:p>
        </w:tc>
        <w:tc>
          <w:tcPr>
            <w:tcW w:w="925" w:type="dxa"/>
            <w:shd w:val="clear" w:color="auto" w:fill="auto"/>
            <w:noWrap/>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21</w:t>
            </w:r>
          </w:p>
        </w:tc>
        <w:tc>
          <w:tcPr>
            <w:tcW w:w="1119" w:type="dxa"/>
            <w:shd w:val="clear" w:color="auto" w:fill="auto"/>
            <w:vAlign w:val="center"/>
            <w:hideMark/>
          </w:tcPr>
          <w:p w:rsidR="00E0237E" w:rsidRDefault="00E0237E" w:rsidP="007668ED">
            <w:pPr>
              <w:pStyle w:val="142"/>
              <w:ind w:left="567" w:hanging="567"/>
              <w:jc w:val="right"/>
              <w:rPr>
                <w:rFonts w:hAnsi="標楷體"/>
                <w:color w:val="000000"/>
              </w:rPr>
            </w:pPr>
            <w:r>
              <w:rPr>
                <w:rFonts w:hAnsi="標楷體" w:hint="eastAsia"/>
                <w:color w:val="000000"/>
              </w:rPr>
              <w:t>24.42</w:t>
            </w:r>
          </w:p>
        </w:tc>
      </w:tr>
    </w:tbl>
    <w:p w:rsidR="00E0237E" w:rsidRDefault="00E0237E" w:rsidP="007668ED">
      <w:pPr>
        <w:pStyle w:val="142"/>
        <w:ind w:left="1248" w:hangingChars="513" w:hanging="1248"/>
        <w:jc w:val="both"/>
      </w:pPr>
      <w:r w:rsidRPr="00441D6C">
        <w:rPr>
          <w:rFonts w:hint="eastAsia"/>
        </w:rPr>
        <w:t>說    明：</w:t>
      </w:r>
      <w:r w:rsidRPr="00C3092B">
        <w:rPr>
          <w:rFonts w:hint="eastAsia"/>
        </w:rPr>
        <w:t>前瞻公共建設計畫</w:t>
      </w:r>
      <w:r>
        <w:rPr>
          <w:rFonts w:hint="eastAsia"/>
        </w:rPr>
        <w:t>係</w:t>
      </w:r>
      <w:r w:rsidRPr="00C3092B">
        <w:rPr>
          <w:rFonts w:hint="eastAsia"/>
        </w:rPr>
        <w:t>前瞻</w:t>
      </w:r>
      <w:r>
        <w:rPr>
          <w:rFonts w:hint="eastAsia"/>
        </w:rPr>
        <w:t>特別預算支應之</w:t>
      </w:r>
      <w:r w:rsidRPr="00C3092B">
        <w:rPr>
          <w:rFonts w:hint="eastAsia"/>
        </w:rPr>
        <w:t>公共建設類計畫</w:t>
      </w:r>
      <w:r>
        <w:rPr>
          <w:rFonts w:hint="eastAsia"/>
        </w:rPr>
        <w:t>，餘同表1。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四</w:t>
      </w:r>
      <w:r w:rsidRPr="009875E5">
        <w:rPr>
          <w:rFonts w:hint="eastAsia"/>
          <w:b/>
        </w:rPr>
        <w:t>)</w:t>
      </w:r>
      <w:r>
        <w:rPr>
          <w:rFonts w:hint="eastAsia"/>
          <w:b/>
        </w:rPr>
        <w:t>113年度部分公共建設計畫經費執行率偏低，允宜</w:t>
      </w:r>
      <w:r w:rsidRPr="00396E8C">
        <w:rPr>
          <w:rFonts w:hint="eastAsia"/>
          <w:b/>
        </w:rPr>
        <w:t>強化預算執行之控管</w:t>
      </w:r>
    </w:p>
    <w:p w:rsidR="00E0237E" w:rsidRDefault="00E0237E" w:rsidP="007668ED">
      <w:pPr>
        <w:pStyle w:val="21"/>
        <w:ind w:left="850" w:firstLine="566"/>
        <w:rPr>
          <w:snapToGrid/>
        </w:rPr>
      </w:pPr>
      <w:r>
        <w:rPr>
          <w:rFonts w:hint="eastAsia"/>
          <w:snapToGrid/>
        </w:rPr>
        <w:t>113年度執行之公共建設計畫共411項，</w:t>
      </w:r>
      <w:r w:rsidRPr="005D0EBA">
        <w:rPr>
          <w:rFonts w:hint="eastAsia"/>
          <w:snapToGrid/>
        </w:rPr>
        <w:t>有</w:t>
      </w:r>
      <w:r>
        <w:rPr>
          <w:snapToGrid/>
        </w:rPr>
        <w:t>52</w:t>
      </w:r>
      <w:r w:rsidRPr="005D0EBA">
        <w:rPr>
          <w:rFonts w:hint="eastAsia"/>
          <w:snapToGrid/>
        </w:rPr>
        <w:t>項執行率未達80%</w:t>
      </w:r>
      <w:r>
        <w:rPr>
          <w:rFonts w:hint="eastAsia"/>
          <w:snapToGrid/>
        </w:rPr>
        <w:t>，其中29項執行率未達50</w:t>
      </w:r>
      <w:r>
        <w:rPr>
          <w:snapToGrid/>
        </w:rPr>
        <w:t>%</w:t>
      </w:r>
      <w:r>
        <w:rPr>
          <w:rFonts w:hint="eastAsia"/>
          <w:snapToGrid/>
        </w:rPr>
        <w:t>，包括6項完全未執行(詳表5)，說明如下：</w:t>
      </w:r>
    </w:p>
    <w:p w:rsidR="00E0237E" w:rsidRDefault="00E0237E" w:rsidP="007668ED">
      <w:pPr>
        <w:pStyle w:val="123"/>
        <w:ind w:left="1133" w:hanging="283"/>
        <w:rPr>
          <w:snapToGrid/>
        </w:rPr>
      </w:pPr>
      <w:r>
        <w:rPr>
          <w:rFonts w:hint="eastAsia"/>
          <w:snapToGrid/>
        </w:rPr>
        <w:t>1.經費未執行者有6項計畫，均為交通部主管之鐵道規劃及建設計畫，包括「</w:t>
      </w:r>
      <w:r w:rsidRPr="00AA7557">
        <w:rPr>
          <w:rFonts w:hint="eastAsia"/>
          <w:snapToGrid/>
        </w:rPr>
        <w:t>彰化市鐵路高架化建設計畫綜合規劃作業</w:t>
      </w:r>
      <w:r>
        <w:rPr>
          <w:rFonts w:hint="eastAsia"/>
          <w:snapToGrid/>
        </w:rPr>
        <w:t>」、「</w:t>
      </w:r>
      <w:r w:rsidRPr="00AA7557">
        <w:rPr>
          <w:rFonts w:hint="eastAsia"/>
          <w:snapToGrid/>
        </w:rPr>
        <w:t>新竹環線輕軌計畫規劃作業</w:t>
      </w:r>
      <w:r>
        <w:rPr>
          <w:rFonts w:hint="eastAsia"/>
          <w:snapToGrid/>
        </w:rPr>
        <w:t>」、「</w:t>
      </w:r>
      <w:r w:rsidRPr="00337E35">
        <w:rPr>
          <w:rFonts w:hint="eastAsia"/>
          <w:snapToGrid/>
        </w:rPr>
        <w:t>新竹輕軌紅線建設計畫</w:t>
      </w:r>
      <w:r>
        <w:rPr>
          <w:rFonts w:hint="eastAsia"/>
          <w:snapToGrid/>
        </w:rPr>
        <w:t>」、「</w:t>
      </w:r>
      <w:r w:rsidRPr="00337E35">
        <w:rPr>
          <w:rFonts w:hint="eastAsia"/>
          <w:snapToGrid/>
        </w:rPr>
        <w:t>臺南鐵路立體化延伸至永康計畫規劃作業</w:t>
      </w:r>
      <w:r>
        <w:rPr>
          <w:rFonts w:hint="eastAsia"/>
          <w:snapToGrid/>
        </w:rPr>
        <w:t>」、「</w:t>
      </w:r>
      <w:r w:rsidRPr="00337E35">
        <w:rPr>
          <w:rFonts w:hint="eastAsia"/>
          <w:snapToGrid/>
        </w:rPr>
        <w:t>大臺中地區山海線鐵路雙軌高架化建置計畫規劃作業</w:t>
      </w:r>
      <w:r>
        <w:rPr>
          <w:rFonts w:hint="eastAsia"/>
          <w:snapToGrid/>
        </w:rPr>
        <w:t>」及「</w:t>
      </w:r>
      <w:r w:rsidRPr="00337E35">
        <w:rPr>
          <w:rFonts w:hint="eastAsia"/>
          <w:snapToGrid/>
        </w:rPr>
        <w:t>新竹大車站計畫</w:t>
      </w:r>
      <w:r>
        <w:rPr>
          <w:rFonts w:hint="eastAsia"/>
          <w:snapToGrid/>
        </w:rPr>
        <w:t>」，係因規劃未達共識、尚待協調或可行性研究尚待行政院核定等所致。</w:t>
      </w:r>
    </w:p>
    <w:p w:rsidR="00E0237E" w:rsidRDefault="00E0237E" w:rsidP="007668ED">
      <w:pPr>
        <w:pStyle w:val="123"/>
        <w:ind w:left="1133" w:hanging="283"/>
        <w:rPr>
          <w:snapToGrid/>
        </w:rPr>
      </w:pPr>
      <w:r>
        <w:rPr>
          <w:rFonts w:hint="eastAsia"/>
          <w:snapToGrid/>
        </w:rPr>
        <w:t>2.經費已執行惟執行率未達10</w:t>
      </w:r>
      <w:r>
        <w:rPr>
          <w:snapToGrid/>
        </w:rPr>
        <w:t>%</w:t>
      </w:r>
      <w:r>
        <w:rPr>
          <w:rFonts w:hint="eastAsia"/>
          <w:snapToGrid/>
        </w:rPr>
        <w:t>之計畫有7項，其中4項前瞻公共建設計畫亦為鐵道規劃及建設計畫，另包括經濟部主管中油公司「</w:t>
      </w:r>
      <w:r w:rsidRPr="00AD3617">
        <w:rPr>
          <w:rFonts w:hint="eastAsia"/>
          <w:snapToGrid/>
        </w:rPr>
        <w:t>（L11002）天然氣事業部第三座液化天然氣接收站二期投資計畫</w:t>
      </w:r>
      <w:r>
        <w:rPr>
          <w:rFonts w:hint="eastAsia"/>
          <w:snapToGrid/>
        </w:rPr>
        <w:t>」、台電公司「</w:t>
      </w:r>
      <w:r w:rsidRPr="00AD3617">
        <w:rPr>
          <w:rFonts w:hint="eastAsia"/>
          <w:snapToGrid/>
        </w:rPr>
        <w:t>大林電廠燃氣機組更新改建計畫</w:t>
      </w:r>
      <w:r>
        <w:rPr>
          <w:rFonts w:hint="eastAsia"/>
          <w:snapToGrid/>
        </w:rPr>
        <w:t>」及衛福部主管「</w:t>
      </w:r>
      <w:r w:rsidRPr="00AD3617">
        <w:rPr>
          <w:rFonts w:hint="eastAsia"/>
          <w:snapToGrid/>
        </w:rPr>
        <w:t>衛生福利部苗栗醫院急重症醫療大樓擴建計畫</w:t>
      </w:r>
      <w:r>
        <w:rPr>
          <w:rFonts w:hint="eastAsia"/>
          <w:snapToGrid/>
        </w:rPr>
        <w:t>」。</w:t>
      </w:r>
    </w:p>
    <w:p w:rsidR="00E0237E" w:rsidRDefault="00E0237E" w:rsidP="007668ED">
      <w:pPr>
        <w:pStyle w:val="123"/>
        <w:ind w:left="1133" w:hanging="283"/>
        <w:rPr>
          <w:snapToGrid/>
        </w:rPr>
      </w:pPr>
      <w:r>
        <w:rPr>
          <w:rFonts w:hint="eastAsia"/>
          <w:snapToGrid/>
        </w:rPr>
        <w:t>3.執行率10</w:t>
      </w:r>
      <w:r>
        <w:rPr>
          <w:snapToGrid/>
        </w:rPr>
        <w:t>%</w:t>
      </w:r>
      <w:r>
        <w:rPr>
          <w:rFonts w:hint="eastAsia"/>
          <w:snapToGrid/>
        </w:rPr>
        <w:t>以上未達50%之計畫有16項，主管機關包括法務</w:t>
      </w:r>
      <w:r>
        <w:rPr>
          <w:rFonts w:hint="eastAsia"/>
          <w:snapToGrid/>
        </w:rPr>
        <w:lastRenderedPageBreak/>
        <w:t>部、海洋委員會、經濟部、財政部、衛生福利部、文化部、交通部、教育部、農業部等。</w:t>
      </w:r>
    </w:p>
    <w:p w:rsidR="00E0237E" w:rsidRDefault="00E0237E" w:rsidP="007668ED">
      <w:pPr>
        <w:pStyle w:val="123"/>
        <w:ind w:left="1133" w:hanging="283"/>
        <w:rPr>
          <w:snapToGrid/>
        </w:rPr>
      </w:pPr>
      <w:r>
        <w:rPr>
          <w:rFonts w:hint="eastAsia"/>
          <w:snapToGrid/>
        </w:rPr>
        <w:t>4.執行率50</w:t>
      </w:r>
      <w:r>
        <w:rPr>
          <w:snapToGrid/>
        </w:rPr>
        <w:t>%</w:t>
      </w:r>
      <w:r>
        <w:rPr>
          <w:rFonts w:hint="eastAsia"/>
          <w:snapToGrid/>
        </w:rPr>
        <w:t>以上未達80%之計畫則有23項，亦分散於各主管機關。</w:t>
      </w:r>
    </w:p>
    <w:p w:rsidR="00E0237E" w:rsidRPr="007E2A68" w:rsidRDefault="00E0237E" w:rsidP="007668ED">
      <w:pPr>
        <w:pStyle w:val="ad"/>
        <w:ind w:left="283" w:hanging="283"/>
        <w:rPr>
          <w:rFonts w:hAnsi="標楷體"/>
        </w:rPr>
      </w:pPr>
      <w:r w:rsidRPr="00441D6C">
        <w:rPr>
          <w:rFonts w:hint="eastAsia"/>
          <w:b/>
          <w:bCs/>
          <w:snapToGrid/>
        </w:rPr>
        <w:t>表</w:t>
      </w:r>
      <w:r>
        <w:rPr>
          <w:rFonts w:hint="eastAsia"/>
          <w:b/>
          <w:bCs/>
          <w:snapToGrid/>
        </w:rPr>
        <w:t>5</w:t>
      </w:r>
      <w:r>
        <w:rPr>
          <w:b/>
          <w:bCs/>
          <w:snapToGrid/>
        </w:rPr>
        <w:t xml:space="preserve">  </w:t>
      </w:r>
      <w:r>
        <w:rPr>
          <w:rFonts w:hint="eastAsia"/>
          <w:b/>
          <w:bCs/>
          <w:snapToGrid/>
        </w:rPr>
        <w:t>1</w:t>
      </w:r>
      <w:r>
        <w:rPr>
          <w:b/>
          <w:bCs/>
          <w:snapToGrid/>
        </w:rPr>
        <w:t>13</w:t>
      </w:r>
      <w:r>
        <w:rPr>
          <w:rFonts w:hint="eastAsia"/>
          <w:b/>
          <w:bCs/>
          <w:snapToGrid/>
        </w:rPr>
        <w:t>年度</w:t>
      </w:r>
      <w:r w:rsidRPr="00D97FE3">
        <w:rPr>
          <w:rFonts w:hint="eastAsia"/>
          <w:b/>
        </w:rPr>
        <w:t>公共建設計畫</w:t>
      </w:r>
      <w:r>
        <w:rPr>
          <w:rFonts w:hint="eastAsia"/>
          <w:b/>
        </w:rPr>
        <w:t>經費</w:t>
      </w:r>
      <w:r w:rsidRPr="00BF04AD">
        <w:rPr>
          <w:rFonts w:hint="eastAsia"/>
          <w:b/>
        </w:rPr>
        <w:t>執行</w:t>
      </w:r>
      <w:r>
        <w:rPr>
          <w:rFonts w:hint="eastAsia"/>
          <w:b/>
        </w:rPr>
        <w:t xml:space="preserve">率分布概況表        </w:t>
      </w:r>
      <w:r w:rsidRPr="00EC7E6D">
        <w:rPr>
          <w:rFonts w:hint="eastAsia"/>
          <w:sz w:val="24"/>
          <w:szCs w:val="24"/>
        </w:rPr>
        <w:t>單</w:t>
      </w:r>
      <w:r w:rsidRPr="00772136">
        <w:rPr>
          <w:rFonts w:hint="eastAsia"/>
          <w:snapToGrid/>
          <w:sz w:val="24"/>
          <w:szCs w:val="24"/>
        </w:rPr>
        <w:t>位：項</w:t>
      </w:r>
    </w:p>
    <w:tbl>
      <w:tblPr>
        <w:tblW w:w="8533" w:type="dxa"/>
        <w:tblInd w:w="2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CellMar>
          <w:left w:w="28" w:type="dxa"/>
          <w:right w:w="28" w:type="dxa"/>
        </w:tblCellMar>
        <w:tblLook w:val="04A0" w:firstRow="1" w:lastRow="0" w:firstColumn="1" w:lastColumn="0" w:noHBand="0" w:noVBand="1"/>
      </w:tblPr>
      <w:tblGrid>
        <w:gridCol w:w="2749"/>
        <w:gridCol w:w="1928"/>
        <w:gridCol w:w="1928"/>
        <w:gridCol w:w="1928"/>
      </w:tblGrid>
      <w:tr w:rsidR="00E0237E" w:rsidRPr="00013CE0" w:rsidTr="007668ED">
        <w:trPr>
          <w:trHeight w:val="340"/>
          <w:tblHeader/>
        </w:trPr>
        <w:tc>
          <w:tcPr>
            <w:tcW w:w="2749" w:type="dxa"/>
            <w:shd w:val="clear" w:color="auto" w:fill="auto"/>
            <w:noWrap/>
            <w:vAlign w:val="center"/>
            <w:hideMark/>
          </w:tcPr>
          <w:p w:rsidR="00E0237E" w:rsidRPr="00013CE0" w:rsidRDefault="00E0237E" w:rsidP="007668ED">
            <w:pPr>
              <w:pStyle w:val="142"/>
              <w:ind w:left="567" w:hanging="567"/>
              <w:jc w:val="center"/>
              <w:rPr>
                <w:rFonts w:hAnsi="標楷體"/>
                <w:snapToGrid/>
                <w:szCs w:val="24"/>
              </w:rPr>
            </w:pPr>
            <w:r>
              <w:rPr>
                <w:rFonts w:hAnsi="標楷體" w:hint="eastAsia"/>
                <w:snapToGrid/>
                <w:szCs w:val="24"/>
              </w:rPr>
              <w:t>執行率級距</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一般</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前瞻</w:t>
            </w:r>
          </w:p>
        </w:tc>
        <w:tc>
          <w:tcPr>
            <w:tcW w:w="1928" w:type="dxa"/>
            <w:shd w:val="clear" w:color="auto" w:fill="auto"/>
            <w:noWrap/>
            <w:vAlign w:val="center"/>
            <w:hideMark/>
          </w:tcPr>
          <w:p w:rsidR="00E0237E" w:rsidRPr="00013CE0" w:rsidRDefault="00E0237E" w:rsidP="007668ED">
            <w:pPr>
              <w:pStyle w:val="142"/>
              <w:ind w:left="567" w:hanging="567"/>
              <w:jc w:val="center"/>
              <w:rPr>
                <w:rFonts w:hAnsi="標楷體"/>
                <w:snapToGrid/>
                <w:color w:val="000000"/>
                <w:szCs w:val="24"/>
              </w:rPr>
            </w:pPr>
            <w:r w:rsidRPr="00013CE0">
              <w:rPr>
                <w:rFonts w:hAnsi="標楷體" w:hint="eastAsia"/>
                <w:snapToGrid/>
                <w:color w:val="000000"/>
                <w:szCs w:val="24"/>
              </w:rPr>
              <w:t>合計</w:t>
            </w:r>
          </w:p>
        </w:tc>
      </w:tr>
      <w:tr w:rsidR="00E0237E" w:rsidRPr="00013CE0" w:rsidTr="007668ED">
        <w:trPr>
          <w:trHeight w:val="340"/>
        </w:trPr>
        <w:tc>
          <w:tcPr>
            <w:tcW w:w="2749" w:type="dxa"/>
            <w:shd w:val="clear" w:color="auto" w:fill="auto"/>
            <w:noWrap/>
            <w:vAlign w:val="center"/>
          </w:tcPr>
          <w:p w:rsidR="00E0237E" w:rsidRPr="009D110F" w:rsidRDefault="00E0237E" w:rsidP="007668ED">
            <w:pPr>
              <w:pStyle w:val="142"/>
              <w:ind w:left="567" w:hanging="567"/>
              <w:rPr>
                <w:rFonts w:hAnsi="標楷體"/>
                <w:b/>
                <w:snapToGrid/>
                <w:color w:val="000000"/>
                <w:szCs w:val="24"/>
              </w:rPr>
            </w:pPr>
            <w:r w:rsidRPr="009D110F">
              <w:rPr>
                <w:rFonts w:hAnsi="標楷體" w:hint="eastAsia"/>
                <w:b/>
                <w:snapToGrid/>
                <w:color w:val="000000"/>
                <w:szCs w:val="24"/>
              </w:rPr>
              <w:t>未達80</w:t>
            </w:r>
            <w:r w:rsidRPr="009D110F">
              <w:rPr>
                <w:rFonts w:hAnsi="標楷體"/>
                <w:b/>
                <w:snapToGrid/>
                <w:color w:val="000000"/>
                <w:szCs w:val="24"/>
              </w:rPr>
              <w:t>%</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31</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21</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52</w:t>
            </w:r>
          </w:p>
        </w:tc>
      </w:tr>
      <w:tr w:rsidR="00E0237E" w:rsidRPr="00013CE0" w:rsidTr="007668ED">
        <w:trPr>
          <w:trHeight w:val="340"/>
        </w:trPr>
        <w:tc>
          <w:tcPr>
            <w:tcW w:w="2749" w:type="dxa"/>
            <w:shd w:val="clear" w:color="auto" w:fill="auto"/>
            <w:noWrap/>
            <w:vAlign w:val="center"/>
          </w:tcPr>
          <w:p w:rsidR="00E0237E" w:rsidRPr="009D110F" w:rsidRDefault="00E0237E" w:rsidP="007668ED">
            <w:pPr>
              <w:pStyle w:val="142"/>
              <w:ind w:firstLineChars="205" w:firstLine="499"/>
              <w:rPr>
                <w:rFonts w:hAnsi="標楷體"/>
                <w:b/>
                <w:snapToGrid/>
                <w:color w:val="000000"/>
                <w:szCs w:val="24"/>
              </w:rPr>
            </w:pPr>
            <w:r w:rsidRPr="009D110F">
              <w:rPr>
                <w:rFonts w:hAnsi="標楷體" w:hint="eastAsia"/>
                <w:b/>
                <w:snapToGrid/>
                <w:color w:val="000000"/>
                <w:szCs w:val="24"/>
              </w:rPr>
              <w:t>未達50</w:t>
            </w:r>
            <w:r w:rsidRPr="009D110F">
              <w:rPr>
                <w:rFonts w:hAnsi="標楷體"/>
                <w:b/>
                <w:snapToGrid/>
                <w:color w:val="000000"/>
                <w:szCs w:val="24"/>
              </w:rPr>
              <w:t>%</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15</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14</w:t>
            </w:r>
          </w:p>
        </w:tc>
        <w:tc>
          <w:tcPr>
            <w:tcW w:w="1928" w:type="dxa"/>
            <w:shd w:val="clear" w:color="auto" w:fill="auto"/>
            <w:noWrap/>
            <w:vAlign w:val="center"/>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29</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大於0%未達10%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4</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7</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10%以上未達20%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20%以上未達30%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30%以上未達40%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40%以上未達50%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4</w:t>
            </w:r>
          </w:p>
        </w:tc>
      </w:tr>
      <w:tr w:rsidR="00E0237E" w:rsidRPr="00013CE0" w:rsidTr="007668ED">
        <w:trPr>
          <w:trHeight w:val="340"/>
        </w:trPr>
        <w:tc>
          <w:tcPr>
            <w:tcW w:w="2749" w:type="dxa"/>
            <w:shd w:val="clear" w:color="auto" w:fill="auto"/>
            <w:noWrap/>
            <w:vAlign w:val="center"/>
          </w:tcPr>
          <w:p w:rsidR="00E0237E" w:rsidRPr="006A0630" w:rsidRDefault="00E0237E" w:rsidP="007668ED">
            <w:pPr>
              <w:pStyle w:val="142"/>
              <w:ind w:firstLineChars="199" w:firstLine="484"/>
              <w:rPr>
                <w:rFonts w:hAnsi="標楷體"/>
                <w:snapToGrid/>
                <w:color w:val="000000"/>
                <w:szCs w:val="24"/>
              </w:rPr>
            </w:pPr>
            <w:r w:rsidRPr="006A0630">
              <w:rPr>
                <w:rFonts w:hAnsi="標楷體" w:hint="eastAsia"/>
                <w:snapToGrid/>
                <w:color w:val="000000"/>
                <w:szCs w:val="24"/>
              </w:rPr>
              <w:t>50%以上未達80</w:t>
            </w:r>
            <w:r w:rsidRPr="006A0630">
              <w:rPr>
                <w:rFonts w:hAnsi="標楷體"/>
                <w:snapToGrid/>
                <w:color w:val="000000"/>
                <w:szCs w:val="24"/>
              </w:rPr>
              <w:t>%</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16</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7</w:t>
            </w:r>
          </w:p>
        </w:tc>
        <w:tc>
          <w:tcPr>
            <w:tcW w:w="1928" w:type="dxa"/>
            <w:shd w:val="clear" w:color="auto" w:fill="auto"/>
            <w:noWrap/>
            <w:vAlign w:val="center"/>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50%以上未達60%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60%以上未達70%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8</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firstLineChars="378" w:firstLine="919"/>
              <w:rPr>
                <w:rFonts w:hAnsi="標楷體"/>
                <w:snapToGrid/>
                <w:color w:val="000000"/>
                <w:szCs w:val="24"/>
              </w:rPr>
            </w:pPr>
            <w:r w:rsidRPr="006A0630">
              <w:rPr>
                <w:rFonts w:hAnsi="標楷體" w:hint="eastAsia"/>
                <w:snapToGrid/>
                <w:color w:val="000000"/>
                <w:szCs w:val="24"/>
              </w:rPr>
              <w:t>70%以上未達80%</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9</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12</w:t>
            </w:r>
          </w:p>
        </w:tc>
      </w:tr>
      <w:tr w:rsidR="00E0237E" w:rsidRPr="00013CE0" w:rsidTr="007668ED">
        <w:trPr>
          <w:trHeight w:val="340"/>
        </w:trPr>
        <w:tc>
          <w:tcPr>
            <w:tcW w:w="2749" w:type="dxa"/>
            <w:shd w:val="clear" w:color="auto" w:fill="auto"/>
            <w:noWrap/>
            <w:vAlign w:val="center"/>
            <w:hideMark/>
          </w:tcPr>
          <w:p w:rsidR="00E0237E" w:rsidRPr="006A0630" w:rsidRDefault="00E0237E" w:rsidP="007668ED">
            <w:pPr>
              <w:pStyle w:val="142"/>
              <w:ind w:left="567" w:hanging="567"/>
              <w:rPr>
                <w:rFonts w:hAnsi="標楷體"/>
                <w:snapToGrid/>
                <w:color w:val="000000"/>
                <w:szCs w:val="24"/>
              </w:rPr>
            </w:pPr>
            <w:r w:rsidRPr="006A0630">
              <w:rPr>
                <w:rFonts w:hAnsi="標楷體" w:hint="eastAsia"/>
                <w:snapToGrid/>
                <w:color w:val="000000"/>
                <w:szCs w:val="24"/>
              </w:rPr>
              <w:t>80%以上</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294</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65</w:t>
            </w:r>
          </w:p>
        </w:tc>
        <w:tc>
          <w:tcPr>
            <w:tcW w:w="1928" w:type="dxa"/>
            <w:shd w:val="clear" w:color="auto" w:fill="auto"/>
            <w:noWrap/>
            <w:vAlign w:val="center"/>
            <w:hideMark/>
          </w:tcPr>
          <w:p w:rsidR="00E0237E" w:rsidRPr="006A0630" w:rsidRDefault="00E0237E" w:rsidP="007668ED">
            <w:pPr>
              <w:pStyle w:val="142"/>
              <w:ind w:left="567" w:hanging="567"/>
              <w:jc w:val="right"/>
              <w:rPr>
                <w:rFonts w:hAnsi="標楷體"/>
                <w:snapToGrid/>
                <w:color w:val="000000"/>
                <w:szCs w:val="24"/>
              </w:rPr>
            </w:pPr>
            <w:r w:rsidRPr="006A0630">
              <w:rPr>
                <w:rFonts w:hAnsi="標楷體" w:hint="eastAsia"/>
                <w:snapToGrid/>
                <w:color w:val="000000"/>
                <w:szCs w:val="24"/>
              </w:rPr>
              <w:t>359</w:t>
            </w:r>
          </w:p>
        </w:tc>
      </w:tr>
      <w:tr w:rsidR="00E0237E" w:rsidRPr="00013CE0" w:rsidTr="007668ED">
        <w:trPr>
          <w:trHeight w:val="340"/>
        </w:trPr>
        <w:tc>
          <w:tcPr>
            <w:tcW w:w="2749" w:type="dxa"/>
            <w:shd w:val="clear" w:color="auto" w:fill="auto"/>
            <w:noWrap/>
            <w:vAlign w:val="center"/>
            <w:hideMark/>
          </w:tcPr>
          <w:p w:rsidR="00E0237E" w:rsidRPr="009D110F" w:rsidRDefault="00E0237E" w:rsidP="007668ED">
            <w:pPr>
              <w:pStyle w:val="142"/>
              <w:ind w:left="567" w:hanging="567"/>
              <w:rPr>
                <w:rFonts w:hAnsi="標楷體"/>
                <w:b/>
                <w:snapToGrid/>
                <w:color w:val="000000"/>
                <w:szCs w:val="24"/>
              </w:rPr>
            </w:pPr>
            <w:r w:rsidRPr="009D110F">
              <w:rPr>
                <w:rFonts w:hAnsi="標楷體" w:hint="eastAsia"/>
                <w:b/>
                <w:snapToGrid/>
                <w:color w:val="000000"/>
                <w:szCs w:val="24"/>
              </w:rPr>
              <w:t>合計</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325</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86</w:t>
            </w:r>
          </w:p>
        </w:tc>
        <w:tc>
          <w:tcPr>
            <w:tcW w:w="1928" w:type="dxa"/>
            <w:shd w:val="clear" w:color="auto" w:fill="auto"/>
            <w:noWrap/>
            <w:vAlign w:val="center"/>
            <w:hideMark/>
          </w:tcPr>
          <w:p w:rsidR="00E0237E" w:rsidRPr="009D110F" w:rsidRDefault="00E0237E" w:rsidP="007668ED">
            <w:pPr>
              <w:pStyle w:val="142"/>
              <w:ind w:left="567" w:hanging="567"/>
              <w:jc w:val="right"/>
              <w:rPr>
                <w:rFonts w:hAnsi="標楷體"/>
                <w:b/>
                <w:snapToGrid/>
                <w:color w:val="000000"/>
                <w:szCs w:val="24"/>
              </w:rPr>
            </w:pPr>
            <w:r w:rsidRPr="009D110F">
              <w:rPr>
                <w:rFonts w:hAnsi="標楷體" w:hint="eastAsia"/>
                <w:b/>
                <w:snapToGrid/>
                <w:color w:val="000000"/>
                <w:szCs w:val="24"/>
              </w:rPr>
              <w:t>411</w:t>
            </w:r>
          </w:p>
        </w:tc>
      </w:tr>
    </w:tbl>
    <w:p w:rsidR="00E0237E" w:rsidRDefault="00E0237E" w:rsidP="007668ED">
      <w:pPr>
        <w:pStyle w:val="142"/>
        <w:ind w:leftChars="10" w:left="1176" w:hangingChars="472" w:hanging="1148"/>
        <w:jc w:val="both"/>
      </w:pPr>
      <w:r w:rsidRPr="00441D6C">
        <w:rPr>
          <w:rFonts w:hint="eastAsia"/>
        </w:rPr>
        <w:t>說    明：</w:t>
      </w:r>
      <w:r>
        <w:rPr>
          <w:rFonts w:hint="eastAsia"/>
        </w:rPr>
        <w:t>執行率=執行數/年計畫經費，餘同表1。</w:t>
      </w:r>
    </w:p>
    <w:p w:rsidR="00E0237E" w:rsidRDefault="00E0237E" w:rsidP="007668ED">
      <w:pPr>
        <w:pStyle w:val="142"/>
        <w:ind w:leftChars="10" w:left="1203" w:hangingChars="483" w:hanging="1175"/>
        <w:jc w:val="both"/>
      </w:pPr>
      <w:r w:rsidRPr="00441D6C">
        <w:rPr>
          <w:rFonts w:hint="eastAsia"/>
        </w:rPr>
        <w:t>資料來源：</w:t>
      </w:r>
      <w:r>
        <w:rPr>
          <w:rFonts w:hint="eastAsia"/>
        </w:rPr>
        <w:t>國發會；本中心整理。</w:t>
      </w:r>
    </w:p>
    <w:p w:rsidR="00E0237E" w:rsidRDefault="00E0237E" w:rsidP="007668ED">
      <w:pPr>
        <w:pStyle w:val="a5"/>
        <w:ind w:left="849" w:hanging="283"/>
        <w:rPr>
          <w:b/>
        </w:rPr>
      </w:pPr>
      <w:r w:rsidRPr="009875E5">
        <w:rPr>
          <w:rFonts w:hint="eastAsia"/>
          <w:b/>
        </w:rPr>
        <w:t>(</w:t>
      </w:r>
      <w:r>
        <w:rPr>
          <w:rFonts w:hint="eastAsia"/>
          <w:b/>
        </w:rPr>
        <w:t>五</w:t>
      </w:r>
      <w:r w:rsidRPr="009875E5">
        <w:rPr>
          <w:rFonts w:hint="eastAsia"/>
          <w:b/>
        </w:rPr>
        <w:t>)</w:t>
      </w:r>
      <w:r>
        <w:rPr>
          <w:rFonts w:hint="eastAsia"/>
          <w:b/>
        </w:rPr>
        <w:t>財政收支劃分法之修正及美國對等關稅政策</w:t>
      </w:r>
      <w:r w:rsidRPr="00C72B79">
        <w:rPr>
          <w:rFonts w:hint="eastAsia"/>
          <w:b/>
        </w:rPr>
        <w:t>對全球經貿影響之</w:t>
      </w:r>
      <w:r>
        <w:rPr>
          <w:rFonts w:hint="eastAsia"/>
          <w:b/>
        </w:rPr>
        <w:t>不確定性，恐影響嗣後公共建設之執行</w:t>
      </w:r>
    </w:p>
    <w:p w:rsidR="00E0237E" w:rsidRDefault="00E0237E" w:rsidP="007668ED">
      <w:pPr>
        <w:pStyle w:val="21"/>
        <w:ind w:left="850" w:firstLine="566"/>
        <w:rPr>
          <w:snapToGrid/>
        </w:rPr>
      </w:pPr>
      <w:r>
        <w:rPr>
          <w:rFonts w:hint="eastAsia"/>
          <w:snapToGrid/>
        </w:rPr>
        <w:t>財政收支劃分法修正案於113年12月20日</w:t>
      </w:r>
      <w:r w:rsidRPr="00E24A61">
        <w:rPr>
          <w:rFonts w:hint="eastAsia"/>
          <w:snapToGrid/>
        </w:rPr>
        <w:t>經本院</w:t>
      </w:r>
      <w:r>
        <w:rPr>
          <w:rFonts w:hint="eastAsia"/>
          <w:snapToGrid/>
        </w:rPr>
        <w:t>三讀通過，</w:t>
      </w:r>
      <w:r w:rsidRPr="00E24A61">
        <w:rPr>
          <w:rFonts w:hint="eastAsia"/>
          <w:snapToGrid/>
        </w:rPr>
        <w:t>並於</w:t>
      </w:r>
      <w:r w:rsidRPr="00FB52C5">
        <w:rPr>
          <w:rFonts w:hint="eastAsia"/>
          <w:snapToGrid/>
        </w:rPr>
        <w:t>114年3月21日</w:t>
      </w:r>
      <w:r w:rsidRPr="00E24A61">
        <w:rPr>
          <w:rFonts w:hint="eastAsia"/>
          <w:snapToGrid/>
        </w:rPr>
        <w:t>經總統公布施行，</w:t>
      </w:r>
      <w:r w:rsidRPr="00BF089F">
        <w:rPr>
          <w:rFonts w:hint="eastAsia"/>
          <w:snapToGrid/>
        </w:rPr>
        <w:t>中央</w:t>
      </w:r>
      <w:r>
        <w:rPr>
          <w:rFonts w:hint="eastAsia"/>
          <w:snapToGrid/>
        </w:rPr>
        <w:t>政府</w:t>
      </w:r>
      <w:r w:rsidRPr="00BF089F">
        <w:rPr>
          <w:rFonts w:hint="eastAsia"/>
          <w:snapToGrid/>
        </w:rPr>
        <w:t>增加釋出財源，可支配財源縮減，</w:t>
      </w:r>
      <w:r>
        <w:rPr>
          <w:rFonts w:hint="eastAsia"/>
          <w:snapToGrid/>
        </w:rPr>
        <w:t>相關公共建設經費</w:t>
      </w:r>
      <w:r w:rsidRPr="00BF089F">
        <w:rPr>
          <w:rFonts w:hint="eastAsia"/>
          <w:snapToGrid/>
        </w:rPr>
        <w:t>配置</w:t>
      </w:r>
      <w:r>
        <w:rPr>
          <w:rFonts w:hint="eastAsia"/>
          <w:snapToGrid/>
        </w:rPr>
        <w:t>將配合調整</w:t>
      </w:r>
      <w:r w:rsidRPr="00BF089F">
        <w:rPr>
          <w:rFonts w:hint="eastAsia"/>
          <w:snapToGrid/>
        </w:rPr>
        <w:t>，</w:t>
      </w:r>
      <w:r>
        <w:rPr>
          <w:rFonts w:hint="eastAsia"/>
          <w:snapToGrid/>
        </w:rPr>
        <w:t>詢據國發會及工程會說明因應措施略以，包括</w:t>
      </w:r>
      <w:r w:rsidRPr="00B5479F">
        <w:rPr>
          <w:rFonts w:hint="eastAsia"/>
          <w:snapToGrid/>
        </w:rPr>
        <w:t>依必要性、重要性、急迫性盤點優先辦理計畫</w:t>
      </w:r>
      <w:r>
        <w:rPr>
          <w:rFonts w:hint="eastAsia"/>
          <w:snapToGrid/>
        </w:rPr>
        <w:t>；</w:t>
      </w:r>
      <w:r w:rsidRPr="00B5479F">
        <w:rPr>
          <w:rFonts w:hint="eastAsia"/>
          <w:snapToGrid/>
        </w:rPr>
        <w:t>依工程量能、工程進度與付款期程，核實檢討計畫期程，適時辦理計畫修正，展延期程並逐年編足預算</w:t>
      </w:r>
      <w:r>
        <w:rPr>
          <w:rFonts w:hint="eastAsia"/>
          <w:snapToGrid/>
        </w:rPr>
        <w:t>；</w:t>
      </w:r>
      <w:r w:rsidRPr="00B5479F">
        <w:rPr>
          <w:rFonts w:hint="eastAsia"/>
          <w:snapToGrid/>
        </w:rPr>
        <w:t>規劃中及尚待提報之計畫，先行評估採促參方式辦理之可行性</w:t>
      </w:r>
      <w:r>
        <w:rPr>
          <w:rFonts w:hint="eastAsia"/>
          <w:snapToGrid/>
        </w:rPr>
        <w:t>；及</w:t>
      </w:r>
      <w:r w:rsidRPr="00B5479F">
        <w:rPr>
          <w:rFonts w:hint="eastAsia"/>
          <w:snapToGrid/>
        </w:rPr>
        <w:t>補助市縣政府部分，</w:t>
      </w:r>
      <w:r>
        <w:rPr>
          <w:rFonts w:hint="eastAsia"/>
          <w:snapToGrid/>
        </w:rPr>
        <w:t>可由行政院主計總處</w:t>
      </w:r>
      <w:r w:rsidRPr="00B5479F">
        <w:rPr>
          <w:rFonts w:hint="eastAsia"/>
          <w:snapToGrid/>
        </w:rPr>
        <w:t>適</w:t>
      </w:r>
      <w:r w:rsidRPr="00B5479F">
        <w:rPr>
          <w:rFonts w:hint="eastAsia"/>
          <w:snapToGrid/>
        </w:rPr>
        <w:lastRenderedPageBreak/>
        <w:t>時研議評估調整經費補助比例</w:t>
      </w:r>
      <w:r>
        <w:rPr>
          <w:rFonts w:hint="eastAsia"/>
          <w:snapToGrid/>
        </w:rPr>
        <w:t>，或</w:t>
      </w:r>
      <w:r w:rsidRPr="00CD6BE4">
        <w:rPr>
          <w:rFonts w:hint="eastAsia"/>
          <w:snapToGrid/>
        </w:rPr>
        <w:t>評估是否有應回歸地方政府辦理事項</w:t>
      </w:r>
      <w:r w:rsidRPr="00B5479F">
        <w:rPr>
          <w:rFonts w:hint="eastAsia"/>
          <w:snapToGrid/>
        </w:rPr>
        <w:t>。</w:t>
      </w:r>
    </w:p>
    <w:p w:rsidR="00E0237E" w:rsidRDefault="00E0237E" w:rsidP="007668ED">
      <w:pPr>
        <w:pStyle w:val="21"/>
        <w:ind w:left="850" w:firstLine="566"/>
        <w:rPr>
          <w:snapToGrid/>
        </w:rPr>
      </w:pPr>
      <w:r>
        <w:rPr>
          <w:rFonts w:hint="eastAsia"/>
          <w:snapToGrid/>
        </w:rPr>
        <w:t>另據工程會表示略以，</w:t>
      </w:r>
      <w:r w:rsidRPr="00121E9B">
        <w:rPr>
          <w:rFonts w:hint="eastAsia"/>
          <w:snapToGrid/>
        </w:rPr>
        <w:t>因應美國對世界各國進出口之對等關稅政策持續變動，</w:t>
      </w:r>
      <w:r>
        <w:rPr>
          <w:rFonts w:hint="eastAsia"/>
          <w:snapToGrid/>
        </w:rPr>
        <w:t>恐</w:t>
      </w:r>
      <w:r w:rsidRPr="00121E9B">
        <w:rPr>
          <w:rFonts w:hint="eastAsia"/>
          <w:snapToGrid/>
        </w:rPr>
        <w:t>造成計畫內所需之設備成本大幅波動，</w:t>
      </w:r>
      <w:r>
        <w:rPr>
          <w:rFonts w:hint="eastAsia"/>
          <w:snapToGrid/>
        </w:rPr>
        <w:t>該會將</w:t>
      </w:r>
      <w:r w:rsidRPr="00121E9B">
        <w:rPr>
          <w:rFonts w:hint="eastAsia"/>
          <w:snapToGrid/>
        </w:rPr>
        <w:t>於「公共建設督導會報」委員會議提醒各機關應盤點及預為因應，提早辦理採購及進口作業，避免未來遭遇可能之航運塞港或物價波動等風險，影響公共建設執行</w:t>
      </w:r>
      <w:r>
        <w:rPr>
          <w:rFonts w:hint="eastAsia"/>
          <w:snapToGrid/>
        </w:rPr>
        <w:t>；</w:t>
      </w:r>
      <w:r w:rsidRPr="009D110F">
        <w:rPr>
          <w:rFonts w:hint="eastAsia"/>
          <w:snapToGrid/>
        </w:rPr>
        <w:t>並持續推動公共工程優先採用本地生產或再生材料，減少對進口建材來源</w:t>
      </w:r>
      <w:r>
        <w:rPr>
          <w:rFonts w:hint="eastAsia"/>
          <w:snapToGrid/>
        </w:rPr>
        <w:t>之</w:t>
      </w:r>
      <w:r w:rsidRPr="009D110F">
        <w:rPr>
          <w:rFonts w:hint="eastAsia"/>
          <w:snapToGrid/>
        </w:rPr>
        <w:t>依賴</w:t>
      </w:r>
      <w:r>
        <w:rPr>
          <w:rFonts w:hint="eastAsia"/>
          <w:snapToGrid/>
        </w:rPr>
        <w:t>。</w:t>
      </w:r>
    </w:p>
    <w:p w:rsidR="00E0237E" w:rsidRDefault="00E0237E">
      <w:pPr>
        <w:ind w:left="566" w:firstLine="566"/>
        <w:rPr>
          <w:rFonts w:hAnsi="標楷體"/>
        </w:rPr>
      </w:pPr>
      <w:r>
        <w:rPr>
          <w:rFonts w:hint="eastAsia"/>
          <w:snapToGrid/>
        </w:rPr>
        <w:t>綜上，我國</w:t>
      </w:r>
      <w:r w:rsidRPr="00480F86">
        <w:rPr>
          <w:rFonts w:hAnsi="標楷體" w:hint="eastAsia"/>
        </w:rPr>
        <w:t>整體公共建設經費至113年度逾7,000億元，惟執行率降至近年最低，</w:t>
      </w:r>
      <w:r w:rsidRPr="00775901">
        <w:rPr>
          <w:rFonts w:hAnsi="標楷體" w:hint="eastAsia"/>
        </w:rPr>
        <w:t>部分公共建設計畫經費執行率偏低，</w:t>
      </w:r>
      <w:r w:rsidRPr="00480F86">
        <w:rPr>
          <w:rFonts w:hAnsi="標楷體" w:hint="eastAsia"/>
        </w:rPr>
        <w:t>且財政收支劃分法之修正及美國對等關稅政策</w:t>
      </w:r>
      <w:r w:rsidRPr="00C72B79">
        <w:rPr>
          <w:rFonts w:hAnsi="標楷體" w:hint="eastAsia"/>
        </w:rPr>
        <w:t>對全球經貿影響之</w:t>
      </w:r>
      <w:r w:rsidRPr="00480F86">
        <w:rPr>
          <w:rFonts w:hAnsi="標楷體" w:hint="eastAsia"/>
        </w:rPr>
        <w:t>不確定性，恐影響</w:t>
      </w:r>
      <w:r>
        <w:rPr>
          <w:rFonts w:hAnsi="標楷體" w:hint="eastAsia"/>
        </w:rPr>
        <w:t>嗣後</w:t>
      </w:r>
      <w:r w:rsidRPr="00480F86">
        <w:rPr>
          <w:rFonts w:hAnsi="標楷體" w:hint="eastAsia"/>
        </w:rPr>
        <w:t>公共建設之執行</w:t>
      </w:r>
      <w:r>
        <w:rPr>
          <w:rFonts w:hAnsi="標楷體" w:hint="eastAsia"/>
        </w:rPr>
        <w:t>，</w:t>
      </w:r>
      <w:r w:rsidRPr="00705CE4">
        <w:rPr>
          <w:rFonts w:hAnsi="標楷體" w:hint="eastAsia"/>
        </w:rPr>
        <w:t>允宜強化預算執行之控管</w:t>
      </w:r>
      <w:r>
        <w:rPr>
          <w:rFonts w:hAnsi="標楷體" w:hint="eastAsia"/>
        </w:rPr>
        <w:t>，並</w:t>
      </w:r>
      <w:r w:rsidRPr="00705CE4">
        <w:rPr>
          <w:rFonts w:hAnsi="標楷體" w:hint="eastAsia"/>
        </w:rPr>
        <w:t>衡酌</w:t>
      </w:r>
      <w:r>
        <w:rPr>
          <w:rFonts w:hAnsi="標楷體" w:hint="eastAsia"/>
        </w:rPr>
        <w:t>財源及</w:t>
      </w:r>
      <w:r w:rsidRPr="00705CE4">
        <w:rPr>
          <w:rFonts w:hAnsi="標楷體" w:hint="eastAsia"/>
        </w:rPr>
        <w:t>執行量能妥為因應，</w:t>
      </w:r>
      <w:r>
        <w:rPr>
          <w:rFonts w:hAnsi="標楷體" w:hint="eastAsia"/>
        </w:rPr>
        <w:t>以利國家長期及整體之發展</w:t>
      </w:r>
      <w:r w:rsidRPr="00705CE4">
        <w:rPr>
          <w:rFonts w:hAnsi="標楷體" w:hint="eastAsia"/>
        </w:rPr>
        <w:t>。</w:t>
      </w:r>
    </w:p>
    <w:p w:rsidR="00E0237E" w:rsidRPr="008260FD" w:rsidRDefault="00E0237E" w:rsidP="007668ED">
      <w:pPr>
        <w:pStyle w:val="a8"/>
        <w:ind w:left="487" w:firstLine="486"/>
        <w:jc w:val="right"/>
      </w:pPr>
      <w:r w:rsidRPr="00441D6C">
        <w:rPr>
          <w:rFonts w:hint="eastAsia"/>
          <w:sz w:val="24"/>
        </w:rPr>
        <w:t>(分機：1916黃怡娟)</w:t>
      </w:r>
    </w:p>
    <w:sectPr w:rsidR="00E0237E" w:rsidRPr="008260FD" w:rsidSect="004C51A4">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pgNumType w:start="1"/>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673B9" w:rsidRDefault="003673B9">
      <w:pPr>
        <w:spacing w:line="240" w:lineRule="auto"/>
        <w:ind w:left="560" w:firstLine="560"/>
      </w:pPr>
      <w:r>
        <w:separator/>
      </w:r>
    </w:p>
  </w:endnote>
  <w:endnote w:type="continuationSeparator" w:id="0">
    <w:p w:rsidR="003673B9" w:rsidRDefault="003673B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華康楷書體W5">
    <w:panose1 w:val="03000509000000000000"/>
    <w:charset w:val="88"/>
    <w:family w:val="script"/>
    <w:pitch w:val="fixed"/>
    <w:sig w:usb0="80000001" w:usb1="28091800" w:usb2="00000016" w:usb3="00000000" w:csb0="00100000"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細明體">
    <w:altName w:val="MingLiU"/>
    <w:panose1 w:val="02020509000000000000"/>
    <w:charset w:val="88"/>
    <w:family w:val="modern"/>
    <w:pitch w:val="fixed"/>
    <w:sig w:usb0="A00002FF" w:usb1="28CFFCFA" w:usb2="00000016" w:usb3="00000000" w:csb0="00100001" w:csb1="00000000"/>
  </w:font>
  <w:font w:name="Courier New">
    <w:panose1 w:val="02070309020205020404"/>
    <w:charset w:val="00"/>
    <w:family w:val="modern"/>
    <w:pitch w:val="fixed"/>
    <w:sig w:usb0="E0002EFF" w:usb1="C0007843" w:usb2="00000009" w:usb3="00000000" w:csb0="000001FF" w:csb1="00000000"/>
  </w:font>
  <w:font w:name="華康中黑體">
    <w:panose1 w:val="020B0509000000000000"/>
    <w:charset w:val="88"/>
    <w:family w:val="modern"/>
    <w:pitch w:val="fixed"/>
    <w:sig w:usb0="80000001" w:usb1="28091800" w:usb2="00000016" w:usb3="00000000" w:csb0="00100000" w:csb1="00000000"/>
  </w:font>
  <w:font w:name="華康細明體">
    <w:panose1 w:val="02020309000000000000"/>
    <w:charset w:val="88"/>
    <w:family w:val="modern"/>
    <w:pitch w:val="fixed"/>
    <w:sig w:usb0="80000001" w:usb1="28091800" w:usb2="00000016" w:usb3="00000000" w:csb0="00100000" w:csb1="00000000"/>
  </w:font>
  <w:font w:name="Tms Rmn">
    <w:panose1 w:val="02020603040505020304"/>
    <w:charset w:val="00"/>
    <w:family w:val="roman"/>
    <w:pitch w:val="variable"/>
    <w:sig w:usb0="00000003" w:usb1="00000000" w:usb2="00000000" w:usb3="00000000" w:csb0="00000001" w:csb1="00000000"/>
  </w:font>
  <w:font w:name="Mangal">
    <w:panose1 w:val="00000400000000000000"/>
    <w:charset w:val="01"/>
    <w:family w:val="roman"/>
    <w:pitch w:val="variable"/>
    <w:sig w:usb0="00002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 w:name="新細明體, PMingLiU">
    <w:altName w:val="Times New Roman"/>
    <w:charset w:val="00"/>
    <w:family w:val="roman"/>
    <w:pitch w:val="variable"/>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7668ED">
    <w:pPr>
      <w:pStyle w:val="af2"/>
      <w:framePr w:wrap="around" w:vAnchor="text" w:hAnchor="margin" w:xAlign="center" w:y="1"/>
      <w:ind w:left="560" w:firstLine="400"/>
      <w:rPr>
        <w:rStyle w:val="aff"/>
      </w:rPr>
    </w:pPr>
    <w:r>
      <w:rPr>
        <w:rStyle w:val="aff"/>
      </w:rPr>
      <w:fldChar w:fldCharType="begin"/>
    </w:r>
    <w:r>
      <w:rPr>
        <w:rStyle w:val="aff"/>
      </w:rPr>
      <w:instrText xml:space="preserve"> PAGE </w:instrText>
    </w:r>
    <w:r>
      <w:rPr>
        <w:rStyle w:val="aff"/>
      </w:rPr>
      <w:fldChar w:fldCharType="end"/>
    </w:r>
  </w:p>
  <w:p w:rsidR="007668ED" w:rsidRDefault="007668ED" w:rsidP="007668ED">
    <w:pPr>
      <w:pStyle w:val="af2"/>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10159" w:rsidRDefault="00510159" w:rsidP="00CA1921">
    <w:pPr>
      <w:pStyle w:val="af2"/>
      <w:framePr w:wrap="around" w:vAnchor="text" w:hAnchor="page" w:x="5072" w:y="11"/>
      <w:ind w:left="560" w:firstLine="400"/>
      <w:rPr>
        <w:rStyle w:val="aff"/>
      </w:rPr>
    </w:pPr>
    <w:r>
      <w:rPr>
        <w:rStyle w:val="aff"/>
      </w:rPr>
      <w:fldChar w:fldCharType="begin"/>
    </w:r>
    <w:r>
      <w:rPr>
        <w:rStyle w:val="aff"/>
      </w:rPr>
      <w:instrText xml:space="preserve"> PAGE </w:instrText>
    </w:r>
    <w:r>
      <w:rPr>
        <w:rStyle w:val="aff"/>
      </w:rPr>
      <w:fldChar w:fldCharType="separate"/>
    </w:r>
    <w:r w:rsidR="004C51A4">
      <w:rPr>
        <w:rStyle w:val="aff"/>
        <w:noProof/>
      </w:rPr>
      <w:t>5</w:t>
    </w:r>
    <w:r>
      <w:rPr>
        <w:rStyle w:val="aff"/>
      </w:rPr>
      <w:fldChar w:fldCharType="end"/>
    </w:r>
  </w:p>
  <w:p w:rsidR="007668ED" w:rsidRPr="00510159" w:rsidRDefault="007668ED" w:rsidP="00CA1921">
    <w:pPr>
      <w:pStyle w:val="af2"/>
      <w:ind w:leftChars="0" w:left="0" w:firstLineChars="0" w:firstLine="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2"/>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673B9" w:rsidRDefault="003673B9">
      <w:pPr>
        <w:spacing w:line="240" w:lineRule="auto"/>
        <w:ind w:left="560" w:firstLine="560"/>
      </w:pPr>
      <w:r>
        <w:separator/>
      </w:r>
    </w:p>
  </w:footnote>
  <w:footnote w:type="continuationSeparator" w:id="0">
    <w:p w:rsidR="003673B9" w:rsidRDefault="003673B9">
      <w:pPr>
        <w:spacing w:line="240" w:lineRule="auto"/>
        <w:ind w:left="560" w:firstLine="560"/>
      </w:pPr>
      <w:r>
        <w:continuationSeparator/>
      </w:r>
    </w:p>
  </w:footnote>
  <w:footnote w:id="1">
    <w:p w:rsidR="00E0237E" w:rsidRDefault="00E0237E" w:rsidP="007668ED">
      <w:pPr>
        <w:pStyle w:val="142"/>
        <w:ind w:leftChars="-1" w:left="182" w:hangingChars="76" w:hanging="185"/>
        <w:jc w:val="both"/>
      </w:pPr>
      <w:r>
        <w:rPr>
          <w:rStyle w:val="af4"/>
        </w:rPr>
        <w:footnoteRef/>
      </w:r>
      <w:r>
        <w:t xml:space="preserve"> </w:t>
      </w:r>
      <w:r>
        <w:rPr>
          <w:rFonts w:hint="eastAsia"/>
        </w:rPr>
        <w:t>資料來源，行政院主計總處。</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Pr="00510159" w:rsidRDefault="007668ED" w:rsidP="00510159">
    <w:pPr>
      <w:pStyle w:val="af"/>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668ED" w:rsidRDefault="007668ED" w:rsidP="007668ED">
    <w:pPr>
      <w:pStyle w:val="af"/>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8488EFC6"/>
    <w:lvl w:ilvl="0">
      <w:start w:val="1"/>
      <w:numFmt w:val="bullet"/>
      <w:pStyle w:val="a"/>
      <w:lvlText w:val=""/>
      <w:lvlJc w:val="left"/>
      <w:pPr>
        <w:tabs>
          <w:tab w:val="num" w:pos="361"/>
        </w:tabs>
        <w:ind w:leftChars="200" w:left="361" w:hangingChars="200" w:hanging="360"/>
      </w:pPr>
      <w:rPr>
        <w:rFonts w:ascii="Wingdings" w:hAnsi="Wingdings" w:hint="default"/>
      </w:rPr>
    </w:lvl>
  </w:abstractNum>
  <w:abstractNum w:abstractNumId="1" w15:restartNumberingAfterBreak="0">
    <w:nsid w:val="00E33187"/>
    <w:multiLevelType w:val="hybridMultilevel"/>
    <w:tmpl w:val="6C4C3AAE"/>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 w15:restartNumberingAfterBreak="0">
    <w:nsid w:val="049D30B2"/>
    <w:multiLevelType w:val="hybridMultilevel"/>
    <w:tmpl w:val="BB6A7E64"/>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 w15:restartNumberingAfterBreak="0">
    <w:nsid w:val="05DE40A4"/>
    <w:multiLevelType w:val="hybridMultilevel"/>
    <w:tmpl w:val="1D3A98DC"/>
    <w:lvl w:ilvl="0" w:tplc="AE6008A4">
      <w:start w:val="1"/>
      <w:numFmt w:val="decimal"/>
      <w:pStyle w:val="99"/>
      <w:lvlText w:val="表%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06F47F1B"/>
    <w:multiLevelType w:val="hybridMultilevel"/>
    <w:tmpl w:val="AE5EE48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start w:val="1"/>
      <w:numFmt w:val="decimal"/>
      <w:lvlText w:val="%4."/>
      <w:lvlJc w:val="left"/>
      <w:pPr>
        <w:ind w:left="48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070F7B07"/>
    <w:multiLevelType w:val="hybridMultilevel"/>
    <w:tmpl w:val="A1687AEC"/>
    <w:lvl w:ilvl="0" w:tplc="3026A01A">
      <w:start w:val="1"/>
      <w:numFmt w:val="taiwaneseCountingThousand"/>
      <w:lvlText w:val="%1、"/>
      <w:lvlJc w:val="left"/>
      <w:pPr>
        <w:ind w:left="5301" w:hanging="480"/>
      </w:pPr>
      <w:rPr>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087657A6"/>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089F7359"/>
    <w:multiLevelType w:val="hybridMultilevel"/>
    <w:tmpl w:val="3A3EC1B8"/>
    <w:lvl w:ilvl="0" w:tplc="B19064B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15:restartNumberingAfterBreak="0">
    <w:nsid w:val="0CE71C46"/>
    <w:multiLevelType w:val="hybridMultilevel"/>
    <w:tmpl w:val="7714D6B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12475C12"/>
    <w:multiLevelType w:val="hybridMultilevel"/>
    <w:tmpl w:val="6A827372"/>
    <w:lvl w:ilvl="0" w:tplc="0CDA81FE">
      <w:start w:val="1"/>
      <w:numFmt w:val="taiwaneseCountingThousand"/>
      <w:lvlText w:val="%1、"/>
      <w:lvlJc w:val="left"/>
      <w:pPr>
        <w:ind w:left="1285" w:hanging="720"/>
      </w:pPr>
      <w:rPr>
        <w:rFonts w:hint="default"/>
      </w:rPr>
    </w:lvl>
    <w:lvl w:ilvl="1" w:tplc="04090019" w:tentative="1">
      <w:start w:val="1"/>
      <w:numFmt w:val="ideographTraditional"/>
      <w:lvlText w:val="%2、"/>
      <w:lvlJc w:val="left"/>
      <w:pPr>
        <w:ind w:left="1525" w:hanging="480"/>
      </w:pPr>
    </w:lvl>
    <w:lvl w:ilvl="2" w:tplc="0409001B" w:tentative="1">
      <w:start w:val="1"/>
      <w:numFmt w:val="lowerRoman"/>
      <w:lvlText w:val="%3."/>
      <w:lvlJc w:val="right"/>
      <w:pPr>
        <w:ind w:left="2005" w:hanging="480"/>
      </w:pPr>
    </w:lvl>
    <w:lvl w:ilvl="3" w:tplc="0409000F" w:tentative="1">
      <w:start w:val="1"/>
      <w:numFmt w:val="decimal"/>
      <w:lvlText w:val="%4."/>
      <w:lvlJc w:val="left"/>
      <w:pPr>
        <w:ind w:left="2485" w:hanging="480"/>
      </w:pPr>
    </w:lvl>
    <w:lvl w:ilvl="4" w:tplc="04090019" w:tentative="1">
      <w:start w:val="1"/>
      <w:numFmt w:val="ideographTraditional"/>
      <w:lvlText w:val="%5、"/>
      <w:lvlJc w:val="left"/>
      <w:pPr>
        <w:ind w:left="2965" w:hanging="480"/>
      </w:pPr>
    </w:lvl>
    <w:lvl w:ilvl="5" w:tplc="0409001B" w:tentative="1">
      <w:start w:val="1"/>
      <w:numFmt w:val="lowerRoman"/>
      <w:lvlText w:val="%6."/>
      <w:lvlJc w:val="right"/>
      <w:pPr>
        <w:ind w:left="3445" w:hanging="480"/>
      </w:pPr>
    </w:lvl>
    <w:lvl w:ilvl="6" w:tplc="0409000F" w:tentative="1">
      <w:start w:val="1"/>
      <w:numFmt w:val="decimal"/>
      <w:lvlText w:val="%7."/>
      <w:lvlJc w:val="left"/>
      <w:pPr>
        <w:ind w:left="3925" w:hanging="480"/>
      </w:pPr>
    </w:lvl>
    <w:lvl w:ilvl="7" w:tplc="04090019" w:tentative="1">
      <w:start w:val="1"/>
      <w:numFmt w:val="ideographTraditional"/>
      <w:lvlText w:val="%8、"/>
      <w:lvlJc w:val="left"/>
      <w:pPr>
        <w:ind w:left="4405" w:hanging="480"/>
      </w:pPr>
    </w:lvl>
    <w:lvl w:ilvl="8" w:tplc="0409001B" w:tentative="1">
      <w:start w:val="1"/>
      <w:numFmt w:val="lowerRoman"/>
      <w:lvlText w:val="%9."/>
      <w:lvlJc w:val="right"/>
      <w:pPr>
        <w:ind w:left="4885" w:hanging="480"/>
      </w:pPr>
    </w:lvl>
  </w:abstractNum>
  <w:abstractNum w:abstractNumId="10" w15:restartNumberingAfterBreak="0">
    <w:nsid w:val="13514787"/>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13960CA5"/>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140E010C"/>
    <w:multiLevelType w:val="multilevel"/>
    <w:tmpl w:val="FBC2DBF8"/>
    <w:lvl w:ilvl="0">
      <w:start w:val="1"/>
      <w:numFmt w:val="ideographLegalTraditional"/>
      <w:suff w:val="nothing"/>
      <w:lvlText w:val="%1、"/>
      <w:lvlJc w:val="left"/>
      <w:pPr>
        <w:ind w:left="699" w:hanging="699"/>
      </w:pPr>
      <w:rPr>
        <w:rFonts w:ascii="華康楷書體W5" w:eastAsia="華康楷書體W5" w:hint="eastAsia"/>
        <w:b w:val="0"/>
        <w:i w:val="0"/>
        <w:snapToGrid/>
        <w:spacing w:val="0"/>
        <w:w w:val="100"/>
        <w:position w:val="0"/>
        <w:sz w:val="32"/>
      </w:rPr>
    </w:lvl>
    <w:lvl w:ilvl="1">
      <w:start w:val="1"/>
      <w:numFmt w:val="taiwaneseCountingThousand"/>
      <w:pStyle w:val="2"/>
      <w:suff w:val="nothing"/>
      <w:lvlText w:val="%2、"/>
      <w:lvlJc w:val="left"/>
      <w:pPr>
        <w:ind w:left="1045" w:hanging="697"/>
      </w:pPr>
      <w:rPr>
        <w:rFonts w:ascii="華康楷書體W5" w:eastAsia="華康楷書體W5" w:hint="eastAsia"/>
        <w:b w:val="0"/>
        <w:i w:val="0"/>
        <w:snapToGrid/>
        <w:spacing w:val="0"/>
        <w:w w:val="100"/>
        <w:position w:val="0"/>
        <w:sz w:val="32"/>
        <w:em w:val="none"/>
      </w:rPr>
    </w:lvl>
    <w:lvl w:ilvl="2">
      <w:start w:val="1"/>
      <w:numFmt w:val="taiwaneseCountingThousand"/>
      <w:pStyle w:val="3"/>
      <w:suff w:val="nothing"/>
      <w:lvlText w:val="(%3)"/>
      <w:lvlJc w:val="left"/>
      <w:pPr>
        <w:ind w:left="1393" w:hanging="697"/>
      </w:pPr>
      <w:rPr>
        <w:rFonts w:ascii="華康楷書體W5" w:eastAsia="華康楷書體W5" w:hint="eastAsia"/>
        <w:b w:val="0"/>
        <w:i w:val="0"/>
        <w:spacing w:val="0"/>
        <w:w w:val="100"/>
        <w:position w:val="0"/>
        <w:sz w:val="32"/>
      </w:rPr>
    </w:lvl>
    <w:lvl w:ilvl="3">
      <w:start w:val="1"/>
      <w:numFmt w:val="decimalFullWidth"/>
      <w:pStyle w:val="4"/>
      <w:suff w:val="nothing"/>
      <w:lvlText w:val="%4、"/>
      <w:lvlJc w:val="left"/>
      <w:pPr>
        <w:ind w:left="1741" w:hanging="698"/>
      </w:pPr>
      <w:rPr>
        <w:rFonts w:ascii="華康楷書體W5" w:eastAsia="華康楷書體W5" w:hint="eastAsia"/>
        <w:b w:val="0"/>
        <w:i w:val="0"/>
        <w:spacing w:val="0"/>
        <w:w w:val="100"/>
        <w:position w:val="0"/>
        <w:sz w:val="32"/>
      </w:rPr>
    </w:lvl>
    <w:lvl w:ilvl="4">
      <w:start w:val="1"/>
      <w:numFmt w:val="decimalFullWidth"/>
      <w:pStyle w:val="5"/>
      <w:suff w:val="nothing"/>
      <w:lvlText w:val="(%5)"/>
      <w:lvlJc w:val="left"/>
      <w:pPr>
        <w:ind w:left="2095" w:hanging="700"/>
      </w:pPr>
      <w:rPr>
        <w:rFonts w:ascii="華康楷書體W5" w:eastAsia="華康楷書體W5" w:hint="eastAsia"/>
        <w:b w:val="0"/>
        <w:i w:val="0"/>
        <w:snapToGrid/>
        <w:spacing w:val="0"/>
        <w:w w:val="100"/>
        <w:position w:val="0"/>
        <w:sz w:val="32"/>
      </w:rPr>
    </w:lvl>
    <w:lvl w:ilvl="5">
      <w:start w:val="1"/>
      <w:numFmt w:val="decimalFullWidth"/>
      <w:pStyle w:val="6"/>
      <w:suff w:val="nothing"/>
      <w:lvlText w:val="&lt;%6&gt;"/>
      <w:lvlJc w:val="left"/>
      <w:pPr>
        <w:ind w:left="2441" w:hanging="697"/>
      </w:pPr>
      <w:rPr>
        <w:rFonts w:ascii="華康楷書體W5" w:eastAsia="華康楷書體W5" w:hint="eastAsia"/>
        <w:b w:val="0"/>
        <w:i w:val="0"/>
        <w:snapToGrid/>
        <w:spacing w:val="0"/>
        <w:w w:val="100"/>
        <w:position w:val="0"/>
        <w:sz w:val="32"/>
      </w:rPr>
    </w:lvl>
    <w:lvl w:ilvl="6">
      <w:start w:val="1"/>
      <w:numFmt w:val="bullet"/>
      <w:pStyle w:val="7"/>
      <w:suff w:val="nothing"/>
      <w:lvlText w:val="․"/>
      <w:lvlJc w:val="left"/>
      <w:pPr>
        <w:ind w:left="2444" w:hanging="352"/>
      </w:pPr>
      <w:rPr>
        <w:rFonts w:ascii="華康楷書體W5" w:eastAsia="華康楷書體W5" w:hint="eastAsia"/>
        <w:b w:val="0"/>
        <w:i w:val="0"/>
        <w:snapToGrid/>
        <w:spacing w:val="0"/>
        <w:w w:val="100"/>
        <w:position w:val="0"/>
        <w:sz w:val="32"/>
      </w:rPr>
    </w:lvl>
    <w:lvl w:ilvl="7">
      <w:start w:val="1"/>
      <w:numFmt w:val="bullet"/>
      <w:pStyle w:val="8"/>
      <w:suff w:val="nothing"/>
      <w:lvlText w:val="◇"/>
      <w:lvlJc w:val="left"/>
      <w:pPr>
        <w:ind w:left="2790" w:hanging="349"/>
      </w:pPr>
      <w:rPr>
        <w:rFonts w:ascii="華康楷書體W5" w:eastAsia="華康楷書體W5" w:hint="eastAsia"/>
        <w:b w:val="0"/>
        <w:i w:val="0"/>
        <w:snapToGrid/>
        <w:spacing w:val="0"/>
        <w:w w:val="100"/>
        <w:position w:val="0"/>
        <w:sz w:val="32"/>
      </w:rPr>
    </w:lvl>
    <w:lvl w:ilvl="8">
      <w:start w:val="1"/>
      <w:numFmt w:val="decimal"/>
      <w:lvlText w:val="%1.%2.%3.%4.%5.%6.%7.%8.%9"/>
      <w:lvlJc w:val="left"/>
      <w:pPr>
        <w:tabs>
          <w:tab w:val="num" w:pos="6195"/>
        </w:tabs>
        <w:ind w:left="5015" w:hanging="1700"/>
      </w:pPr>
      <w:rPr>
        <w:rFonts w:hint="eastAsia"/>
      </w:rPr>
    </w:lvl>
  </w:abstractNum>
  <w:abstractNum w:abstractNumId="13" w15:restartNumberingAfterBreak="0">
    <w:nsid w:val="14AE792C"/>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4" w15:restartNumberingAfterBreak="0">
    <w:nsid w:val="16347129"/>
    <w:multiLevelType w:val="hybridMultilevel"/>
    <w:tmpl w:val="1A44FD68"/>
    <w:lvl w:ilvl="0" w:tplc="7946E51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51E3C20"/>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EC0A23"/>
    <w:multiLevelType w:val="hybridMultilevel"/>
    <w:tmpl w:val="4D9EF456"/>
    <w:lvl w:ilvl="0" w:tplc="0F9E92E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2CD478F9"/>
    <w:multiLevelType w:val="hybridMultilevel"/>
    <w:tmpl w:val="3676DCF2"/>
    <w:lvl w:ilvl="0" w:tplc="7D66557E">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34A30C17"/>
    <w:multiLevelType w:val="hybridMultilevel"/>
    <w:tmpl w:val="22128760"/>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363010FA"/>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36871205"/>
    <w:multiLevelType w:val="hybridMultilevel"/>
    <w:tmpl w:val="F91AED14"/>
    <w:lvl w:ilvl="0" w:tplc="CC149250">
      <w:start w:val="1"/>
      <w:numFmt w:val="bullet"/>
      <w:lvlText w:val=""/>
      <w:lvlJc w:val="left"/>
      <w:pPr>
        <w:ind w:left="480" w:hanging="480"/>
      </w:pPr>
      <w:rPr>
        <w:rFonts w:ascii="Wingdings" w:hAnsi="Wingdings" w:hint="default"/>
        <w:color w:val="auto"/>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1" w15:restartNumberingAfterBreak="0">
    <w:nsid w:val="3C5D6BBB"/>
    <w:multiLevelType w:val="hybridMultilevel"/>
    <w:tmpl w:val="00A4F682"/>
    <w:lvl w:ilvl="0" w:tplc="BDC249F8">
      <w:start w:val="33"/>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2" w15:restartNumberingAfterBreak="0">
    <w:nsid w:val="3CA259F3"/>
    <w:multiLevelType w:val="hybridMultilevel"/>
    <w:tmpl w:val="A3A450A4"/>
    <w:lvl w:ilvl="0" w:tplc="5F34B45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3" w15:restartNumberingAfterBreak="0">
    <w:nsid w:val="41AF0CF6"/>
    <w:multiLevelType w:val="hybridMultilevel"/>
    <w:tmpl w:val="CA4C594A"/>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4" w15:restartNumberingAfterBreak="0">
    <w:nsid w:val="44CF7510"/>
    <w:multiLevelType w:val="hybridMultilevel"/>
    <w:tmpl w:val="57BC35AA"/>
    <w:lvl w:ilvl="0" w:tplc="361EAE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9F90C5F"/>
    <w:multiLevelType w:val="hybridMultilevel"/>
    <w:tmpl w:val="B68243BA"/>
    <w:lvl w:ilvl="0" w:tplc="04090003">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26" w15:restartNumberingAfterBreak="0">
    <w:nsid w:val="4EEA1D82"/>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51A43639"/>
    <w:multiLevelType w:val="hybridMultilevel"/>
    <w:tmpl w:val="E70675C4"/>
    <w:lvl w:ilvl="0" w:tplc="93A6E54A">
      <w:start w:val="10"/>
      <w:numFmt w:val="decimal"/>
      <w:lvlText w:val="%1"/>
      <w:lvlJc w:val="left"/>
      <w:pPr>
        <w:ind w:left="618" w:hanging="360"/>
      </w:pPr>
      <w:rPr>
        <w:rFonts w:hint="default"/>
      </w:rPr>
    </w:lvl>
    <w:lvl w:ilvl="1" w:tplc="04090019" w:tentative="1">
      <w:start w:val="1"/>
      <w:numFmt w:val="ideographTraditional"/>
      <w:lvlText w:val="%2、"/>
      <w:lvlJc w:val="left"/>
      <w:pPr>
        <w:ind w:left="1218" w:hanging="480"/>
      </w:pPr>
    </w:lvl>
    <w:lvl w:ilvl="2" w:tplc="0409001B" w:tentative="1">
      <w:start w:val="1"/>
      <w:numFmt w:val="lowerRoman"/>
      <w:lvlText w:val="%3."/>
      <w:lvlJc w:val="right"/>
      <w:pPr>
        <w:ind w:left="1698" w:hanging="480"/>
      </w:pPr>
    </w:lvl>
    <w:lvl w:ilvl="3" w:tplc="0409000F" w:tentative="1">
      <w:start w:val="1"/>
      <w:numFmt w:val="decimal"/>
      <w:lvlText w:val="%4."/>
      <w:lvlJc w:val="left"/>
      <w:pPr>
        <w:ind w:left="2178" w:hanging="480"/>
      </w:pPr>
    </w:lvl>
    <w:lvl w:ilvl="4" w:tplc="04090019" w:tentative="1">
      <w:start w:val="1"/>
      <w:numFmt w:val="ideographTraditional"/>
      <w:lvlText w:val="%5、"/>
      <w:lvlJc w:val="left"/>
      <w:pPr>
        <w:ind w:left="2658" w:hanging="480"/>
      </w:pPr>
    </w:lvl>
    <w:lvl w:ilvl="5" w:tplc="0409001B" w:tentative="1">
      <w:start w:val="1"/>
      <w:numFmt w:val="lowerRoman"/>
      <w:lvlText w:val="%6."/>
      <w:lvlJc w:val="right"/>
      <w:pPr>
        <w:ind w:left="3138" w:hanging="480"/>
      </w:pPr>
    </w:lvl>
    <w:lvl w:ilvl="6" w:tplc="0409000F" w:tentative="1">
      <w:start w:val="1"/>
      <w:numFmt w:val="decimal"/>
      <w:lvlText w:val="%7."/>
      <w:lvlJc w:val="left"/>
      <w:pPr>
        <w:ind w:left="3618" w:hanging="480"/>
      </w:pPr>
    </w:lvl>
    <w:lvl w:ilvl="7" w:tplc="04090019" w:tentative="1">
      <w:start w:val="1"/>
      <w:numFmt w:val="ideographTraditional"/>
      <w:lvlText w:val="%8、"/>
      <w:lvlJc w:val="left"/>
      <w:pPr>
        <w:ind w:left="4098" w:hanging="480"/>
      </w:pPr>
    </w:lvl>
    <w:lvl w:ilvl="8" w:tplc="0409001B" w:tentative="1">
      <w:start w:val="1"/>
      <w:numFmt w:val="lowerRoman"/>
      <w:lvlText w:val="%9."/>
      <w:lvlJc w:val="right"/>
      <w:pPr>
        <w:ind w:left="4578" w:hanging="480"/>
      </w:pPr>
    </w:lvl>
  </w:abstractNum>
  <w:abstractNum w:abstractNumId="28" w15:restartNumberingAfterBreak="0">
    <w:nsid w:val="5B40649C"/>
    <w:multiLevelType w:val="hybridMultilevel"/>
    <w:tmpl w:val="FF503AC2"/>
    <w:lvl w:ilvl="0" w:tplc="A1AE2DB8">
      <w:start w:val="1"/>
      <w:numFmt w:val="decimal"/>
      <w:lvlText w:val="%1."/>
      <w:lvlJc w:val="left"/>
      <w:pPr>
        <w:ind w:left="1256" w:hanging="360"/>
      </w:pPr>
      <w:rPr>
        <w:rFonts w:hint="default"/>
        <w:b/>
        <w:bCs w:val="0"/>
      </w:rPr>
    </w:lvl>
    <w:lvl w:ilvl="1" w:tplc="04090019" w:tentative="1">
      <w:start w:val="1"/>
      <w:numFmt w:val="ideographTraditional"/>
      <w:lvlText w:val="%2、"/>
      <w:lvlJc w:val="left"/>
      <w:pPr>
        <w:ind w:left="1856" w:hanging="480"/>
      </w:pPr>
    </w:lvl>
    <w:lvl w:ilvl="2" w:tplc="0409001B" w:tentative="1">
      <w:start w:val="1"/>
      <w:numFmt w:val="lowerRoman"/>
      <w:lvlText w:val="%3."/>
      <w:lvlJc w:val="right"/>
      <w:pPr>
        <w:ind w:left="2336" w:hanging="480"/>
      </w:pPr>
    </w:lvl>
    <w:lvl w:ilvl="3" w:tplc="0409000F" w:tentative="1">
      <w:start w:val="1"/>
      <w:numFmt w:val="decimal"/>
      <w:lvlText w:val="%4."/>
      <w:lvlJc w:val="left"/>
      <w:pPr>
        <w:ind w:left="2816" w:hanging="480"/>
      </w:pPr>
    </w:lvl>
    <w:lvl w:ilvl="4" w:tplc="04090019" w:tentative="1">
      <w:start w:val="1"/>
      <w:numFmt w:val="ideographTraditional"/>
      <w:lvlText w:val="%5、"/>
      <w:lvlJc w:val="left"/>
      <w:pPr>
        <w:ind w:left="3296" w:hanging="480"/>
      </w:pPr>
    </w:lvl>
    <w:lvl w:ilvl="5" w:tplc="0409001B" w:tentative="1">
      <w:start w:val="1"/>
      <w:numFmt w:val="lowerRoman"/>
      <w:lvlText w:val="%6."/>
      <w:lvlJc w:val="right"/>
      <w:pPr>
        <w:ind w:left="3776" w:hanging="480"/>
      </w:pPr>
    </w:lvl>
    <w:lvl w:ilvl="6" w:tplc="0409000F" w:tentative="1">
      <w:start w:val="1"/>
      <w:numFmt w:val="decimal"/>
      <w:lvlText w:val="%7."/>
      <w:lvlJc w:val="left"/>
      <w:pPr>
        <w:ind w:left="4256" w:hanging="480"/>
      </w:pPr>
    </w:lvl>
    <w:lvl w:ilvl="7" w:tplc="04090019" w:tentative="1">
      <w:start w:val="1"/>
      <w:numFmt w:val="ideographTraditional"/>
      <w:lvlText w:val="%8、"/>
      <w:lvlJc w:val="left"/>
      <w:pPr>
        <w:ind w:left="4736" w:hanging="480"/>
      </w:pPr>
    </w:lvl>
    <w:lvl w:ilvl="8" w:tplc="0409001B" w:tentative="1">
      <w:start w:val="1"/>
      <w:numFmt w:val="lowerRoman"/>
      <w:lvlText w:val="%9."/>
      <w:lvlJc w:val="right"/>
      <w:pPr>
        <w:ind w:left="5216" w:hanging="480"/>
      </w:pPr>
    </w:lvl>
  </w:abstractNum>
  <w:abstractNum w:abstractNumId="29" w15:restartNumberingAfterBreak="0">
    <w:nsid w:val="61EA0CCE"/>
    <w:multiLevelType w:val="hybridMultilevel"/>
    <w:tmpl w:val="D4904A16"/>
    <w:lvl w:ilvl="0" w:tplc="0409000F">
      <w:start w:val="1"/>
      <w:numFmt w:val="decimal"/>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0" w15:restartNumberingAfterBreak="0">
    <w:nsid w:val="65E122A0"/>
    <w:multiLevelType w:val="hybridMultilevel"/>
    <w:tmpl w:val="B3C290C2"/>
    <w:lvl w:ilvl="0" w:tplc="27A8B184">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698D06D7"/>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2" w15:restartNumberingAfterBreak="0">
    <w:nsid w:val="69D73641"/>
    <w:multiLevelType w:val="hybridMultilevel"/>
    <w:tmpl w:val="6AC477F8"/>
    <w:lvl w:ilvl="0" w:tplc="685CEDC0">
      <w:start w:val="1"/>
      <w:numFmt w:val="decimal"/>
      <w:lvlText w:val="%1."/>
      <w:lvlJc w:val="left"/>
      <w:pPr>
        <w:ind w:left="420" w:hanging="4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6FB000BA"/>
    <w:multiLevelType w:val="hybridMultilevel"/>
    <w:tmpl w:val="FED610F6"/>
    <w:lvl w:ilvl="0" w:tplc="9EA6B1D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4" w15:restartNumberingAfterBreak="0">
    <w:nsid w:val="710B016E"/>
    <w:multiLevelType w:val="hybridMultilevel"/>
    <w:tmpl w:val="DAA80EA4"/>
    <w:lvl w:ilvl="0" w:tplc="AF280CA0">
      <w:start w:val="1"/>
      <w:numFmt w:val="decimal"/>
      <w:lvlText w:val="%1."/>
      <w:lvlJc w:val="left"/>
      <w:pPr>
        <w:ind w:left="362" w:hanging="360"/>
      </w:pPr>
      <w:rPr>
        <w:rFonts w:hint="default"/>
      </w:rPr>
    </w:lvl>
    <w:lvl w:ilvl="1" w:tplc="04090019" w:tentative="1">
      <w:start w:val="1"/>
      <w:numFmt w:val="ideographTraditional"/>
      <w:lvlText w:val="%2、"/>
      <w:lvlJc w:val="left"/>
      <w:pPr>
        <w:ind w:left="962" w:hanging="480"/>
      </w:pPr>
    </w:lvl>
    <w:lvl w:ilvl="2" w:tplc="0409001B" w:tentative="1">
      <w:start w:val="1"/>
      <w:numFmt w:val="lowerRoman"/>
      <w:lvlText w:val="%3."/>
      <w:lvlJc w:val="right"/>
      <w:pPr>
        <w:ind w:left="1442" w:hanging="480"/>
      </w:pPr>
    </w:lvl>
    <w:lvl w:ilvl="3" w:tplc="0409000F" w:tentative="1">
      <w:start w:val="1"/>
      <w:numFmt w:val="decimal"/>
      <w:lvlText w:val="%4."/>
      <w:lvlJc w:val="left"/>
      <w:pPr>
        <w:ind w:left="1922" w:hanging="480"/>
      </w:pPr>
    </w:lvl>
    <w:lvl w:ilvl="4" w:tplc="04090019" w:tentative="1">
      <w:start w:val="1"/>
      <w:numFmt w:val="ideographTraditional"/>
      <w:lvlText w:val="%5、"/>
      <w:lvlJc w:val="left"/>
      <w:pPr>
        <w:ind w:left="2402" w:hanging="480"/>
      </w:pPr>
    </w:lvl>
    <w:lvl w:ilvl="5" w:tplc="0409001B" w:tentative="1">
      <w:start w:val="1"/>
      <w:numFmt w:val="lowerRoman"/>
      <w:lvlText w:val="%6."/>
      <w:lvlJc w:val="right"/>
      <w:pPr>
        <w:ind w:left="2882" w:hanging="480"/>
      </w:pPr>
    </w:lvl>
    <w:lvl w:ilvl="6" w:tplc="0409000F" w:tentative="1">
      <w:start w:val="1"/>
      <w:numFmt w:val="decimal"/>
      <w:lvlText w:val="%7."/>
      <w:lvlJc w:val="left"/>
      <w:pPr>
        <w:ind w:left="3362" w:hanging="480"/>
      </w:pPr>
    </w:lvl>
    <w:lvl w:ilvl="7" w:tplc="04090019" w:tentative="1">
      <w:start w:val="1"/>
      <w:numFmt w:val="ideographTraditional"/>
      <w:lvlText w:val="%8、"/>
      <w:lvlJc w:val="left"/>
      <w:pPr>
        <w:ind w:left="3842" w:hanging="480"/>
      </w:pPr>
    </w:lvl>
    <w:lvl w:ilvl="8" w:tplc="0409001B" w:tentative="1">
      <w:start w:val="1"/>
      <w:numFmt w:val="lowerRoman"/>
      <w:lvlText w:val="%9."/>
      <w:lvlJc w:val="right"/>
      <w:pPr>
        <w:ind w:left="4322" w:hanging="480"/>
      </w:pPr>
    </w:lvl>
  </w:abstractNum>
  <w:abstractNum w:abstractNumId="35" w15:restartNumberingAfterBreak="0">
    <w:nsid w:val="73542E06"/>
    <w:multiLevelType w:val="hybridMultilevel"/>
    <w:tmpl w:val="B2B2F2F6"/>
    <w:lvl w:ilvl="0" w:tplc="04090001">
      <w:start w:val="1"/>
      <w:numFmt w:val="bullet"/>
      <w:lvlText w:val=""/>
      <w:lvlJc w:val="left"/>
      <w:pPr>
        <w:ind w:left="480" w:hanging="480"/>
      </w:pPr>
      <w:rPr>
        <w:rFonts w:ascii="Wingdings" w:hAnsi="Wingdings" w:hint="default"/>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36" w15:restartNumberingAfterBreak="0">
    <w:nsid w:val="735F52FF"/>
    <w:multiLevelType w:val="hybridMultilevel"/>
    <w:tmpl w:val="A542578C"/>
    <w:lvl w:ilvl="0" w:tplc="2F6EE832">
      <w:start w:val="1"/>
      <w:numFmt w:val="decimal"/>
      <w:lvlText w:val="%1."/>
      <w:lvlJc w:val="left"/>
      <w:pPr>
        <w:ind w:left="785" w:hanging="360"/>
      </w:pPr>
      <w:rPr>
        <w:rFonts w:hint="default"/>
        <w:b w:val="0"/>
      </w:rPr>
    </w:lvl>
    <w:lvl w:ilvl="1" w:tplc="04090019" w:tentative="1">
      <w:start w:val="1"/>
      <w:numFmt w:val="ideographTraditional"/>
      <w:lvlText w:val="%2、"/>
      <w:lvlJc w:val="left"/>
      <w:pPr>
        <w:ind w:left="1385" w:hanging="480"/>
      </w:pPr>
    </w:lvl>
    <w:lvl w:ilvl="2" w:tplc="0409001B" w:tentative="1">
      <w:start w:val="1"/>
      <w:numFmt w:val="lowerRoman"/>
      <w:lvlText w:val="%3."/>
      <w:lvlJc w:val="right"/>
      <w:pPr>
        <w:ind w:left="1865" w:hanging="480"/>
      </w:pPr>
    </w:lvl>
    <w:lvl w:ilvl="3" w:tplc="0409000F" w:tentative="1">
      <w:start w:val="1"/>
      <w:numFmt w:val="decimal"/>
      <w:lvlText w:val="%4."/>
      <w:lvlJc w:val="left"/>
      <w:pPr>
        <w:ind w:left="2345" w:hanging="480"/>
      </w:pPr>
    </w:lvl>
    <w:lvl w:ilvl="4" w:tplc="04090019" w:tentative="1">
      <w:start w:val="1"/>
      <w:numFmt w:val="ideographTraditional"/>
      <w:lvlText w:val="%5、"/>
      <w:lvlJc w:val="left"/>
      <w:pPr>
        <w:ind w:left="2825" w:hanging="480"/>
      </w:pPr>
    </w:lvl>
    <w:lvl w:ilvl="5" w:tplc="0409001B" w:tentative="1">
      <w:start w:val="1"/>
      <w:numFmt w:val="lowerRoman"/>
      <w:lvlText w:val="%6."/>
      <w:lvlJc w:val="right"/>
      <w:pPr>
        <w:ind w:left="3305" w:hanging="480"/>
      </w:pPr>
    </w:lvl>
    <w:lvl w:ilvl="6" w:tplc="0409000F" w:tentative="1">
      <w:start w:val="1"/>
      <w:numFmt w:val="decimal"/>
      <w:lvlText w:val="%7."/>
      <w:lvlJc w:val="left"/>
      <w:pPr>
        <w:ind w:left="3785" w:hanging="480"/>
      </w:pPr>
    </w:lvl>
    <w:lvl w:ilvl="7" w:tplc="04090019" w:tentative="1">
      <w:start w:val="1"/>
      <w:numFmt w:val="ideographTraditional"/>
      <w:lvlText w:val="%8、"/>
      <w:lvlJc w:val="left"/>
      <w:pPr>
        <w:ind w:left="4265" w:hanging="480"/>
      </w:pPr>
    </w:lvl>
    <w:lvl w:ilvl="8" w:tplc="0409001B" w:tentative="1">
      <w:start w:val="1"/>
      <w:numFmt w:val="lowerRoman"/>
      <w:lvlText w:val="%9."/>
      <w:lvlJc w:val="right"/>
      <w:pPr>
        <w:ind w:left="4745" w:hanging="480"/>
      </w:pPr>
    </w:lvl>
  </w:abstractNum>
  <w:abstractNum w:abstractNumId="37" w15:restartNumberingAfterBreak="0">
    <w:nsid w:val="746D5BDE"/>
    <w:multiLevelType w:val="hybridMultilevel"/>
    <w:tmpl w:val="A11E6E96"/>
    <w:lvl w:ilvl="0" w:tplc="4D089132">
      <w:start w:val="1"/>
      <w:numFmt w:val="taiwaneseCountingThousand"/>
      <w:lvlText w:val="(%1)"/>
      <w:lvlJc w:val="left"/>
      <w:pPr>
        <w:ind w:left="1287" w:hanging="720"/>
      </w:pPr>
      <w:rPr>
        <w:rFonts w:hint="default"/>
      </w:rPr>
    </w:lvl>
    <w:lvl w:ilvl="1" w:tplc="04090019" w:tentative="1">
      <w:start w:val="1"/>
      <w:numFmt w:val="ideographTraditional"/>
      <w:lvlText w:val="%2、"/>
      <w:lvlJc w:val="left"/>
      <w:pPr>
        <w:ind w:left="1527" w:hanging="480"/>
      </w:pPr>
    </w:lvl>
    <w:lvl w:ilvl="2" w:tplc="0409001B" w:tentative="1">
      <w:start w:val="1"/>
      <w:numFmt w:val="lowerRoman"/>
      <w:lvlText w:val="%3."/>
      <w:lvlJc w:val="right"/>
      <w:pPr>
        <w:ind w:left="2007" w:hanging="480"/>
      </w:pPr>
    </w:lvl>
    <w:lvl w:ilvl="3" w:tplc="0409000F" w:tentative="1">
      <w:start w:val="1"/>
      <w:numFmt w:val="decimal"/>
      <w:lvlText w:val="%4."/>
      <w:lvlJc w:val="left"/>
      <w:pPr>
        <w:ind w:left="2487" w:hanging="480"/>
      </w:pPr>
    </w:lvl>
    <w:lvl w:ilvl="4" w:tplc="04090019" w:tentative="1">
      <w:start w:val="1"/>
      <w:numFmt w:val="ideographTraditional"/>
      <w:lvlText w:val="%5、"/>
      <w:lvlJc w:val="left"/>
      <w:pPr>
        <w:ind w:left="2967" w:hanging="480"/>
      </w:pPr>
    </w:lvl>
    <w:lvl w:ilvl="5" w:tplc="0409001B" w:tentative="1">
      <w:start w:val="1"/>
      <w:numFmt w:val="lowerRoman"/>
      <w:lvlText w:val="%6."/>
      <w:lvlJc w:val="right"/>
      <w:pPr>
        <w:ind w:left="3447" w:hanging="480"/>
      </w:pPr>
    </w:lvl>
    <w:lvl w:ilvl="6" w:tplc="0409000F" w:tentative="1">
      <w:start w:val="1"/>
      <w:numFmt w:val="decimal"/>
      <w:lvlText w:val="%7."/>
      <w:lvlJc w:val="left"/>
      <w:pPr>
        <w:ind w:left="3927" w:hanging="480"/>
      </w:pPr>
    </w:lvl>
    <w:lvl w:ilvl="7" w:tplc="04090019" w:tentative="1">
      <w:start w:val="1"/>
      <w:numFmt w:val="ideographTraditional"/>
      <w:lvlText w:val="%8、"/>
      <w:lvlJc w:val="left"/>
      <w:pPr>
        <w:ind w:left="4407" w:hanging="480"/>
      </w:pPr>
    </w:lvl>
    <w:lvl w:ilvl="8" w:tplc="0409001B" w:tentative="1">
      <w:start w:val="1"/>
      <w:numFmt w:val="lowerRoman"/>
      <w:lvlText w:val="%9."/>
      <w:lvlJc w:val="right"/>
      <w:pPr>
        <w:ind w:left="4887" w:hanging="480"/>
      </w:pPr>
    </w:lvl>
  </w:abstractNum>
  <w:abstractNum w:abstractNumId="38" w15:restartNumberingAfterBreak="0">
    <w:nsid w:val="7BB64045"/>
    <w:multiLevelType w:val="hybridMultilevel"/>
    <w:tmpl w:val="D15E861A"/>
    <w:lvl w:ilvl="0" w:tplc="04090011">
      <w:start w:val="1"/>
      <w:numFmt w:val="upperLetter"/>
      <w:lvlText w:val="%1."/>
      <w:lvlJc w:val="left"/>
      <w:pPr>
        <w:ind w:left="1008" w:hanging="480"/>
      </w:pPr>
    </w:lvl>
    <w:lvl w:ilvl="1" w:tplc="04090019" w:tentative="1">
      <w:start w:val="1"/>
      <w:numFmt w:val="ideographTraditional"/>
      <w:lvlText w:val="%2、"/>
      <w:lvlJc w:val="left"/>
      <w:pPr>
        <w:ind w:left="1488" w:hanging="480"/>
      </w:pPr>
    </w:lvl>
    <w:lvl w:ilvl="2" w:tplc="0409001B" w:tentative="1">
      <w:start w:val="1"/>
      <w:numFmt w:val="lowerRoman"/>
      <w:lvlText w:val="%3."/>
      <w:lvlJc w:val="right"/>
      <w:pPr>
        <w:ind w:left="1968" w:hanging="480"/>
      </w:pPr>
    </w:lvl>
    <w:lvl w:ilvl="3" w:tplc="0409000F" w:tentative="1">
      <w:start w:val="1"/>
      <w:numFmt w:val="decimal"/>
      <w:lvlText w:val="%4."/>
      <w:lvlJc w:val="left"/>
      <w:pPr>
        <w:ind w:left="2448" w:hanging="480"/>
      </w:pPr>
    </w:lvl>
    <w:lvl w:ilvl="4" w:tplc="04090019" w:tentative="1">
      <w:start w:val="1"/>
      <w:numFmt w:val="ideographTraditional"/>
      <w:lvlText w:val="%5、"/>
      <w:lvlJc w:val="left"/>
      <w:pPr>
        <w:ind w:left="2928" w:hanging="480"/>
      </w:pPr>
    </w:lvl>
    <w:lvl w:ilvl="5" w:tplc="0409001B" w:tentative="1">
      <w:start w:val="1"/>
      <w:numFmt w:val="lowerRoman"/>
      <w:lvlText w:val="%6."/>
      <w:lvlJc w:val="right"/>
      <w:pPr>
        <w:ind w:left="3408" w:hanging="480"/>
      </w:pPr>
    </w:lvl>
    <w:lvl w:ilvl="6" w:tplc="0409000F" w:tentative="1">
      <w:start w:val="1"/>
      <w:numFmt w:val="decimal"/>
      <w:lvlText w:val="%7."/>
      <w:lvlJc w:val="left"/>
      <w:pPr>
        <w:ind w:left="3888" w:hanging="480"/>
      </w:pPr>
    </w:lvl>
    <w:lvl w:ilvl="7" w:tplc="04090019" w:tentative="1">
      <w:start w:val="1"/>
      <w:numFmt w:val="ideographTraditional"/>
      <w:lvlText w:val="%8、"/>
      <w:lvlJc w:val="left"/>
      <w:pPr>
        <w:ind w:left="4368" w:hanging="480"/>
      </w:pPr>
    </w:lvl>
    <w:lvl w:ilvl="8" w:tplc="0409001B" w:tentative="1">
      <w:start w:val="1"/>
      <w:numFmt w:val="lowerRoman"/>
      <w:lvlText w:val="%9."/>
      <w:lvlJc w:val="right"/>
      <w:pPr>
        <w:ind w:left="4848" w:hanging="480"/>
      </w:pPr>
    </w:lvl>
  </w:abstractNum>
  <w:abstractNum w:abstractNumId="39" w15:restartNumberingAfterBreak="0">
    <w:nsid w:val="7D4518BB"/>
    <w:multiLevelType w:val="hybridMultilevel"/>
    <w:tmpl w:val="5D8C5CF6"/>
    <w:lvl w:ilvl="0" w:tplc="767A96E6">
      <w:start w:val="1"/>
      <w:numFmt w:val="decimal"/>
      <w:lvlText w:val="%1."/>
      <w:lvlJc w:val="left"/>
      <w:pPr>
        <w:ind w:left="384" w:hanging="384"/>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2"/>
  </w:num>
  <w:num w:numId="2">
    <w:abstractNumId w:val="3"/>
  </w:num>
  <w:num w:numId="3">
    <w:abstractNumId w:val="0"/>
  </w:num>
  <w:num w:numId="4">
    <w:abstractNumId w:val="25"/>
  </w:num>
  <w:num w:numId="5">
    <w:abstractNumId w:val="37"/>
  </w:num>
  <w:num w:numId="6">
    <w:abstractNumId w:val="7"/>
  </w:num>
  <w:num w:numId="7">
    <w:abstractNumId w:val="34"/>
  </w:num>
  <w:num w:numId="8">
    <w:abstractNumId w:val="31"/>
  </w:num>
  <w:num w:numId="9">
    <w:abstractNumId w:val="4"/>
  </w:num>
  <w:num w:numId="10">
    <w:abstractNumId w:val="18"/>
  </w:num>
  <w:num w:numId="11">
    <w:abstractNumId w:val="36"/>
  </w:num>
  <w:num w:numId="12">
    <w:abstractNumId w:val="20"/>
  </w:num>
  <w:num w:numId="13">
    <w:abstractNumId w:val="9"/>
  </w:num>
  <w:num w:numId="14">
    <w:abstractNumId w:val="28"/>
  </w:num>
  <w:num w:numId="15">
    <w:abstractNumId w:val="1"/>
  </w:num>
  <w:num w:numId="16">
    <w:abstractNumId w:val="27"/>
  </w:num>
  <w:num w:numId="17">
    <w:abstractNumId w:val="21"/>
  </w:num>
  <w:num w:numId="18">
    <w:abstractNumId w:val="6"/>
  </w:num>
  <w:num w:numId="19">
    <w:abstractNumId w:val="24"/>
  </w:num>
  <w:num w:numId="20">
    <w:abstractNumId w:val="10"/>
  </w:num>
  <w:num w:numId="21">
    <w:abstractNumId w:val="15"/>
  </w:num>
  <w:num w:numId="22">
    <w:abstractNumId w:val="22"/>
  </w:num>
  <w:num w:numId="23">
    <w:abstractNumId w:val="8"/>
  </w:num>
  <w:num w:numId="24">
    <w:abstractNumId w:val="11"/>
  </w:num>
  <w:num w:numId="25">
    <w:abstractNumId w:val="26"/>
  </w:num>
  <w:num w:numId="26">
    <w:abstractNumId w:val="19"/>
  </w:num>
  <w:num w:numId="27">
    <w:abstractNumId w:val="32"/>
  </w:num>
  <w:num w:numId="28">
    <w:abstractNumId w:val="39"/>
  </w:num>
  <w:num w:numId="29">
    <w:abstractNumId w:val="14"/>
  </w:num>
  <w:num w:numId="30">
    <w:abstractNumId w:val="13"/>
  </w:num>
  <w:num w:numId="31">
    <w:abstractNumId w:val="23"/>
  </w:num>
  <w:num w:numId="32">
    <w:abstractNumId w:val="29"/>
  </w:num>
  <w:num w:numId="33">
    <w:abstractNumId w:val="5"/>
  </w:num>
  <w:num w:numId="34">
    <w:abstractNumId w:val="16"/>
  </w:num>
  <w:num w:numId="35">
    <w:abstractNumId w:val="2"/>
  </w:num>
  <w:num w:numId="36">
    <w:abstractNumId w:val="35"/>
  </w:num>
  <w:num w:numId="37">
    <w:abstractNumId w:val="38"/>
  </w:num>
  <w:num w:numId="38">
    <w:abstractNumId w:val="30"/>
  </w:num>
  <w:num w:numId="39">
    <w:abstractNumId w:val="33"/>
  </w:num>
  <w:num w:numId="40">
    <w:abstractNumId w:val="17"/>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0497A"/>
    <w:rsid w:val="00057356"/>
    <w:rsid w:val="0006643B"/>
    <w:rsid w:val="00066D4D"/>
    <w:rsid w:val="00081191"/>
    <w:rsid w:val="00096078"/>
    <w:rsid w:val="001759B3"/>
    <w:rsid w:val="001764AB"/>
    <w:rsid w:val="00181357"/>
    <w:rsid w:val="001A5A78"/>
    <w:rsid w:val="001D37BC"/>
    <w:rsid w:val="001E16A0"/>
    <w:rsid w:val="00214B11"/>
    <w:rsid w:val="00216D2B"/>
    <w:rsid w:val="00222EBC"/>
    <w:rsid w:val="00231678"/>
    <w:rsid w:val="003309C7"/>
    <w:rsid w:val="003673B9"/>
    <w:rsid w:val="003C1CB8"/>
    <w:rsid w:val="004062E1"/>
    <w:rsid w:val="00407F89"/>
    <w:rsid w:val="00460D94"/>
    <w:rsid w:val="0046408D"/>
    <w:rsid w:val="00467296"/>
    <w:rsid w:val="004A04EE"/>
    <w:rsid w:val="004A68C5"/>
    <w:rsid w:val="004C51A4"/>
    <w:rsid w:val="004D51E2"/>
    <w:rsid w:val="00510159"/>
    <w:rsid w:val="005B7137"/>
    <w:rsid w:val="005D540E"/>
    <w:rsid w:val="005D5ECA"/>
    <w:rsid w:val="00617CFA"/>
    <w:rsid w:val="00644545"/>
    <w:rsid w:val="00660855"/>
    <w:rsid w:val="00663947"/>
    <w:rsid w:val="00694804"/>
    <w:rsid w:val="006D1446"/>
    <w:rsid w:val="007122C5"/>
    <w:rsid w:val="00740998"/>
    <w:rsid w:val="0074701E"/>
    <w:rsid w:val="007668ED"/>
    <w:rsid w:val="00782BFC"/>
    <w:rsid w:val="007C0C63"/>
    <w:rsid w:val="008140DF"/>
    <w:rsid w:val="00877479"/>
    <w:rsid w:val="008B17C3"/>
    <w:rsid w:val="008C5D6A"/>
    <w:rsid w:val="008E5E2E"/>
    <w:rsid w:val="009022D5"/>
    <w:rsid w:val="00927CD9"/>
    <w:rsid w:val="00966E69"/>
    <w:rsid w:val="00967246"/>
    <w:rsid w:val="00991008"/>
    <w:rsid w:val="00A5156C"/>
    <w:rsid w:val="00A679C6"/>
    <w:rsid w:val="00AE1A8E"/>
    <w:rsid w:val="00AE4811"/>
    <w:rsid w:val="00AF2F3B"/>
    <w:rsid w:val="00B11D35"/>
    <w:rsid w:val="00B31842"/>
    <w:rsid w:val="00BE148F"/>
    <w:rsid w:val="00C739FC"/>
    <w:rsid w:val="00CA1921"/>
    <w:rsid w:val="00CA63DD"/>
    <w:rsid w:val="00CB04EA"/>
    <w:rsid w:val="00CB11FB"/>
    <w:rsid w:val="00D130B5"/>
    <w:rsid w:val="00D17988"/>
    <w:rsid w:val="00D3654A"/>
    <w:rsid w:val="00D53ABD"/>
    <w:rsid w:val="00D920CE"/>
    <w:rsid w:val="00D95123"/>
    <w:rsid w:val="00DA1804"/>
    <w:rsid w:val="00DB5DBA"/>
    <w:rsid w:val="00E0237E"/>
    <w:rsid w:val="00E02F6F"/>
    <w:rsid w:val="00E4326D"/>
    <w:rsid w:val="00E75A6A"/>
    <w:rsid w:val="00E87456"/>
    <w:rsid w:val="00F71E1F"/>
    <w:rsid w:val="00F775D3"/>
    <w:rsid w:val="00FE0082"/>
    <w:rsid w:val="00FF0BA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15:chartTrackingRefBased/>
  <w15:docId w15:val="{43236442-270A-4F64-BB53-A9EA9DF385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iPriority="0"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0"/>
    <w:link w:val="10"/>
    <w:qFormat/>
    <w:rsid w:val="00927CD9"/>
    <w:pPr>
      <w:ind w:left="567" w:firstLine="567"/>
      <w:outlineLvl w:val="0"/>
    </w:pPr>
    <w:rPr>
      <w:rFonts w:ascii="華康楷書體W5" w:eastAsia="華康楷書體W5" w:hAnsi="Wingdings" w:cs="Wingdings"/>
      <w:kern w:val="0"/>
      <w:lang w:val="zh-TW"/>
    </w:rPr>
  </w:style>
  <w:style w:type="paragraph" w:styleId="2">
    <w:name w:val="heading 2"/>
    <w:basedOn w:val="a0"/>
    <w:link w:val="20"/>
    <w:qFormat/>
    <w:rsid w:val="00927CD9"/>
    <w:pPr>
      <w:numPr>
        <w:ilvl w:val="1"/>
        <w:numId w:val="1"/>
      </w:numPr>
      <w:spacing w:line="240" w:lineRule="auto"/>
      <w:ind w:leftChars="0" w:left="0" w:firstLineChars="0" w:firstLine="0"/>
      <w:outlineLvl w:val="1"/>
    </w:pPr>
    <w:rPr>
      <w:rFonts w:ascii="華康楷書體W5" w:eastAsia="華康楷書體W5" w:hAnsi="Cambria Math" w:cs="Wingdings"/>
      <w:bCs/>
      <w:snapToGrid/>
      <w:kern w:val="0"/>
      <w:sz w:val="32"/>
      <w:szCs w:val="48"/>
    </w:rPr>
  </w:style>
  <w:style w:type="paragraph" w:styleId="3">
    <w:name w:val="heading 3"/>
    <w:basedOn w:val="a0"/>
    <w:link w:val="30"/>
    <w:qFormat/>
    <w:rsid w:val="00927CD9"/>
    <w:pPr>
      <w:numPr>
        <w:ilvl w:val="2"/>
        <w:numId w:val="1"/>
      </w:numPr>
      <w:spacing w:line="240" w:lineRule="auto"/>
      <w:ind w:leftChars="0" w:left="0" w:firstLineChars="0" w:firstLine="0"/>
      <w:outlineLvl w:val="2"/>
    </w:pPr>
    <w:rPr>
      <w:rFonts w:ascii="華康楷書體W5" w:eastAsia="華康楷書體W5" w:hAnsi="Cambria Math" w:cs="Wingdings"/>
      <w:bCs/>
      <w:snapToGrid/>
      <w:kern w:val="0"/>
      <w:sz w:val="32"/>
      <w:szCs w:val="36"/>
    </w:rPr>
  </w:style>
  <w:style w:type="paragraph" w:styleId="4">
    <w:name w:val="heading 4"/>
    <w:basedOn w:val="a0"/>
    <w:link w:val="40"/>
    <w:qFormat/>
    <w:rsid w:val="00927CD9"/>
    <w:pPr>
      <w:numPr>
        <w:ilvl w:val="3"/>
        <w:numId w:val="1"/>
      </w:numPr>
      <w:spacing w:line="240" w:lineRule="auto"/>
      <w:ind w:leftChars="0" w:left="0" w:firstLineChars="0" w:firstLine="0"/>
      <w:outlineLvl w:val="3"/>
    </w:pPr>
    <w:rPr>
      <w:rFonts w:ascii="華康楷書體W5" w:eastAsia="華康楷書體W5" w:hAnsi="Cambria Math" w:cs="Wingdings"/>
      <w:snapToGrid/>
      <w:sz w:val="32"/>
      <w:szCs w:val="36"/>
    </w:rPr>
  </w:style>
  <w:style w:type="paragraph" w:styleId="5">
    <w:name w:val="heading 5"/>
    <w:basedOn w:val="a0"/>
    <w:link w:val="50"/>
    <w:qFormat/>
    <w:rsid w:val="00927CD9"/>
    <w:pPr>
      <w:numPr>
        <w:ilvl w:val="4"/>
        <w:numId w:val="1"/>
      </w:numPr>
      <w:spacing w:line="240" w:lineRule="auto"/>
      <w:ind w:leftChars="0" w:left="0" w:firstLineChars="0" w:firstLine="0"/>
      <w:outlineLvl w:val="4"/>
    </w:pPr>
    <w:rPr>
      <w:rFonts w:ascii="華康楷書體W5" w:eastAsia="華康楷書體W5" w:hAnsi="Cambria Math" w:cs="Wingdings"/>
      <w:bCs/>
      <w:snapToGrid/>
      <w:sz w:val="32"/>
      <w:szCs w:val="36"/>
    </w:rPr>
  </w:style>
  <w:style w:type="paragraph" w:styleId="6">
    <w:name w:val="heading 6"/>
    <w:basedOn w:val="a0"/>
    <w:link w:val="60"/>
    <w:qFormat/>
    <w:rsid w:val="00927CD9"/>
    <w:pPr>
      <w:numPr>
        <w:ilvl w:val="5"/>
        <w:numId w:val="1"/>
      </w:numPr>
      <w:tabs>
        <w:tab w:val="left" w:pos="2094"/>
      </w:tabs>
      <w:spacing w:line="240" w:lineRule="auto"/>
      <w:ind w:leftChars="0" w:left="0" w:firstLineChars="0" w:firstLine="0"/>
      <w:outlineLvl w:val="5"/>
    </w:pPr>
    <w:rPr>
      <w:rFonts w:ascii="華康楷書體W5" w:eastAsia="華康楷書體W5" w:hAnsi="Cambria Math" w:cs="Wingdings"/>
      <w:snapToGrid/>
      <w:sz w:val="32"/>
      <w:szCs w:val="36"/>
    </w:rPr>
  </w:style>
  <w:style w:type="paragraph" w:styleId="7">
    <w:name w:val="heading 7"/>
    <w:basedOn w:val="a0"/>
    <w:link w:val="70"/>
    <w:uiPriority w:val="9"/>
    <w:qFormat/>
    <w:rsid w:val="00927CD9"/>
    <w:pPr>
      <w:numPr>
        <w:ilvl w:val="6"/>
        <w:numId w:val="1"/>
      </w:numPr>
      <w:spacing w:line="240" w:lineRule="auto"/>
      <w:ind w:leftChars="0" w:left="0" w:firstLineChars="0" w:firstLine="0"/>
      <w:outlineLvl w:val="6"/>
    </w:pPr>
    <w:rPr>
      <w:rFonts w:ascii="華康楷書體W5" w:eastAsia="華康楷書體W5" w:hAnsi="Cambria Math" w:cs="Wingdings"/>
      <w:bCs/>
      <w:snapToGrid/>
      <w:sz w:val="32"/>
      <w:szCs w:val="36"/>
    </w:rPr>
  </w:style>
  <w:style w:type="paragraph" w:styleId="8">
    <w:name w:val="heading 8"/>
    <w:basedOn w:val="a0"/>
    <w:link w:val="80"/>
    <w:qFormat/>
    <w:rsid w:val="00927CD9"/>
    <w:pPr>
      <w:numPr>
        <w:ilvl w:val="7"/>
        <w:numId w:val="1"/>
      </w:numPr>
      <w:spacing w:line="240" w:lineRule="auto"/>
      <w:ind w:leftChars="0" w:left="0" w:firstLineChars="0" w:firstLine="0"/>
      <w:outlineLvl w:val="7"/>
    </w:pPr>
    <w:rPr>
      <w:rFonts w:ascii="華康楷書體W5" w:eastAsia="華康楷書體W5" w:hAnsi="Cambria Math" w:cs="Wingdings"/>
      <w:snapToGrid/>
      <w:sz w:val="32"/>
      <w:szCs w:val="36"/>
    </w:rPr>
  </w:style>
  <w:style w:type="paragraph" w:styleId="9">
    <w:name w:val="heading 9"/>
    <w:basedOn w:val="a0"/>
    <w:next w:val="a0"/>
    <w:link w:val="90"/>
    <w:uiPriority w:val="9"/>
    <w:semiHidden/>
    <w:unhideWhenUsed/>
    <w:qFormat/>
    <w:rsid w:val="00927CD9"/>
    <w:pPr>
      <w:keepNext/>
      <w:keepLines/>
      <w:widowControl/>
      <w:spacing w:before="40"/>
      <w:ind w:leftChars="0" w:left="0" w:firstLineChars="0" w:firstLine="0"/>
      <w:jc w:val="left"/>
      <w:outlineLvl w:val="8"/>
    </w:pPr>
    <w:rPr>
      <w:rFonts w:ascii="Calibri Light" w:eastAsia="SimSun" w:hAnsi="Calibri Light"/>
      <w:i/>
      <w:iCs/>
      <w:snapToGrid/>
      <w:color w:val="262626"/>
      <w:kern w:val="0"/>
      <w:sz w:val="21"/>
      <w:szCs w:val="21"/>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16">
    <w:name w:val="第一層(16號字)"/>
    <w:link w:val="160"/>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4">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0"/>
    <w:link w:val="11"/>
    <w:qFormat/>
    <w:pPr>
      <w:ind w:left="300" w:hangingChars="100" w:hanging="100"/>
    </w:pPr>
  </w:style>
  <w:style w:type="paragraph" w:customStyle="1" w:styleId="a6">
    <w:name w:val="(一)下內文"/>
    <w:basedOn w:val="a5"/>
    <w:link w:val="12"/>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7">
    <w:name w:val="結論"/>
    <w:basedOn w:val="a6"/>
    <w:pPr>
      <w:adjustRightInd/>
      <w:ind w:leftChars="200" w:left="200"/>
    </w:pPr>
  </w:style>
  <w:style w:type="paragraph" w:customStyle="1" w:styleId="a8">
    <w:name w:val="前言內文"/>
    <w:basedOn w:val="a0"/>
    <w:pPr>
      <w:adjustRightInd w:val="0"/>
      <w:ind w:leftChars="0" w:left="0"/>
    </w:pPr>
  </w:style>
  <w:style w:type="paragraph" w:customStyle="1" w:styleId="142">
    <w:name w:val="表格內文(14行高)"/>
    <w:basedOn w:val="a9"/>
    <w:link w:val="143"/>
    <w:qFormat/>
    <w:pPr>
      <w:spacing w:line="280" w:lineRule="exact"/>
      <w:ind w:leftChars="0" w:left="0" w:firstLineChars="0" w:firstLine="0"/>
      <w:jc w:val="left"/>
    </w:pPr>
    <w:rPr>
      <w:sz w:val="24"/>
    </w:rPr>
  </w:style>
  <w:style w:type="paragraph" w:customStyle="1" w:styleId="aa">
    <w:name w:val="報告名稱"/>
    <w:basedOn w:val="a0"/>
    <w:pPr>
      <w:adjustRightInd w:val="0"/>
      <w:ind w:leftChars="0" w:left="0" w:firstLineChars="0" w:firstLine="0"/>
    </w:pPr>
    <w:rPr>
      <w:b/>
      <w:sz w:val="36"/>
    </w:rPr>
  </w:style>
  <w:style w:type="paragraph" w:customStyle="1" w:styleId="144">
    <w:name w:val="第一層(14號字)"/>
    <w:basedOn w:val="16"/>
    <w:link w:val="145"/>
    <w:rPr>
      <w:sz w:val="28"/>
    </w:rPr>
  </w:style>
  <w:style w:type="paragraph" w:customStyle="1" w:styleId="ab">
    <w:name w:val="姓名及分機"/>
    <w:basedOn w:val="a0"/>
    <w:link w:val="ac"/>
    <w:pPr>
      <w:ind w:leftChars="0" w:left="0" w:firstLineChars="0" w:firstLine="0"/>
      <w:jc w:val="right"/>
    </w:pPr>
    <w:rPr>
      <w:sz w:val="24"/>
    </w:rPr>
  </w:style>
  <w:style w:type="paragraph" w:customStyle="1" w:styleId="ad">
    <w:name w:val="前言(一)(二)(三)"/>
    <w:basedOn w:val="a0"/>
    <w:link w:val="ae"/>
    <w:pPr>
      <w:ind w:leftChars="0" w:left="100" w:hangingChars="100" w:hanging="100"/>
    </w:pPr>
  </w:style>
  <w:style w:type="paragraph" w:customStyle="1" w:styleId="1231">
    <w:name w:val="(1)(2)(3)"/>
    <w:basedOn w:val="a0"/>
    <w:link w:val="1232"/>
    <w:pPr>
      <w:ind w:leftChars="400" w:left="500" w:hangingChars="100" w:hanging="100"/>
    </w:pPr>
  </w:style>
  <w:style w:type="paragraph" w:customStyle="1" w:styleId="200">
    <w:name w:val="表格內文(20行高)"/>
    <w:basedOn w:val="142"/>
    <w:link w:val="201"/>
    <w:pPr>
      <w:spacing w:line="400" w:lineRule="exact"/>
    </w:pPr>
  </w:style>
  <w:style w:type="paragraph" w:styleId="af">
    <w:name w:val="header"/>
    <w:basedOn w:val="a0"/>
    <w:link w:val="af0"/>
    <w:uiPriority w:val="99"/>
    <w:unhideWhenUsed/>
    <w:rsid w:val="008C5D6A"/>
    <w:pPr>
      <w:tabs>
        <w:tab w:val="center" w:pos="4153"/>
        <w:tab w:val="right" w:pos="8306"/>
      </w:tabs>
      <w:snapToGrid w:val="0"/>
    </w:pPr>
    <w:rPr>
      <w:sz w:val="20"/>
      <w:szCs w:val="20"/>
    </w:rPr>
  </w:style>
  <w:style w:type="paragraph" w:styleId="a9">
    <w:name w:val="table of figures"/>
    <w:basedOn w:val="a0"/>
    <w:next w:val="a0"/>
    <w:link w:val="af1"/>
    <w:semiHidden/>
    <w:pPr>
      <w:ind w:leftChars="400" w:left="960" w:hangingChars="200" w:hanging="480"/>
    </w:pPr>
  </w:style>
  <w:style w:type="paragraph" w:customStyle="1" w:styleId="21">
    <w:name w:val="(一)下內文縮2"/>
    <w:basedOn w:val="a0"/>
    <w:link w:val="22"/>
    <w:qFormat/>
    <w:pPr>
      <w:adjustRightInd w:val="0"/>
      <w:ind w:leftChars="300" w:left="300"/>
    </w:pPr>
  </w:style>
  <w:style w:type="paragraph" w:styleId="13">
    <w:name w:val="toc 1"/>
    <w:basedOn w:val="a0"/>
    <w:next w:val="a0"/>
    <w:autoRedefine/>
    <w:uiPriority w:val="39"/>
    <w:rsid w:val="00694804"/>
    <w:pPr>
      <w:tabs>
        <w:tab w:val="right" w:leader="hyphen" w:pos="8490"/>
      </w:tabs>
      <w:ind w:leftChars="0" w:left="487" w:right="-1" w:hangingChars="200" w:hanging="487"/>
      <w:jc w:val="right"/>
    </w:pPr>
    <w:rPr>
      <w:b/>
      <w:sz w:val="24"/>
      <w:szCs w:val="24"/>
    </w:rPr>
  </w:style>
  <w:style w:type="paragraph" w:styleId="23">
    <w:name w:val="toc 2"/>
    <w:basedOn w:val="a0"/>
    <w:next w:val="a0"/>
    <w:autoRedefine/>
    <w:uiPriority w:val="39"/>
    <w:pPr>
      <w:tabs>
        <w:tab w:val="right" w:leader="hyphen" w:pos="8490"/>
      </w:tabs>
      <w:ind w:leftChars="0" w:left="566" w:hangingChars="200" w:hanging="566"/>
    </w:pPr>
  </w:style>
  <w:style w:type="character" w:customStyle="1" w:styleId="af0">
    <w:name w:val="頁首 字元"/>
    <w:link w:val="af"/>
    <w:uiPriority w:val="99"/>
    <w:rsid w:val="008C5D6A"/>
    <w:rPr>
      <w:rFonts w:ascii="標楷體" w:eastAsia="標楷體"/>
      <w:snapToGrid w:val="0"/>
      <w:kern w:val="2"/>
    </w:rPr>
  </w:style>
  <w:style w:type="paragraph" w:styleId="af2">
    <w:name w:val="footer"/>
    <w:basedOn w:val="a0"/>
    <w:link w:val="af3"/>
    <w:uiPriority w:val="99"/>
    <w:unhideWhenUsed/>
    <w:rsid w:val="008C5D6A"/>
    <w:pPr>
      <w:tabs>
        <w:tab w:val="center" w:pos="4153"/>
        <w:tab w:val="right" w:pos="8306"/>
      </w:tabs>
      <w:snapToGrid w:val="0"/>
    </w:pPr>
    <w:rPr>
      <w:sz w:val="20"/>
      <w:szCs w:val="20"/>
    </w:rPr>
  </w:style>
  <w:style w:type="character" w:customStyle="1" w:styleId="af3">
    <w:name w:val="頁尾 字元"/>
    <w:link w:val="af2"/>
    <w:uiPriority w:val="99"/>
    <w:rsid w:val="008C5D6A"/>
    <w:rPr>
      <w:rFonts w:ascii="標楷體" w:eastAsia="標楷體"/>
      <w:snapToGrid w:val="0"/>
      <w:kern w:val="2"/>
    </w:rPr>
  </w:style>
  <w:style w:type="character" w:customStyle="1" w:styleId="11">
    <w:name w:val="(一)(二)(三) 字元1"/>
    <w:link w:val="a5"/>
    <w:rsid w:val="00E0237E"/>
    <w:rPr>
      <w:rFonts w:ascii="標楷體" w:eastAsia="標楷體"/>
      <w:snapToGrid w:val="0"/>
      <w:kern w:val="2"/>
      <w:sz w:val="28"/>
      <w:szCs w:val="28"/>
    </w:rPr>
  </w:style>
  <w:style w:type="character" w:customStyle="1" w:styleId="143">
    <w:name w:val="表格內文(14行高) 字元"/>
    <w:link w:val="142"/>
    <w:qFormat/>
    <w:rsid w:val="00E0237E"/>
    <w:rPr>
      <w:rFonts w:ascii="標楷體" w:eastAsia="標楷體"/>
      <w:snapToGrid w:val="0"/>
      <w:kern w:val="2"/>
      <w:sz w:val="24"/>
      <w:szCs w:val="28"/>
    </w:rPr>
  </w:style>
  <w:style w:type="character" w:customStyle="1" w:styleId="ae">
    <w:name w:val="前言(一)(二)(三) 字元"/>
    <w:link w:val="ad"/>
    <w:rsid w:val="00E0237E"/>
    <w:rPr>
      <w:rFonts w:ascii="標楷體" w:eastAsia="標楷體"/>
      <w:snapToGrid w:val="0"/>
      <w:kern w:val="2"/>
      <w:sz w:val="28"/>
      <w:szCs w:val="28"/>
    </w:rPr>
  </w:style>
  <w:style w:type="character" w:customStyle="1" w:styleId="141">
    <w:name w:val="第二層(14號字) 字元1"/>
    <w:link w:val="14"/>
    <w:rsid w:val="00E0237E"/>
    <w:rPr>
      <w:rFonts w:ascii="標楷體" w:eastAsia="標楷體"/>
      <w:b/>
      <w:snapToGrid w:val="0"/>
      <w:kern w:val="2"/>
      <w:sz w:val="28"/>
    </w:rPr>
  </w:style>
  <w:style w:type="character" w:customStyle="1" w:styleId="22">
    <w:name w:val="(一)下內文縮2 字元"/>
    <w:link w:val="21"/>
    <w:qFormat/>
    <w:rsid w:val="00E0237E"/>
    <w:rPr>
      <w:rFonts w:ascii="標楷體" w:eastAsia="標楷體"/>
      <w:snapToGrid w:val="0"/>
      <w:kern w:val="2"/>
      <w:sz w:val="28"/>
      <w:szCs w:val="28"/>
    </w:rPr>
  </w:style>
  <w:style w:type="character" w:customStyle="1" w:styleId="1230">
    <w:name w:val="1.2.3. 字元"/>
    <w:link w:val="123"/>
    <w:rsid w:val="00E0237E"/>
    <w:rPr>
      <w:rFonts w:ascii="標楷體" w:eastAsia="標楷體"/>
      <w:snapToGrid w:val="0"/>
      <w:kern w:val="2"/>
      <w:sz w:val="28"/>
      <w:szCs w:val="28"/>
    </w:rPr>
  </w:style>
  <w:style w:type="character" w:styleId="af4">
    <w:name w:val="footnote reference"/>
    <w:aliases w:val="FR,Ref,de nota al pie,註腳內容,Error-Fußnotenzeichen5,Error-Fußnotenzeichen6,Error-Fußnotenzeichen3,Error-Fusnotßnotenzeichen5,Error-Fußnotenzeic,4_G"/>
    <w:uiPriority w:val="99"/>
    <w:qFormat/>
    <w:rsid w:val="00E0237E"/>
    <w:rPr>
      <w:vertAlign w:val="superscript"/>
    </w:rPr>
  </w:style>
  <w:style w:type="character" w:customStyle="1" w:styleId="24">
    <w:name w:val="(一)(二)(三) 字元2"/>
    <w:qFormat/>
    <w:rsid w:val="00E0237E"/>
    <w:rPr>
      <w:rFonts w:ascii="標楷體" w:eastAsia="標楷體"/>
      <w:snapToGrid w:val="0"/>
      <w:kern w:val="2"/>
      <w:sz w:val="28"/>
      <w:szCs w:val="28"/>
    </w:rPr>
  </w:style>
  <w:style w:type="paragraph" w:styleId="af5">
    <w:name w:val="footnote text"/>
    <w:aliases w:val="ftx,註100以後字元,註腳文字 字元 字元 字元 字元 字元 字元,註腳文字 字元 字元 字元 字元 字元,註腳文字 字元 字元,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註腳文字 字元1, 字元"/>
    <w:basedOn w:val="a0"/>
    <w:link w:val="af6"/>
    <w:uiPriority w:val="99"/>
    <w:unhideWhenUsed/>
    <w:qFormat/>
    <w:rsid w:val="00E0237E"/>
    <w:pPr>
      <w:snapToGrid w:val="0"/>
      <w:spacing w:line="240" w:lineRule="auto"/>
      <w:ind w:leftChars="0" w:left="0" w:firstLineChars="0" w:firstLine="0"/>
      <w:jc w:val="left"/>
    </w:pPr>
    <w:rPr>
      <w:rFonts w:ascii="Calibri" w:eastAsia="新細明體" w:hAnsi="Calibri"/>
      <w:snapToGrid/>
      <w:sz w:val="20"/>
      <w:szCs w:val="20"/>
    </w:rPr>
  </w:style>
  <w:style w:type="character" w:customStyle="1" w:styleId="af6">
    <w:name w:val="註腳文字 字元"/>
    <w:aliases w:val="ftx 字元,註100以後字元 字元,註腳文字 字元 字元 字元 字元 字元 字元 字元,註腳文字 字元 字元 字元 字元 字元 字元1,註腳文字 字元 字元 字元,ftx 字元 字元 字元1,ftx 字元 字元 字元 字元,ftx 字元 字元 字元 字元 字元 字元 字元 字元 字元,ftx 字元 字元 字元 字元 字元 字元 字元1,ftx 字元 字元 字元 字元 字元 字元 字元 字元1,ftx 字元 字元 字元 字元 字元 字元 字元 字元 字元 字元 字元, 字元 字元"/>
    <w:link w:val="af5"/>
    <w:uiPriority w:val="99"/>
    <w:qFormat/>
    <w:rsid w:val="00E0237E"/>
    <w:rPr>
      <w:rFonts w:ascii="Calibri" w:hAnsi="Calibri"/>
      <w:kern w:val="2"/>
    </w:rPr>
  </w:style>
  <w:style w:type="character" w:customStyle="1" w:styleId="146">
    <w:name w:val="第二層(14號字) 字元"/>
    <w:rsid w:val="00E0237E"/>
    <w:rPr>
      <w:rFonts w:ascii="標楷體" w:eastAsia="標楷體"/>
      <w:b/>
      <w:snapToGrid w:val="0"/>
      <w:kern w:val="2"/>
      <w:sz w:val="28"/>
    </w:rPr>
  </w:style>
  <w:style w:type="character" w:customStyle="1" w:styleId="af7">
    <w:name w:val="(一)(二)(三) 字元"/>
    <w:rsid w:val="00E0237E"/>
    <w:rPr>
      <w:rFonts w:ascii="標楷體" w:eastAsia="標楷體"/>
      <w:snapToGrid w:val="0"/>
      <w:kern w:val="2"/>
      <w:sz w:val="28"/>
      <w:szCs w:val="28"/>
    </w:rPr>
  </w:style>
  <w:style w:type="character" w:customStyle="1" w:styleId="201">
    <w:name w:val="表格內文(20行高) 字元"/>
    <w:link w:val="200"/>
    <w:rsid w:val="00E0237E"/>
    <w:rPr>
      <w:rFonts w:ascii="標楷體" w:eastAsia="標楷體"/>
      <w:snapToGrid w:val="0"/>
      <w:kern w:val="2"/>
      <w:sz w:val="24"/>
      <w:szCs w:val="28"/>
    </w:rPr>
  </w:style>
  <w:style w:type="character" w:customStyle="1" w:styleId="ac">
    <w:name w:val="姓名及分機 字元"/>
    <w:link w:val="ab"/>
    <w:rsid w:val="00E0237E"/>
    <w:rPr>
      <w:rFonts w:ascii="標楷體" w:eastAsia="標楷體"/>
      <w:snapToGrid w:val="0"/>
      <w:kern w:val="2"/>
      <w:sz w:val="24"/>
      <w:szCs w:val="28"/>
    </w:rPr>
  </w:style>
  <w:style w:type="paragraph" w:customStyle="1" w:styleId="220">
    <w:name w:val="樣式 左:  2 字元 第一行:  2 字元"/>
    <w:basedOn w:val="a0"/>
    <w:rsid w:val="005D540E"/>
    <w:pPr>
      <w:ind w:left="566" w:firstLine="566"/>
    </w:pPr>
    <w:rPr>
      <w:rFonts w:cs="新細明體"/>
      <w:szCs w:val="20"/>
    </w:rPr>
  </w:style>
  <w:style w:type="paragraph" w:customStyle="1" w:styleId="210">
    <w:name w:val="樣式 (一)(二)(三) + 粗體 左:  2 字元 凸出:  1 字元"/>
    <w:basedOn w:val="a5"/>
    <w:rsid w:val="005D540E"/>
    <w:pPr>
      <w:ind w:left="849" w:hanging="283"/>
    </w:pPr>
    <w:rPr>
      <w:rFonts w:cs="新細明體"/>
      <w:bCs/>
      <w:szCs w:val="20"/>
    </w:rPr>
  </w:style>
  <w:style w:type="paragraph" w:styleId="af8">
    <w:name w:val="Balloon Text"/>
    <w:basedOn w:val="a0"/>
    <w:link w:val="af9"/>
    <w:uiPriority w:val="99"/>
    <w:unhideWhenUsed/>
    <w:rsid w:val="005D540E"/>
    <w:pPr>
      <w:spacing w:line="240" w:lineRule="auto"/>
    </w:pPr>
    <w:rPr>
      <w:rFonts w:ascii="Calibri Light" w:eastAsia="新細明體" w:hAnsi="Calibri Light"/>
      <w:sz w:val="18"/>
      <w:szCs w:val="18"/>
    </w:rPr>
  </w:style>
  <w:style w:type="character" w:customStyle="1" w:styleId="af9">
    <w:name w:val="註解方塊文字 字元"/>
    <w:link w:val="af8"/>
    <w:uiPriority w:val="99"/>
    <w:rsid w:val="005D540E"/>
    <w:rPr>
      <w:rFonts w:ascii="Calibri Light" w:hAnsi="Calibri Light"/>
      <w:snapToGrid w:val="0"/>
      <w:kern w:val="2"/>
      <w:sz w:val="18"/>
      <w:szCs w:val="18"/>
    </w:rPr>
  </w:style>
  <w:style w:type="character" w:styleId="afa">
    <w:name w:val="Hyperlink"/>
    <w:uiPriority w:val="99"/>
    <w:unhideWhenUsed/>
    <w:rsid w:val="005D540E"/>
    <w:rPr>
      <w:color w:val="0000FF"/>
      <w:u w:val="single"/>
    </w:rPr>
  </w:style>
  <w:style w:type="character" w:customStyle="1" w:styleId="10">
    <w:name w:val="標題 1 字元"/>
    <w:link w:val="1"/>
    <w:rsid w:val="00927CD9"/>
    <w:rPr>
      <w:rFonts w:ascii="華康楷書體W5" w:eastAsia="華康楷書體W5" w:hAnsi="Wingdings" w:cs="Wingdings"/>
      <w:snapToGrid w:val="0"/>
      <w:sz w:val="28"/>
      <w:szCs w:val="28"/>
      <w:lang w:val="zh-TW"/>
    </w:rPr>
  </w:style>
  <w:style w:type="character" w:customStyle="1" w:styleId="20">
    <w:name w:val="標題 2 字元"/>
    <w:link w:val="2"/>
    <w:rsid w:val="00927CD9"/>
    <w:rPr>
      <w:rFonts w:ascii="華康楷書體W5" w:eastAsia="華康楷書體W5" w:hAnsi="Cambria Math" w:cs="Wingdings"/>
      <w:bCs/>
      <w:sz w:val="32"/>
      <w:szCs w:val="48"/>
    </w:rPr>
  </w:style>
  <w:style w:type="character" w:customStyle="1" w:styleId="30">
    <w:name w:val="標題 3 字元"/>
    <w:link w:val="3"/>
    <w:rsid w:val="00927CD9"/>
    <w:rPr>
      <w:rFonts w:ascii="華康楷書體W5" w:eastAsia="華康楷書體W5" w:hAnsi="Cambria Math" w:cs="Wingdings"/>
      <w:bCs/>
      <w:sz w:val="32"/>
      <w:szCs w:val="36"/>
    </w:rPr>
  </w:style>
  <w:style w:type="character" w:customStyle="1" w:styleId="40">
    <w:name w:val="標題 4 字元"/>
    <w:link w:val="4"/>
    <w:rsid w:val="00927CD9"/>
    <w:rPr>
      <w:rFonts w:ascii="華康楷書體W5" w:eastAsia="華康楷書體W5" w:hAnsi="Cambria Math" w:cs="Wingdings"/>
      <w:kern w:val="2"/>
      <w:sz w:val="32"/>
      <w:szCs w:val="36"/>
    </w:rPr>
  </w:style>
  <w:style w:type="character" w:customStyle="1" w:styleId="50">
    <w:name w:val="標題 5 字元"/>
    <w:link w:val="5"/>
    <w:uiPriority w:val="9"/>
    <w:rsid w:val="00927CD9"/>
    <w:rPr>
      <w:rFonts w:ascii="華康楷書體W5" w:eastAsia="華康楷書體W5" w:hAnsi="Cambria Math" w:cs="Wingdings"/>
      <w:bCs/>
      <w:kern w:val="2"/>
      <w:sz w:val="32"/>
      <w:szCs w:val="36"/>
    </w:rPr>
  </w:style>
  <w:style w:type="character" w:customStyle="1" w:styleId="60">
    <w:name w:val="標題 6 字元"/>
    <w:link w:val="6"/>
    <w:uiPriority w:val="9"/>
    <w:rsid w:val="00927CD9"/>
    <w:rPr>
      <w:rFonts w:ascii="華康楷書體W5" w:eastAsia="華康楷書體W5" w:hAnsi="Cambria Math" w:cs="Wingdings"/>
      <w:kern w:val="2"/>
      <w:sz w:val="32"/>
      <w:szCs w:val="36"/>
    </w:rPr>
  </w:style>
  <w:style w:type="character" w:customStyle="1" w:styleId="70">
    <w:name w:val="標題 7 字元"/>
    <w:link w:val="7"/>
    <w:rsid w:val="00927CD9"/>
    <w:rPr>
      <w:rFonts w:ascii="華康楷書體W5" w:eastAsia="華康楷書體W5" w:hAnsi="Cambria Math" w:cs="Wingdings"/>
      <w:bCs/>
      <w:kern w:val="2"/>
      <w:sz w:val="32"/>
      <w:szCs w:val="36"/>
    </w:rPr>
  </w:style>
  <w:style w:type="character" w:customStyle="1" w:styleId="80">
    <w:name w:val="標題 8 字元"/>
    <w:link w:val="8"/>
    <w:uiPriority w:val="9"/>
    <w:rsid w:val="00927CD9"/>
    <w:rPr>
      <w:rFonts w:ascii="華康楷書體W5" w:eastAsia="華康楷書體W5" w:hAnsi="Cambria Math" w:cs="Wingdings"/>
      <w:kern w:val="2"/>
      <w:sz w:val="32"/>
      <w:szCs w:val="36"/>
    </w:rPr>
  </w:style>
  <w:style w:type="character" w:customStyle="1" w:styleId="90">
    <w:name w:val="標題 9 字元"/>
    <w:link w:val="9"/>
    <w:uiPriority w:val="9"/>
    <w:semiHidden/>
    <w:rsid w:val="00927CD9"/>
    <w:rPr>
      <w:rFonts w:ascii="Calibri Light" w:eastAsia="SimSun" w:hAnsi="Calibri Light"/>
      <w:i/>
      <w:iCs/>
      <w:color w:val="262626"/>
      <w:sz w:val="21"/>
      <w:szCs w:val="21"/>
    </w:rPr>
  </w:style>
  <w:style w:type="paragraph" w:customStyle="1" w:styleId="afb">
    <w:name w:val="(一)下內文 字元"/>
    <w:basedOn w:val="a5"/>
    <w:link w:val="afc"/>
    <w:rsid w:val="00927CD9"/>
    <w:pPr>
      <w:adjustRightInd w:val="0"/>
      <w:ind w:leftChars="300" w:firstLineChars="0" w:firstLine="0"/>
    </w:pPr>
    <w:rPr>
      <w:rFonts w:ascii="華康楷書體W5" w:eastAsia="華康楷書體W5" w:hAnsi="Wingdings" w:cs="Wingdings"/>
    </w:rPr>
  </w:style>
  <w:style w:type="character" w:customStyle="1" w:styleId="afc">
    <w:name w:val="(一)下內文 字元 字元"/>
    <w:link w:val="afb"/>
    <w:rsid w:val="00927CD9"/>
    <w:rPr>
      <w:rFonts w:ascii="華康楷書體W5" w:eastAsia="華康楷書體W5" w:hAnsi="Wingdings" w:cs="Wingdings"/>
      <w:snapToGrid w:val="0"/>
      <w:kern w:val="2"/>
      <w:sz w:val="28"/>
      <w:szCs w:val="28"/>
    </w:rPr>
  </w:style>
  <w:style w:type="paragraph" w:customStyle="1" w:styleId="afd">
    <w:name w:val="報告名稱 字元"/>
    <w:basedOn w:val="a0"/>
    <w:link w:val="afe"/>
    <w:rsid w:val="00927CD9"/>
    <w:pPr>
      <w:adjustRightInd w:val="0"/>
      <w:ind w:leftChars="0" w:left="0" w:firstLineChars="0" w:firstLine="0"/>
    </w:pPr>
    <w:rPr>
      <w:rFonts w:ascii="華康楷書體W5" w:eastAsia="華康楷書體W5" w:hAnsi="Wingdings" w:cs="Wingdings"/>
      <w:b/>
      <w:sz w:val="36"/>
    </w:rPr>
  </w:style>
  <w:style w:type="character" w:customStyle="1" w:styleId="afe">
    <w:name w:val="報告名稱 字元 字元"/>
    <w:link w:val="afd"/>
    <w:rsid w:val="00927CD9"/>
    <w:rPr>
      <w:rFonts w:ascii="華康楷書體W5" w:eastAsia="華康楷書體W5" w:hAnsi="Wingdings" w:cs="Wingdings"/>
      <w:b/>
      <w:snapToGrid w:val="0"/>
      <w:kern w:val="2"/>
      <w:sz w:val="36"/>
      <w:szCs w:val="28"/>
    </w:rPr>
  </w:style>
  <w:style w:type="character" w:customStyle="1" w:styleId="15">
    <w:name w:val="頁尾 字元1"/>
    <w:aliases w:val="頁尾 字元 字元"/>
    <w:rsid w:val="00927CD9"/>
    <w:rPr>
      <w:rFonts w:eastAsia="華康楷書體W5"/>
      <w:kern w:val="2"/>
      <w:szCs w:val="28"/>
      <w:lang w:val="en-US" w:eastAsia="zh-TW" w:bidi="ar-SA"/>
    </w:rPr>
  </w:style>
  <w:style w:type="character" w:styleId="aff">
    <w:name w:val="page number"/>
    <w:basedOn w:val="a1"/>
    <w:rsid w:val="00927CD9"/>
  </w:style>
  <w:style w:type="paragraph" w:styleId="31">
    <w:name w:val="toc 3"/>
    <w:basedOn w:val="a0"/>
    <w:next w:val="a0"/>
    <w:autoRedefine/>
    <w:rsid w:val="00927CD9"/>
    <w:pPr>
      <w:tabs>
        <w:tab w:val="right" w:leader="hyphen" w:pos="8647"/>
      </w:tabs>
      <w:spacing w:line="480" w:lineRule="exact"/>
      <w:ind w:leftChars="172" w:left="756" w:hangingChars="110" w:hanging="268"/>
      <w:jc w:val="left"/>
    </w:pPr>
    <w:rPr>
      <w:rFonts w:ascii="華康楷書體W5" w:eastAsia="華康楷書體W5" w:hAnsi="華康楷書體W5" w:cs="Wingdings"/>
      <w:noProof/>
      <w:snapToGrid/>
      <w:sz w:val="24"/>
    </w:rPr>
  </w:style>
  <w:style w:type="paragraph" w:styleId="41">
    <w:name w:val="toc 4"/>
    <w:basedOn w:val="a0"/>
    <w:next w:val="a0"/>
    <w:autoRedefine/>
    <w:rsid w:val="00927CD9"/>
    <w:pPr>
      <w:spacing w:line="480" w:lineRule="exact"/>
      <w:ind w:leftChars="600" w:left="1440"/>
    </w:pPr>
    <w:rPr>
      <w:rFonts w:ascii="Wingdings" w:eastAsia="華康楷書體W5" w:hAnsi="Wingdings" w:cs="Wingdings"/>
      <w:snapToGrid/>
    </w:rPr>
  </w:style>
  <w:style w:type="paragraph" w:styleId="51">
    <w:name w:val="toc 5"/>
    <w:basedOn w:val="a0"/>
    <w:next w:val="a0"/>
    <w:autoRedefine/>
    <w:rsid w:val="00927CD9"/>
    <w:pPr>
      <w:spacing w:line="480" w:lineRule="exact"/>
      <w:ind w:leftChars="800" w:left="1920"/>
    </w:pPr>
    <w:rPr>
      <w:rFonts w:ascii="Wingdings" w:eastAsia="華康楷書體W5" w:hAnsi="Wingdings" w:cs="Wingdings"/>
      <w:snapToGrid/>
    </w:rPr>
  </w:style>
  <w:style w:type="paragraph" w:styleId="61">
    <w:name w:val="toc 6"/>
    <w:basedOn w:val="a0"/>
    <w:next w:val="a0"/>
    <w:autoRedefine/>
    <w:rsid w:val="00927CD9"/>
    <w:pPr>
      <w:spacing w:line="480" w:lineRule="exact"/>
      <w:ind w:leftChars="1000" w:left="2400"/>
    </w:pPr>
    <w:rPr>
      <w:rFonts w:ascii="Wingdings" w:eastAsia="華康楷書體W5" w:hAnsi="Wingdings" w:cs="Wingdings"/>
      <w:snapToGrid/>
    </w:rPr>
  </w:style>
  <w:style w:type="paragraph" w:styleId="71">
    <w:name w:val="toc 7"/>
    <w:basedOn w:val="a0"/>
    <w:next w:val="a0"/>
    <w:autoRedefine/>
    <w:rsid w:val="00927CD9"/>
    <w:pPr>
      <w:spacing w:line="480" w:lineRule="exact"/>
      <w:ind w:leftChars="1200" w:left="2880"/>
    </w:pPr>
    <w:rPr>
      <w:rFonts w:ascii="Wingdings" w:eastAsia="華康楷書體W5" w:hAnsi="Wingdings" w:cs="Wingdings"/>
      <w:snapToGrid/>
    </w:rPr>
  </w:style>
  <w:style w:type="paragraph" w:styleId="81">
    <w:name w:val="toc 8"/>
    <w:basedOn w:val="a0"/>
    <w:next w:val="a0"/>
    <w:autoRedefine/>
    <w:rsid w:val="00927CD9"/>
    <w:pPr>
      <w:spacing w:line="480" w:lineRule="exact"/>
      <w:ind w:leftChars="1400" w:left="3360"/>
    </w:pPr>
    <w:rPr>
      <w:rFonts w:ascii="Wingdings" w:eastAsia="華康楷書體W5" w:hAnsi="Wingdings" w:cs="Wingdings"/>
      <w:snapToGrid/>
    </w:rPr>
  </w:style>
  <w:style w:type="paragraph" w:styleId="91">
    <w:name w:val="toc 9"/>
    <w:basedOn w:val="a0"/>
    <w:next w:val="a0"/>
    <w:autoRedefine/>
    <w:rsid w:val="00927CD9"/>
    <w:pPr>
      <w:spacing w:line="480" w:lineRule="exact"/>
      <w:ind w:leftChars="1600" w:left="3840"/>
    </w:pPr>
    <w:rPr>
      <w:rFonts w:ascii="Wingdings" w:eastAsia="華康楷書體W5" w:hAnsi="Wingdings" w:cs="Wingdings"/>
      <w:snapToGrid/>
    </w:rPr>
  </w:style>
  <w:style w:type="paragraph" w:customStyle="1" w:styleId="52">
    <w:name w:val="字元 字元5 字元"/>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styleId="aff0">
    <w:name w:val="Plain Text"/>
    <w:basedOn w:val="a0"/>
    <w:link w:val="aff1"/>
    <w:rsid w:val="00927CD9"/>
    <w:pPr>
      <w:spacing w:line="240" w:lineRule="auto"/>
      <w:ind w:leftChars="0" w:left="0" w:firstLineChars="0" w:firstLine="0"/>
      <w:jc w:val="left"/>
    </w:pPr>
    <w:rPr>
      <w:rFonts w:ascii="Arial" w:eastAsia="Arial" w:hAnsi="Verdana" w:cs="Wingdings"/>
      <w:snapToGrid/>
      <w:sz w:val="24"/>
      <w:szCs w:val="20"/>
    </w:rPr>
  </w:style>
  <w:style w:type="character" w:customStyle="1" w:styleId="aff1">
    <w:name w:val="純文字 字元"/>
    <w:link w:val="aff0"/>
    <w:rsid w:val="00927CD9"/>
    <w:rPr>
      <w:rFonts w:ascii="Arial" w:eastAsia="Arial" w:hAnsi="Verdana" w:cs="Wingdings"/>
      <w:kern w:val="2"/>
      <w:sz w:val="24"/>
    </w:rPr>
  </w:style>
  <w:style w:type="paragraph" w:customStyle="1" w:styleId="25">
    <w:name w:val="2"/>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customStyle="1" w:styleId="147">
    <w:name w:val="14"/>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character" w:styleId="aff2">
    <w:name w:val="Strong"/>
    <w:qFormat/>
    <w:rsid w:val="00927CD9"/>
    <w:rPr>
      <w:b/>
      <w:bCs/>
    </w:rPr>
  </w:style>
  <w:style w:type="paragraph" w:customStyle="1" w:styleId="aff3">
    <w:name w:val="a"/>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aff4">
    <w:name w:val="Body Text"/>
    <w:basedOn w:val="a0"/>
    <w:link w:val="aff5"/>
    <w:qFormat/>
    <w:rsid w:val="00927CD9"/>
    <w:pPr>
      <w:spacing w:after="120"/>
    </w:pPr>
    <w:rPr>
      <w:rFonts w:ascii="華康楷書體W5" w:eastAsia="華康楷書體W5" w:hAnsi="Wingdings" w:cs="Wingdings"/>
    </w:rPr>
  </w:style>
  <w:style w:type="character" w:customStyle="1" w:styleId="aff5">
    <w:name w:val="本文 字元"/>
    <w:link w:val="aff4"/>
    <w:rsid w:val="00927CD9"/>
    <w:rPr>
      <w:rFonts w:ascii="華康楷書體W5" w:eastAsia="華康楷書體W5" w:hAnsi="Wingdings" w:cs="Wingdings"/>
      <w:snapToGrid w:val="0"/>
      <w:kern w:val="2"/>
      <w:sz w:val="28"/>
      <w:szCs w:val="28"/>
    </w:rPr>
  </w:style>
  <w:style w:type="table" w:styleId="aff6">
    <w:name w:val="Table Grid"/>
    <w:basedOn w:val="a2"/>
    <w:uiPriority w:val="59"/>
    <w:rsid w:val="00927CD9"/>
    <w:pPr>
      <w:widowControl w:val="0"/>
      <w:spacing w:line="500" w:lineRule="exact"/>
      <w:ind w:leftChars="200" w:left="200" w:firstLineChars="200" w:firstLine="200"/>
      <w:jc w:val="both"/>
    </w:pPr>
    <w:rPr>
      <w:rFonts w:ascii="Wingdings" w:hAnsi="Wingdings" w:cs="Wingding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0"/>
    <w:uiPriority w:val="99"/>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24"/>
      <w:szCs w:val="24"/>
    </w:rPr>
  </w:style>
  <w:style w:type="paragraph" w:styleId="HTML">
    <w:name w:val="HTML Preformatted"/>
    <w:basedOn w:val="a0"/>
    <w:link w:val="HTML0"/>
    <w:rsid w:val="00927CD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w:eastAsia="Arial" w:hAnsi="Arial" w:cs="Arial"/>
      <w:snapToGrid/>
      <w:color w:val="000000"/>
      <w:kern w:val="0"/>
      <w:sz w:val="24"/>
      <w:szCs w:val="24"/>
    </w:rPr>
  </w:style>
  <w:style w:type="character" w:customStyle="1" w:styleId="HTML0">
    <w:name w:val="HTML 預設格式 字元"/>
    <w:link w:val="HTML"/>
    <w:uiPriority w:val="99"/>
    <w:rsid w:val="00927CD9"/>
    <w:rPr>
      <w:rFonts w:ascii="Arial" w:eastAsia="Arial" w:hAnsi="Arial" w:cs="Arial"/>
      <w:color w:val="000000"/>
      <w:sz w:val="24"/>
      <w:szCs w:val="24"/>
    </w:rPr>
  </w:style>
  <w:style w:type="character" w:customStyle="1" w:styleId="mainwordtxtinportant1">
    <w:name w:val="main_word_txt_inportant1"/>
    <w:rsid w:val="00927CD9"/>
    <w:rPr>
      <w:strike w:val="0"/>
      <w:dstrike w:val="0"/>
      <w:color w:val="FF9900"/>
      <w:spacing w:val="20"/>
      <w:sz w:val="23"/>
      <w:szCs w:val="23"/>
      <w:u w:val="none"/>
      <w:effect w:val="none"/>
    </w:rPr>
  </w:style>
  <w:style w:type="character" w:customStyle="1" w:styleId="af1">
    <w:name w:val="圖表目錄 字元"/>
    <w:link w:val="a9"/>
    <w:rsid w:val="00927CD9"/>
    <w:rPr>
      <w:rFonts w:ascii="標楷體" w:eastAsia="標楷體"/>
      <w:snapToGrid w:val="0"/>
      <w:kern w:val="2"/>
      <w:sz w:val="28"/>
      <w:szCs w:val="28"/>
    </w:rPr>
  </w:style>
  <w:style w:type="character" w:customStyle="1" w:styleId="style601">
    <w:name w:val="style601"/>
    <w:rsid w:val="00927CD9"/>
    <w:rPr>
      <w:color w:val="FF0000"/>
    </w:rPr>
  </w:style>
  <w:style w:type="paragraph" w:customStyle="1" w:styleId="aff7">
    <w:name w:val=""/>
    <w:basedOn w:val="a0"/>
    <w:rsid w:val="00927CD9"/>
    <w:pPr>
      <w:adjustRightInd w:val="0"/>
      <w:spacing w:line="400" w:lineRule="exact"/>
      <w:ind w:leftChars="0" w:left="1135" w:firstLineChars="0" w:hanging="284"/>
      <w:textDirection w:val="lrTbV"/>
      <w:textAlignment w:val="baseline"/>
    </w:pPr>
    <w:rPr>
      <w:rFonts w:ascii="Wingdings" w:eastAsia="Arial" w:hAnsi="Wingdings" w:cs="Wingdings"/>
      <w:b/>
      <w:snapToGrid/>
      <w:szCs w:val="20"/>
    </w:rPr>
  </w:style>
  <w:style w:type="paragraph" w:customStyle="1" w:styleId="aff8">
    <w:name w:val="甲"/>
    <w:basedOn w:val="a0"/>
    <w:rsid w:val="00927CD9"/>
    <w:pPr>
      <w:adjustRightInd w:val="0"/>
      <w:spacing w:before="120" w:line="400" w:lineRule="exact"/>
      <w:ind w:leftChars="0" w:left="0" w:firstLineChars="0" w:firstLine="0"/>
      <w:textDirection w:val="lrTbV"/>
      <w:textAlignment w:val="baseline"/>
    </w:pPr>
    <w:rPr>
      <w:rFonts w:ascii="細明體" w:eastAsia="細明體" w:hAnsi="Verdana" w:cs="Wingdings"/>
      <w:b/>
      <w:snapToGrid/>
      <w:spacing w:val="8"/>
      <w:szCs w:val="20"/>
    </w:rPr>
  </w:style>
  <w:style w:type="paragraph" w:customStyle="1" w:styleId="aff9">
    <w:name w:val=""/>
    <w:basedOn w:val="a0"/>
    <w:rsid w:val="00927CD9"/>
    <w:pPr>
      <w:spacing w:line="440" w:lineRule="exact"/>
      <w:ind w:leftChars="0" w:left="851" w:firstLineChars="0" w:hanging="567"/>
    </w:pPr>
    <w:rPr>
      <w:rFonts w:ascii="Wingdings" w:eastAsia="Courier New" w:hAnsi="Wingdings" w:cs="Wingdings"/>
      <w:b/>
      <w:snapToGrid/>
      <w:szCs w:val="20"/>
    </w:rPr>
  </w:style>
  <w:style w:type="paragraph" w:customStyle="1" w:styleId="affa">
    <w:name w:val="(一)"/>
    <w:basedOn w:val="a0"/>
    <w:link w:val="affb"/>
    <w:rsid w:val="00927CD9"/>
    <w:pPr>
      <w:spacing w:line="240" w:lineRule="auto"/>
      <w:ind w:leftChars="0" w:left="568" w:firstLineChars="0" w:hanging="284"/>
    </w:pPr>
    <w:rPr>
      <w:rFonts w:ascii="Wingdings" w:eastAsia="華康楷書體W5" w:hAnsi="Wingdings" w:cs="Wingdings"/>
      <w:snapToGrid/>
      <w:szCs w:val="20"/>
    </w:rPr>
  </w:style>
  <w:style w:type="paragraph" w:customStyle="1" w:styleId="affc">
    <w:name w:val="一、說明（首行縮排）"/>
    <w:basedOn w:val="aff0"/>
    <w:rsid w:val="00927CD9"/>
    <w:pPr>
      <w:spacing w:line="440" w:lineRule="exact"/>
      <w:ind w:left="794" w:firstLine="624"/>
      <w:jc w:val="both"/>
    </w:pPr>
    <w:rPr>
      <w:rFonts w:ascii="Wingdings" w:eastAsia="華康中黑體" w:hAnsi="Wingdings"/>
      <w:spacing w:val="10"/>
      <w:sz w:val="28"/>
    </w:rPr>
  </w:style>
  <w:style w:type="paragraph" w:customStyle="1" w:styleId="k02">
    <w:name w:val="k02"/>
    <w:rsid w:val="00927CD9"/>
    <w:pPr>
      <w:widowControl w:val="0"/>
      <w:tabs>
        <w:tab w:val="left" w:pos="960"/>
        <w:tab w:val="left" w:pos="1920"/>
        <w:tab w:val="left" w:pos="2880"/>
        <w:tab w:val="left" w:pos="3840"/>
        <w:tab w:val="left" w:pos="4800"/>
        <w:tab w:val="left" w:pos="5760"/>
      </w:tabs>
      <w:overflowPunct w:val="0"/>
      <w:autoSpaceDE w:val="0"/>
      <w:autoSpaceDN w:val="0"/>
      <w:snapToGrid w:val="0"/>
      <w:spacing w:line="400" w:lineRule="exact"/>
      <w:ind w:firstLineChars="200" w:firstLine="200"/>
      <w:jc w:val="both"/>
      <w:textAlignment w:val="center"/>
    </w:pPr>
    <w:rPr>
      <w:rFonts w:ascii="Wingdings" w:eastAsia="華康楷書體W5" w:hAnsi="Wingdings" w:cs="Wingdings"/>
      <w:sz w:val="26"/>
      <w:szCs w:val="26"/>
    </w:rPr>
  </w:style>
  <w:style w:type="paragraph" w:customStyle="1" w:styleId="k00">
    <w:name w:val="k00"/>
    <w:rsid w:val="00927CD9"/>
    <w:pPr>
      <w:widowControl w:val="0"/>
      <w:overflowPunct w:val="0"/>
      <w:autoSpaceDE w:val="0"/>
      <w:autoSpaceDN w:val="0"/>
      <w:spacing w:line="400" w:lineRule="exact"/>
      <w:jc w:val="both"/>
      <w:textAlignment w:val="center"/>
    </w:pPr>
    <w:rPr>
      <w:rFonts w:ascii="Wingdings" w:eastAsia="華康楷書體W5" w:hAnsi="Wingdings" w:cs="Wingdings"/>
      <w:sz w:val="26"/>
    </w:rPr>
  </w:style>
  <w:style w:type="paragraph" w:customStyle="1" w:styleId="k10">
    <w:name w:val="k10"/>
    <w:rsid w:val="00927CD9"/>
    <w:pPr>
      <w:widowControl w:val="0"/>
      <w:overflowPunct w:val="0"/>
      <w:autoSpaceDE w:val="0"/>
      <w:autoSpaceDN w:val="0"/>
      <w:spacing w:line="400" w:lineRule="exact"/>
      <w:ind w:leftChars="100" w:left="100"/>
      <w:jc w:val="both"/>
      <w:textAlignment w:val="center"/>
    </w:pPr>
    <w:rPr>
      <w:rFonts w:ascii="Wingdings" w:eastAsia="華康楷書體W5" w:hAnsi="Wingdings" w:cs="Wingdings"/>
      <w:sz w:val="26"/>
      <w:szCs w:val="26"/>
    </w:rPr>
  </w:style>
  <w:style w:type="paragraph" w:customStyle="1" w:styleId="affd">
    <w:name w:val="第二層"/>
    <w:basedOn w:val="aff0"/>
    <w:rsid w:val="00927CD9"/>
    <w:pPr>
      <w:spacing w:line="500" w:lineRule="exact"/>
      <w:ind w:left="559" w:hangingChars="200" w:hanging="559"/>
      <w:jc w:val="both"/>
    </w:pPr>
    <w:rPr>
      <w:rFonts w:ascii="Tahoma" w:eastAsia="華康楷書體W5"/>
      <w:b/>
      <w:bCs/>
      <w:sz w:val="28"/>
      <w:szCs w:val="24"/>
    </w:rPr>
  </w:style>
  <w:style w:type="paragraph" w:customStyle="1" w:styleId="affe">
    <w:name w:val="第一層"/>
    <w:basedOn w:val="aff0"/>
    <w:rsid w:val="00927CD9"/>
    <w:pPr>
      <w:ind w:leftChars="550" w:left="1537"/>
      <w:jc w:val="both"/>
    </w:pPr>
    <w:rPr>
      <w:rFonts w:ascii="Tahoma" w:eastAsia="華康楷書體W5"/>
      <w:b/>
      <w:bCs/>
      <w:sz w:val="32"/>
      <w:szCs w:val="24"/>
    </w:rPr>
  </w:style>
  <w:style w:type="paragraph" w:customStyle="1" w:styleId="17">
    <w:name w:val="目錄1"/>
    <w:basedOn w:val="13"/>
    <w:rsid w:val="00927CD9"/>
    <w:pPr>
      <w:tabs>
        <w:tab w:val="right" w:leader="hyphen" w:pos="8646"/>
      </w:tabs>
      <w:ind w:rightChars="100" w:right="283"/>
    </w:pPr>
    <w:rPr>
      <w:rFonts w:ascii="華康楷書體W5" w:eastAsia="華康楷書體W5" w:hAnsi="Wingdings" w:cs="Wingdings"/>
      <w:b w:val="0"/>
      <w:noProof/>
      <w:snapToGrid/>
      <w:kern w:val="0"/>
    </w:rPr>
  </w:style>
  <w:style w:type="paragraph" w:styleId="26">
    <w:name w:val="Body Text 2"/>
    <w:basedOn w:val="a0"/>
    <w:link w:val="27"/>
    <w:rsid w:val="00927CD9"/>
    <w:pPr>
      <w:autoSpaceDE w:val="0"/>
      <w:autoSpaceDN w:val="0"/>
      <w:adjustRightInd w:val="0"/>
      <w:spacing w:line="240" w:lineRule="auto"/>
      <w:ind w:leftChars="0" w:left="0" w:firstLineChars="0" w:firstLine="0"/>
    </w:pPr>
    <w:rPr>
      <w:rFonts w:ascii="華康楷書體W5" w:eastAsia="華康楷書體W5" w:hAnsi="Wingdings" w:cs="Wingdings"/>
      <w:snapToGrid/>
      <w:sz w:val="24"/>
      <w:szCs w:val="20"/>
    </w:rPr>
  </w:style>
  <w:style w:type="character" w:customStyle="1" w:styleId="27">
    <w:name w:val="本文 2 字元"/>
    <w:link w:val="26"/>
    <w:rsid w:val="00927CD9"/>
    <w:rPr>
      <w:rFonts w:ascii="華康楷書體W5" w:eastAsia="華康楷書體W5" w:hAnsi="Wingdings" w:cs="Wingdings"/>
      <w:kern w:val="2"/>
      <w:sz w:val="24"/>
    </w:rPr>
  </w:style>
  <w:style w:type="paragraph" w:styleId="afff">
    <w:name w:val="Body Text Indent"/>
    <w:basedOn w:val="a0"/>
    <w:link w:val="afff0"/>
    <w:rsid w:val="00927CD9"/>
    <w:pPr>
      <w:autoSpaceDE w:val="0"/>
      <w:autoSpaceDN w:val="0"/>
      <w:adjustRightInd w:val="0"/>
      <w:spacing w:line="240" w:lineRule="auto"/>
      <w:ind w:leftChars="0" w:left="210" w:firstLineChars="0" w:hanging="210"/>
    </w:pPr>
    <w:rPr>
      <w:rFonts w:ascii="華康楷書體W5" w:eastAsia="華康楷書體W5" w:hAnsi="Wingdings" w:cs="Wingdings"/>
      <w:snapToGrid/>
      <w:color w:val="000000"/>
      <w:sz w:val="24"/>
      <w:szCs w:val="20"/>
    </w:rPr>
  </w:style>
  <w:style w:type="character" w:customStyle="1" w:styleId="afff0">
    <w:name w:val="本文縮排 字元"/>
    <w:link w:val="afff"/>
    <w:rsid w:val="00927CD9"/>
    <w:rPr>
      <w:rFonts w:ascii="華康楷書體W5" w:eastAsia="華康楷書體W5" w:hAnsi="Wingdings" w:cs="Wingdings"/>
      <w:color w:val="000000"/>
      <w:kern w:val="2"/>
      <w:sz w:val="24"/>
    </w:rPr>
  </w:style>
  <w:style w:type="character" w:customStyle="1" w:styleId="1232">
    <w:name w:val="(1)(2)(3) 字元"/>
    <w:link w:val="1231"/>
    <w:rsid w:val="00927CD9"/>
    <w:rPr>
      <w:rFonts w:ascii="標楷體" w:eastAsia="標楷體"/>
      <w:snapToGrid w:val="0"/>
      <w:kern w:val="2"/>
      <w:sz w:val="28"/>
      <w:szCs w:val="28"/>
    </w:rPr>
  </w:style>
  <w:style w:type="paragraph" w:customStyle="1" w:styleId="ST201">
    <w:name w:val="ST20_1"/>
    <w:basedOn w:val="a0"/>
    <w:rsid w:val="00927CD9"/>
    <w:pPr>
      <w:autoSpaceDE w:val="0"/>
      <w:autoSpaceDN w:val="0"/>
      <w:adjustRightInd w:val="0"/>
      <w:spacing w:line="360" w:lineRule="atLeast"/>
      <w:ind w:leftChars="0" w:left="0" w:firstLineChars="0" w:firstLine="0"/>
      <w:jc w:val="left"/>
    </w:pPr>
    <w:rPr>
      <w:rFonts w:ascii="Arial" w:eastAsia="Arial" w:hAnsi="華康細明體" w:cs="Wingdings"/>
      <w:snapToGrid/>
      <w:kern w:val="0"/>
      <w:sz w:val="32"/>
      <w:szCs w:val="20"/>
    </w:rPr>
  </w:style>
  <w:style w:type="paragraph" w:customStyle="1" w:styleId="afff1">
    <w:name w:val="字元 字元"/>
    <w:basedOn w:val="a0"/>
    <w:rsid w:val="00927CD9"/>
    <w:pPr>
      <w:widowControl/>
      <w:spacing w:after="160" w:line="240" w:lineRule="exact"/>
      <w:ind w:leftChars="0" w:left="0" w:firstLineChars="0" w:firstLine="0"/>
      <w:jc w:val="left"/>
    </w:pPr>
    <w:rPr>
      <w:rFonts w:ascii="華康楷書體W5" w:eastAsia="Tahoma" w:hAnsi="華康楷書體W5" w:cs="Wingdings"/>
      <w:snapToGrid/>
      <w:kern w:val="0"/>
      <w:sz w:val="20"/>
      <w:szCs w:val="20"/>
      <w:lang w:eastAsia="en-US"/>
    </w:rPr>
  </w:style>
  <w:style w:type="character" w:customStyle="1" w:styleId="160">
    <w:name w:val="第一層(16號字) 字元"/>
    <w:link w:val="16"/>
    <w:rsid w:val="00927CD9"/>
    <w:rPr>
      <w:rFonts w:ascii="標楷體" w:eastAsia="標楷體"/>
      <w:b/>
      <w:snapToGrid w:val="0"/>
      <w:kern w:val="2"/>
      <w:sz w:val="32"/>
    </w:rPr>
  </w:style>
  <w:style w:type="character" w:styleId="afff2">
    <w:name w:val="Emphasis"/>
    <w:qFormat/>
    <w:rsid w:val="00927CD9"/>
    <w:rPr>
      <w:b w:val="0"/>
      <w:bCs w:val="0"/>
      <w:i w:val="0"/>
      <w:iCs w:val="0"/>
      <w:color w:val="CC0033"/>
    </w:rPr>
  </w:style>
  <w:style w:type="paragraph" w:styleId="afff3">
    <w:name w:val="Date"/>
    <w:basedOn w:val="a0"/>
    <w:next w:val="a0"/>
    <w:link w:val="afff4"/>
    <w:rsid w:val="00927CD9"/>
    <w:pPr>
      <w:spacing w:line="240" w:lineRule="auto"/>
      <w:ind w:leftChars="0" w:left="0" w:firstLineChars="0" w:firstLine="0"/>
      <w:jc w:val="right"/>
    </w:pPr>
    <w:rPr>
      <w:rFonts w:ascii="Wingdings" w:eastAsia="華康楷書體W5" w:hAnsi="Wingdings" w:cs="Wingdings"/>
      <w:b/>
      <w:bCs/>
      <w:snapToGrid/>
      <w:sz w:val="36"/>
      <w:szCs w:val="24"/>
    </w:rPr>
  </w:style>
  <w:style w:type="character" w:customStyle="1" w:styleId="afff4">
    <w:name w:val="日期 字元"/>
    <w:link w:val="afff3"/>
    <w:rsid w:val="00927CD9"/>
    <w:rPr>
      <w:rFonts w:ascii="Wingdings" w:eastAsia="華康楷書體W5" w:hAnsi="Wingdings" w:cs="Wingdings"/>
      <w:b/>
      <w:bCs/>
      <w:kern w:val="2"/>
      <w:sz w:val="36"/>
      <w:szCs w:val="24"/>
    </w:rPr>
  </w:style>
  <w:style w:type="paragraph" w:customStyle="1" w:styleId="afff5">
    <w:name w:val="一"/>
    <w:basedOn w:val="a0"/>
    <w:rsid w:val="00927CD9"/>
    <w:pPr>
      <w:spacing w:line="240" w:lineRule="auto"/>
      <w:ind w:leftChars="0" w:left="0" w:firstLineChars="0" w:firstLine="0"/>
      <w:jc w:val="left"/>
    </w:pPr>
    <w:rPr>
      <w:rFonts w:ascii="華康楷書體W5" w:eastAsia="華康楷書體W5" w:hAnsi="華康楷書體W5" w:cs="Wingdings"/>
      <w:snapToGrid/>
      <w:sz w:val="32"/>
      <w:szCs w:val="32"/>
    </w:rPr>
  </w:style>
  <w:style w:type="paragraph" w:customStyle="1" w:styleId="18">
    <w:name w:val="1"/>
    <w:basedOn w:val="a0"/>
    <w:semiHidden/>
    <w:rsid w:val="00927CD9"/>
    <w:pPr>
      <w:widowControl/>
      <w:spacing w:after="160" w:line="240" w:lineRule="exact"/>
      <w:ind w:leftChars="0" w:left="0" w:firstLineChars="0" w:firstLine="0"/>
      <w:jc w:val="left"/>
    </w:pPr>
    <w:rPr>
      <w:rFonts w:ascii="Aptos" w:eastAsia="Wingdings" w:hAnsi="Aptos" w:cs="Wingdings"/>
      <w:snapToGrid/>
      <w:kern w:val="0"/>
      <w:sz w:val="20"/>
      <w:szCs w:val="20"/>
      <w:lang w:eastAsia="en-US"/>
    </w:rPr>
  </w:style>
  <w:style w:type="paragraph" w:customStyle="1" w:styleId="items">
    <w:name w:val="items"/>
    <w:basedOn w:val="a0"/>
    <w:rsid w:val="00927CD9"/>
    <w:pPr>
      <w:widowControl/>
      <w:spacing w:before="100" w:beforeAutospacing="1" w:after="100" w:afterAutospacing="1" w:line="240" w:lineRule="auto"/>
      <w:ind w:leftChars="0" w:left="480" w:firstLineChars="0" w:hanging="480"/>
      <w:jc w:val="left"/>
    </w:pPr>
    <w:rPr>
      <w:rFonts w:ascii="Tahoma" w:eastAsia="Tahoma" w:hAnsi="Tahoma" w:cs="Wingdings"/>
      <w:snapToGrid/>
      <w:kern w:val="0"/>
      <w:sz w:val="24"/>
      <w:szCs w:val="24"/>
    </w:rPr>
  </w:style>
  <w:style w:type="paragraph" w:customStyle="1" w:styleId="items0">
    <w:name w:val="items0"/>
    <w:basedOn w:val="a0"/>
    <w:rsid w:val="00927CD9"/>
    <w:pPr>
      <w:widowControl/>
      <w:spacing w:before="100" w:beforeAutospacing="1" w:after="100" w:afterAutospacing="1" w:line="240" w:lineRule="auto"/>
      <w:ind w:leftChars="0" w:left="480" w:firstLineChars="0" w:firstLine="0"/>
      <w:jc w:val="left"/>
    </w:pPr>
    <w:rPr>
      <w:rFonts w:ascii="Tahoma" w:eastAsia="Tahoma" w:hAnsi="Tahoma" w:cs="Wingdings"/>
      <w:snapToGrid/>
      <w:kern w:val="0"/>
      <w:sz w:val="24"/>
      <w:szCs w:val="24"/>
    </w:rPr>
  </w:style>
  <w:style w:type="paragraph" w:customStyle="1" w:styleId="itemss0">
    <w:name w:val="itemss0"/>
    <w:basedOn w:val="a0"/>
    <w:rsid w:val="00927CD9"/>
    <w:pPr>
      <w:widowControl/>
      <w:spacing w:before="100" w:beforeAutospacing="1" w:after="100" w:afterAutospacing="1" w:line="240" w:lineRule="auto"/>
      <w:ind w:leftChars="0" w:left="0" w:firstLineChars="0" w:firstLine="0"/>
      <w:jc w:val="left"/>
    </w:pPr>
    <w:rPr>
      <w:rFonts w:ascii="Tahoma" w:eastAsia="Tahoma" w:hAnsi="Tahoma" w:cs="Wingdings"/>
      <w:snapToGrid/>
      <w:kern w:val="0"/>
      <w:sz w:val="24"/>
      <w:szCs w:val="24"/>
    </w:rPr>
  </w:style>
  <w:style w:type="paragraph" w:customStyle="1" w:styleId="afff6">
    <w:name w:val="註腳"/>
    <w:basedOn w:val="af5"/>
    <w:qFormat/>
    <w:rsid w:val="00927CD9"/>
    <w:pPr>
      <w:spacing w:line="300" w:lineRule="exact"/>
      <w:ind w:leftChars="208" w:left="741" w:hangingChars="75" w:hanging="152"/>
      <w:jc w:val="both"/>
    </w:pPr>
    <w:rPr>
      <w:rFonts w:ascii="華康楷書體W5" w:eastAsia="華康楷書體W5" w:hAnsi="Wingdings" w:cs="Wingdings"/>
      <w:snapToGrid w:val="0"/>
      <w:sz w:val="22"/>
      <w:szCs w:val="22"/>
    </w:rPr>
  </w:style>
  <w:style w:type="paragraph" w:customStyle="1" w:styleId="afff7">
    <w:name w:val="字元"/>
    <w:basedOn w:val="a0"/>
    <w:rsid w:val="00927CD9"/>
    <w:pPr>
      <w:widowControl/>
      <w:spacing w:after="160" w:line="240" w:lineRule="exact"/>
      <w:ind w:leftChars="0" w:left="0" w:rightChars="100" w:right="100" w:firstLineChars="0" w:firstLine="0"/>
      <w:jc w:val="left"/>
    </w:pPr>
    <w:rPr>
      <w:rFonts w:ascii="Aptos" w:eastAsia="Wingdings" w:hAnsi="Aptos" w:cs="Tms Rmn"/>
      <w:snapToGrid/>
      <w:sz w:val="20"/>
      <w:szCs w:val="24"/>
      <w:lang w:eastAsia="en-US" w:bidi="hi-IN"/>
    </w:rPr>
  </w:style>
  <w:style w:type="character" w:customStyle="1" w:styleId="affb">
    <w:name w:val="(一) 字元"/>
    <w:link w:val="affa"/>
    <w:rsid w:val="00927CD9"/>
    <w:rPr>
      <w:rFonts w:ascii="Wingdings" w:eastAsia="華康楷書體W5" w:hAnsi="Wingdings" w:cs="Wingdings"/>
      <w:kern w:val="2"/>
      <w:sz w:val="28"/>
    </w:rPr>
  </w:style>
  <w:style w:type="paragraph" w:customStyle="1" w:styleId="Default">
    <w:name w:val="Default"/>
    <w:rsid w:val="00927CD9"/>
    <w:pPr>
      <w:widowControl w:val="0"/>
      <w:autoSpaceDE w:val="0"/>
      <w:autoSpaceDN w:val="0"/>
      <w:adjustRightInd w:val="0"/>
    </w:pPr>
    <w:rPr>
      <w:rFonts w:ascii="Wingdings" w:hAnsi="Wingdings" w:cs="Wingdings"/>
      <w:color w:val="000000"/>
      <w:sz w:val="24"/>
      <w:szCs w:val="24"/>
    </w:rPr>
  </w:style>
  <w:style w:type="paragraph" w:customStyle="1" w:styleId="afff8">
    <w:name w:val="證券(一).內文"/>
    <w:basedOn w:val="a0"/>
    <w:rsid w:val="00927CD9"/>
    <w:pPr>
      <w:adjustRightInd w:val="0"/>
      <w:snapToGrid w:val="0"/>
      <w:spacing w:line="326" w:lineRule="exact"/>
      <w:ind w:leftChars="0" w:left="300" w:hangingChars="300" w:hanging="300"/>
    </w:pPr>
    <w:rPr>
      <w:rFonts w:ascii="Wingdings" w:eastAsia="Courier New" w:hAnsi="Wingdings" w:cs="Wingdings"/>
      <w:snapToGrid/>
      <w:spacing w:val="4"/>
      <w:kern w:val="0"/>
      <w:sz w:val="22"/>
      <w:szCs w:val="20"/>
    </w:rPr>
  </w:style>
  <w:style w:type="paragraph" w:customStyle="1" w:styleId="afff9">
    <w:name w:val="證券內文"/>
    <w:rsid w:val="00927CD9"/>
    <w:pPr>
      <w:widowControl w:val="0"/>
      <w:snapToGrid w:val="0"/>
      <w:spacing w:line="326" w:lineRule="exact"/>
      <w:ind w:firstLineChars="200" w:firstLine="200"/>
      <w:jc w:val="both"/>
    </w:pPr>
    <w:rPr>
      <w:rFonts w:ascii="Wingdings" w:eastAsia="Courier New" w:hAnsi="Wingdings" w:cs="Wingdings"/>
      <w:spacing w:val="4"/>
      <w:sz w:val="22"/>
    </w:rPr>
  </w:style>
  <w:style w:type="paragraph" w:customStyle="1" w:styleId="afffa">
    <w:name w:val="案由(議)"/>
    <w:basedOn w:val="a0"/>
    <w:next w:val="a0"/>
    <w:rsid w:val="00927CD9"/>
    <w:pPr>
      <w:kinsoku w:val="0"/>
      <w:overflowPunct w:val="0"/>
      <w:spacing w:line="480" w:lineRule="exact"/>
      <w:ind w:leftChars="250" w:left="550" w:hangingChars="300" w:hanging="300"/>
      <w:textAlignment w:val="center"/>
    </w:pPr>
    <w:rPr>
      <w:rFonts w:ascii="Wingdings" w:eastAsia="華康中黑體" w:hAnsi="Wingdings" w:cs="Wingdings"/>
      <w:noProof/>
      <w:snapToGrid/>
      <w:spacing w:val="2"/>
      <w:kern w:val="0"/>
      <w:szCs w:val="24"/>
    </w:rPr>
  </w:style>
  <w:style w:type="character" w:customStyle="1" w:styleId="221">
    <w:name w:val="(一)下內文縮2 字元2"/>
    <w:rsid w:val="00927CD9"/>
    <w:rPr>
      <w:rFonts w:ascii="華康楷書體W5" w:eastAsia="華康楷書體W5"/>
      <w:snapToGrid w:val="0"/>
      <w:kern w:val="2"/>
      <w:sz w:val="28"/>
      <w:szCs w:val="28"/>
    </w:rPr>
  </w:style>
  <w:style w:type="character" w:styleId="afffb">
    <w:name w:val="FollowedHyperlink"/>
    <w:uiPriority w:val="99"/>
    <w:unhideWhenUsed/>
    <w:rsid w:val="00927CD9"/>
    <w:rPr>
      <w:color w:val="800080"/>
      <w:u w:val="single"/>
    </w:rPr>
  </w:style>
  <w:style w:type="paragraph" w:customStyle="1" w:styleId="font5">
    <w:name w:val="font5"/>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font6">
    <w:name w:val="font6"/>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color w:val="000000"/>
      <w:kern w:val="0"/>
      <w:sz w:val="22"/>
      <w:szCs w:val="22"/>
    </w:rPr>
  </w:style>
  <w:style w:type="paragraph" w:customStyle="1" w:styleId="font7">
    <w:name w:val="font7"/>
    <w:basedOn w:val="a0"/>
    <w:rsid w:val="00927CD9"/>
    <w:pPr>
      <w:widowControl/>
      <w:spacing w:before="100" w:beforeAutospacing="1" w:after="100" w:afterAutospacing="1" w:line="240" w:lineRule="auto"/>
      <w:ind w:leftChars="0" w:left="0" w:firstLineChars="0" w:firstLine="0"/>
      <w:jc w:val="left"/>
    </w:pPr>
    <w:rPr>
      <w:rFonts w:ascii="Tahoma" w:eastAsia="Tahoma" w:hAnsi="Tahoma" w:cs="Tahoma"/>
      <w:snapToGrid/>
      <w:kern w:val="0"/>
      <w:sz w:val="18"/>
      <w:szCs w:val="18"/>
    </w:rPr>
  </w:style>
  <w:style w:type="paragraph" w:customStyle="1" w:styleId="xl65">
    <w:name w:val="xl6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66">
    <w:name w:val="xl6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7">
    <w:name w:val="xl67"/>
    <w:basedOn w:val="a0"/>
    <w:rsid w:val="00927CD9"/>
    <w:pPr>
      <w:widowControl/>
      <w:pBdr>
        <w:top w:val="single" w:sz="4" w:space="0" w:color="auto"/>
        <w:left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8">
    <w:name w:val="xl68"/>
    <w:basedOn w:val="a0"/>
    <w:rsid w:val="00927CD9"/>
    <w:pPr>
      <w:widowControl/>
      <w:pBdr>
        <w:top w:val="single" w:sz="4" w:space="0" w:color="auto"/>
        <w:bottom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69">
    <w:name w:val="xl69"/>
    <w:basedOn w:val="a0"/>
    <w:rsid w:val="00927CD9"/>
    <w:pPr>
      <w:widowControl/>
      <w:pBdr>
        <w:top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0">
    <w:name w:val="xl70"/>
    <w:basedOn w:val="a0"/>
    <w:rsid w:val="00927CD9"/>
    <w:pPr>
      <w:widowControl/>
      <w:pBdr>
        <w:top w:val="single" w:sz="4" w:space="0" w:color="auto"/>
        <w:left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1">
    <w:name w:val="xl71"/>
    <w:basedOn w:val="a0"/>
    <w:rsid w:val="00927CD9"/>
    <w:pPr>
      <w:widowControl/>
      <w:spacing w:before="100" w:beforeAutospacing="1" w:after="100" w:afterAutospacing="1" w:line="240" w:lineRule="auto"/>
      <w:ind w:leftChars="0" w:left="0" w:firstLineChars="0" w:firstLine="0"/>
      <w:jc w:val="center"/>
    </w:pPr>
    <w:rPr>
      <w:rFonts w:ascii="華康楷書體W5" w:eastAsia="華康楷書體W5" w:hAnsi="華康楷書體W5" w:cs="Tahoma"/>
      <w:snapToGrid/>
      <w:kern w:val="0"/>
      <w:sz w:val="24"/>
      <w:szCs w:val="24"/>
    </w:rPr>
  </w:style>
  <w:style w:type="paragraph" w:customStyle="1" w:styleId="xl72">
    <w:name w:val="xl72"/>
    <w:basedOn w:val="a0"/>
    <w:rsid w:val="00927CD9"/>
    <w:pPr>
      <w:widowControl/>
      <w:pBdr>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3">
    <w:name w:val="xl73"/>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4">
    <w:name w:val="xl74"/>
    <w:basedOn w:val="a0"/>
    <w:rsid w:val="00927CD9"/>
    <w:pPr>
      <w:widowControl/>
      <w:pBdr>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5">
    <w:name w:val="xl75"/>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center"/>
    </w:pPr>
    <w:rPr>
      <w:rFonts w:ascii="華康楷書體W5" w:eastAsia="華康楷書體W5" w:hAnsi="華康楷書體W5" w:cs="Tahoma"/>
      <w:b/>
      <w:bCs/>
      <w:snapToGrid/>
      <w:color w:val="000000"/>
      <w:kern w:val="0"/>
      <w:sz w:val="24"/>
      <w:szCs w:val="24"/>
    </w:rPr>
  </w:style>
  <w:style w:type="paragraph" w:customStyle="1" w:styleId="xl76">
    <w:name w:val="xl76"/>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7">
    <w:name w:val="xl77"/>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8">
    <w:name w:val="xl78"/>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79">
    <w:name w:val="xl79"/>
    <w:basedOn w:val="a0"/>
    <w:rsid w:val="00927CD9"/>
    <w:pPr>
      <w:widowControl/>
      <w:pBdr>
        <w:top w:val="single" w:sz="4" w:space="0" w:color="auto"/>
        <w:left w:val="single" w:sz="4" w:space="0" w:color="auto"/>
        <w:bottom w:val="single" w:sz="4" w:space="0" w:color="auto"/>
        <w:right w:val="single" w:sz="4" w:space="0" w:color="auto"/>
      </w:pBdr>
      <w:spacing w:before="100" w:beforeAutospacing="1" w:after="100" w:afterAutospacing="1" w:line="240" w:lineRule="auto"/>
      <w:ind w:leftChars="0" w:left="0" w:firstLineChars="0" w:firstLine="0"/>
      <w:jc w:val="left"/>
    </w:pPr>
    <w:rPr>
      <w:rFonts w:ascii="華康楷書體W5" w:eastAsia="華康楷書體W5" w:hAnsi="華康楷書體W5" w:cs="Tahoma"/>
      <w:b/>
      <w:bCs/>
      <w:snapToGrid/>
      <w:color w:val="000000"/>
      <w:kern w:val="0"/>
      <w:sz w:val="24"/>
      <w:szCs w:val="24"/>
    </w:rPr>
  </w:style>
  <w:style w:type="paragraph" w:customStyle="1" w:styleId="xl80">
    <w:name w:val="xl80"/>
    <w:basedOn w:val="a0"/>
    <w:rsid w:val="00927CD9"/>
    <w:pPr>
      <w:widowControl/>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xl81">
    <w:name w:val="xl81"/>
    <w:basedOn w:val="a0"/>
    <w:rsid w:val="00927CD9"/>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ind w:leftChars="0" w:left="0" w:firstLineChars="0" w:firstLine="0"/>
      <w:jc w:val="left"/>
    </w:pPr>
    <w:rPr>
      <w:rFonts w:ascii="華康楷書體W5" w:eastAsia="華康楷書體W5" w:hAnsi="華康楷書體W5" w:cs="Tahoma"/>
      <w:snapToGrid/>
      <w:kern w:val="0"/>
      <w:sz w:val="24"/>
      <w:szCs w:val="24"/>
    </w:rPr>
  </w:style>
  <w:style w:type="paragraph" w:customStyle="1" w:styleId="19">
    <w:name w:val="字元 字元1"/>
    <w:basedOn w:val="a0"/>
    <w:semiHidden/>
    <w:rsid w:val="00927CD9"/>
    <w:pPr>
      <w:widowControl/>
      <w:spacing w:after="160" w:line="240" w:lineRule="exact"/>
      <w:ind w:leftChars="0" w:left="0" w:firstLineChars="0" w:firstLine="0"/>
      <w:jc w:val="left"/>
    </w:pPr>
    <w:rPr>
      <w:rFonts w:ascii="Aptos" w:eastAsia="Wingdings" w:hAnsi="Aptos" w:cs="Tms Rmn"/>
      <w:snapToGrid/>
      <w:sz w:val="20"/>
      <w:szCs w:val="24"/>
      <w:lang w:eastAsia="en-US" w:bidi="hi-IN"/>
    </w:rPr>
  </w:style>
  <w:style w:type="paragraph" w:styleId="afffc">
    <w:name w:val="List Paragraph"/>
    <w:aliases w:val="1.1.1.1清單段落,列點,(二),List Paragraph,Recommendation,Footnote Sam,List Paragraph (numbered (a)),Text,Noise heading,RUS List,Rec para,Dot pt,F5 List Paragraph,No Spacing1,List Paragraph Char Char Char,Indicator Text,Numbered Para 1,圖標號,標題一,標題 (4),卑南壹,L"/>
    <w:basedOn w:val="a0"/>
    <w:link w:val="afffd"/>
    <w:uiPriority w:val="34"/>
    <w:qFormat/>
    <w:rsid w:val="00927CD9"/>
    <w:pPr>
      <w:ind w:left="480"/>
    </w:pPr>
    <w:rPr>
      <w:rFonts w:ascii="華康楷書體W5" w:eastAsia="華康楷書體W5" w:hAnsi="Wingdings" w:cs="Wingdings"/>
    </w:rPr>
  </w:style>
  <w:style w:type="paragraph" w:customStyle="1" w:styleId="TableParagraph">
    <w:name w:val="Table Paragraph"/>
    <w:basedOn w:val="a0"/>
    <w:uiPriority w:val="1"/>
    <w:qFormat/>
    <w:rsid w:val="00927CD9"/>
    <w:pPr>
      <w:autoSpaceDE w:val="0"/>
      <w:autoSpaceDN w:val="0"/>
      <w:adjustRightInd w:val="0"/>
      <w:spacing w:line="240" w:lineRule="auto"/>
      <w:ind w:leftChars="0" w:left="110" w:firstLineChars="0" w:firstLine="0"/>
      <w:jc w:val="left"/>
    </w:pPr>
    <w:rPr>
      <w:rFonts w:ascii="Tahoma" w:eastAsia="Tahoma" w:hAnsi="Wingdings" w:cs="Tahoma"/>
      <w:snapToGrid/>
      <w:kern w:val="0"/>
      <w:sz w:val="24"/>
      <w:szCs w:val="24"/>
    </w:rPr>
  </w:style>
  <w:style w:type="character" w:customStyle="1" w:styleId="UnresolvedMention">
    <w:name w:val="Unresolved Mention"/>
    <w:uiPriority w:val="99"/>
    <w:semiHidden/>
    <w:unhideWhenUsed/>
    <w:rsid w:val="00927CD9"/>
    <w:rPr>
      <w:color w:val="605E5C"/>
      <w:shd w:val="clear" w:color="auto" w:fill="E1DFDD"/>
    </w:rPr>
  </w:style>
  <w:style w:type="character" w:customStyle="1" w:styleId="145">
    <w:name w:val="第一層(14號字) 字元"/>
    <w:link w:val="144"/>
    <w:locked/>
    <w:rsid w:val="00927CD9"/>
    <w:rPr>
      <w:rFonts w:ascii="標楷體" w:eastAsia="標楷體"/>
      <w:b/>
      <w:snapToGrid w:val="0"/>
      <w:kern w:val="2"/>
      <w:sz w:val="28"/>
    </w:rPr>
  </w:style>
  <w:style w:type="paragraph" w:customStyle="1" w:styleId="afffe">
    <w:name w:val="說明"/>
    <w:basedOn w:val="a0"/>
    <w:next w:val="a0"/>
    <w:rsid w:val="00927CD9"/>
    <w:pPr>
      <w:kinsoku w:val="0"/>
      <w:overflowPunct w:val="0"/>
      <w:spacing w:line="420" w:lineRule="exact"/>
      <w:ind w:leftChars="0" w:left="300" w:hangingChars="300" w:hanging="300"/>
      <w:textAlignment w:val="center"/>
    </w:pPr>
    <w:rPr>
      <w:rFonts w:ascii="Wingdings" w:eastAsia="Arial" w:hAnsi="Wingdings" w:cs="Wingdings"/>
      <w:noProof/>
      <w:snapToGrid/>
      <w:kern w:val="0"/>
      <w:sz w:val="21"/>
      <w:szCs w:val="24"/>
    </w:rPr>
  </w:style>
  <w:style w:type="paragraph" w:customStyle="1" w:styleId="affff">
    <w:name w:val="表格第一列(文字分散)"/>
    <w:basedOn w:val="a0"/>
    <w:next w:val="a0"/>
    <w:rsid w:val="00927CD9"/>
    <w:pPr>
      <w:kinsoku w:val="0"/>
      <w:overflowPunct w:val="0"/>
      <w:spacing w:line="315" w:lineRule="exact"/>
      <w:ind w:leftChars="50" w:left="50" w:rightChars="50" w:right="50" w:firstLineChars="0" w:firstLine="0"/>
      <w:jc w:val="distribute"/>
      <w:textAlignment w:val="center"/>
    </w:pPr>
    <w:rPr>
      <w:rFonts w:ascii="Wingdings" w:eastAsia="Arial" w:hAnsi="Wingdings" w:cs="Wingdings"/>
      <w:noProof/>
      <w:snapToGrid/>
      <w:sz w:val="21"/>
      <w:szCs w:val="24"/>
    </w:rPr>
  </w:style>
  <w:style w:type="paragraph" w:customStyle="1" w:styleId="affff0">
    <w:name w:val="院總號"/>
    <w:basedOn w:val="a0"/>
    <w:next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42"/>
      <w:szCs w:val="24"/>
    </w:rPr>
  </w:style>
  <w:style w:type="paragraph" w:customStyle="1" w:styleId="-">
    <w:name w:val="提案連署人-議程"/>
    <w:basedOn w:val="a0"/>
    <w:next w:val="a0"/>
    <w:rsid w:val="00927CD9"/>
    <w:pPr>
      <w:kinsoku w:val="0"/>
      <w:overflowPunct w:val="0"/>
      <w:spacing w:line="420" w:lineRule="exact"/>
      <w:ind w:leftChars="1100" w:left="1500" w:rightChars="300" w:right="300" w:hangingChars="400" w:hanging="400"/>
      <w:jc w:val="left"/>
      <w:textAlignment w:val="center"/>
    </w:pPr>
    <w:rPr>
      <w:rFonts w:ascii="Wingdings" w:eastAsia="Arial" w:hAnsi="Wingdings" w:cs="Wingdings"/>
      <w:noProof/>
      <w:snapToGrid/>
      <w:kern w:val="0"/>
      <w:sz w:val="21"/>
      <w:szCs w:val="24"/>
    </w:rPr>
  </w:style>
  <w:style w:type="paragraph" w:customStyle="1" w:styleId="affff1">
    <w:name w:val="提案號"/>
    <w:basedOn w:val="a0"/>
    <w:rsid w:val="00927CD9"/>
    <w:pPr>
      <w:kinsoku w:val="0"/>
      <w:overflowPunct w:val="0"/>
      <w:spacing w:line="420" w:lineRule="exact"/>
      <w:ind w:leftChars="0" w:left="0" w:firstLineChars="0" w:firstLine="0"/>
      <w:textAlignment w:val="center"/>
    </w:pPr>
    <w:rPr>
      <w:rFonts w:ascii="Wingdings" w:eastAsia="華康楷書體W5" w:hAnsi="Wingdings" w:cs="Wingdings"/>
      <w:noProof/>
      <w:snapToGrid/>
      <w:kern w:val="0"/>
      <w:sz w:val="34"/>
      <w:szCs w:val="24"/>
    </w:rPr>
  </w:style>
  <w:style w:type="paragraph" w:customStyle="1" w:styleId="affff2">
    <w:name w:val="說明(內文)"/>
    <w:basedOn w:val="a0"/>
    <w:next w:val="a0"/>
    <w:rsid w:val="00927CD9"/>
    <w:pPr>
      <w:kinsoku w:val="0"/>
      <w:overflowPunct w:val="0"/>
      <w:spacing w:line="420" w:lineRule="exact"/>
      <w:ind w:leftChars="0" w:left="0"/>
      <w:textAlignment w:val="center"/>
    </w:pPr>
    <w:rPr>
      <w:rFonts w:ascii="Wingdings" w:eastAsia="Arial" w:hAnsi="Wingdings" w:cs="Wingdings"/>
      <w:noProof/>
      <w:snapToGrid/>
      <w:kern w:val="0"/>
      <w:sz w:val="21"/>
      <w:szCs w:val="24"/>
    </w:rPr>
  </w:style>
  <w:style w:type="paragraph" w:customStyle="1" w:styleId="affff3">
    <w:name w:val="說明(無函件項目符號)"/>
    <w:basedOn w:val="a0"/>
    <w:next w:val="a0"/>
    <w:rsid w:val="00927CD9"/>
    <w:pPr>
      <w:kinsoku w:val="0"/>
      <w:overflowPunct w:val="0"/>
      <w:spacing w:line="420" w:lineRule="exact"/>
      <w:ind w:leftChars="100" w:left="300" w:hangingChars="200" w:hanging="200"/>
      <w:textAlignment w:val="center"/>
    </w:pPr>
    <w:rPr>
      <w:rFonts w:ascii="Wingdings" w:eastAsia="Arial" w:hAnsi="Wingdings" w:cs="Wingdings"/>
      <w:noProof/>
      <w:snapToGrid/>
      <w:kern w:val="0"/>
      <w:sz w:val="21"/>
      <w:szCs w:val="24"/>
    </w:rPr>
  </w:style>
  <w:style w:type="paragraph" w:customStyle="1" w:styleId="99">
    <w:name w:val="99_表名"/>
    <w:basedOn w:val="afffc"/>
    <w:qFormat/>
    <w:rsid w:val="00927CD9"/>
    <w:pPr>
      <w:numPr>
        <w:numId w:val="2"/>
      </w:numPr>
      <w:spacing w:line="240" w:lineRule="auto"/>
      <w:ind w:leftChars="0" w:left="0" w:firstLineChars="0" w:firstLine="0"/>
      <w:jc w:val="left"/>
    </w:pPr>
    <w:rPr>
      <w:rFonts w:hAnsi="華康楷書體W5"/>
      <w:snapToGrid/>
      <w:sz w:val="24"/>
      <w:szCs w:val="22"/>
    </w:rPr>
  </w:style>
  <w:style w:type="character" w:styleId="affff4">
    <w:name w:val="annotation reference"/>
    <w:rsid w:val="00927CD9"/>
    <w:rPr>
      <w:sz w:val="18"/>
      <w:szCs w:val="18"/>
    </w:rPr>
  </w:style>
  <w:style w:type="paragraph" w:styleId="affff5">
    <w:name w:val="annotation text"/>
    <w:basedOn w:val="a0"/>
    <w:link w:val="affff6"/>
    <w:rsid w:val="00927CD9"/>
    <w:pPr>
      <w:jc w:val="left"/>
    </w:pPr>
    <w:rPr>
      <w:rFonts w:ascii="華康楷書體W5" w:eastAsia="華康楷書體W5" w:hAnsi="Wingdings" w:cs="Wingdings"/>
    </w:rPr>
  </w:style>
  <w:style w:type="character" w:customStyle="1" w:styleId="affff6">
    <w:name w:val="註解文字 字元"/>
    <w:link w:val="affff5"/>
    <w:rsid w:val="00927CD9"/>
    <w:rPr>
      <w:rFonts w:ascii="華康楷書體W5" w:eastAsia="華康楷書體W5" w:hAnsi="Wingdings" w:cs="Wingdings"/>
      <w:snapToGrid w:val="0"/>
      <w:kern w:val="2"/>
      <w:sz w:val="28"/>
      <w:szCs w:val="28"/>
    </w:rPr>
  </w:style>
  <w:style w:type="paragraph" w:styleId="affff7">
    <w:name w:val="annotation subject"/>
    <w:basedOn w:val="affff5"/>
    <w:next w:val="affff5"/>
    <w:link w:val="affff8"/>
    <w:rsid w:val="00927CD9"/>
    <w:rPr>
      <w:b/>
      <w:bCs/>
    </w:rPr>
  </w:style>
  <w:style w:type="character" w:customStyle="1" w:styleId="affff8">
    <w:name w:val="註解主旨 字元"/>
    <w:link w:val="affff7"/>
    <w:rsid w:val="00927CD9"/>
    <w:rPr>
      <w:rFonts w:ascii="華康楷書體W5" w:eastAsia="華康楷書體W5" w:hAnsi="Wingdings" w:cs="Wingdings"/>
      <w:b/>
      <w:bCs/>
      <w:snapToGrid w:val="0"/>
      <w:kern w:val="2"/>
      <w:sz w:val="28"/>
      <w:szCs w:val="28"/>
    </w:rPr>
  </w:style>
  <w:style w:type="paragraph" w:styleId="affff9">
    <w:name w:val="caption"/>
    <w:basedOn w:val="a0"/>
    <w:next w:val="a0"/>
    <w:uiPriority w:val="35"/>
    <w:semiHidden/>
    <w:unhideWhenUsed/>
    <w:qFormat/>
    <w:rsid w:val="00927CD9"/>
    <w:pPr>
      <w:widowControl/>
      <w:spacing w:after="200" w:line="240" w:lineRule="auto"/>
      <w:ind w:leftChars="0" w:left="0" w:firstLineChars="0" w:firstLine="0"/>
      <w:jc w:val="left"/>
    </w:pPr>
    <w:rPr>
      <w:rFonts w:ascii="Calibri" w:eastAsia="新細明體" w:hAnsi="Calibri"/>
      <w:i/>
      <w:iCs/>
      <w:snapToGrid/>
      <w:color w:val="44546A"/>
      <w:kern w:val="0"/>
      <w:sz w:val="18"/>
      <w:szCs w:val="18"/>
    </w:rPr>
  </w:style>
  <w:style w:type="paragraph" w:styleId="affffa">
    <w:name w:val="Title"/>
    <w:basedOn w:val="a0"/>
    <w:next w:val="a0"/>
    <w:link w:val="affffb"/>
    <w:uiPriority w:val="10"/>
    <w:qFormat/>
    <w:rsid w:val="00927CD9"/>
    <w:pPr>
      <w:widowControl/>
      <w:spacing w:line="240" w:lineRule="auto"/>
      <w:ind w:leftChars="0" w:left="0" w:firstLineChars="0" w:firstLine="0"/>
      <w:contextualSpacing/>
      <w:jc w:val="left"/>
    </w:pPr>
    <w:rPr>
      <w:rFonts w:ascii="Calibri Light" w:eastAsia="SimSun" w:hAnsi="Calibri Light"/>
      <w:snapToGrid/>
      <w:spacing w:val="-10"/>
      <w:kern w:val="0"/>
      <w:sz w:val="56"/>
      <w:szCs w:val="56"/>
    </w:rPr>
  </w:style>
  <w:style w:type="character" w:customStyle="1" w:styleId="affffb">
    <w:name w:val="標題 字元"/>
    <w:link w:val="affffa"/>
    <w:uiPriority w:val="10"/>
    <w:rsid w:val="00927CD9"/>
    <w:rPr>
      <w:rFonts w:ascii="Calibri Light" w:eastAsia="SimSun" w:hAnsi="Calibri Light"/>
      <w:spacing w:val="-10"/>
      <w:sz w:val="56"/>
      <w:szCs w:val="56"/>
    </w:rPr>
  </w:style>
  <w:style w:type="paragraph" w:styleId="affffc">
    <w:name w:val="Subtitle"/>
    <w:basedOn w:val="a0"/>
    <w:next w:val="a0"/>
    <w:link w:val="affffd"/>
    <w:uiPriority w:val="11"/>
    <w:qFormat/>
    <w:rsid w:val="00927CD9"/>
    <w:pPr>
      <w:widowControl/>
      <w:numPr>
        <w:ilvl w:val="1"/>
      </w:numPr>
      <w:ind w:leftChars="200" w:left="200" w:firstLineChars="200" w:firstLine="200"/>
      <w:jc w:val="left"/>
    </w:pPr>
    <w:rPr>
      <w:rFonts w:ascii="Calibri" w:eastAsia="新細明體" w:hAnsi="Calibri"/>
      <w:snapToGrid/>
      <w:color w:val="5A5A5A"/>
      <w:spacing w:val="15"/>
      <w:kern w:val="0"/>
    </w:rPr>
  </w:style>
  <w:style w:type="character" w:customStyle="1" w:styleId="affffd">
    <w:name w:val="副標題 字元"/>
    <w:link w:val="affffc"/>
    <w:uiPriority w:val="11"/>
    <w:rsid w:val="00927CD9"/>
    <w:rPr>
      <w:rFonts w:ascii="Calibri" w:hAnsi="Calibri"/>
      <w:color w:val="5A5A5A"/>
      <w:spacing w:val="15"/>
      <w:sz w:val="28"/>
      <w:szCs w:val="28"/>
    </w:rPr>
  </w:style>
  <w:style w:type="paragraph" w:styleId="affffe">
    <w:name w:val="No Spacing"/>
    <w:uiPriority w:val="1"/>
    <w:qFormat/>
    <w:rsid w:val="00927CD9"/>
    <w:pPr>
      <w:spacing w:line="500" w:lineRule="exact"/>
    </w:pPr>
    <w:rPr>
      <w:rFonts w:ascii="Calibri" w:hAnsi="Calibri"/>
      <w:sz w:val="22"/>
      <w:szCs w:val="22"/>
    </w:rPr>
  </w:style>
  <w:style w:type="paragraph" w:styleId="afffff">
    <w:name w:val="Quote"/>
    <w:basedOn w:val="a0"/>
    <w:next w:val="a0"/>
    <w:link w:val="afffff0"/>
    <w:uiPriority w:val="29"/>
    <w:qFormat/>
    <w:rsid w:val="00927CD9"/>
    <w:pPr>
      <w:widowControl/>
      <w:spacing w:before="200"/>
      <w:ind w:leftChars="0" w:left="864" w:right="864" w:firstLineChars="0" w:firstLine="0"/>
      <w:jc w:val="left"/>
    </w:pPr>
    <w:rPr>
      <w:rFonts w:ascii="Calibri" w:eastAsia="新細明體" w:hAnsi="Calibri"/>
      <w:i/>
      <w:iCs/>
      <w:snapToGrid/>
      <w:color w:val="404040"/>
      <w:kern w:val="0"/>
    </w:rPr>
  </w:style>
  <w:style w:type="character" w:customStyle="1" w:styleId="afffff0">
    <w:name w:val="引文 字元"/>
    <w:link w:val="afffff"/>
    <w:uiPriority w:val="29"/>
    <w:rsid w:val="00927CD9"/>
    <w:rPr>
      <w:rFonts w:ascii="Calibri" w:hAnsi="Calibri"/>
      <w:i/>
      <w:iCs/>
      <w:color w:val="404040"/>
      <w:sz w:val="28"/>
      <w:szCs w:val="28"/>
    </w:rPr>
  </w:style>
  <w:style w:type="paragraph" w:styleId="afffff1">
    <w:name w:val="Intense Quote"/>
    <w:basedOn w:val="a0"/>
    <w:next w:val="a0"/>
    <w:link w:val="afffff2"/>
    <w:uiPriority w:val="30"/>
    <w:qFormat/>
    <w:rsid w:val="00927CD9"/>
    <w:pPr>
      <w:widowControl/>
      <w:pBdr>
        <w:top w:val="single" w:sz="4" w:space="10" w:color="5B9BD5"/>
        <w:bottom w:val="single" w:sz="4" w:space="10" w:color="5B9BD5"/>
      </w:pBdr>
      <w:spacing w:before="360" w:after="360"/>
      <w:ind w:leftChars="0" w:left="864" w:right="864" w:firstLineChars="0" w:firstLine="0"/>
      <w:jc w:val="center"/>
    </w:pPr>
    <w:rPr>
      <w:rFonts w:ascii="Calibri" w:eastAsia="新細明體" w:hAnsi="Calibri"/>
      <w:i/>
      <w:iCs/>
      <w:snapToGrid/>
      <w:color w:val="5B9BD5"/>
      <w:kern w:val="0"/>
    </w:rPr>
  </w:style>
  <w:style w:type="character" w:customStyle="1" w:styleId="afffff2">
    <w:name w:val="鮮明引文 字元"/>
    <w:link w:val="afffff1"/>
    <w:uiPriority w:val="30"/>
    <w:rsid w:val="00927CD9"/>
    <w:rPr>
      <w:rFonts w:ascii="Calibri" w:hAnsi="Calibri"/>
      <w:i/>
      <w:iCs/>
      <w:color w:val="5B9BD5"/>
      <w:sz w:val="28"/>
      <w:szCs w:val="28"/>
    </w:rPr>
  </w:style>
  <w:style w:type="character" w:styleId="afffff3">
    <w:name w:val="Subtle Emphasis"/>
    <w:uiPriority w:val="19"/>
    <w:qFormat/>
    <w:rsid w:val="00927CD9"/>
    <w:rPr>
      <w:i/>
      <w:iCs/>
      <w:color w:val="404040"/>
    </w:rPr>
  </w:style>
  <w:style w:type="character" w:styleId="afffff4">
    <w:name w:val="Intense Emphasis"/>
    <w:uiPriority w:val="21"/>
    <w:qFormat/>
    <w:rsid w:val="00927CD9"/>
    <w:rPr>
      <w:i/>
      <w:iCs/>
      <w:color w:val="5B9BD5"/>
    </w:rPr>
  </w:style>
  <w:style w:type="character" w:styleId="afffff5">
    <w:name w:val="Subtle Reference"/>
    <w:uiPriority w:val="31"/>
    <w:qFormat/>
    <w:rsid w:val="00927CD9"/>
    <w:rPr>
      <w:smallCaps/>
      <w:color w:val="404040"/>
    </w:rPr>
  </w:style>
  <w:style w:type="character" w:styleId="afffff6">
    <w:name w:val="Intense Reference"/>
    <w:uiPriority w:val="32"/>
    <w:qFormat/>
    <w:rsid w:val="00927CD9"/>
    <w:rPr>
      <w:b/>
      <w:bCs/>
      <w:smallCaps/>
      <w:color w:val="5B9BD5"/>
      <w:spacing w:val="5"/>
    </w:rPr>
  </w:style>
  <w:style w:type="character" w:styleId="afffff7">
    <w:name w:val="Book Title"/>
    <w:uiPriority w:val="33"/>
    <w:qFormat/>
    <w:rsid w:val="00927CD9"/>
    <w:rPr>
      <w:b/>
      <w:bCs/>
      <w:i/>
      <w:iCs/>
      <w:spacing w:val="5"/>
    </w:rPr>
  </w:style>
  <w:style w:type="paragraph" w:styleId="afffff8">
    <w:name w:val="TOC Heading"/>
    <w:basedOn w:val="1"/>
    <w:next w:val="a0"/>
    <w:uiPriority w:val="39"/>
    <w:semiHidden/>
    <w:unhideWhenUsed/>
    <w:qFormat/>
    <w:rsid w:val="00927CD9"/>
    <w:pPr>
      <w:keepNext/>
      <w:keepLines/>
      <w:widowControl/>
      <w:spacing w:before="240"/>
      <w:ind w:leftChars="0" w:left="0" w:firstLineChars="0" w:firstLine="0"/>
      <w:jc w:val="left"/>
      <w:outlineLvl w:val="9"/>
    </w:pPr>
    <w:rPr>
      <w:rFonts w:ascii="Calibri Light" w:eastAsia="SimSun" w:hAnsi="Calibri Light" w:cs="Times New Roman"/>
      <w:snapToGrid/>
      <w:color w:val="2E74B5"/>
      <w:sz w:val="32"/>
      <w:szCs w:val="32"/>
      <w:lang w:val="en-US"/>
    </w:rPr>
  </w:style>
  <w:style w:type="paragraph" w:customStyle="1" w:styleId="148">
    <w:name w:val="註腳(表格內文14行高左右齊)"/>
    <w:basedOn w:val="142"/>
    <w:qFormat/>
    <w:rsid w:val="00CB04EA"/>
    <w:pPr>
      <w:wordWrap w:val="0"/>
      <w:ind w:leftChars="-15" w:left="153" w:hangingChars="80" w:hanging="195"/>
      <w:jc w:val="both"/>
    </w:pPr>
  </w:style>
  <w:style w:type="paragraph" w:styleId="afffff9">
    <w:name w:val="Normal Indent"/>
    <w:basedOn w:val="a0"/>
    <w:rsid w:val="00D130B5"/>
    <w:pPr>
      <w:spacing w:line="240" w:lineRule="auto"/>
      <w:ind w:leftChars="0" w:left="480" w:firstLineChars="0" w:firstLine="0"/>
      <w:jc w:val="left"/>
    </w:pPr>
    <w:rPr>
      <w:rFonts w:ascii="Times New Roman" w:eastAsia="新細明體"/>
      <w:snapToGrid/>
      <w:sz w:val="24"/>
      <w:szCs w:val="20"/>
    </w:rPr>
  </w:style>
  <w:style w:type="paragraph" w:customStyle="1" w:styleId="72">
    <w:name w:val="字元 字元7 字元"/>
    <w:basedOn w:val="a0"/>
    <w:semiHidden/>
    <w:rsid w:val="00D130B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
    <w:name w:val="List Bullet"/>
    <w:basedOn w:val="a0"/>
    <w:rsid w:val="00D130B5"/>
    <w:pPr>
      <w:numPr>
        <w:numId w:val="3"/>
      </w:numPr>
      <w:contextualSpacing/>
    </w:pPr>
  </w:style>
  <w:style w:type="paragraph" w:styleId="afffffa">
    <w:name w:val="Salutation"/>
    <w:basedOn w:val="a0"/>
    <w:next w:val="a0"/>
    <w:link w:val="afffffb"/>
    <w:rsid w:val="00D130B5"/>
  </w:style>
  <w:style w:type="character" w:customStyle="1" w:styleId="afffffb">
    <w:name w:val="問候 字元"/>
    <w:link w:val="afffffa"/>
    <w:rsid w:val="00D130B5"/>
    <w:rPr>
      <w:rFonts w:ascii="標楷體" w:eastAsia="標楷體"/>
      <w:snapToGrid w:val="0"/>
      <w:kern w:val="2"/>
      <w:sz w:val="28"/>
      <w:szCs w:val="28"/>
    </w:rPr>
  </w:style>
  <w:style w:type="paragraph" w:styleId="afffffc">
    <w:name w:val="Closing"/>
    <w:basedOn w:val="a0"/>
    <w:link w:val="afffffd"/>
    <w:rsid w:val="00D130B5"/>
    <w:pPr>
      <w:ind w:leftChars="1800" w:left="100"/>
    </w:pPr>
  </w:style>
  <w:style w:type="character" w:customStyle="1" w:styleId="afffffd">
    <w:name w:val="結語 字元"/>
    <w:link w:val="afffffc"/>
    <w:rsid w:val="00D130B5"/>
    <w:rPr>
      <w:rFonts w:ascii="標楷體" w:eastAsia="標楷體"/>
      <w:snapToGrid w:val="0"/>
      <w:kern w:val="2"/>
      <w:sz w:val="28"/>
      <w:szCs w:val="28"/>
    </w:rPr>
  </w:style>
  <w:style w:type="table" w:customStyle="1" w:styleId="1a">
    <w:name w:val="表格格線1"/>
    <w:basedOn w:val="a2"/>
    <w:next w:val="aff6"/>
    <w:rsid w:val="00D130B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8">
    <w:name w:val="表格格線2"/>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
    <w:name w:val="表格格線3"/>
    <w:basedOn w:val="a2"/>
    <w:next w:val="aff6"/>
    <w:uiPriority w:val="3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2">
    <w:name w:val="表格格線4"/>
    <w:basedOn w:val="a2"/>
    <w:next w:val="aff6"/>
    <w:uiPriority w:val="59"/>
    <w:rsid w:val="00D130B5"/>
    <w:rPr>
      <w:rFonts w:ascii="Cambria" w:eastAsia="MS Mincho" w:hAnsi="Cambria"/>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9">
    <w:name w:val="字元 字元2 字元 字元 字元"/>
    <w:basedOn w:val="a0"/>
    <w:semiHidden/>
    <w:rsid w:val="0018135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ffe">
    <w:name w:val="字元 字元 字元"/>
    <w:basedOn w:val="a0"/>
    <w:semiHidden/>
    <w:rsid w:val="00181357"/>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paragraph" w:customStyle="1" w:styleId="affffff">
    <w:name w:val="註腳對齊"/>
    <w:basedOn w:val="af5"/>
    <w:qFormat/>
    <w:rsid w:val="00181357"/>
    <w:pPr>
      <w:spacing w:line="300" w:lineRule="exact"/>
      <w:ind w:leftChars="252" w:left="784" w:hanging="70"/>
      <w:jc w:val="both"/>
    </w:pPr>
    <w:rPr>
      <w:rFonts w:ascii="標楷體" w:eastAsia="標楷體" w:hAnsi="Times New Roman"/>
      <w:snapToGrid w:val="0"/>
      <w:sz w:val="22"/>
      <w:szCs w:val="22"/>
    </w:rPr>
  </w:style>
  <w:style w:type="paragraph" w:customStyle="1" w:styleId="affffff0">
    <w:name w:val="表格標題"/>
    <w:basedOn w:val="a0"/>
    <w:qFormat/>
    <w:rsid w:val="00181357"/>
    <w:pPr>
      <w:ind w:leftChars="0" w:left="1134" w:hangingChars="400" w:hanging="1134"/>
    </w:pPr>
    <w:rPr>
      <w:b/>
    </w:rPr>
  </w:style>
  <w:style w:type="table" w:customStyle="1" w:styleId="110">
    <w:name w:val="表格格線11"/>
    <w:basedOn w:val="a2"/>
    <w:next w:val="aff6"/>
    <w:uiPriority w:val="59"/>
    <w:rsid w:val="0018135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9">
    <w:name w:val="表格內文(14行高) 字元 字元"/>
    <w:basedOn w:val="a9"/>
    <w:link w:val="14a"/>
    <w:rsid w:val="00181357"/>
    <w:pPr>
      <w:spacing w:line="280" w:lineRule="exact"/>
      <w:ind w:leftChars="0" w:left="0" w:firstLineChars="0" w:firstLine="0"/>
      <w:jc w:val="left"/>
    </w:pPr>
    <w:rPr>
      <w:sz w:val="24"/>
    </w:rPr>
  </w:style>
  <w:style w:type="character" w:customStyle="1" w:styleId="14a">
    <w:name w:val="表格內文(14行高) 字元 字元 字元"/>
    <w:link w:val="149"/>
    <w:rsid w:val="00181357"/>
    <w:rPr>
      <w:rFonts w:ascii="標楷體" w:eastAsia="標楷體"/>
      <w:snapToGrid w:val="0"/>
      <w:kern w:val="2"/>
      <w:sz w:val="24"/>
      <w:szCs w:val="28"/>
    </w:rPr>
  </w:style>
  <w:style w:type="paragraph" w:customStyle="1" w:styleId="1b">
    <w:name w:val="1下內文縮２"/>
    <w:basedOn w:val="a0"/>
    <w:qFormat/>
    <w:rsid w:val="00181357"/>
    <w:pPr>
      <w:ind w:leftChars="400" w:left="872" w:firstLineChars="222" w:firstLine="629"/>
    </w:pPr>
    <w:rPr>
      <w:rFonts w:hAnsi="標楷體"/>
      <w:snapToGrid/>
      <w:kern w:val="0"/>
    </w:rPr>
  </w:style>
  <w:style w:type="table" w:customStyle="1" w:styleId="TableNormal">
    <w:name w:val="Table Normal"/>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1">
    <w:name w:val="Table Normal1"/>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table" w:customStyle="1" w:styleId="TableNormal3">
    <w:name w:val="Table Normal3"/>
    <w:uiPriority w:val="2"/>
    <w:semiHidden/>
    <w:unhideWhenUsed/>
    <w:qFormat/>
    <w:rsid w:val="00181357"/>
    <w:pPr>
      <w:widowControl w:val="0"/>
      <w:autoSpaceDE w:val="0"/>
      <w:autoSpaceDN w:val="0"/>
    </w:pPr>
    <w:rPr>
      <w:rFonts w:ascii="Calibri" w:hAnsi="Calibri"/>
      <w:sz w:val="22"/>
      <w:szCs w:val="22"/>
      <w:lang w:eastAsia="en-US"/>
    </w:rPr>
    <w:tblPr>
      <w:tblInd w:w="0" w:type="dxa"/>
      <w:tblCellMar>
        <w:top w:w="0" w:type="dxa"/>
        <w:left w:w="0" w:type="dxa"/>
        <w:bottom w:w="0" w:type="dxa"/>
        <w:right w:w="0" w:type="dxa"/>
      </w:tblCellMar>
    </w:tblPr>
  </w:style>
  <w:style w:type="paragraph" w:styleId="affffff1">
    <w:name w:val="Note Heading"/>
    <w:basedOn w:val="a0"/>
    <w:next w:val="a0"/>
    <w:link w:val="affffff2"/>
    <w:unhideWhenUsed/>
    <w:rsid w:val="00181357"/>
    <w:pPr>
      <w:jc w:val="center"/>
    </w:pPr>
    <w:rPr>
      <w:b/>
      <w:snapToGrid/>
      <w:sz w:val="32"/>
      <w:szCs w:val="20"/>
    </w:rPr>
  </w:style>
  <w:style w:type="character" w:customStyle="1" w:styleId="affffff2">
    <w:name w:val="註釋標題 字元"/>
    <w:link w:val="affffff1"/>
    <w:rsid w:val="00181357"/>
    <w:rPr>
      <w:rFonts w:ascii="標楷體" w:eastAsia="標楷體"/>
      <w:b/>
      <w:kern w:val="2"/>
      <w:sz w:val="32"/>
    </w:rPr>
  </w:style>
  <w:style w:type="character" w:customStyle="1" w:styleId="1c">
    <w:name w:val="未解析的提及1"/>
    <w:uiPriority w:val="99"/>
    <w:semiHidden/>
    <w:unhideWhenUsed/>
    <w:rsid w:val="00181357"/>
    <w:rPr>
      <w:color w:val="605E5C"/>
      <w:shd w:val="clear" w:color="auto" w:fill="E1DFDD"/>
    </w:rPr>
  </w:style>
  <w:style w:type="character" w:customStyle="1" w:styleId="afffd">
    <w:name w:val="清單段落 字元"/>
    <w:aliases w:val="1.1.1.1清單段落 字元,列點 字元,(二) 字元,List Paragraph 字元,Recommendation 字元,Footnote Sam 字元,List Paragraph (numbered (a)) 字元,Text 字元,Noise heading 字元,RUS List 字元,Rec para 字元,Dot pt 字元,F5 List Paragraph 字元,No Spacing1 字元,List Paragraph Char Char Char 字元,L 字元"/>
    <w:link w:val="afffc"/>
    <w:uiPriority w:val="34"/>
    <w:qFormat/>
    <w:locked/>
    <w:rsid w:val="00181357"/>
    <w:rPr>
      <w:rFonts w:ascii="華康楷書體W5" w:eastAsia="華康楷書體W5" w:hAnsi="Wingdings" w:cs="Wingdings"/>
      <w:snapToGrid w:val="0"/>
      <w:kern w:val="2"/>
      <w:sz w:val="28"/>
      <w:szCs w:val="28"/>
    </w:rPr>
  </w:style>
  <w:style w:type="table" w:customStyle="1" w:styleId="53">
    <w:name w:val="表格格線5"/>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2">
    <w:name w:val="表格格線6"/>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3">
    <w:name w:val="表格格線7"/>
    <w:basedOn w:val="a2"/>
    <w:next w:val="aff6"/>
    <w:uiPriority w:val="39"/>
    <w:rsid w:val="00181357"/>
    <w:rPr>
      <w:rFonts w:ascii="Calibri" w:eastAsia="標楷體" w:hAnsi="Calibri"/>
      <w:kern w:val="2"/>
      <w:sz w:val="24"/>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4-2">
    <w:name w:val="表格內文(14行高)-2"/>
    <w:basedOn w:val="142"/>
    <w:qFormat/>
    <w:rsid w:val="006D1446"/>
    <w:pPr>
      <w:ind w:leftChars="5" w:left="111" w:hangingChars="40" w:hanging="97"/>
    </w:pPr>
    <w:rPr>
      <w:szCs w:val="24"/>
      <w:lang w:val="x-none"/>
    </w:rPr>
  </w:style>
  <w:style w:type="paragraph" w:customStyle="1" w:styleId="affffff3">
    <w:name w:val="字元 字元 字元 字元 字元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54">
    <w:name w:val="字元 字元5 字元"/>
    <w:basedOn w:val="a0"/>
    <w:semiHidden/>
    <w:rsid w:val="006D14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d">
    <w:name w:val="字元 字元1"/>
    <w:basedOn w:val="a0"/>
    <w:semiHidden/>
    <w:rsid w:val="006D1446"/>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st1">
    <w:name w:val="st1"/>
    <w:rsid w:val="006D1446"/>
  </w:style>
  <w:style w:type="paragraph" w:customStyle="1" w:styleId="Standard">
    <w:name w:val="Standard"/>
    <w:rsid w:val="006D1446"/>
    <w:pPr>
      <w:widowControl w:val="0"/>
      <w:suppressAutoHyphens/>
      <w:autoSpaceDN w:val="0"/>
      <w:textAlignment w:val="baseline"/>
    </w:pPr>
    <w:rPr>
      <w:rFonts w:ascii="Calibri" w:eastAsia="新細明體, PMingLiU" w:hAnsi="Calibri"/>
      <w:kern w:val="3"/>
      <w:sz w:val="24"/>
      <w:szCs w:val="22"/>
    </w:rPr>
  </w:style>
  <w:style w:type="character" w:customStyle="1" w:styleId="foe-eyebrow">
    <w:name w:val="foe-eyebrow"/>
    <w:basedOn w:val="a1"/>
    <w:rsid w:val="006D1446"/>
  </w:style>
  <w:style w:type="paragraph" w:customStyle="1" w:styleId="affffff4">
    <w:name w:val="字元 字元 字元 字元 字元 字元 字元 字元 字元 字元 字元 字元 字元 字元 字元"/>
    <w:basedOn w:val="a0"/>
    <w:semiHidden/>
    <w:rsid w:val="006D1446"/>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character" w:customStyle="1" w:styleId="12">
    <w:name w:val="(一)下內文 字元1"/>
    <w:link w:val="a6"/>
    <w:rsid w:val="003309C7"/>
    <w:rPr>
      <w:rFonts w:ascii="標楷體" w:eastAsia="標楷體"/>
      <w:snapToGrid w:val="0"/>
      <w:kern w:val="2"/>
      <w:sz w:val="28"/>
      <w:szCs w:val="28"/>
    </w:rPr>
  </w:style>
  <w:style w:type="paragraph" w:customStyle="1" w:styleId="affffff5">
    <w:name w:val="(一)(二)(三) 字元 字元"/>
    <w:basedOn w:val="a0"/>
    <w:link w:val="affffff6"/>
    <w:rsid w:val="00E87456"/>
    <w:pPr>
      <w:ind w:left="300" w:hangingChars="100" w:hanging="100"/>
    </w:pPr>
  </w:style>
  <w:style w:type="character" w:customStyle="1" w:styleId="affffff6">
    <w:name w:val="(一)(二)(三) 字元 字元 字元"/>
    <w:link w:val="affffff5"/>
    <w:rsid w:val="00E87456"/>
    <w:rPr>
      <w:rFonts w:ascii="標楷體" w:eastAsia="標楷體"/>
      <w:snapToGrid w:val="0"/>
      <w:kern w:val="2"/>
      <w:sz w:val="28"/>
      <w:szCs w:val="28"/>
    </w:rPr>
  </w:style>
  <w:style w:type="paragraph" w:customStyle="1" w:styleId="2a">
    <w:name w:val="字元 字元2 字元 字元 字元"/>
    <w:basedOn w:val="a0"/>
    <w:semiHidden/>
    <w:rsid w:val="00E8745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5181DC-9732-419D-BFB3-910E30EA97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753</Words>
  <Characters>4294</Characters>
  <Application>Microsoft Office Word</Application>
  <DocSecurity>0</DocSecurity>
  <Lines>35</Lines>
  <Paragraphs>10</Paragraphs>
  <ScaleCrop>false</ScaleCrop>
  <Company>HOME</Company>
  <LinksUpToDate>false</LinksUpToDate>
  <CharactersWithSpaces>5037</CharactersWithSpaces>
  <SharedDoc>false</SharedDoc>
  <HLinks>
    <vt:vector size="234" baseType="variant">
      <vt:variant>
        <vt:i4>1900598</vt:i4>
      </vt:variant>
      <vt:variant>
        <vt:i4>227</vt:i4>
      </vt:variant>
      <vt:variant>
        <vt:i4>0</vt:i4>
      </vt:variant>
      <vt:variant>
        <vt:i4>5</vt:i4>
      </vt:variant>
      <vt:variant>
        <vt:lpwstr/>
      </vt:variant>
      <vt:variant>
        <vt:lpwstr>_Toc208942811</vt:lpwstr>
      </vt:variant>
      <vt:variant>
        <vt:i4>1900598</vt:i4>
      </vt:variant>
      <vt:variant>
        <vt:i4>221</vt:i4>
      </vt:variant>
      <vt:variant>
        <vt:i4>0</vt:i4>
      </vt:variant>
      <vt:variant>
        <vt:i4>5</vt:i4>
      </vt:variant>
      <vt:variant>
        <vt:lpwstr/>
      </vt:variant>
      <vt:variant>
        <vt:lpwstr>_Toc208942810</vt:lpwstr>
      </vt:variant>
      <vt:variant>
        <vt:i4>1835062</vt:i4>
      </vt:variant>
      <vt:variant>
        <vt:i4>218</vt:i4>
      </vt:variant>
      <vt:variant>
        <vt:i4>0</vt:i4>
      </vt:variant>
      <vt:variant>
        <vt:i4>5</vt:i4>
      </vt:variant>
      <vt:variant>
        <vt:lpwstr/>
      </vt:variant>
      <vt:variant>
        <vt:lpwstr>_Toc208942809</vt:lpwstr>
      </vt:variant>
      <vt:variant>
        <vt:i4>1835062</vt:i4>
      </vt:variant>
      <vt:variant>
        <vt:i4>212</vt:i4>
      </vt:variant>
      <vt:variant>
        <vt:i4>0</vt:i4>
      </vt:variant>
      <vt:variant>
        <vt:i4>5</vt:i4>
      </vt:variant>
      <vt:variant>
        <vt:lpwstr/>
      </vt:variant>
      <vt:variant>
        <vt:lpwstr>_Toc208942808</vt:lpwstr>
      </vt:variant>
      <vt:variant>
        <vt:i4>1835062</vt:i4>
      </vt:variant>
      <vt:variant>
        <vt:i4>206</vt:i4>
      </vt:variant>
      <vt:variant>
        <vt:i4>0</vt:i4>
      </vt:variant>
      <vt:variant>
        <vt:i4>5</vt:i4>
      </vt:variant>
      <vt:variant>
        <vt:lpwstr/>
      </vt:variant>
      <vt:variant>
        <vt:lpwstr>_Toc208942807</vt:lpwstr>
      </vt:variant>
      <vt:variant>
        <vt:i4>1835062</vt:i4>
      </vt:variant>
      <vt:variant>
        <vt:i4>200</vt:i4>
      </vt:variant>
      <vt:variant>
        <vt:i4>0</vt:i4>
      </vt:variant>
      <vt:variant>
        <vt:i4>5</vt:i4>
      </vt:variant>
      <vt:variant>
        <vt:lpwstr/>
      </vt:variant>
      <vt:variant>
        <vt:lpwstr>_Toc208942806</vt:lpwstr>
      </vt:variant>
      <vt:variant>
        <vt:i4>1835062</vt:i4>
      </vt:variant>
      <vt:variant>
        <vt:i4>194</vt:i4>
      </vt:variant>
      <vt:variant>
        <vt:i4>0</vt:i4>
      </vt:variant>
      <vt:variant>
        <vt:i4>5</vt:i4>
      </vt:variant>
      <vt:variant>
        <vt:lpwstr/>
      </vt:variant>
      <vt:variant>
        <vt:lpwstr>_Toc208942805</vt:lpwstr>
      </vt:variant>
      <vt:variant>
        <vt:i4>1835062</vt:i4>
      </vt:variant>
      <vt:variant>
        <vt:i4>188</vt:i4>
      </vt:variant>
      <vt:variant>
        <vt:i4>0</vt:i4>
      </vt:variant>
      <vt:variant>
        <vt:i4>5</vt:i4>
      </vt:variant>
      <vt:variant>
        <vt:lpwstr/>
      </vt:variant>
      <vt:variant>
        <vt:lpwstr>_Toc208942804</vt:lpwstr>
      </vt:variant>
      <vt:variant>
        <vt:i4>1835062</vt:i4>
      </vt:variant>
      <vt:variant>
        <vt:i4>182</vt:i4>
      </vt:variant>
      <vt:variant>
        <vt:i4>0</vt:i4>
      </vt:variant>
      <vt:variant>
        <vt:i4>5</vt:i4>
      </vt:variant>
      <vt:variant>
        <vt:lpwstr/>
      </vt:variant>
      <vt:variant>
        <vt:lpwstr>_Toc208942803</vt:lpwstr>
      </vt:variant>
      <vt:variant>
        <vt:i4>1835062</vt:i4>
      </vt:variant>
      <vt:variant>
        <vt:i4>176</vt:i4>
      </vt:variant>
      <vt:variant>
        <vt:i4>0</vt:i4>
      </vt:variant>
      <vt:variant>
        <vt:i4>5</vt:i4>
      </vt:variant>
      <vt:variant>
        <vt:lpwstr/>
      </vt:variant>
      <vt:variant>
        <vt:lpwstr>_Toc208942802</vt:lpwstr>
      </vt:variant>
      <vt:variant>
        <vt:i4>1835062</vt:i4>
      </vt:variant>
      <vt:variant>
        <vt:i4>170</vt:i4>
      </vt:variant>
      <vt:variant>
        <vt:i4>0</vt:i4>
      </vt:variant>
      <vt:variant>
        <vt:i4>5</vt:i4>
      </vt:variant>
      <vt:variant>
        <vt:lpwstr/>
      </vt:variant>
      <vt:variant>
        <vt:lpwstr>_Toc208942801</vt:lpwstr>
      </vt:variant>
      <vt:variant>
        <vt:i4>1835062</vt:i4>
      </vt:variant>
      <vt:variant>
        <vt:i4>164</vt:i4>
      </vt:variant>
      <vt:variant>
        <vt:i4>0</vt:i4>
      </vt:variant>
      <vt:variant>
        <vt:i4>5</vt:i4>
      </vt:variant>
      <vt:variant>
        <vt:lpwstr/>
      </vt:variant>
      <vt:variant>
        <vt:lpwstr>_Toc208942800</vt:lpwstr>
      </vt:variant>
      <vt:variant>
        <vt:i4>1376313</vt:i4>
      </vt:variant>
      <vt:variant>
        <vt:i4>158</vt:i4>
      </vt:variant>
      <vt:variant>
        <vt:i4>0</vt:i4>
      </vt:variant>
      <vt:variant>
        <vt:i4>5</vt:i4>
      </vt:variant>
      <vt:variant>
        <vt:lpwstr/>
      </vt:variant>
      <vt:variant>
        <vt:lpwstr>_Toc208942799</vt:lpwstr>
      </vt:variant>
      <vt:variant>
        <vt:i4>1376313</vt:i4>
      </vt:variant>
      <vt:variant>
        <vt:i4>152</vt:i4>
      </vt:variant>
      <vt:variant>
        <vt:i4>0</vt:i4>
      </vt:variant>
      <vt:variant>
        <vt:i4>5</vt:i4>
      </vt:variant>
      <vt:variant>
        <vt:lpwstr/>
      </vt:variant>
      <vt:variant>
        <vt:lpwstr>_Toc208942798</vt:lpwstr>
      </vt:variant>
      <vt:variant>
        <vt:i4>1376313</vt:i4>
      </vt:variant>
      <vt:variant>
        <vt:i4>146</vt:i4>
      </vt:variant>
      <vt:variant>
        <vt:i4>0</vt:i4>
      </vt:variant>
      <vt:variant>
        <vt:i4>5</vt:i4>
      </vt:variant>
      <vt:variant>
        <vt:lpwstr/>
      </vt:variant>
      <vt:variant>
        <vt:lpwstr>_Toc208942797</vt:lpwstr>
      </vt:variant>
      <vt:variant>
        <vt:i4>1376313</vt:i4>
      </vt:variant>
      <vt:variant>
        <vt:i4>140</vt:i4>
      </vt:variant>
      <vt:variant>
        <vt:i4>0</vt:i4>
      </vt:variant>
      <vt:variant>
        <vt:i4>5</vt:i4>
      </vt:variant>
      <vt:variant>
        <vt:lpwstr/>
      </vt:variant>
      <vt:variant>
        <vt:lpwstr>_Toc208942796</vt:lpwstr>
      </vt:variant>
      <vt:variant>
        <vt:i4>1376313</vt:i4>
      </vt:variant>
      <vt:variant>
        <vt:i4>134</vt:i4>
      </vt:variant>
      <vt:variant>
        <vt:i4>0</vt:i4>
      </vt:variant>
      <vt:variant>
        <vt:i4>5</vt:i4>
      </vt:variant>
      <vt:variant>
        <vt:lpwstr/>
      </vt:variant>
      <vt:variant>
        <vt:lpwstr>_Toc208942795</vt:lpwstr>
      </vt:variant>
      <vt:variant>
        <vt:i4>1376313</vt:i4>
      </vt:variant>
      <vt:variant>
        <vt:i4>128</vt:i4>
      </vt:variant>
      <vt:variant>
        <vt:i4>0</vt:i4>
      </vt:variant>
      <vt:variant>
        <vt:i4>5</vt:i4>
      </vt:variant>
      <vt:variant>
        <vt:lpwstr/>
      </vt:variant>
      <vt:variant>
        <vt:lpwstr>_Toc208942794</vt:lpwstr>
      </vt:variant>
      <vt:variant>
        <vt:i4>1376313</vt:i4>
      </vt:variant>
      <vt:variant>
        <vt:i4>122</vt:i4>
      </vt:variant>
      <vt:variant>
        <vt:i4>0</vt:i4>
      </vt:variant>
      <vt:variant>
        <vt:i4>5</vt:i4>
      </vt:variant>
      <vt:variant>
        <vt:lpwstr/>
      </vt:variant>
      <vt:variant>
        <vt:lpwstr>_Toc208942793</vt:lpwstr>
      </vt:variant>
      <vt:variant>
        <vt:i4>1376313</vt:i4>
      </vt:variant>
      <vt:variant>
        <vt:i4>116</vt:i4>
      </vt:variant>
      <vt:variant>
        <vt:i4>0</vt:i4>
      </vt:variant>
      <vt:variant>
        <vt:i4>5</vt:i4>
      </vt:variant>
      <vt:variant>
        <vt:lpwstr/>
      </vt:variant>
      <vt:variant>
        <vt:lpwstr>_Toc208942792</vt:lpwstr>
      </vt:variant>
      <vt:variant>
        <vt:i4>1376313</vt:i4>
      </vt:variant>
      <vt:variant>
        <vt:i4>110</vt:i4>
      </vt:variant>
      <vt:variant>
        <vt:i4>0</vt:i4>
      </vt:variant>
      <vt:variant>
        <vt:i4>5</vt:i4>
      </vt:variant>
      <vt:variant>
        <vt:lpwstr/>
      </vt:variant>
      <vt:variant>
        <vt:lpwstr>_Toc208942791</vt:lpwstr>
      </vt:variant>
      <vt:variant>
        <vt:i4>1376313</vt:i4>
      </vt:variant>
      <vt:variant>
        <vt:i4>104</vt:i4>
      </vt:variant>
      <vt:variant>
        <vt:i4>0</vt:i4>
      </vt:variant>
      <vt:variant>
        <vt:i4>5</vt:i4>
      </vt:variant>
      <vt:variant>
        <vt:lpwstr/>
      </vt:variant>
      <vt:variant>
        <vt:lpwstr>_Toc208942790</vt:lpwstr>
      </vt:variant>
      <vt:variant>
        <vt:i4>1310777</vt:i4>
      </vt:variant>
      <vt:variant>
        <vt:i4>98</vt:i4>
      </vt:variant>
      <vt:variant>
        <vt:i4>0</vt:i4>
      </vt:variant>
      <vt:variant>
        <vt:i4>5</vt:i4>
      </vt:variant>
      <vt:variant>
        <vt:lpwstr/>
      </vt:variant>
      <vt:variant>
        <vt:lpwstr>_Toc208942789</vt:lpwstr>
      </vt:variant>
      <vt:variant>
        <vt:i4>1310777</vt:i4>
      </vt:variant>
      <vt:variant>
        <vt:i4>92</vt:i4>
      </vt:variant>
      <vt:variant>
        <vt:i4>0</vt:i4>
      </vt:variant>
      <vt:variant>
        <vt:i4>5</vt:i4>
      </vt:variant>
      <vt:variant>
        <vt:lpwstr/>
      </vt:variant>
      <vt:variant>
        <vt:lpwstr>_Toc208942788</vt:lpwstr>
      </vt:variant>
      <vt:variant>
        <vt:i4>1310777</vt:i4>
      </vt:variant>
      <vt:variant>
        <vt:i4>86</vt:i4>
      </vt:variant>
      <vt:variant>
        <vt:i4>0</vt:i4>
      </vt:variant>
      <vt:variant>
        <vt:i4>5</vt:i4>
      </vt:variant>
      <vt:variant>
        <vt:lpwstr/>
      </vt:variant>
      <vt:variant>
        <vt:lpwstr>_Toc208942787</vt:lpwstr>
      </vt:variant>
      <vt:variant>
        <vt:i4>1310777</vt:i4>
      </vt:variant>
      <vt:variant>
        <vt:i4>80</vt:i4>
      </vt:variant>
      <vt:variant>
        <vt:i4>0</vt:i4>
      </vt:variant>
      <vt:variant>
        <vt:i4>5</vt:i4>
      </vt:variant>
      <vt:variant>
        <vt:lpwstr/>
      </vt:variant>
      <vt:variant>
        <vt:lpwstr>_Toc208942786</vt:lpwstr>
      </vt:variant>
      <vt:variant>
        <vt:i4>1310777</vt:i4>
      </vt:variant>
      <vt:variant>
        <vt:i4>74</vt:i4>
      </vt:variant>
      <vt:variant>
        <vt:i4>0</vt:i4>
      </vt:variant>
      <vt:variant>
        <vt:i4>5</vt:i4>
      </vt:variant>
      <vt:variant>
        <vt:lpwstr/>
      </vt:variant>
      <vt:variant>
        <vt:lpwstr>_Toc208942785</vt:lpwstr>
      </vt:variant>
      <vt:variant>
        <vt:i4>1310777</vt:i4>
      </vt:variant>
      <vt:variant>
        <vt:i4>68</vt:i4>
      </vt:variant>
      <vt:variant>
        <vt:i4>0</vt:i4>
      </vt:variant>
      <vt:variant>
        <vt:i4>5</vt:i4>
      </vt:variant>
      <vt:variant>
        <vt:lpwstr/>
      </vt:variant>
      <vt:variant>
        <vt:lpwstr>_Toc208942784</vt:lpwstr>
      </vt:variant>
      <vt:variant>
        <vt:i4>1310777</vt:i4>
      </vt:variant>
      <vt:variant>
        <vt:i4>62</vt:i4>
      </vt:variant>
      <vt:variant>
        <vt:i4>0</vt:i4>
      </vt:variant>
      <vt:variant>
        <vt:i4>5</vt:i4>
      </vt:variant>
      <vt:variant>
        <vt:lpwstr/>
      </vt:variant>
      <vt:variant>
        <vt:lpwstr>_Toc208942783</vt:lpwstr>
      </vt:variant>
      <vt:variant>
        <vt:i4>1310777</vt:i4>
      </vt:variant>
      <vt:variant>
        <vt:i4>56</vt:i4>
      </vt:variant>
      <vt:variant>
        <vt:i4>0</vt:i4>
      </vt:variant>
      <vt:variant>
        <vt:i4>5</vt:i4>
      </vt:variant>
      <vt:variant>
        <vt:lpwstr/>
      </vt:variant>
      <vt:variant>
        <vt:lpwstr>_Toc208942782</vt:lpwstr>
      </vt:variant>
      <vt:variant>
        <vt:i4>1310777</vt:i4>
      </vt:variant>
      <vt:variant>
        <vt:i4>50</vt:i4>
      </vt:variant>
      <vt:variant>
        <vt:i4>0</vt:i4>
      </vt:variant>
      <vt:variant>
        <vt:i4>5</vt:i4>
      </vt:variant>
      <vt:variant>
        <vt:lpwstr/>
      </vt:variant>
      <vt:variant>
        <vt:lpwstr>_Toc208942781</vt:lpwstr>
      </vt:variant>
      <vt:variant>
        <vt:i4>1310777</vt:i4>
      </vt:variant>
      <vt:variant>
        <vt:i4>44</vt:i4>
      </vt:variant>
      <vt:variant>
        <vt:i4>0</vt:i4>
      </vt:variant>
      <vt:variant>
        <vt:i4>5</vt:i4>
      </vt:variant>
      <vt:variant>
        <vt:lpwstr/>
      </vt:variant>
      <vt:variant>
        <vt:lpwstr>_Toc208942780</vt:lpwstr>
      </vt:variant>
      <vt:variant>
        <vt:i4>1769529</vt:i4>
      </vt:variant>
      <vt:variant>
        <vt:i4>38</vt:i4>
      </vt:variant>
      <vt:variant>
        <vt:i4>0</vt:i4>
      </vt:variant>
      <vt:variant>
        <vt:i4>5</vt:i4>
      </vt:variant>
      <vt:variant>
        <vt:lpwstr/>
      </vt:variant>
      <vt:variant>
        <vt:lpwstr>_Toc208942779</vt:lpwstr>
      </vt:variant>
      <vt:variant>
        <vt:i4>1769529</vt:i4>
      </vt:variant>
      <vt:variant>
        <vt:i4>32</vt:i4>
      </vt:variant>
      <vt:variant>
        <vt:i4>0</vt:i4>
      </vt:variant>
      <vt:variant>
        <vt:i4>5</vt:i4>
      </vt:variant>
      <vt:variant>
        <vt:lpwstr/>
      </vt:variant>
      <vt:variant>
        <vt:lpwstr>_Toc208942778</vt:lpwstr>
      </vt:variant>
      <vt:variant>
        <vt:i4>1769529</vt:i4>
      </vt:variant>
      <vt:variant>
        <vt:i4>26</vt:i4>
      </vt:variant>
      <vt:variant>
        <vt:i4>0</vt:i4>
      </vt:variant>
      <vt:variant>
        <vt:i4>5</vt:i4>
      </vt:variant>
      <vt:variant>
        <vt:lpwstr/>
      </vt:variant>
      <vt:variant>
        <vt:lpwstr>_Toc208942777</vt:lpwstr>
      </vt:variant>
      <vt:variant>
        <vt:i4>1769529</vt:i4>
      </vt:variant>
      <vt:variant>
        <vt:i4>20</vt:i4>
      </vt:variant>
      <vt:variant>
        <vt:i4>0</vt:i4>
      </vt:variant>
      <vt:variant>
        <vt:i4>5</vt:i4>
      </vt:variant>
      <vt:variant>
        <vt:lpwstr/>
      </vt:variant>
      <vt:variant>
        <vt:lpwstr>_Toc208942776</vt:lpwstr>
      </vt:variant>
      <vt:variant>
        <vt:i4>1769529</vt:i4>
      </vt:variant>
      <vt:variant>
        <vt:i4>14</vt:i4>
      </vt:variant>
      <vt:variant>
        <vt:i4>0</vt:i4>
      </vt:variant>
      <vt:variant>
        <vt:i4>5</vt:i4>
      </vt:variant>
      <vt:variant>
        <vt:lpwstr/>
      </vt:variant>
      <vt:variant>
        <vt:lpwstr>_Toc208942775</vt:lpwstr>
      </vt:variant>
      <vt:variant>
        <vt:i4>1769529</vt:i4>
      </vt:variant>
      <vt:variant>
        <vt:i4>8</vt:i4>
      </vt:variant>
      <vt:variant>
        <vt:i4>0</vt:i4>
      </vt:variant>
      <vt:variant>
        <vt:i4>5</vt:i4>
      </vt:variant>
      <vt:variant>
        <vt:lpwstr/>
      </vt:variant>
      <vt:variant>
        <vt:lpwstr>_Toc208942774</vt:lpwstr>
      </vt:variant>
      <vt:variant>
        <vt:i4>1769529</vt:i4>
      </vt:variant>
      <vt:variant>
        <vt:i4>2</vt:i4>
      </vt:variant>
      <vt:variant>
        <vt:i4>0</vt:i4>
      </vt:variant>
      <vt:variant>
        <vt:i4>5</vt:i4>
      </vt:variant>
      <vt:variant>
        <vt:lpwstr/>
      </vt:variant>
      <vt:variant>
        <vt:lpwstr>_Toc208942773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2025-09-22T00:51:00Z</cp:lastPrinted>
  <dcterms:created xsi:type="dcterms:W3CDTF">2025-09-22T06:50:00Z</dcterms:created>
  <dcterms:modified xsi:type="dcterms:W3CDTF">2025-09-22T06:50:00Z</dcterms:modified>
</cp:coreProperties>
</file>