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E0237E" w:rsidRPr="009A01BA" w:rsidRDefault="00E0237E" w:rsidP="007668ED">
      <w:pPr>
        <w:pStyle w:val="14"/>
        <w:ind w:left="567" w:hanging="567"/>
        <w:rPr>
          <w:color w:val="0070C0"/>
        </w:rPr>
      </w:pPr>
      <w:bookmarkStart w:id="2" w:name="_Toc208942776"/>
      <w:bookmarkStart w:id="3" w:name="_Toc140659101"/>
      <w:bookmarkStart w:id="4" w:name="_Toc108172514"/>
      <w:bookmarkStart w:id="5" w:name="_Toc76184133"/>
      <w:bookmarkStart w:id="6" w:name="_Toc80781083"/>
      <w:bookmarkStart w:id="7" w:name="_Toc82258962"/>
      <w:bookmarkStart w:id="8" w:name="_Toc82401403"/>
      <w:bookmarkStart w:id="9" w:name="_Toc84152196"/>
      <w:bookmarkEnd w:id="0"/>
      <w:r>
        <w:rPr>
          <w:rFonts w:hint="eastAsia"/>
        </w:rPr>
        <w:t>三</w:t>
      </w:r>
      <w:r w:rsidRPr="003C698C">
        <w:rPr>
          <w:rFonts w:hint="eastAsia"/>
        </w:rPr>
        <w:t>、近5年我國GDP成長</w:t>
      </w:r>
      <w:r>
        <w:rPr>
          <w:rFonts w:hint="eastAsia"/>
        </w:rPr>
        <w:t>二成</w:t>
      </w:r>
      <w:r w:rsidRPr="003C698C">
        <w:rPr>
          <w:rFonts w:hint="eastAsia"/>
        </w:rPr>
        <w:t>餘</w:t>
      </w:r>
      <w:r w:rsidRPr="003C698C">
        <w:rPr>
          <w:rFonts w:hAnsi="標楷體" w:hint="eastAsia"/>
        </w:rPr>
        <w:t>，惟</w:t>
      </w:r>
      <w:r w:rsidRPr="003C698C">
        <w:rPr>
          <w:rFonts w:hint="eastAsia"/>
        </w:rPr>
        <w:t>分配予受僱人員報酬占比卻下降</w:t>
      </w:r>
      <w:r w:rsidRPr="003C698C">
        <w:rPr>
          <w:rFonts w:hAnsi="標楷體" w:hint="eastAsia"/>
        </w:rPr>
        <w:t>，且低於美日韓等3國，致受薪階級對經濟成長之感受有限</w:t>
      </w:r>
      <w:bookmarkEnd w:id="2"/>
    </w:p>
    <w:bookmarkEnd w:id="3"/>
    <w:p w:rsidR="00E0237E" w:rsidRPr="00B859C1" w:rsidRDefault="00E0237E" w:rsidP="007668ED">
      <w:pPr>
        <w:ind w:left="566" w:firstLine="566"/>
      </w:pPr>
      <w:r w:rsidRPr="00B859C1">
        <w:rPr>
          <w:rFonts w:hint="eastAsia"/>
        </w:rPr>
        <w:t>我國國內生產毛額(下稱GDP)當期價格由10</w:t>
      </w:r>
      <w:r>
        <w:rPr>
          <w:rFonts w:hint="eastAsia"/>
        </w:rPr>
        <w:t>8</w:t>
      </w:r>
      <w:r w:rsidRPr="00B859C1">
        <w:rPr>
          <w:rFonts w:hint="eastAsia"/>
        </w:rPr>
        <w:t>年之18兆</w:t>
      </w:r>
      <w:r>
        <w:rPr>
          <w:rFonts w:hint="eastAsia"/>
        </w:rPr>
        <w:t>8</w:t>
      </w:r>
      <w:r w:rsidRPr="00B859C1">
        <w:t>,51</w:t>
      </w:r>
      <w:r>
        <w:rPr>
          <w:rFonts w:hint="eastAsia"/>
        </w:rPr>
        <w:t>5</w:t>
      </w:r>
      <w:r w:rsidRPr="00B859C1">
        <w:rPr>
          <w:rFonts w:hint="eastAsia"/>
        </w:rPr>
        <w:t>億元成長至11</w:t>
      </w:r>
      <w:r>
        <w:rPr>
          <w:rFonts w:hint="eastAsia"/>
        </w:rPr>
        <w:t>2</w:t>
      </w:r>
      <w:r w:rsidRPr="00B859C1">
        <w:rPr>
          <w:rFonts w:hint="eastAsia"/>
        </w:rPr>
        <w:t>年之2</w:t>
      </w:r>
      <w:r>
        <w:rPr>
          <w:rFonts w:hint="eastAsia"/>
        </w:rPr>
        <w:t>3</w:t>
      </w:r>
      <w:r w:rsidRPr="00B859C1">
        <w:rPr>
          <w:rFonts w:hint="eastAsia"/>
        </w:rPr>
        <w:t>兆</w:t>
      </w:r>
      <w:r>
        <w:rPr>
          <w:rFonts w:hint="eastAsia"/>
        </w:rPr>
        <w:t>2</w:t>
      </w:r>
      <w:r w:rsidRPr="00B859C1">
        <w:t>,</w:t>
      </w:r>
      <w:r>
        <w:rPr>
          <w:rFonts w:hint="eastAsia"/>
        </w:rPr>
        <w:t>40</w:t>
      </w:r>
      <w:r w:rsidRPr="00B859C1">
        <w:t>2</w:t>
      </w:r>
      <w:r w:rsidRPr="00B859C1">
        <w:rPr>
          <w:rFonts w:hint="eastAsia"/>
        </w:rPr>
        <w:t>億元</w:t>
      </w:r>
      <w:r w:rsidRPr="00B859C1">
        <w:rPr>
          <w:rFonts w:hAnsi="標楷體" w:hint="eastAsia"/>
        </w:rPr>
        <w:t>，</w:t>
      </w:r>
      <w:r w:rsidRPr="00B859C1">
        <w:rPr>
          <w:rFonts w:hint="eastAsia"/>
        </w:rPr>
        <w:t>近5年(10</w:t>
      </w:r>
      <w:r>
        <w:rPr>
          <w:rFonts w:hint="eastAsia"/>
        </w:rPr>
        <w:t>8</w:t>
      </w:r>
      <w:r w:rsidRPr="00B859C1">
        <w:rPr>
          <w:rFonts w:hint="eastAsia"/>
        </w:rPr>
        <w:t>至11</w:t>
      </w:r>
      <w:r>
        <w:rPr>
          <w:rFonts w:hint="eastAsia"/>
        </w:rPr>
        <w:t>2</w:t>
      </w:r>
      <w:r w:rsidRPr="00B859C1">
        <w:rPr>
          <w:rFonts w:hint="eastAsia"/>
        </w:rPr>
        <w:t>年度，以下同)成長</w:t>
      </w:r>
      <w:r>
        <w:rPr>
          <w:rFonts w:hint="eastAsia"/>
        </w:rPr>
        <w:t>為</w:t>
      </w:r>
      <w:r w:rsidRPr="00B859C1">
        <w:rPr>
          <w:rFonts w:hint="eastAsia"/>
        </w:rPr>
        <w:t>2</w:t>
      </w:r>
      <w:r>
        <w:rPr>
          <w:rFonts w:hint="eastAsia"/>
        </w:rPr>
        <w:t>3</w:t>
      </w:r>
      <w:r w:rsidRPr="00B859C1">
        <w:rPr>
          <w:rFonts w:hint="eastAsia"/>
        </w:rPr>
        <w:t>.</w:t>
      </w:r>
      <w:r>
        <w:rPr>
          <w:rFonts w:hint="eastAsia"/>
        </w:rPr>
        <w:t>28</w:t>
      </w:r>
      <w:r w:rsidRPr="00B859C1">
        <w:rPr>
          <w:rFonts w:hint="eastAsia"/>
        </w:rPr>
        <w:t>%，惟就各年度生產分配面概況觀之</w:t>
      </w:r>
      <w:r w:rsidRPr="00B859C1">
        <w:rPr>
          <w:rFonts w:hAnsi="標楷體" w:hint="eastAsia"/>
        </w:rPr>
        <w:t>，</w:t>
      </w:r>
      <w:r w:rsidRPr="00B859C1">
        <w:rPr>
          <w:rFonts w:hint="eastAsia"/>
        </w:rPr>
        <w:t>分配予受僱人員報酬略有下降，顯示我國每年經濟活動所創造之附加價值分配予受僱員工部分未隨GDP成長增加，且每年分配之份額相對美、日、韓等國家低，致受薪階級對經濟成長之感受有限，說明如下：</w:t>
      </w:r>
    </w:p>
    <w:p w:rsidR="00E0237E" w:rsidRPr="00B859C1" w:rsidRDefault="00E0237E" w:rsidP="007668ED">
      <w:pPr>
        <w:pStyle w:val="a5"/>
        <w:ind w:left="849" w:hanging="283"/>
        <w:rPr>
          <w:b/>
          <w:snapToGrid/>
        </w:rPr>
      </w:pPr>
      <w:r w:rsidRPr="00B859C1">
        <w:rPr>
          <w:rFonts w:hint="eastAsia"/>
          <w:b/>
          <w:snapToGrid/>
        </w:rPr>
        <w:t>(一)近5年我國GDP成長2</w:t>
      </w:r>
      <w:r>
        <w:rPr>
          <w:rFonts w:hint="eastAsia"/>
          <w:b/>
          <w:snapToGrid/>
        </w:rPr>
        <w:t>3.28</w:t>
      </w:r>
      <w:r w:rsidRPr="00B859C1">
        <w:rPr>
          <w:rFonts w:hint="eastAsia"/>
          <w:b/>
          <w:snapToGrid/>
        </w:rPr>
        <w:t>%，若按三級產業區分</w:t>
      </w:r>
      <w:r w:rsidRPr="00B859C1">
        <w:rPr>
          <w:rFonts w:hAnsi="標楷體" w:hint="eastAsia"/>
          <w:b/>
          <w:snapToGrid/>
        </w:rPr>
        <w:t>，</w:t>
      </w:r>
      <w:r w:rsidRPr="00B859C1">
        <w:rPr>
          <w:rFonts w:hint="eastAsia"/>
          <w:b/>
          <w:snapToGrid/>
        </w:rPr>
        <w:t>以服務業貢獻占比5</w:t>
      </w:r>
      <w:r>
        <w:rPr>
          <w:rFonts w:hint="eastAsia"/>
          <w:b/>
          <w:snapToGrid/>
        </w:rPr>
        <w:t>2.31</w:t>
      </w:r>
      <w:r w:rsidRPr="00B859C1">
        <w:rPr>
          <w:rFonts w:hint="eastAsia"/>
          <w:b/>
          <w:snapToGrid/>
        </w:rPr>
        <w:t>%最高、後依次為工業4</w:t>
      </w:r>
      <w:r>
        <w:rPr>
          <w:rFonts w:hint="eastAsia"/>
          <w:b/>
          <w:snapToGrid/>
        </w:rPr>
        <w:t>6.99</w:t>
      </w:r>
      <w:r w:rsidRPr="00B859C1">
        <w:rPr>
          <w:rFonts w:hint="eastAsia"/>
          <w:b/>
          <w:snapToGrid/>
        </w:rPr>
        <w:t>%及農業0.</w:t>
      </w:r>
      <w:r>
        <w:rPr>
          <w:rFonts w:hint="eastAsia"/>
          <w:b/>
          <w:snapToGrid/>
        </w:rPr>
        <w:t>71</w:t>
      </w:r>
      <w:r w:rsidRPr="00B859C1">
        <w:rPr>
          <w:rFonts w:hint="eastAsia"/>
          <w:b/>
          <w:snapToGrid/>
        </w:rPr>
        <w:t>%</w:t>
      </w:r>
    </w:p>
    <w:p w:rsidR="00E0237E" w:rsidRPr="005D1CF5" w:rsidRDefault="00E0237E" w:rsidP="007668ED">
      <w:pPr>
        <w:pStyle w:val="21"/>
        <w:ind w:left="850" w:firstLine="566"/>
        <w:rPr>
          <w:b/>
          <w:snapToGrid/>
        </w:rPr>
      </w:pPr>
      <w:r w:rsidRPr="005D1CF5">
        <w:rPr>
          <w:rFonts w:hint="eastAsia"/>
          <w:snapToGrid/>
        </w:rPr>
        <w:t>依我國生產面GDP之統計資料，10</w:t>
      </w:r>
      <w:r>
        <w:rPr>
          <w:rFonts w:hint="eastAsia"/>
          <w:snapToGrid/>
        </w:rPr>
        <w:t>8</w:t>
      </w:r>
      <w:r w:rsidRPr="005D1CF5">
        <w:rPr>
          <w:rFonts w:hint="eastAsia"/>
          <w:snapToGrid/>
        </w:rPr>
        <w:t>至11</w:t>
      </w:r>
      <w:r>
        <w:rPr>
          <w:rFonts w:hint="eastAsia"/>
          <w:snapToGrid/>
        </w:rPr>
        <w:t>2</w:t>
      </w:r>
      <w:r w:rsidRPr="005D1CF5">
        <w:rPr>
          <w:rFonts w:hint="eastAsia"/>
          <w:snapToGrid/>
        </w:rPr>
        <w:t>年度當期價格計增加4兆</w:t>
      </w:r>
      <w:r>
        <w:rPr>
          <w:rFonts w:hint="eastAsia"/>
          <w:snapToGrid/>
        </w:rPr>
        <w:t>3</w:t>
      </w:r>
      <w:r w:rsidRPr="005D1CF5">
        <w:rPr>
          <w:rFonts w:hint="eastAsia"/>
          <w:snapToGrid/>
        </w:rPr>
        <w:t>,</w:t>
      </w:r>
      <w:r>
        <w:rPr>
          <w:rFonts w:hint="eastAsia"/>
          <w:snapToGrid/>
        </w:rPr>
        <w:t>887</w:t>
      </w:r>
      <w:r w:rsidRPr="005D1CF5">
        <w:rPr>
          <w:rFonts w:hint="eastAsia"/>
          <w:snapToGrid/>
        </w:rPr>
        <w:t>億元(增幅2</w:t>
      </w:r>
      <w:r>
        <w:rPr>
          <w:rFonts w:hint="eastAsia"/>
          <w:snapToGrid/>
        </w:rPr>
        <w:t>3.28</w:t>
      </w:r>
      <w:r w:rsidRPr="005D1CF5">
        <w:rPr>
          <w:rFonts w:hint="eastAsia"/>
          <w:snapToGrid/>
        </w:rPr>
        <w:t>%，詳表1)，若按農業、工業及服務業等三級產業區分</w:t>
      </w:r>
      <w:r w:rsidRPr="005D1CF5">
        <w:rPr>
          <w:snapToGrid/>
          <w:vertAlign w:val="superscript"/>
        </w:rPr>
        <w:footnoteReference w:id="1"/>
      </w:r>
      <w:r w:rsidRPr="005D1CF5">
        <w:rPr>
          <w:rFonts w:hint="eastAsia"/>
          <w:snapToGrid/>
        </w:rPr>
        <w:t>，分別為增加</w:t>
      </w:r>
      <w:r>
        <w:rPr>
          <w:rFonts w:hint="eastAsia"/>
          <w:snapToGrid/>
        </w:rPr>
        <w:t>310</w:t>
      </w:r>
      <w:r w:rsidRPr="005D1CF5">
        <w:rPr>
          <w:rFonts w:hint="eastAsia"/>
          <w:snapToGrid/>
        </w:rPr>
        <w:t>億元(占比0.</w:t>
      </w:r>
      <w:r>
        <w:rPr>
          <w:rFonts w:hint="eastAsia"/>
          <w:snapToGrid/>
        </w:rPr>
        <w:t>71</w:t>
      </w:r>
      <w:r w:rsidRPr="005D1CF5">
        <w:rPr>
          <w:rFonts w:hint="eastAsia"/>
          <w:snapToGrid/>
        </w:rPr>
        <w:t>%)、增加</w:t>
      </w:r>
      <w:r>
        <w:rPr>
          <w:rFonts w:hint="eastAsia"/>
          <w:snapToGrid/>
        </w:rPr>
        <w:t>2</w:t>
      </w:r>
      <w:r w:rsidRPr="005D1CF5">
        <w:rPr>
          <w:rFonts w:hint="eastAsia"/>
          <w:snapToGrid/>
        </w:rPr>
        <w:t>兆</w:t>
      </w:r>
      <w:r>
        <w:rPr>
          <w:rFonts w:hint="eastAsia"/>
          <w:snapToGrid/>
        </w:rPr>
        <w:t>621</w:t>
      </w:r>
      <w:r w:rsidRPr="005D1CF5">
        <w:rPr>
          <w:rFonts w:hint="eastAsia"/>
          <w:snapToGrid/>
        </w:rPr>
        <w:t>億元(占比4</w:t>
      </w:r>
      <w:r>
        <w:rPr>
          <w:rFonts w:hint="eastAsia"/>
          <w:snapToGrid/>
        </w:rPr>
        <w:t>6.99</w:t>
      </w:r>
      <w:r w:rsidRPr="005D1CF5">
        <w:rPr>
          <w:rFonts w:hint="eastAsia"/>
          <w:snapToGrid/>
        </w:rPr>
        <w:t>%)及增加2兆</w:t>
      </w:r>
      <w:r>
        <w:rPr>
          <w:rFonts w:hint="eastAsia"/>
          <w:snapToGrid/>
        </w:rPr>
        <w:t>2</w:t>
      </w:r>
      <w:r w:rsidRPr="005D1CF5">
        <w:rPr>
          <w:rFonts w:hint="eastAsia"/>
          <w:snapToGrid/>
        </w:rPr>
        <w:t>,</w:t>
      </w:r>
      <w:r>
        <w:rPr>
          <w:rFonts w:hint="eastAsia"/>
          <w:snapToGrid/>
        </w:rPr>
        <w:t>956</w:t>
      </w:r>
      <w:r w:rsidRPr="005D1CF5">
        <w:rPr>
          <w:rFonts w:hint="eastAsia"/>
          <w:snapToGrid/>
        </w:rPr>
        <w:t>億元(占比5</w:t>
      </w:r>
      <w:r>
        <w:rPr>
          <w:rFonts w:hint="eastAsia"/>
          <w:snapToGrid/>
        </w:rPr>
        <w:t>2.31</w:t>
      </w:r>
      <w:r w:rsidRPr="005D1CF5">
        <w:rPr>
          <w:rFonts w:hint="eastAsia"/>
          <w:snapToGrid/>
        </w:rPr>
        <w:t>%)，該期間GDP之成長係以服務業貢獻最多、工業次之</w:t>
      </w:r>
      <w:r w:rsidRPr="005D1CF5">
        <w:rPr>
          <w:rFonts w:hAnsi="標楷體" w:hint="eastAsia"/>
          <w:snapToGrid/>
        </w:rPr>
        <w:t>、</w:t>
      </w:r>
      <w:r w:rsidRPr="005D1CF5">
        <w:rPr>
          <w:rFonts w:hint="eastAsia"/>
          <w:snapToGrid/>
        </w:rPr>
        <w:t>農業最</w:t>
      </w:r>
      <w:r>
        <w:rPr>
          <w:rFonts w:hint="eastAsia"/>
          <w:snapToGrid/>
        </w:rPr>
        <w:t>末</w:t>
      </w:r>
      <w:r w:rsidRPr="005D1CF5">
        <w:rPr>
          <w:rFonts w:hint="eastAsia"/>
          <w:snapToGrid/>
        </w:rPr>
        <w:t>；而含括製造業(屬工業中之C大類)與服務業之ICT產業</w:t>
      </w:r>
      <w:r w:rsidRPr="005D1CF5">
        <w:rPr>
          <w:snapToGrid/>
          <w:vertAlign w:val="superscript"/>
        </w:rPr>
        <w:footnoteReference w:id="2"/>
      </w:r>
      <w:r w:rsidRPr="005D1CF5">
        <w:rPr>
          <w:rFonts w:hint="eastAsia"/>
          <w:snapToGrid/>
        </w:rPr>
        <w:t>，其貢獻占比亦達4</w:t>
      </w:r>
      <w:r>
        <w:rPr>
          <w:rFonts w:hint="eastAsia"/>
          <w:snapToGrid/>
        </w:rPr>
        <w:t>3.63</w:t>
      </w:r>
      <w:r w:rsidRPr="005D1CF5">
        <w:rPr>
          <w:rFonts w:hint="eastAsia"/>
          <w:snapToGrid/>
        </w:rPr>
        <w:t>%，且該期間ICT製造業國內生產毛額增加1兆</w:t>
      </w:r>
      <w:r>
        <w:rPr>
          <w:rFonts w:hint="eastAsia"/>
          <w:snapToGrid/>
        </w:rPr>
        <w:t>9</w:t>
      </w:r>
      <w:r w:rsidRPr="005D1CF5">
        <w:rPr>
          <w:snapToGrid/>
        </w:rPr>
        <w:t>,</w:t>
      </w:r>
      <w:r>
        <w:rPr>
          <w:rFonts w:hint="eastAsia"/>
          <w:snapToGrid/>
        </w:rPr>
        <w:t>149</w:t>
      </w:r>
      <w:r w:rsidRPr="005D1CF5">
        <w:rPr>
          <w:rFonts w:hint="eastAsia"/>
          <w:snapToGrid/>
        </w:rPr>
        <w:t>億元占同期工業增加</w:t>
      </w:r>
      <w:r>
        <w:rPr>
          <w:rFonts w:hint="eastAsia"/>
          <w:snapToGrid/>
        </w:rPr>
        <w:t>2</w:t>
      </w:r>
      <w:r w:rsidRPr="005D1CF5">
        <w:rPr>
          <w:rFonts w:hint="eastAsia"/>
          <w:snapToGrid/>
        </w:rPr>
        <w:t>兆</w:t>
      </w:r>
      <w:r>
        <w:rPr>
          <w:rFonts w:hint="eastAsia"/>
          <w:snapToGrid/>
        </w:rPr>
        <w:t>621</w:t>
      </w:r>
      <w:r w:rsidRPr="005D1CF5">
        <w:rPr>
          <w:rFonts w:hint="eastAsia"/>
          <w:snapToGrid/>
        </w:rPr>
        <w:t>億元之</w:t>
      </w:r>
      <w:r>
        <w:rPr>
          <w:rFonts w:hint="eastAsia"/>
          <w:snapToGrid/>
        </w:rPr>
        <w:t>92.86</w:t>
      </w:r>
      <w:r w:rsidRPr="005D1CF5">
        <w:rPr>
          <w:rFonts w:hint="eastAsia"/>
          <w:snapToGrid/>
        </w:rPr>
        <w:t>%，顯示近5年我國GDP之成長主要源自服務業及工</w:t>
      </w:r>
      <w:r w:rsidRPr="005D1CF5">
        <w:rPr>
          <w:rFonts w:hint="eastAsia"/>
          <w:snapToGrid/>
        </w:rPr>
        <w:lastRenderedPageBreak/>
        <w:t>業中之ICT製造產業。</w:t>
      </w:r>
    </w:p>
    <w:p w:rsidR="00E0237E" w:rsidRPr="005D1CF5" w:rsidRDefault="00E0237E" w:rsidP="007668ED">
      <w:pPr>
        <w:pStyle w:val="200"/>
        <w:spacing w:beforeLines="25" w:before="127"/>
        <w:ind w:leftChars="-63" w:left="568" w:hangingChars="263" w:hanging="746"/>
        <w:jc w:val="both"/>
        <w:rPr>
          <w:snapToGrid/>
          <w:szCs w:val="24"/>
        </w:rPr>
      </w:pPr>
      <w:r w:rsidRPr="005D1CF5">
        <w:rPr>
          <w:rFonts w:hint="eastAsia"/>
          <w:b/>
          <w:snapToGrid/>
          <w:sz w:val="28"/>
        </w:rPr>
        <w:t>表1  10</w:t>
      </w:r>
      <w:r>
        <w:rPr>
          <w:rFonts w:hint="eastAsia"/>
          <w:b/>
          <w:snapToGrid/>
          <w:sz w:val="28"/>
        </w:rPr>
        <w:t>8</w:t>
      </w:r>
      <w:r w:rsidRPr="005D1CF5">
        <w:rPr>
          <w:rFonts w:hint="eastAsia"/>
          <w:b/>
          <w:snapToGrid/>
          <w:sz w:val="28"/>
        </w:rPr>
        <w:t>至11</w:t>
      </w:r>
      <w:r>
        <w:rPr>
          <w:rFonts w:hint="eastAsia"/>
          <w:b/>
          <w:snapToGrid/>
          <w:sz w:val="28"/>
        </w:rPr>
        <w:t>2</w:t>
      </w:r>
      <w:r w:rsidRPr="005D1CF5">
        <w:rPr>
          <w:rFonts w:hint="eastAsia"/>
          <w:b/>
          <w:snapToGrid/>
          <w:sz w:val="28"/>
        </w:rPr>
        <w:t>年度我國GDP(生產面)中三級產業與ICT產業對各生產要素所得之分配概況</w:t>
      </w:r>
      <w:r>
        <w:rPr>
          <w:rFonts w:hint="eastAsia"/>
          <w:b/>
          <w:snapToGrid/>
          <w:sz w:val="28"/>
        </w:rPr>
        <w:t>表</w:t>
      </w:r>
      <w:r w:rsidRPr="005D1CF5">
        <w:rPr>
          <w:rFonts w:hint="eastAsia"/>
          <w:b/>
          <w:snapToGrid/>
          <w:sz w:val="28"/>
        </w:rPr>
        <w:t xml:space="preserve">                 </w:t>
      </w:r>
      <w:r w:rsidRPr="005D1CF5">
        <w:rPr>
          <w:rFonts w:hint="eastAsia"/>
          <w:snapToGrid/>
          <w:szCs w:val="24"/>
        </w:rPr>
        <w:t xml:space="preserve"> 單位</w:t>
      </w:r>
      <w:r w:rsidRPr="005D1CF5">
        <w:rPr>
          <w:rFonts w:hAnsi="標楷體" w:hint="eastAsia"/>
          <w:snapToGrid/>
          <w:szCs w:val="24"/>
        </w:rPr>
        <w:t>：</w:t>
      </w:r>
      <w:r w:rsidRPr="005D1CF5">
        <w:rPr>
          <w:rFonts w:hint="eastAsia"/>
          <w:snapToGrid/>
          <w:szCs w:val="24"/>
        </w:rPr>
        <w:t>新臺幣億元</w:t>
      </w:r>
      <w:r w:rsidRPr="005D1CF5">
        <w:rPr>
          <w:rFonts w:hAnsi="標楷體" w:hint="eastAsia"/>
          <w:snapToGrid/>
          <w:szCs w:val="24"/>
        </w:rPr>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10"/>
        <w:gridCol w:w="817"/>
        <w:gridCol w:w="749"/>
        <w:gridCol w:w="658"/>
        <w:gridCol w:w="773"/>
        <w:gridCol w:w="749"/>
        <w:gridCol w:w="720"/>
        <w:gridCol w:w="713"/>
        <w:gridCol w:w="749"/>
        <w:gridCol w:w="749"/>
        <w:gridCol w:w="720"/>
        <w:gridCol w:w="713"/>
      </w:tblGrid>
      <w:tr w:rsidR="00E0237E" w:rsidRPr="005D1CF5" w:rsidTr="007668ED">
        <w:trPr>
          <w:tblHeader/>
        </w:trPr>
        <w:tc>
          <w:tcPr>
            <w:tcW w:w="1427" w:type="dxa"/>
            <w:gridSpan w:val="2"/>
            <w:vMerge w:val="restart"/>
            <w:shd w:val="clear" w:color="auto" w:fill="auto"/>
            <w:vAlign w:val="center"/>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年度/產業別</w:t>
            </w:r>
          </w:p>
        </w:tc>
        <w:tc>
          <w:tcPr>
            <w:tcW w:w="1407" w:type="dxa"/>
            <w:gridSpan w:val="2"/>
            <w:shd w:val="clear" w:color="auto" w:fill="auto"/>
            <w:vAlign w:val="center"/>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GDP</w:t>
            </w:r>
          </w:p>
        </w:tc>
        <w:tc>
          <w:tcPr>
            <w:tcW w:w="1522" w:type="dxa"/>
            <w:gridSpan w:val="2"/>
            <w:shd w:val="clear" w:color="auto" w:fill="auto"/>
            <w:vAlign w:val="center"/>
          </w:tcPr>
          <w:p w:rsidR="00E0237E" w:rsidRPr="005D1CF5" w:rsidRDefault="00E0237E" w:rsidP="007668ED">
            <w:pPr>
              <w:spacing w:line="280" w:lineRule="exact"/>
              <w:ind w:leftChars="-40" w:left="2" w:rightChars="-26" w:right="-74" w:hangingChars="64" w:hanging="115"/>
              <w:jc w:val="center"/>
              <w:rPr>
                <w:rFonts w:hAnsi="標楷體"/>
                <w:b/>
                <w:snapToGrid/>
                <w:spacing w:val="-20"/>
                <w:w w:val="90"/>
                <w:sz w:val="24"/>
                <w:szCs w:val="24"/>
              </w:rPr>
            </w:pPr>
            <w:r w:rsidRPr="005D1CF5">
              <w:rPr>
                <w:rFonts w:hAnsi="標楷體" w:hint="eastAsia"/>
                <w:b/>
                <w:snapToGrid/>
                <w:spacing w:val="-20"/>
                <w:w w:val="90"/>
                <w:sz w:val="24"/>
                <w:szCs w:val="24"/>
              </w:rPr>
              <w:t>生產及進口稅淨額</w:t>
            </w:r>
          </w:p>
        </w:tc>
        <w:tc>
          <w:tcPr>
            <w:tcW w:w="1433" w:type="dxa"/>
            <w:gridSpan w:val="2"/>
            <w:shd w:val="clear" w:color="auto" w:fill="auto"/>
            <w:vAlign w:val="center"/>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固定資本消耗</w:t>
            </w:r>
          </w:p>
        </w:tc>
        <w:tc>
          <w:tcPr>
            <w:tcW w:w="1498" w:type="dxa"/>
            <w:gridSpan w:val="2"/>
            <w:shd w:val="clear" w:color="auto" w:fill="auto"/>
            <w:vAlign w:val="center"/>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受僱人員報酬</w:t>
            </w:r>
          </w:p>
        </w:tc>
        <w:tc>
          <w:tcPr>
            <w:tcW w:w="1433" w:type="dxa"/>
            <w:gridSpan w:val="2"/>
            <w:shd w:val="clear" w:color="auto" w:fill="auto"/>
            <w:vAlign w:val="center"/>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營業盈餘</w:t>
            </w:r>
          </w:p>
        </w:tc>
      </w:tr>
      <w:tr w:rsidR="00E0237E" w:rsidRPr="005D1CF5" w:rsidTr="007668ED">
        <w:trPr>
          <w:tblHeader/>
        </w:trPr>
        <w:tc>
          <w:tcPr>
            <w:tcW w:w="1427" w:type="dxa"/>
            <w:gridSpan w:val="2"/>
            <w:vMerge/>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left"/>
              <w:rPr>
                <w:rFonts w:hAnsi="標楷體"/>
                <w:b/>
                <w:snapToGrid/>
                <w:spacing w:val="-20"/>
                <w:w w:val="90"/>
                <w:sz w:val="24"/>
                <w:szCs w:val="24"/>
              </w:rPr>
            </w:pPr>
          </w:p>
        </w:tc>
        <w:tc>
          <w:tcPr>
            <w:tcW w:w="749"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金額</w:t>
            </w:r>
          </w:p>
        </w:tc>
        <w:tc>
          <w:tcPr>
            <w:tcW w:w="658"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增幅</w:t>
            </w:r>
          </w:p>
        </w:tc>
        <w:tc>
          <w:tcPr>
            <w:tcW w:w="773"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金額</w:t>
            </w:r>
          </w:p>
        </w:tc>
        <w:tc>
          <w:tcPr>
            <w:tcW w:w="749"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占比</w:t>
            </w:r>
          </w:p>
        </w:tc>
        <w:tc>
          <w:tcPr>
            <w:tcW w:w="720"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金額</w:t>
            </w:r>
          </w:p>
        </w:tc>
        <w:tc>
          <w:tcPr>
            <w:tcW w:w="713"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占比</w:t>
            </w:r>
          </w:p>
        </w:tc>
        <w:tc>
          <w:tcPr>
            <w:tcW w:w="749"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金額</w:t>
            </w:r>
          </w:p>
        </w:tc>
        <w:tc>
          <w:tcPr>
            <w:tcW w:w="749"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占比</w:t>
            </w:r>
          </w:p>
        </w:tc>
        <w:tc>
          <w:tcPr>
            <w:tcW w:w="720"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金額</w:t>
            </w:r>
          </w:p>
        </w:tc>
        <w:tc>
          <w:tcPr>
            <w:tcW w:w="713" w:type="dxa"/>
            <w:tcBorders>
              <w:bottom w:val="single" w:sz="12" w:space="0" w:color="auto"/>
            </w:tcBorders>
            <w:shd w:val="clear" w:color="auto" w:fill="auto"/>
          </w:tcPr>
          <w:p w:rsidR="00E0237E" w:rsidRPr="005D1CF5" w:rsidRDefault="00E0237E" w:rsidP="007668ED">
            <w:pPr>
              <w:spacing w:line="280" w:lineRule="exact"/>
              <w:ind w:leftChars="0" w:left="0" w:firstLineChars="0" w:firstLine="0"/>
              <w:jc w:val="center"/>
              <w:rPr>
                <w:rFonts w:hAnsi="標楷體"/>
                <w:b/>
                <w:snapToGrid/>
                <w:spacing w:val="-20"/>
                <w:w w:val="90"/>
                <w:sz w:val="24"/>
                <w:szCs w:val="24"/>
              </w:rPr>
            </w:pPr>
            <w:r w:rsidRPr="005D1CF5">
              <w:rPr>
                <w:rFonts w:hAnsi="標楷體" w:hint="eastAsia"/>
                <w:b/>
                <w:snapToGrid/>
                <w:spacing w:val="-20"/>
                <w:w w:val="90"/>
                <w:sz w:val="24"/>
                <w:szCs w:val="24"/>
              </w:rPr>
              <w:t>占比</w:t>
            </w:r>
          </w:p>
        </w:tc>
      </w:tr>
      <w:tr w:rsidR="00E0237E" w:rsidRPr="005D1CF5" w:rsidTr="007668ED">
        <w:tc>
          <w:tcPr>
            <w:tcW w:w="610" w:type="dxa"/>
            <w:vMerge w:val="restart"/>
            <w:tcBorders>
              <w:top w:val="single" w:sz="12" w:space="0" w:color="auto"/>
              <w:bottom w:val="single" w:sz="4" w:space="0" w:color="auto"/>
            </w:tcBorders>
            <w:shd w:val="clear" w:color="auto" w:fill="auto"/>
            <w:vAlign w:val="center"/>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10</w:t>
            </w:r>
            <w:r>
              <w:rPr>
                <w:rFonts w:hAnsi="標楷體" w:hint="eastAsia"/>
                <w:snapToGrid/>
                <w:spacing w:val="-20"/>
                <w:w w:val="90"/>
                <w:sz w:val="24"/>
                <w:szCs w:val="24"/>
              </w:rPr>
              <w:t>8</w:t>
            </w:r>
            <w:r w:rsidRPr="005D1CF5">
              <w:rPr>
                <w:rFonts w:hAnsi="標楷體" w:hint="eastAsia"/>
                <w:snapToGrid/>
                <w:spacing w:val="-20"/>
                <w:w w:val="90"/>
                <w:sz w:val="24"/>
                <w:szCs w:val="24"/>
              </w:rPr>
              <w:t>年</w:t>
            </w:r>
          </w:p>
        </w:tc>
        <w:tc>
          <w:tcPr>
            <w:tcW w:w="817" w:type="dxa"/>
            <w:tcBorders>
              <w:top w:val="single" w:sz="12"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農業</w:t>
            </w:r>
          </w:p>
        </w:tc>
        <w:tc>
          <w:tcPr>
            <w:tcW w:w="749" w:type="dxa"/>
            <w:tcBorders>
              <w:top w:val="single" w:sz="12"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 3,204 </w:t>
            </w:r>
          </w:p>
        </w:tc>
        <w:tc>
          <w:tcPr>
            <w:tcW w:w="658" w:type="dxa"/>
            <w:tcBorders>
              <w:top w:val="single" w:sz="12"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1.92</w:t>
            </w:r>
          </w:p>
        </w:tc>
        <w:tc>
          <w:tcPr>
            <w:tcW w:w="773" w:type="dxa"/>
            <w:tcBorders>
              <w:top w:val="single" w:sz="12"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-164 </w:t>
            </w:r>
          </w:p>
        </w:tc>
        <w:tc>
          <w:tcPr>
            <w:tcW w:w="749" w:type="dxa"/>
            <w:tcBorders>
              <w:top w:val="single" w:sz="12"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-5.12</w:t>
            </w:r>
          </w:p>
        </w:tc>
        <w:tc>
          <w:tcPr>
            <w:tcW w:w="720" w:type="dxa"/>
            <w:tcBorders>
              <w:top w:val="single" w:sz="12"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238 </w:t>
            </w:r>
          </w:p>
        </w:tc>
        <w:tc>
          <w:tcPr>
            <w:tcW w:w="713" w:type="dxa"/>
            <w:tcBorders>
              <w:top w:val="single" w:sz="12"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7.43</w:t>
            </w:r>
          </w:p>
        </w:tc>
        <w:tc>
          <w:tcPr>
            <w:tcW w:w="749" w:type="dxa"/>
            <w:tcBorders>
              <w:top w:val="single" w:sz="12"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634 </w:t>
            </w:r>
          </w:p>
        </w:tc>
        <w:tc>
          <w:tcPr>
            <w:tcW w:w="749" w:type="dxa"/>
            <w:tcBorders>
              <w:top w:val="single" w:sz="12"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19.79</w:t>
            </w:r>
          </w:p>
        </w:tc>
        <w:tc>
          <w:tcPr>
            <w:tcW w:w="720" w:type="dxa"/>
            <w:tcBorders>
              <w:top w:val="single" w:sz="12"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2,496 </w:t>
            </w:r>
          </w:p>
        </w:tc>
        <w:tc>
          <w:tcPr>
            <w:tcW w:w="713" w:type="dxa"/>
            <w:tcBorders>
              <w:top w:val="single" w:sz="12"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77.90</w:t>
            </w:r>
          </w:p>
        </w:tc>
      </w:tr>
      <w:tr w:rsidR="00E0237E" w:rsidRPr="005D1CF5" w:rsidTr="007668ED">
        <w:tc>
          <w:tcPr>
            <w:tcW w:w="610" w:type="dxa"/>
            <w:vMerge/>
            <w:tcBorders>
              <w:top w:val="single" w:sz="4" w:space="0" w:color="auto"/>
              <w:bottom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工業</w:t>
            </w:r>
          </w:p>
        </w:tc>
        <w:tc>
          <w:tcPr>
            <w:tcW w:w="749"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69,046 </w:t>
            </w:r>
          </w:p>
        </w:tc>
        <w:tc>
          <w:tcPr>
            <w:tcW w:w="658"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0.88</w:t>
            </w:r>
          </w:p>
        </w:tc>
        <w:tc>
          <w:tcPr>
            <w:tcW w:w="773"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2,790 </w:t>
            </w:r>
          </w:p>
        </w:tc>
        <w:tc>
          <w:tcPr>
            <w:tcW w:w="749"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4.04</w:t>
            </w:r>
          </w:p>
        </w:tc>
        <w:tc>
          <w:tcPr>
            <w:tcW w:w="720"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16,007 </w:t>
            </w:r>
          </w:p>
        </w:tc>
        <w:tc>
          <w:tcPr>
            <w:tcW w:w="713"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23.18</w:t>
            </w:r>
          </w:p>
        </w:tc>
        <w:tc>
          <w:tcPr>
            <w:tcW w:w="749"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29,478 </w:t>
            </w:r>
          </w:p>
        </w:tc>
        <w:tc>
          <w:tcPr>
            <w:tcW w:w="749"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42.69</w:t>
            </w:r>
          </w:p>
        </w:tc>
        <w:tc>
          <w:tcPr>
            <w:tcW w:w="720"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20,771 </w:t>
            </w:r>
          </w:p>
        </w:tc>
        <w:tc>
          <w:tcPr>
            <w:tcW w:w="713"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30.08</w:t>
            </w:r>
          </w:p>
        </w:tc>
      </w:tr>
      <w:tr w:rsidR="00E0237E" w:rsidRPr="005D1CF5" w:rsidTr="007668ED">
        <w:tc>
          <w:tcPr>
            <w:tcW w:w="610" w:type="dxa"/>
            <w:vMerge/>
            <w:tcBorders>
              <w:top w:val="single" w:sz="4" w:space="0" w:color="auto"/>
              <w:bottom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服務業</w:t>
            </w:r>
          </w:p>
        </w:tc>
        <w:tc>
          <w:tcPr>
            <w:tcW w:w="749"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116,265 </w:t>
            </w:r>
          </w:p>
        </w:tc>
        <w:tc>
          <w:tcPr>
            <w:tcW w:w="658"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3.06</w:t>
            </w:r>
          </w:p>
        </w:tc>
        <w:tc>
          <w:tcPr>
            <w:tcW w:w="773"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7,739 </w:t>
            </w:r>
          </w:p>
        </w:tc>
        <w:tc>
          <w:tcPr>
            <w:tcW w:w="749"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6.66</w:t>
            </w:r>
          </w:p>
        </w:tc>
        <w:tc>
          <w:tcPr>
            <w:tcW w:w="720"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14,158 </w:t>
            </w:r>
          </w:p>
        </w:tc>
        <w:tc>
          <w:tcPr>
            <w:tcW w:w="713"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12.18</w:t>
            </w:r>
          </w:p>
        </w:tc>
        <w:tc>
          <w:tcPr>
            <w:tcW w:w="749"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57,371 </w:t>
            </w:r>
          </w:p>
        </w:tc>
        <w:tc>
          <w:tcPr>
            <w:tcW w:w="749"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49.35</w:t>
            </w:r>
          </w:p>
        </w:tc>
        <w:tc>
          <w:tcPr>
            <w:tcW w:w="720" w:type="dxa"/>
            <w:tcBorders>
              <w:top w:val="single" w:sz="4" w:space="0" w:color="auto"/>
              <w:bottom w:val="sing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36,997 </w:t>
            </w:r>
          </w:p>
        </w:tc>
        <w:tc>
          <w:tcPr>
            <w:tcW w:w="713" w:type="dxa"/>
            <w:tcBorders>
              <w:top w:val="single" w:sz="4" w:space="0" w:color="auto"/>
              <w:bottom w:val="sing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31.82</w:t>
            </w:r>
          </w:p>
        </w:tc>
      </w:tr>
      <w:tr w:rsidR="00E0237E" w:rsidRPr="005D1CF5" w:rsidTr="007668ED">
        <w:tc>
          <w:tcPr>
            <w:tcW w:w="610" w:type="dxa"/>
            <w:vMerge/>
            <w:tcBorders>
              <w:top w:val="single" w:sz="4" w:space="0" w:color="auto"/>
              <w:bottom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doub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合計</w:t>
            </w:r>
          </w:p>
        </w:tc>
        <w:tc>
          <w:tcPr>
            <w:tcW w:w="749" w:type="dxa"/>
            <w:tcBorders>
              <w:top w:val="single" w:sz="4" w:space="0" w:color="auto"/>
              <w:bottom w:val="doub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188,515 </w:t>
            </w:r>
          </w:p>
        </w:tc>
        <w:tc>
          <w:tcPr>
            <w:tcW w:w="658" w:type="dxa"/>
            <w:tcBorders>
              <w:top w:val="single" w:sz="4" w:space="0" w:color="auto"/>
              <w:bottom w:val="doub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2.23</w:t>
            </w:r>
          </w:p>
        </w:tc>
        <w:tc>
          <w:tcPr>
            <w:tcW w:w="773" w:type="dxa"/>
            <w:tcBorders>
              <w:top w:val="single" w:sz="4" w:space="0" w:color="auto"/>
              <w:bottom w:val="doub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10,365 </w:t>
            </w:r>
          </w:p>
        </w:tc>
        <w:tc>
          <w:tcPr>
            <w:tcW w:w="749" w:type="dxa"/>
            <w:tcBorders>
              <w:top w:val="single" w:sz="4" w:space="0" w:color="auto"/>
              <w:bottom w:val="doub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5.50</w:t>
            </w:r>
          </w:p>
        </w:tc>
        <w:tc>
          <w:tcPr>
            <w:tcW w:w="720" w:type="dxa"/>
            <w:tcBorders>
              <w:top w:val="single" w:sz="4" w:space="0" w:color="auto"/>
              <w:bottom w:val="doub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30,403 </w:t>
            </w:r>
          </w:p>
        </w:tc>
        <w:tc>
          <w:tcPr>
            <w:tcW w:w="713" w:type="dxa"/>
            <w:tcBorders>
              <w:top w:val="single" w:sz="4" w:space="0" w:color="auto"/>
              <w:bottom w:val="doub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16.13</w:t>
            </w:r>
          </w:p>
        </w:tc>
        <w:tc>
          <w:tcPr>
            <w:tcW w:w="749" w:type="dxa"/>
            <w:tcBorders>
              <w:top w:val="single" w:sz="4" w:space="0" w:color="auto"/>
              <w:bottom w:val="doub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87,483 </w:t>
            </w:r>
          </w:p>
        </w:tc>
        <w:tc>
          <w:tcPr>
            <w:tcW w:w="749" w:type="dxa"/>
            <w:tcBorders>
              <w:top w:val="single" w:sz="4" w:space="0" w:color="auto"/>
              <w:bottom w:val="doub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46.41</w:t>
            </w:r>
          </w:p>
        </w:tc>
        <w:tc>
          <w:tcPr>
            <w:tcW w:w="720" w:type="dxa"/>
            <w:tcBorders>
              <w:top w:val="single" w:sz="4" w:space="0" w:color="auto"/>
              <w:bottom w:val="double" w:sz="4"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60,263 </w:t>
            </w:r>
          </w:p>
        </w:tc>
        <w:tc>
          <w:tcPr>
            <w:tcW w:w="713" w:type="dxa"/>
            <w:tcBorders>
              <w:top w:val="single" w:sz="4" w:space="0" w:color="auto"/>
              <w:bottom w:val="double" w:sz="4"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31.97</w:t>
            </w:r>
          </w:p>
        </w:tc>
      </w:tr>
      <w:tr w:rsidR="00E0237E" w:rsidRPr="005D1CF5" w:rsidTr="007668ED">
        <w:tc>
          <w:tcPr>
            <w:tcW w:w="610" w:type="dxa"/>
            <w:vMerge/>
            <w:tcBorders>
              <w:top w:val="single" w:sz="4" w:space="0" w:color="auto"/>
              <w:bottom w:val="single" w:sz="12"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ICT產業</w:t>
            </w:r>
          </w:p>
        </w:tc>
        <w:tc>
          <w:tcPr>
            <w:tcW w:w="749" w:type="dxa"/>
            <w:tcBorders>
              <w:top w:val="double" w:sz="4" w:space="0" w:color="auto"/>
              <w:bottom w:val="single" w:sz="12"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 33,597 </w:t>
            </w:r>
          </w:p>
        </w:tc>
        <w:tc>
          <w:tcPr>
            <w:tcW w:w="658" w:type="dxa"/>
            <w:tcBorders>
              <w:top w:val="double" w:sz="4" w:space="0" w:color="auto"/>
              <w:bottom w:val="single" w:sz="12"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1.26</w:t>
            </w:r>
          </w:p>
        </w:tc>
        <w:tc>
          <w:tcPr>
            <w:tcW w:w="773" w:type="dxa"/>
            <w:tcBorders>
              <w:top w:val="double" w:sz="4" w:space="0" w:color="auto"/>
              <w:bottom w:val="single" w:sz="12"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209 </w:t>
            </w:r>
          </w:p>
        </w:tc>
        <w:tc>
          <w:tcPr>
            <w:tcW w:w="749" w:type="dxa"/>
            <w:tcBorders>
              <w:top w:val="double" w:sz="4" w:space="0" w:color="auto"/>
              <w:bottom w:val="single" w:sz="12"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0.62</w:t>
            </w:r>
          </w:p>
        </w:tc>
        <w:tc>
          <w:tcPr>
            <w:tcW w:w="720" w:type="dxa"/>
            <w:tcBorders>
              <w:top w:val="double" w:sz="4" w:space="0" w:color="auto"/>
              <w:bottom w:val="single" w:sz="12"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11,800 </w:t>
            </w:r>
          </w:p>
        </w:tc>
        <w:tc>
          <w:tcPr>
            <w:tcW w:w="713" w:type="dxa"/>
            <w:tcBorders>
              <w:top w:val="double" w:sz="4" w:space="0" w:color="auto"/>
              <w:bottom w:val="single" w:sz="12"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35.12</w:t>
            </w:r>
          </w:p>
        </w:tc>
        <w:tc>
          <w:tcPr>
            <w:tcW w:w="749" w:type="dxa"/>
            <w:tcBorders>
              <w:top w:val="double" w:sz="4" w:space="0" w:color="auto"/>
              <w:bottom w:val="single" w:sz="12"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11,989 </w:t>
            </w:r>
          </w:p>
        </w:tc>
        <w:tc>
          <w:tcPr>
            <w:tcW w:w="749" w:type="dxa"/>
            <w:tcBorders>
              <w:top w:val="double" w:sz="4" w:space="0" w:color="auto"/>
              <w:bottom w:val="single" w:sz="12"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35.69</w:t>
            </w:r>
          </w:p>
        </w:tc>
        <w:tc>
          <w:tcPr>
            <w:tcW w:w="720" w:type="dxa"/>
            <w:tcBorders>
              <w:top w:val="double" w:sz="4" w:space="0" w:color="auto"/>
              <w:bottom w:val="single" w:sz="12" w:space="0" w:color="auto"/>
            </w:tcBorders>
            <w:shd w:val="clear" w:color="auto" w:fill="auto"/>
            <w:vAlign w:val="bottom"/>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snapToGrid/>
                <w:spacing w:val="-20"/>
                <w:w w:val="90"/>
                <w:sz w:val="24"/>
                <w:szCs w:val="24"/>
              </w:rPr>
              <w:t xml:space="preserve">9,599 </w:t>
            </w:r>
          </w:p>
        </w:tc>
        <w:tc>
          <w:tcPr>
            <w:tcW w:w="713" w:type="dxa"/>
            <w:tcBorders>
              <w:top w:val="double" w:sz="4" w:space="0" w:color="auto"/>
              <w:bottom w:val="single" w:sz="12" w:space="0" w:color="auto"/>
            </w:tcBorders>
            <w:shd w:val="clear" w:color="auto" w:fill="auto"/>
          </w:tcPr>
          <w:p w:rsidR="00E0237E" w:rsidRPr="00C13ACA" w:rsidRDefault="00E0237E" w:rsidP="007668ED">
            <w:pPr>
              <w:spacing w:line="280" w:lineRule="exact"/>
              <w:ind w:leftChars="-10" w:left="-19" w:rightChars="-23" w:right="-65" w:hangingChars="5" w:hanging="9"/>
              <w:jc w:val="right"/>
              <w:rPr>
                <w:rFonts w:hAnsi="標楷體"/>
                <w:snapToGrid/>
                <w:spacing w:val="-20"/>
                <w:w w:val="90"/>
                <w:sz w:val="24"/>
                <w:szCs w:val="24"/>
              </w:rPr>
            </w:pPr>
            <w:r w:rsidRPr="00C13ACA">
              <w:rPr>
                <w:rFonts w:hAnsi="標楷體" w:hint="eastAsia"/>
                <w:snapToGrid/>
                <w:spacing w:val="-20"/>
                <w:w w:val="90"/>
                <w:sz w:val="24"/>
                <w:szCs w:val="24"/>
              </w:rPr>
              <w:t>28.57</w:t>
            </w:r>
          </w:p>
        </w:tc>
      </w:tr>
      <w:tr w:rsidR="00E0237E" w:rsidRPr="005D1CF5" w:rsidTr="007668ED">
        <w:tc>
          <w:tcPr>
            <w:tcW w:w="610" w:type="dxa"/>
            <w:vMerge w:val="restart"/>
            <w:tcBorders>
              <w:top w:val="single" w:sz="12" w:space="0" w:color="auto"/>
              <w:bottom w:val="single" w:sz="4" w:space="0" w:color="auto"/>
            </w:tcBorders>
            <w:shd w:val="clear" w:color="auto" w:fill="auto"/>
            <w:vAlign w:val="center"/>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10</w:t>
            </w:r>
            <w:r>
              <w:rPr>
                <w:rFonts w:hAnsi="標楷體" w:hint="eastAsia"/>
                <w:snapToGrid/>
                <w:spacing w:val="-20"/>
                <w:w w:val="90"/>
                <w:sz w:val="24"/>
                <w:szCs w:val="24"/>
              </w:rPr>
              <w:t>9</w:t>
            </w:r>
            <w:r w:rsidRPr="005D1CF5">
              <w:rPr>
                <w:rFonts w:hAnsi="標楷體" w:hint="eastAsia"/>
                <w:snapToGrid/>
                <w:spacing w:val="-20"/>
                <w:w w:val="90"/>
                <w:sz w:val="24"/>
                <w:szCs w:val="24"/>
              </w:rPr>
              <w:t>年</w:t>
            </w:r>
          </w:p>
        </w:tc>
        <w:tc>
          <w:tcPr>
            <w:tcW w:w="817" w:type="dxa"/>
            <w:tcBorders>
              <w:top w:val="single" w:sz="12"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農業</w:t>
            </w:r>
          </w:p>
        </w:tc>
        <w:tc>
          <w:tcPr>
            <w:tcW w:w="749" w:type="dxa"/>
            <w:tcBorders>
              <w:top w:val="single" w:sz="12"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 3,170 </w:t>
            </w:r>
          </w:p>
        </w:tc>
        <w:tc>
          <w:tcPr>
            <w:tcW w:w="658" w:type="dxa"/>
            <w:tcBorders>
              <w:top w:val="single" w:sz="12"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-1.04</w:t>
            </w:r>
          </w:p>
        </w:tc>
        <w:tc>
          <w:tcPr>
            <w:tcW w:w="773" w:type="dxa"/>
            <w:tcBorders>
              <w:top w:val="single" w:sz="12"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-370 </w:t>
            </w:r>
          </w:p>
        </w:tc>
        <w:tc>
          <w:tcPr>
            <w:tcW w:w="749" w:type="dxa"/>
            <w:tcBorders>
              <w:top w:val="single" w:sz="12"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-11.67</w:t>
            </w:r>
          </w:p>
        </w:tc>
        <w:tc>
          <w:tcPr>
            <w:tcW w:w="720" w:type="dxa"/>
            <w:tcBorders>
              <w:top w:val="single" w:sz="12"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248 </w:t>
            </w:r>
          </w:p>
        </w:tc>
        <w:tc>
          <w:tcPr>
            <w:tcW w:w="713" w:type="dxa"/>
            <w:tcBorders>
              <w:top w:val="single" w:sz="12"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7.83</w:t>
            </w:r>
          </w:p>
        </w:tc>
        <w:tc>
          <w:tcPr>
            <w:tcW w:w="749" w:type="dxa"/>
            <w:tcBorders>
              <w:top w:val="single" w:sz="12"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618 </w:t>
            </w:r>
          </w:p>
        </w:tc>
        <w:tc>
          <w:tcPr>
            <w:tcW w:w="749" w:type="dxa"/>
            <w:tcBorders>
              <w:top w:val="single" w:sz="12"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19.50</w:t>
            </w:r>
          </w:p>
        </w:tc>
        <w:tc>
          <w:tcPr>
            <w:tcW w:w="720" w:type="dxa"/>
            <w:tcBorders>
              <w:top w:val="single" w:sz="12"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2,674 </w:t>
            </w:r>
          </w:p>
        </w:tc>
        <w:tc>
          <w:tcPr>
            <w:tcW w:w="713" w:type="dxa"/>
            <w:tcBorders>
              <w:top w:val="single" w:sz="12"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84.34</w:t>
            </w:r>
          </w:p>
        </w:tc>
      </w:tr>
      <w:tr w:rsidR="00E0237E" w:rsidRPr="005D1CF5" w:rsidTr="007668ED">
        <w:tc>
          <w:tcPr>
            <w:tcW w:w="610" w:type="dxa"/>
            <w:vMerge/>
            <w:tcBorders>
              <w:top w:val="single" w:sz="4" w:space="0" w:color="auto"/>
              <w:bottom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工業</w:t>
            </w:r>
          </w:p>
        </w:tc>
        <w:tc>
          <w:tcPr>
            <w:tcW w:w="749"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77,411 </w:t>
            </w:r>
          </w:p>
        </w:tc>
        <w:tc>
          <w:tcPr>
            <w:tcW w:w="658"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12.11</w:t>
            </w:r>
          </w:p>
        </w:tc>
        <w:tc>
          <w:tcPr>
            <w:tcW w:w="773"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2,139 </w:t>
            </w:r>
          </w:p>
        </w:tc>
        <w:tc>
          <w:tcPr>
            <w:tcW w:w="749"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2.76</w:t>
            </w:r>
          </w:p>
        </w:tc>
        <w:tc>
          <w:tcPr>
            <w:tcW w:w="720"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16,789 </w:t>
            </w:r>
          </w:p>
        </w:tc>
        <w:tc>
          <w:tcPr>
            <w:tcW w:w="713"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21.69</w:t>
            </w:r>
          </w:p>
        </w:tc>
        <w:tc>
          <w:tcPr>
            <w:tcW w:w="749"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30,465 </w:t>
            </w:r>
          </w:p>
        </w:tc>
        <w:tc>
          <w:tcPr>
            <w:tcW w:w="749"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39.36</w:t>
            </w:r>
          </w:p>
        </w:tc>
        <w:tc>
          <w:tcPr>
            <w:tcW w:w="720"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28,017 </w:t>
            </w:r>
          </w:p>
        </w:tc>
        <w:tc>
          <w:tcPr>
            <w:tcW w:w="713"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36.19</w:t>
            </w:r>
          </w:p>
        </w:tc>
      </w:tr>
      <w:tr w:rsidR="00E0237E" w:rsidRPr="005D1CF5" w:rsidTr="007668ED">
        <w:tc>
          <w:tcPr>
            <w:tcW w:w="610" w:type="dxa"/>
            <w:vMerge/>
            <w:tcBorders>
              <w:top w:val="single" w:sz="4" w:space="0" w:color="auto"/>
              <w:bottom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服務業</w:t>
            </w:r>
          </w:p>
        </w:tc>
        <w:tc>
          <w:tcPr>
            <w:tcW w:w="749"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117,867 </w:t>
            </w:r>
          </w:p>
        </w:tc>
        <w:tc>
          <w:tcPr>
            <w:tcW w:w="658"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1.38</w:t>
            </w:r>
          </w:p>
        </w:tc>
        <w:tc>
          <w:tcPr>
            <w:tcW w:w="773"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7,097 </w:t>
            </w:r>
          </w:p>
        </w:tc>
        <w:tc>
          <w:tcPr>
            <w:tcW w:w="749"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6.02</w:t>
            </w:r>
          </w:p>
        </w:tc>
        <w:tc>
          <w:tcPr>
            <w:tcW w:w="720"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14,614 </w:t>
            </w:r>
          </w:p>
        </w:tc>
        <w:tc>
          <w:tcPr>
            <w:tcW w:w="713"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12.40</w:t>
            </w:r>
          </w:p>
        </w:tc>
        <w:tc>
          <w:tcPr>
            <w:tcW w:w="749"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58,448 </w:t>
            </w:r>
          </w:p>
        </w:tc>
        <w:tc>
          <w:tcPr>
            <w:tcW w:w="749"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49.59</w:t>
            </w:r>
          </w:p>
        </w:tc>
        <w:tc>
          <w:tcPr>
            <w:tcW w:w="720" w:type="dxa"/>
            <w:tcBorders>
              <w:top w:val="single" w:sz="4" w:space="0" w:color="auto"/>
              <w:bottom w:val="sing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37,708 </w:t>
            </w:r>
          </w:p>
        </w:tc>
        <w:tc>
          <w:tcPr>
            <w:tcW w:w="713" w:type="dxa"/>
            <w:tcBorders>
              <w:top w:val="single" w:sz="4" w:space="0" w:color="auto"/>
              <w:bottom w:val="sing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31.99</w:t>
            </w:r>
          </w:p>
        </w:tc>
      </w:tr>
      <w:tr w:rsidR="00E0237E" w:rsidRPr="005D1CF5" w:rsidTr="007668ED">
        <w:tc>
          <w:tcPr>
            <w:tcW w:w="610" w:type="dxa"/>
            <w:vMerge/>
            <w:tcBorders>
              <w:top w:val="single" w:sz="4" w:space="0" w:color="auto"/>
              <w:bottom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doub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合計</w:t>
            </w:r>
          </w:p>
        </w:tc>
        <w:tc>
          <w:tcPr>
            <w:tcW w:w="749" w:type="dxa"/>
            <w:tcBorders>
              <w:top w:val="single" w:sz="4" w:space="0" w:color="auto"/>
              <w:bottom w:val="doub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198,448 </w:t>
            </w:r>
          </w:p>
        </w:tc>
        <w:tc>
          <w:tcPr>
            <w:tcW w:w="658" w:type="dxa"/>
            <w:tcBorders>
              <w:top w:val="single" w:sz="4" w:space="0" w:color="auto"/>
              <w:bottom w:val="doub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5.27</w:t>
            </w:r>
          </w:p>
        </w:tc>
        <w:tc>
          <w:tcPr>
            <w:tcW w:w="773" w:type="dxa"/>
            <w:tcBorders>
              <w:top w:val="single" w:sz="4" w:space="0" w:color="auto"/>
              <w:bottom w:val="doub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8,867 </w:t>
            </w:r>
          </w:p>
        </w:tc>
        <w:tc>
          <w:tcPr>
            <w:tcW w:w="749" w:type="dxa"/>
            <w:tcBorders>
              <w:top w:val="single" w:sz="4" w:space="0" w:color="auto"/>
              <w:bottom w:val="doub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4.47</w:t>
            </w:r>
          </w:p>
        </w:tc>
        <w:tc>
          <w:tcPr>
            <w:tcW w:w="720" w:type="dxa"/>
            <w:tcBorders>
              <w:top w:val="single" w:sz="4" w:space="0" w:color="auto"/>
              <w:bottom w:val="doub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31,651 </w:t>
            </w:r>
          </w:p>
        </w:tc>
        <w:tc>
          <w:tcPr>
            <w:tcW w:w="713" w:type="dxa"/>
            <w:tcBorders>
              <w:top w:val="single" w:sz="4" w:space="0" w:color="auto"/>
              <w:bottom w:val="doub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15.95</w:t>
            </w:r>
          </w:p>
        </w:tc>
        <w:tc>
          <w:tcPr>
            <w:tcW w:w="749" w:type="dxa"/>
            <w:tcBorders>
              <w:top w:val="single" w:sz="4" w:space="0" w:color="auto"/>
              <w:bottom w:val="doub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89,532 </w:t>
            </w:r>
          </w:p>
        </w:tc>
        <w:tc>
          <w:tcPr>
            <w:tcW w:w="749" w:type="dxa"/>
            <w:tcBorders>
              <w:top w:val="single" w:sz="4" w:space="0" w:color="auto"/>
              <w:bottom w:val="doub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45.12</w:t>
            </w:r>
          </w:p>
        </w:tc>
        <w:tc>
          <w:tcPr>
            <w:tcW w:w="720" w:type="dxa"/>
            <w:tcBorders>
              <w:top w:val="single" w:sz="4" w:space="0" w:color="auto"/>
              <w:bottom w:val="double" w:sz="4" w:space="0" w:color="auto"/>
            </w:tcBorders>
            <w:shd w:val="clear" w:color="auto" w:fill="auto"/>
            <w:vAlign w:val="bottom"/>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snapToGrid/>
                <w:spacing w:val="-20"/>
                <w:w w:val="90"/>
                <w:sz w:val="24"/>
                <w:szCs w:val="24"/>
              </w:rPr>
              <w:t xml:space="preserve">68,399 </w:t>
            </w:r>
          </w:p>
        </w:tc>
        <w:tc>
          <w:tcPr>
            <w:tcW w:w="713" w:type="dxa"/>
            <w:tcBorders>
              <w:top w:val="single" w:sz="4" w:space="0" w:color="auto"/>
              <w:bottom w:val="double" w:sz="4" w:space="0" w:color="auto"/>
            </w:tcBorders>
            <w:shd w:val="clear" w:color="auto" w:fill="auto"/>
          </w:tcPr>
          <w:p w:rsidR="00E0237E" w:rsidRPr="00E27BB6" w:rsidRDefault="00E0237E" w:rsidP="007668ED">
            <w:pPr>
              <w:spacing w:line="280" w:lineRule="exact"/>
              <w:ind w:leftChars="-10" w:left="-19" w:rightChars="-23" w:right="-65" w:hangingChars="5" w:hanging="9"/>
              <w:jc w:val="right"/>
              <w:rPr>
                <w:rFonts w:hAnsi="標楷體"/>
                <w:snapToGrid/>
                <w:spacing w:val="-20"/>
                <w:w w:val="90"/>
                <w:sz w:val="24"/>
                <w:szCs w:val="24"/>
              </w:rPr>
            </w:pPr>
            <w:r w:rsidRPr="00E27BB6">
              <w:rPr>
                <w:rFonts w:hAnsi="標楷體" w:hint="eastAsia"/>
                <w:snapToGrid/>
                <w:spacing w:val="-20"/>
                <w:w w:val="90"/>
                <w:sz w:val="24"/>
                <w:szCs w:val="24"/>
              </w:rPr>
              <w:t>34.47</w:t>
            </w:r>
          </w:p>
        </w:tc>
      </w:tr>
      <w:tr w:rsidR="00E0237E" w:rsidRPr="005D1CF5" w:rsidTr="007668ED">
        <w:tc>
          <w:tcPr>
            <w:tcW w:w="610" w:type="dxa"/>
            <w:vMerge/>
            <w:tcBorders>
              <w:top w:val="single" w:sz="4" w:space="0" w:color="auto"/>
              <w:bottom w:val="single" w:sz="12"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ICT產業</w:t>
            </w:r>
          </w:p>
        </w:tc>
        <w:tc>
          <w:tcPr>
            <w:tcW w:w="749" w:type="dxa"/>
            <w:tcBorders>
              <w:top w:val="double" w:sz="4" w:space="0" w:color="auto"/>
              <w:bottom w:val="single" w:sz="12" w:space="0" w:color="auto"/>
            </w:tcBorders>
            <w:shd w:val="clear" w:color="auto" w:fill="auto"/>
            <w:vAlign w:val="bottom"/>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snapToGrid/>
                <w:spacing w:val="-20"/>
                <w:w w:val="90"/>
                <w:sz w:val="24"/>
                <w:szCs w:val="24"/>
              </w:rPr>
              <w:t xml:space="preserve"> 40,573 </w:t>
            </w:r>
          </w:p>
        </w:tc>
        <w:tc>
          <w:tcPr>
            <w:tcW w:w="658" w:type="dxa"/>
            <w:tcBorders>
              <w:top w:val="double" w:sz="4" w:space="0" w:color="auto"/>
              <w:bottom w:val="single" w:sz="12" w:space="0" w:color="auto"/>
            </w:tcBorders>
            <w:shd w:val="clear" w:color="auto" w:fill="auto"/>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hint="eastAsia"/>
                <w:snapToGrid/>
                <w:spacing w:val="-20"/>
                <w:w w:val="90"/>
                <w:sz w:val="24"/>
                <w:szCs w:val="24"/>
              </w:rPr>
              <w:t>20.77</w:t>
            </w:r>
          </w:p>
        </w:tc>
        <w:tc>
          <w:tcPr>
            <w:tcW w:w="773" w:type="dxa"/>
            <w:tcBorders>
              <w:top w:val="double" w:sz="4" w:space="0" w:color="auto"/>
              <w:bottom w:val="single" w:sz="12" w:space="0" w:color="auto"/>
            </w:tcBorders>
            <w:shd w:val="clear" w:color="auto" w:fill="auto"/>
            <w:vAlign w:val="bottom"/>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snapToGrid/>
                <w:spacing w:val="-20"/>
                <w:w w:val="90"/>
                <w:sz w:val="24"/>
                <w:szCs w:val="24"/>
              </w:rPr>
              <w:t xml:space="preserve">178 </w:t>
            </w:r>
          </w:p>
        </w:tc>
        <w:tc>
          <w:tcPr>
            <w:tcW w:w="749" w:type="dxa"/>
            <w:tcBorders>
              <w:top w:val="double" w:sz="4" w:space="0" w:color="auto"/>
              <w:bottom w:val="single" w:sz="12" w:space="0" w:color="auto"/>
            </w:tcBorders>
            <w:shd w:val="clear" w:color="auto" w:fill="auto"/>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hint="eastAsia"/>
                <w:snapToGrid/>
                <w:spacing w:val="-20"/>
                <w:w w:val="90"/>
                <w:sz w:val="24"/>
                <w:szCs w:val="24"/>
              </w:rPr>
              <w:t>0.44</w:t>
            </w:r>
          </w:p>
        </w:tc>
        <w:tc>
          <w:tcPr>
            <w:tcW w:w="720" w:type="dxa"/>
            <w:tcBorders>
              <w:top w:val="double" w:sz="4" w:space="0" w:color="auto"/>
              <w:bottom w:val="single" w:sz="12" w:space="0" w:color="auto"/>
            </w:tcBorders>
            <w:shd w:val="clear" w:color="auto" w:fill="auto"/>
            <w:vAlign w:val="bottom"/>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snapToGrid/>
                <w:spacing w:val="-20"/>
                <w:w w:val="90"/>
                <w:sz w:val="24"/>
                <w:szCs w:val="24"/>
              </w:rPr>
              <w:t xml:space="preserve">12,475 </w:t>
            </w:r>
          </w:p>
        </w:tc>
        <w:tc>
          <w:tcPr>
            <w:tcW w:w="713" w:type="dxa"/>
            <w:tcBorders>
              <w:top w:val="double" w:sz="4" w:space="0" w:color="auto"/>
              <w:bottom w:val="single" w:sz="12" w:space="0" w:color="auto"/>
            </w:tcBorders>
            <w:shd w:val="clear" w:color="auto" w:fill="auto"/>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hint="eastAsia"/>
                <w:snapToGrid/>
                <w:spacing w:val="-20"/>
                <w:w w:val="90"/>
                <w:sz w:val="24"/>
                <w:szCs w:val="24"/>
              </w:rPr>
              <w:t>30.75</w:t>
            </w:r>
          </w:p>
        </w:tc>
        <w:tc>
          <w:tcPr>
            <w:tcW w:w="749" w:type="dxa"/>
            <w:tcBorders>
              <w:top w:val="double" w:sz="4" w:space="0" w:color="auto"/>
              <w:bottom w:val="single" w:sz="12" w:space="0" w:color="auto"/>
            </w:tcBorders>
            <w:shd w:val="clear" w:color="auto" w:fill="auto"/>
            <w:vAlign w:val="bottom"/>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snapToGrid/>
                <w:spacing w:val="-20"/>
                <w:w w:val="90"/>
                <w:sz w:val="24"/>
                <w:szCs w:val="24"/>
              </w:rPr>
              <w:t xml:space="preserve">13,012 </w:t>
            </w:r>
          </w:p>
        </w:tc>
        <w:tc>
          <w:tcPr>
            <w:tcW w:w="749" w:type="dxa"/>
            <w:tcBorders>
              <w:top w:val="double" w:sz="4" w:space="0" w:color="auto"/>
              <w:bottom w:val="single" w:sz="12" w:space="0" w:color="auto"/>
            </w:tcBorders>
            <w:shd w:val="clear" w:color="auto" w:fill="auto"/>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hint="eastAsia"/>
                <w:snapToGrid/>
                <w:spacing w:val="-20"/>
                <w:w w:val="90"/>
                <w:sz w:val="24"/>
                <w:szCs w:val="24"/>
              </w:rPr>
              <w:t>32.07</w:t>
            </w:r>
          </w:p>
        </w:tc>
        <w:tc>
          <w:tcPr>
            <w:tcW w:w="720" w:type="dxa"/>
            <w:tcBorders>
              <w:top w:val="double" w:sz="4" w:space="0" w:color="auto"/>
              <w:bottom w:val="single" w:sz="12" w:space="0" w:color="auto"/>
            </w:tcBorders>
            <w:shd w:val="clear" w:color="auto" w:fill="auto"/>
            <w:vAlign w:val="bottom"/>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snapToGrid/>
                <w:spacing w:val="-20"/>
                <w:w w:val="90"/>
                <w:sz w:val="24"/>
                <w:szCs w:val="24"/>
              </w:rPr>
              <w:t xml:space="preserve">14,908 </w:t>
            </w:r>
          </w:p>
        </w:tc>
        <w:tc>
          <w:tcPr>
            <w:tcW w:w="713" w:type="dxa"/>
            <w:tcBorders>
              <w:top w:val="double" w:sz="4" w:space="0" w:color="auto"/>
              <w:bottom w:val="single" w:sz="12" w:space="0" w:color="auto"/>
            </w:tcBorders>
            <w:shd w:val="clear" w:color="auto" w:fill="auto"/>
          </w:tcPr>
          <w:p w:rsidR="00E0237E" w:rsidRPr="00260C8F" w:rsidRDefault="00E0237E" w:rsidP="007668ED">
            <w:pPr>
              <w:spacing w:line="280" w:lineRule="exact"/>
              <w:ind w:leftChars="-10" w:left="-19" w:rightChars="-23" w:right="-65" w:hangingChars="5" w:hanging="9"/>
              <w:jc w:val="right"/>
              <w:rPr>
                <w:rFonts w:hAnsi="標楷體"/>
                <w:snapToGrid/>
                <w:spacing w:val="-20"/>
                <w:w w:val="90"/>
                <w:sz w:val="24"/>
                <w:szCs w:val="24"/>
              </w:rPr>
            </w:pPr>
            <w:r w:rsidRPr="00260C8F">
              <w:rPr>
                <w:rFonts w:hAnsi="標楷體" w:hint="eastAsia"/>
                <w:snapToGrid/>
                <w:spacing w:val="-20"/>
                <w:w w:val="90"/>
                <w:sz w:val="24"/>
                <w:szCs w:val="24"/>
              </w:rPr>
              <w:t>36.74</w:t>
            </w:r>
          </w:p>
        </w:tc>
      </w:tr>
      <w:tr w:rsidR="00E0237E" w:rsidRPr="005D1CF5" w:rsidTr="007668ED">
        <w:tc>
          <w:tcPr>
            <w:tcW w:w="610" w:type="dxa"/>
            <w:vMerge w:val="restart"/>
            <w:tcBorders>
              <w:top w:val="single" w:sz="12" w:space="0" w:color="auto"/>
            </w:tcBorders>
            <w:shd w:val="clear" w:color="auto" w:fill="auto"/>
            <w:vAlign w:val="center"/>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1</w:t>
            </w:r>
            <w:r>
              <w:rPr>
                <w:rFonts w:hAnsi="標楷體" w:hint="eastAsia"/>
                <w:snapToGrid/>
                <w:spacing w:val="-20"/>
                <w:w w:val="90"/>
                <w:sz w:val="24"/>
                <w:szCs w:val="24"/>
              </w:rPr>
              <w:t>10</w:t>
            </w:r>
            <w:r w:rsidRPr="005D1CF5">
              <w:rPr>
                <w:rFonts w:hAnsi="標楷體" w:hint="eastAsia"/>
                <w:snapToGrid/>
                <w:spacing w:val="-20"/>
                <w:w w:val="90"/>
                <w:sz w:val="24"/>
                <w:szCs w:val="24"/>
              </w:rPr>
              <w:t>年</w:t>
            </w:r>
          </w:p>
        </w:tc>
        <w:tc>
          <w:tcPr>
            <w:tcW w:w="817" w:type="dxa"/>
            <w:tcBorders>
              <w:top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農業</w:t>
            </w:r>
          </w:p>
        </w:tc>
        <w:tc>
          <w:tcPr>
            <w:tcW w:w="749" w:type="dxa"/>
            <w:tcBorders>
              <w:top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  3,157 </w:t>
            </w:r>
          </w:p>
        </w:tc>
        <w:tc>
          <w:tcPr>
            <w:tcW w:w="658" w:type="dxa"/>
            <w:tcBorders>
              <w:top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-0.40</w:t>
            </w:r>
          </w:p>
        </w:tc>
        <w:tc>
          <w:tcPr>
            <w:tcW w:w="773" w:type="dxa"/>
            <w:tcBorders>
              <w:top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-285 </w:t>
            </w:r>
          </w:p>
        </w:tc>
        <w:tc>
          <w:tcPr>
            <w:tcW w:w="749" w:type="dxa"/>
            <w:tcBorders>
              <w:top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-9.01</w:t>
            </w:r>
          </w:p>
        </w:tc>
        <w:tc>
          <w:tcPr>
            <w:tcW w:w="720" w:type="dxa"/>
            <w:tcBorders>
              <w:top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262 </w:t>
            </w:r>
          </w:p>
        </w:tc>
        <w:tc>
          <w:tcPr>
            <w:tcW w:w="713" w:type="dxa"/>
            <w:tcBorders>
              <w:top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8.29</w:t>
            </w:r>
          </w:p>
        </w:tc>
        <w:tc>
          <w:tcPr>
            <w:tcW w:w="749" w:type="dxa"/>
            <w:tcBorders>
              <w:top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583 </w:t>
            </w:r>
          </w:p>
        </w:tc>
        <w:tc>
          <w:tcPr>
            <w:tcW w:w="749" w:type="dxa"/>
            <w:tcBorders>
              <w:top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18.47</w:t>
            </w:r>
          </w:p>
        </w:tc>
        <w:tc>
          <w:tcPr>
            <w:tcW w:w="720" w:type="dxa"/>
            <w:tcBorders>
              <w:top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2,597 </w:t>
            </w:r>
          </w:p>
        </w:tc>
        <w:tc>
          <w:tcPr>
            <w:tcW w:w="713" w:type="dxa"/>
            <w:tcBorders>
              <w:top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82.26</w:t>
            </w:r>
          </w:p>
        </w:tc>
      </w:tr>
      <w:tr w:rsidR="00E0237E" w:rsidRPr="005D1CF5" w:rsidTr="007668ED">
        <w:tc>
          <w:tcPr>
            <w:tcW w:w="610" w:type="dxa"/>
            <w:vMerge/>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工業</w:t>
            </w:r>
          </w:p>
        </w:tc>
        <w:tc>
          <w:tcPr>
            <w:tcW w:w="749"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 88,791 </w:t>
            </w:r>
          </w:p>
        </w:tc>
        <w:tc>
          <w:tcPr>
            <w:tcW w:w="658"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14.70</w:t>
            </w:r>
          </w:p>
        </w:tc>
        <w:tc>
          <w:tcPr>
            <w:tcW w:w="773"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2,566 </w:t>
            </w:r>
          </w:p>
        </w:tc>
        <w:tc>
          <w:tcPr>
            <w:tcW w:w="749"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2.89</w:t>
            </w:r>
          </w:p>
        </w:tc>
        <w:tc>
          <w:tcPr>
            <w:tcW w:w="720"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18,333 </w:t>
            </w:r>
          </w:p>
        </w:tc>
        <w:tc>
          <w:tcPr>
            <w:tcW w:w="713"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20.65</w:t>
            </w:r>
          </w:p>
        </w:tc>
        <w:tc>
          <w:tcPr>
            <w:tcW w:w="749"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34,107 </w:t>
            </w:r>
          </w:p>
        </w:tc>
        <w:tc>
          <w:tcPr>
            <w:tcW w:w="749"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38.41</w:t>
            </w:r>
          </w:p>
        </w:tc>
        <w:tc>
          <w:tcPr>
            <w:tcW w:w="720"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33,786 </w:t>
            </w:r>
          </w:p>
        </w:tc>
        <w:tc>
          <w:tcPr>
            <w:tcW w:w="713"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38.05</w:t>
            </w:r>
          </w:p>
        </w:tc>
      </w:tr>
      <w:tr w:rsidR="00E0237E" w:rsidRPr="005D1CF5" w:rsidTr="007668ED">
        <w:tc>
          <w:tcPr>
            <w:tcW w:w="610" w:type="dxa"/>
            <w:vMerge/>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服務業</w:t>
            </w:r>
          </w:p>
        </w:tc>
        <w:tc>
          <w:tcPr>
            <w:tcW w:w="749"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125,784 </w:t>
            </w:r>
          </w:p>
        </w:tc>
        <w:tc>
          <w:tcPr>
            <w:tcW w:w="658"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6.72</w:t>
            </w:r>
          </w:p>
        </w:tc>
        <w:tc>
          <w:tcPr>
            <w:tcW w:w="773"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7,814 </w:t>
            </w:r>
          </w:p>
        </w:tc>
        <w:tc>
          <w:tcPr>
            <w:tcW w:w="749"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6.21</w:t>
            </w:r>
          </w:p>
        </w:tc>
        <w:tc>
          <w:tcPr>
            <w:tcW w:w="720"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15,718 </w:t>
            </w:r>
          </w:p>
        </w:tc>
        <w:tc>
          <w:tcPr>
            <w:tcW w:w="713"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12.50</w:t>
            </w:r>
          </w:p>
        </w:tc>
        <w:tc>
          <w:tcPr>
            <w:tcW w:w="749"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60,373 </w:t>
            </w:r>
          </w:p>
        </w:tc>
        <w:tc>
          <w:tcPr>
            <w:tcW w:w="749"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48.00</w:t>
            </w:r>
          </w:p>
        </w:tc>
        <w:tc>
          <w:tcPr>
            <w:tcW w:w="720" w:type="dxa"/>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41,879 </w:t>
            </w:r>
          </w:p>
        </w:tc>
        <w:tc>
          <w:tcPr>
            <w:tcW w:w="713" w:type="dxa"/>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33.29</w:t>
            </w:r>
          </w:p>
        </w:tc>
      </w:tr>
      <w:tr w:rsidR="00E0237E" w:rsidRPr="005D1CF5" w:rsidTr="007668ED">
        <w:tc>
          <w:tcPr>
            <w:tcW w:w="610" w:type="dxa"/>
            <w:vMerge/>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bottom w:val="doub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合計</w:t>
            </w:r>
          </w:p>
        </w:tc>
        <w:tc>
          <w:tcPr>
            <w:tcW w:w="749" w:type="dxa"/>
            <w:tcBorders>
              <w:bottom w:val="double" w:sz="4"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217,733 </w:t>
            </w:r>
          </w:p>
        </w:tc>
        <w:tc>
          <w:tcPr>
            <w:tcW w:w="658" w:type="dxa"/>
            <w:tcBorders>
              <w:bottom w:val="double" w:sz="4"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9.72</w:t>
            </w:r>
          </w:p>
        </w:tc>
        <w:tc>
          <w:tcPr>
            <w:tcW w:w="773" w:type="dxa"/>
            <w:tcBorders>
              <w:bottom w:val="double" w:sz="4"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10,095 </w:t>
            </w:r>
          </w:p>
        </w:tc>
        <w:tc>
          <w:tcPr>
            <w:tcW w:w="749" w:type="dxa"/>
            <w:tcBorders>
              <w:bottom w:val="double" w:sz="4"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4.64</w:t>
            </w:r>
          </w:p>
        </w:tc>
        <w:tc>
          <w:tcPr>
            <w:tcW w:w="720" w:type="dxa"/>
            <w:tcBorders>
              <w:bottom w:val="double" w:sz="4"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34,312 </w:t>
            </w:r>
          </w:p>
        </w:tc>
        <w:tc>
          <w:tcPr>
            <w:tcW w:w="713" w:type="dxa"/>
            <w:tcBorders>
              <w:bottom w:val="double" w:sz="4"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15.76</w:t>
            </w:r>
          </w:p>
        </w:tc>
        <w:tc>
          <w:tcPr>
            <w:tcW w:w="749" w:type="dxa"/>
            <w:tcBorders>
              <w:bottom w:val="double" w:sz="4"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95,064 </w:t>
            </w:r>
          </w:p>
        </w:tc>
        <w:tc>
          <w:tcPr>
            <w:tcW w:w="749" w:type="dxa"/>
            <w:tcBorders>
              <w:bottom w:val="double" w:sz="4"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43.66</w:t>
            </w:r>
          </w:p>
        </w:tc>
        <w:tc>
          <w:tcPr>
            <w:tcW w:w="720" w:type="dxa"/>
            <w:tcBorders>
              <w:bottom w:val="double" w:sz="4"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78,262 </w:t>
            </w:r>
          </w:p>
        </w:tc>
        <w:tc>
          <w:tcPr>
            <w:tcW w:w="713" w:type="dxa"/>
            <w:tcBorders>
              <w:bottom w:val="double" w:sz="4"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35.94</w:t>
            </w:r>
          </w:p>
        </w:tc>
      </w:tr>
      <w:tr w:rsidR="00E0237E" w:rsidRPr="005D1CF5" w:rsidTr="007668ED">
        <w:tc>
          <w:tcPr>
            <w:tcW w:w="610" w:type="dxa"/>
            <w:vMerge/>
            <w:tcBorders>
              <w:bottom w:val="single" w:sz="12"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ICT產業</w:t>
            </w:r>
          </w:p>
        </w:tc>
        <w:tc>
          <w:tcPr>
            <w:tcW w:w="749" w:type="dxa"/>
            <w:tcBorders>
              <w:top w:val="double" w:sz="4" w:space="0" w:color="auto"/>
              <w:bottom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 48,658 </w:t>
            </w:r>
          </w:p>
        </w:tc>
        <w:tc>
          <w:tcPr>
            <w:tcW w:w="658" w:type="dxa"/>
            <w:tcBorders>
              <w:top w:val="double" w:sz="4" w:space="0" w:color="auto"/>
              <w:bottom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19.93</w:t>
            </w:r>
          </w:p>
        </w:tc>
        <w:tc>
          <w:tcPr>
            <w:tcW w:w="773" w:type="dxa"/>
            <w:tcBorders>
              <w:top w:val="double" w:sz="4" w:space="0" w:color="auto"/>
              <w:bottom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188 </w:t>
            </w:r>
          </w:p>
        </w:tc>
        <w:tc>
          <w:tcPr>
            <w:tcW w:w="749" w:type="dxa"/>
            <w:tcBorders>
              <w:top w:val="double" w:sz="4" w:space="0" w:color="auto"/>
              <w:bottom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0.39</w:t>
            </w:r>
          </w:p>
        </w:tc>
        <w:tc>
          <w:tcPr>
            <w:tcW w:w="720" w:type="dxa"/>
            <w:tcBorders>
              <w:top w:val="double" w:sz="4" w:space="0" w:color="auto"/>
              <w:bottom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13,773 </w:t>
            </w:r>
          </w:p>
        </w:tc>
        <w:tc>
          <w:tcPr>
            <w:tcW w:w="713" w:type="dxa"/>
            <w:tcBorders>
              <w:top w:val="double" w:sz="4" w:space="0" w:color="auto"/>
              <w:bottom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28.31</w:t>
            </w:r>
          </w:p>
        </w:tc>
        <w:tc>
          <w:tcPr>
            <w:tcW w:w="749" w:type="dxa"/>
            <w:tcBorders>
              <w:top w:val="double" w:sz="4" w:space="0" w:color="auto"/>
              <w:bottom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15,370 </w:t>
            </w:r>
          </w:p>
        </w:tc>
        <w:tc>
          <w:tcPr>
            <w:tcW w:w="749" w:type="dxa"/>
            <w:tcBorders>
              <w:top w:val="double" w:sz="4" w:space="0" w:color="auto"/>
              <w:bottom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31.59</w:t>
            </w:r>
          </w:p>
        </w:tc>
        <w:tc>
          <w:tcPr>
            <w:tcW w:w="720" w:type="dxa"/>
            <w:tcBorders>
              <w:top w:val="double" w:sz="4" w:space="0" w:color="auto"/>
              <w:bottom w:val="single" w:sz="12" w:space="0" w:color="auto"/>
            </w:tcBorders>
            <w:shd w:val="clear" w:color="auto" w:fill="auto"/>
            <w:vAlign w:val="bottom"/>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snapToGrid/>
                <w:spacing w:val="-20"/>
                <w:w w:val="90"/>
                <w:sz w:val="24"/>
                <w:szCs w:val="24"/>
              </w:rPr>
              <w:t xml:space="preserve">19,327 </w:t>
            </w:r>
          </w:p>
        </w:tc>
        <w:tc>
          <w:tcPr>
            <w:tcW w:w="713" w:type="dxa"/>
            <w:tcBorders>
              <w:top w:val="double" w:sz="4" w:space="0" w:color="auto"/>
              <w:bottom w:val="single" w:sz="12" w:space="0" w:color="auto"/>
            </w:tcBorders>
            <w:shd w:val="clear" w:color="auto" w:fill="auto"/>
          </w:tcPr>
          <w:p w:rsidR="00E0237E" w:rsidRPr="00072026" w:rsidRDefault="00E0237E" w:rsidP="007668ED">
            <w:pPr>
              <w:spacing w:line="280" w:lineRule="exact"/>
              <w:ind w:leftChars="-10" w:left="-19" w:rightChars="-23" w:right="-65" w:hangingChars="5" w:hanging="9"/>
              <w:jc w:val="right"/>
              <w:rPr>
                <w:rFonts w:hAnsi="標楷體"/>
                <w:snapToGrid/>
                <w:spacing w:val="-20"/>
                <w:w w:val="90"/>
                <w:sz w:val="24"/>
                <w:szCs w:val="24"/>
              </w:rPr>
            </w:pPr>
            <w:r w:rsidRPr="00072026">
              <w:rPr>
                <w:rFonts w:hAnsi="標楷體" w:hint="eastAsia"/>
                <w:snapToGrid/>
                <w:spacing w:val="-20"/>
                <w:w w:val="90"/>
                <w:sz w:val="24"/>
                <w:szCs w:val="24"/>
              </w:rPr>
              <w:t>39.72</w:t>
            </w:r>
          </w:p>
        </w:tc>
      </w:tr>
      <w:tr w:rsidR="00E0237E" w:rsidRPr="005D1CF5" w:rsidTr="007668ED">
        <w:tc>
          <w:tcPr>
            <w:tcW w:w="610" w:type="dxa"/>
            <w:vMerge w:val="restart"/>
            <w:tcBorders>
              <w:top w:val="single" w:sz="12" w:space="0" w:color="auto"/>
            </w:tcBorders>
            <w:shd w:val="clear" w:color="auto" w:fill="auto"/>
            <w:vAlign w:val="center"/>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11</w:t>
            </w:r>
            <w:r>
              <w:rPr>
                <w:rFonts w:hAnsi="標楷體" w:hint="eastAsia"/>
                <w:snapToGrid/>
                <w:spacing w:val="-20"/>
                <w:w w:val="90"/>
                <w:sz w:val="24"/>
                <w:szCs w:val="24"/>
              </w:rPr>
              <w:t>1</w:t>
            </w:r>
            <w:r w:rsidRPr="005D1CF5">
              <w:rPr>
                <w:rFonts w:hAnsi="標楷體" w:hint="eastAsia"/>
                <w:snapToGrid/>
                <w:spacing w:val="-20"/>
                <w:w w:val="90"/>
                <w:sz w:val="24"/>
                <w:szCs w:val="24"/>
              </w:rPr>
              <w:t>年</w:t>
            </w:r>
          </w:p>
        </w:tc>
        <w:tc>
          <w:tcPr>
            <w:tcW w:w="817" w:type="dxa"/>
            <w:tcBorders>
              <w:top w:val="single" w:sz="12"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農業</w:t>
            </w:r>
          </w:p>
        </w:tc>
        <w:tc>
          <w:tcPr>
            <w:tcW w:w="749" w:type="dxa"/>
            <w:tcBorders>
              <w:top w:val="single" w:sz="12"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 3,214 </w:t>
            </w:r>
          </w:p>
        </w:tc>
        <w:tc>
          <w:tcPr>
            <w:tcW w:w="658" w:type="dxa"/>
            <w:tcBorders>
              <w:top w:val="single" w:sz="12"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1.78</w:t>
            </w:r>
          </w:p>
        </w:tc>
        <w:tc>
          <w:tcPr>
            <w:tcW w:w="773" w:type="dxa"/>
            <w:tcBorders>
              <w:top w:val="single" w:sz="12"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-302 </w:t>
            </w:r>
          </w:p>
        </w:tc>
        <w:tc>
          <w:tcPr>
            <w:tcW w:w="749" w:type="dxa"/>
            <w:tcBorders>
              <w:top w:val="single" w:sz="12"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-9.39</w:t>
            </w:r>
          </w:p>
        </w:tc>
        <w:tc>
          <w:tcPr>
            <w:tcW w:w="720" w:type="dxa"/>
            <w:tcBorders>
              <w:top w:val="single" w:sz="12"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273 </w:t>
            </w:r>
          </w:p>
        </w:tc>
        <w:tc>
          <w:tcPr>
            <w:tcW w:w="713" w:type="dxa"/>
            <w:tcBorders>
              <w:top w:val="single" w:sz="12"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8.48</w:t>
            </w:r>
          </w:p>
        </w:tc>
        <w:tc>
          <w:tcPr>
            <w:tcW w:w="749" w:type="dxa"/>
            <w:tcBorders>
              <w:top w:val="single" w:sz="12"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592 </w:t>
            </w:r>
          </w:p>
        </w:tc>
        <w:tc>
          <w:tcPr>
            <w:tcW w:w="749" w:type="dxa"/>
            <w:tcBorders>
              <w:top w:val="single" w:sz="12"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18.43</w:t>
            </w:r>
          </w:p>
        </w:tc>
        <w:tc>
          <w:tcPr>
            <w:tcW w:w="720" w:type="dxa"/>
            <w:tcBorders>
              <w:top w:val="single" w:sz="12"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2,650 </w:t>
            </w:r>
          </w:p>
        </w:tc>
        <w:tc>
          <w:tcPr>
            <w:tcW w:w="713" w:type="dxa"/>
            <w:tcBorders>
              <w:top w:val="single" w:sz="12"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82.47</w:t>
            </w:r>
          </w:p>
        </w:tc>
      </w:tr>
      <w:tr w:rsidR="00E0237E" w:rsidRPr="005D1CF5" w:rsidTr="007668ED">
        <w:tc>
          <w:tcPr>
            <w:tcW w:w="610" w:type="dxa"/>
            <w:vMerge/>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工業</w:t>
            </w:r>
          </w:p>
        </w:tc>
        <w:tc>
          <w:tcPr>
            <w:tcW w:w="749"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90,051 </w:t>
            </w:r>
          </w:p>
        </w:tc>
        <w:tc>
          <w:tcPr>
            <w:tcW w:w="658"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1.42</w:t>
            </w:r>
          </w:p>
        </w:tc>
        <w:tc>
          <w:tcPr>
            <w:tcW w:w="773"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2,597 </w:t>
            </w:r>
          </w:p>
        </w:tc>
        <w:tc>
          <w:tcPr>
            <w:tcW w:w="749"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2.88</w:t>
            </w:r>
          </w:p>
        </w:tc>
        <w:tc>
          <w:tcPr>
            <w:tcW w:w="720"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20,398 </w:t>
            </w:r>
          </w:p>
        </w:tc>
        <w:tc>
          <w:tcPr>
            <w:tcW w:w="713"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22.65</w:t>
            </w:r>
          </w:p>
        </w:tc>
        <w:tc>
          <w:tcPr>
            <w:tcW w:w="749"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36,279 </w:t>
            </w:r>
          </w:p>
        </w:tc>
        <w:tc>
          <w:tcPr>
            <w:tcW w:w="749"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40.29</w:t>
            </w:r>
          </w:p>
        </w:tc>
        <w:tc>
          <w:tcPr>
            <w:tcW w:w="720"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30,778 </w:t>
            </w:r>
          </w:p>
        </w:tc>
        <w:tc>
          <w:tcPr>
            <w:tcW w:w="713"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34.18</w:t>
            </w:r>
          </w:p>
        </w:tc>
      </w:tr>
      <w:tr w:rsidR="00E0237E" w:rsidRPr="005D1CF5" w:rsidTr="007668ED">
        <w:tc>
          <w:tcPr>
            <w:tcW w:w="610" w:type="dxa"/>
            <w:vMerge/>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服務業</w:t>
            </w:r>
          </w:p>
        </w:tc>
        <w:tc>
          <w:tcPr>
            <w:tcW w:w="749"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134,425 </w:t>
            </w:r>
          </w:p>
        </w:tc>
        <w:tc>
          <w:tcPr>
            <w:tcW w:w="658"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6.87</w:t>
            </w:r>
          </w:p>
        </w:tc>
        <w:tc>
          <w:tcPr>
            <w:tcW w:w="773"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9,015 </w:t>
            </w:r>
          </w:p>
        </w:tc>
        <w:tc>
          <w:tcPr>
            <w:tcW w:w="749"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6.71</w:t>
            </w:r>
          </w:p>
        </w:tc>
        <w:tc>
          <w:tcPr>
            <w:tcW w:w="720"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16,952 </w:t>
            </w:r>
          </w:p>
        </w:tc>
        <w:tc>
          <w:tcPr>
            <w:tcW w:w="713"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12.61</w:t>
            </w:r>
          </w:p>
        </w:tc>
        <w:tc>
          <w:tcPr>
            <w:tcW w:w="749"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63,607 </w:t>
            </w:r>
          </w:p>
        </w:tc>
        <w:tc>
          <w:tcPr>
            <w:tcW w:w="749"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47.32</w:t>
            </w:r>
          </w:p>
        </w:tc>
        <w:tc>
          <w:tcPr>
            <w:tcW w:w="720" w:type="dxa"/>
            <w:tcBorders>
              <w:top w:val="single" w:sz="4" w:space="0" w:color="auto"/>
              <w:bottom w:val="sing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44,851 </w:t>
            </w:r>
          </w:p>
        </w:tc>
        <w:tc>
          <w:tcPr>
            <w:tcW w:w="713" w:type="dxa"/>
            <w:tcBorders>
              <w:top w:val="single" w:sz="4" w:space="0" w:color="auto"/>
              <w:bottom w:val="sing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33.36</w:t>
            </w:r>
          </w:p>
        </w:tc>
      </w:tr>
      <w:tr w:rsidR="00E0237E" w:rsidRPr="005D1CF5" w:rsidTr="007668ED">
        <w:tc>
          <w:tcPr>
            <w:tcW w:w="610" w:type="dxa"/>
            <w:vMerge/>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bottom w:val="doub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合計</w:t>
            </w:r>
          </w:p>
        </w:tc>
        <w:tc>
          <w:tcPr>
            <w:tcW w:w="749" w:type="dxa"/>
            <w:tcBorders>
              <w:top w:val="single" w:sz="4" w:space="0" w:color="auto"/>
              <w:bottom w:val="doub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227,690 </w:t>
            </w:r>
          </w:p>
        </w:tc>
        <w:tc>
          <w:tcPr>
            <w:tcW w:w="658" w:type="dxa"/>
            <w:tcBorders>
              <w:top w:val="single" w:sz="4" w:space="0" w:color="auto"/>
              <w:bottom w:val="doub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4.57</w:t>
            </w:r>
          </w:p>
        </w:tc>
        <w:tc>
          <w:tcPr>
            <w:tcW w:w="773" w:type="dxa"/>
            <w:tcBorders>
              <w:top w:val="single" w:sz="4" w:space="0" w:color="auto"/>
              <w:bottom w:val="doub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11,310 </w:t>
            </w:r>
          </w:p>
        </w:tc>
        <w:tc>
          <w:tcPr>
            <w:tcW w:w="749" w:type="dxa"/>
            <w:tcBorders>
              <w:top w:val="single" w:sz="4" w:space="0" w:color="auto"/>
              <w:bottom w:val="doub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4.97</w:t>
            </w:r>
          </w:p>
        </w:tc>
        <w:tc>
          <w:tcPr>
            <w:tcW w:w="720" w:type="dxa"/>
            <w:tcBorders>
              <w:top w:val="single" w:sz="4" w:space="0" w:color="auto"/>
              <w:bottom w:val="doub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37,623 </w:t>
            </w:r>
          </w:p>
        </w:tc>
        <w:tc>
          <w:tcPr>
            <w:tcW w:w="713" w:type="dxa"/>
            <w:tcBorders>
              <w:top w:val="single" w:sz="4" w:space="0" w:color="auto"/>
              <w:bottom w:val="doub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16.52</w:t>
            </w:r>
          </w:p>
        </w:tc>
        <w:tc>
          <w:tcPr>
            <w:tcW w:w="749" w:type="dxa"/>
            <w:tcBorders>
              <w:top w:val="single" w:sz="4" w:space="0" w:color="auto"/>
              <w:bottom w:val="doub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100,478 </w:t>
            </w:r>
          </w:p>
        </w:tc>
        <w:tc>
          <w:tcPr>
            <w:tcW w:w="749" w:type="dxa"/>
            <w:tcBorders>
              <w:top w:val="single" w:sz="4" w:space="0" w:color="auto"/>
              <w:bottom w:val="doub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44.13</w:t>
            </w:r>
          </w:p>
        </w:tc>
        <w:tc>
          <w:tcPr>
            <w:tcW w:w="720" w:type="dxa"/>
            <w:tcBorders>
              <w:top w:val="single" w:sz="4" w:space="0" w:color="auto"/>
              <w:bottom w:val="double" w:sz="4"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78,279 </w:t>
            </w:r>
          </w:p>
        </w:tc>
        <w:tc>
          <w:tcPr>
            <w:tcW w:w="713" w:type="dxa"/>
            <w:tcBorders>
              <w:top w:val="single" w:sz="4" w:space="0" w:color="auto"/>
              <w:bottom w:val="double" w:sz="4"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34.38</w:t>
            </w:r>
          </w:p>
        </w:tc>
      </w:tr>
      <w:tr w:rsidR="00E0237E" w:rsidRPr="006D3650" w:rsidTr="007668ED">
        <w:tc>
          <w:tcPr>
            <w:tcW w:w="610" w:type="dxa"/>
            <w:vMerge/>
            <w:tcBorders>
              <w:bottom w:val="single" w:sz="12"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ICT產業</w:t>
            </w:r>
          </w:p>
        </w:tc>
        <w:tc>
          <w:tcPr>
            <w:tcW w:w="749" w:type="dxa"/>
            <w:tcBorders>
              <w:top w:val="double" w:sz="4" w:space="0" w:color="auto"/>
              <w:bottom w:val="single" w:sz="12"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 54,956 </w:t>
            </w:r>
          </w:p>
        </w:tc>
        <w:tc>
          <w:tcPr>
            <w:tcW w:w="658" w:type="dxa"/>
            <w:tcBorders>
              <w:top w:val="double" w:sz="4" w:space="0" w:color="auto"/>
              <w:bottom w:val="single" w:sz="12"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12.95</w:t>
            </w:r>
          </w:p>
        </w:tc>
        <w:tc>
          <w:tcPr>
            <w:tcW w:w="773" w:type="dxa"/>
            <w:tcBorders>
              <w:top w:val="double" w:sz="4" w:space="0" w:color="auto"/>
              <w:bottom w:val="single" w:sz="12"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196 </w:t>
            </w:r>
          </w:p>
        </w:tc>
        <w:tc>
          <w:tcPr>
            <w:tcW w:w="749" w:type="dxa"/>
            <w:tcBorders>
              <w:top w:val="double" w:sz="4" w:space="0" w:color="auto"/>
              <w:bottom w:val="single" w:sz="12"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0.36</w:t>
            </w:r>
          </w:p>
        </w:tc>
        <w:tc>
          <w:tcPr>
            <w:tcW w:w="720" w:type="dxa"/>
            <w:tcBorders>
              <w:top w:val="double" w:sz="4" w:space="0" w:color="auto"/>
              <w:bottom w:val="single" w:sz="12"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15,431 </w:t>
            </w:r>
          </w:p>
        </w:tc>
        <w:tc>
          <w:tcPr>
            <w:tcW w:w="713" w:type="dxa"/>
            <w:tcBorders>
              <w:top w:val="double" w:sz="4" w:space="0" w:color="auto"/>
              <w:bottom w:val="single" w:sz="12"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28.08</w:t>
            </w:r>
          </w:p>
        </w:tc>
        <w:tc>
          <w:tcPr>
            <w:tcW w:w="749" w:type="dxa"/>
            <w:tcBorders>
              <w:top w:val="double" w:sz="4" w:space="0" w:color="auto"/>
              <w:bottom w:val="single" w:sz="12"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16,756 </w:t>
            </w:r>
          </w:p>
        </w:tc>
        <w:tc>
          <w:tcPr>
            <w:tcW w:w="749" w:type="dxa"/>
            <w:tcBorders>
              <w:top w:val="double" w:sz="4" w:space="0" w:color="auto"/>
              <w:bottom w:val="single" w:sz="12"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30.49</w:t>
            </w:r>
          </w:p>
        </w:tc>
        <w:tc>
          <w:tcPr>
            <w:tcW w:w="720" w:type="dxa"/>
            <w:tcBorders>
              <w:top w:val="double" w:sz="4" w:space="0" w:color="auto"/>
              <w:bottom w:val="single" w:sz="12" w:space="0" w:color="auto"/>
            </w:tcBorders>
            <w:shd w:val="clear" w:color="auto" w:fill="auto"/>
            <w:vAlign w:val="bottom"/>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snapToGrid/>
                <w:spacing w:val="-20"/>
                <w:w w:val="90"/>
                <w:sz w:val="24"/>
                <w:szCs w:val="24"/>
              </w:rPr>
              <w:t xml:space="preserve">22,573 </w:t>
            </w:r>
          </w:p>
        </w:tc>
        <w:tc>
          <w:tcPr>
            <w:tcW w:w="713" w:type="dxa"/>
            <w:tcBorders>
              <w:top w:val="double" w:sz="4" w:space="0" w:color="auto"/>
              <w:bottom w:val="single" w:sz="12" w:space="0" w:color="auto"/>
            </w:tcBorders>
            <w:shd w:val="clear" w:color="auto" w:fill="auto"/>
          </w:tcPr>
          <w:p w:rsidR="00E0237E" w:rsidRPr="006D3650" w:rsidRDefault="00E0237E" w:rsidP="007668ED">
            <w:pPr>
              <w:spacing w:line="280" w:lineRule="exact"/>
              <w:ind w:leftChars="-10" w:left="-19" w:rightChars="-23" w:right="-65" w:hangingChars="5" w:hanging="9"/>
              <w:jc w:val="right"/>
              <w:rPr>
                <w:rFonts w:hAnsi="標楷體"/>
                <w:snapToGrid/>
                <w:spacing w:val="-20"/>
                <w:w w:val="90"/>
                <w:sz w:val="24"/>
                <w:szCs w:val="24"/>
              </w:rPr>
            </w:pPr>
            <w:r w:rsidRPr="006D3650">
              <w:rPr>
                <w:rFonts w:hAnsi="標楷體" w:hint="eastAsia"/>
                <w:snapToGrid/>
                <w:spacing w:val="-20"/>
                <w:w w:val="90"/>
                <w:sz w:val="24"/>
                <w:szCs w:val="24"/>
              </w:rPr>
              <w:t>41.07</w:t>
            </w:r>
          </w:p>
        </w:tc>
      </w:tr>
      <w:tr w:rsidR="00E0237E" w:rsidRPr="00E773C8" w:rsidTr="007668ED">
        <w:tc>
          <w:tcPr>
            <w:tcW w:w="610" w:type="dxa"/>
            <w:vMerge w:val="restart"/>
            <w:tcBorders>
              <w:top w:val="single" w:sz="12" w:space="0" w:color="auto"/>
              <w:left w:val="single" w:sz="12" w:space="0" w:color="auto"/>
              <w:right w:val="single" w:sz="4" w:space="0" w:color="auto"/>
            </w:tcBorders>
            <w:shd w:val="clear" w:color="auto" w:fill="auto"/>
            <w:vAlign w:val="center"/>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11</w:t>
            </w:r>
            <w:r>
              <w:rPr>
                <w:rFonts w:hAnsi="標楷體" w:hint="eastAsia"/>
                <w:snapToGrid/>
                <w:spacing w:val="-20"/>
                <w:w w:val="90"/>
                <w:sz w:val="24"/>
                <w:szCs w:val="24"/>
              </w:rPr>
              <w:t>2</w:t>
            </w:r>
            <w:r w:rsidRPr="005D1CF5">
              <w:rPr>
                <w:rFonts w:hAnsi="標楷體" w:hint="eastAsia"/>
                <w:snapToGrid/>
                <w:spacing w:val="-20"/>
                <w:w w:val="90"/>
                <w:sz w:val="24"/>
                <w:szCs w:val="24"/>
              </w:rPr>
              <w:t>年</w:t>
            </w:r>
          </w:p>
        </w:tc>
        <w:tc>
          <w:tcPr>
            <w:tcW w:w="817" w:type="dxa"/>
            <w:tcBorders>
              <w:top w:val="single" w:sz="12" w:space="0" w:color="auto"/>
              <w:left w:val="single" w:sz="4" w:space="0" w:color="auto"/>
              <w:bottom w:val="single" w:sz="4"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農業</w:t>
            </w:r>
          </w:p>
        </w:tc>
        <w:tc>
          <w:tcPr>
            <w:tcW w:w="749" w:type="dxa"/>
            <w:tcBorders>
              <w:top w:val="single" w:sz="12"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  3,513 </w:t>
            </w:r>
          </w:p>
        </w:tc>
        <w:tc>
          <w:tcPr>
            <w:tcW w:w="658" w:type="dxa"/>
            <w:tcBorders>
              <w:top w:val="single" w:sz="12"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9.33</w:t>
            </w:r>
          </w:p>
        </w:tc>
        <w:tc>
          <w:tcPr>
            <w:tcW w:w="773" w:type="dxa"/>
            <w:tcBorders>
              <w:top w:val="single" w:sz="12"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-183 </w:t>
            </w:r>
          </w:p>
        </w:tc>
        <w:tc>
          <w:tcPr>
            <w:tcW w:w="749" w:type="dxa"/>
            <w:tcBorders>
              <w:top w:val="single" w:sz="12"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-5.21</w:t>
            </w:r>
          </w:p>
        </w:tc>
        <w:tc>
          <w:tcPr>
            <w:tcW w:w="720" w:type="dxa"/>
            <w:tcBorders>
              <w:top w:val="single" w:sz="12"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285 </w:t>
            </w:r>
          </w:p>
        </w:tc>
        <w:tc>
          <w:tcPr>
            <w:tcW w:w="713" w:type="dxa"/>
            <w:tcBorders>
              <w:top w:val="single" w:sz="12"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8.10</w:t>
            </w:r>
          </w:p>
        </w:tc>
        <w:tc>
          <w:tcPr>
            <w:tcW w:w="749" w:type="dxa"/>
            <w:tcBorders>
              <w:top w:val="single" w:sz="12"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650 </w:t>
            </w:r>
          </w:p>
        </w:tc>
        <w:tc>
          <w:tcPr>
            <w:tcW w:w="749" w:type="dxa"/>
            <w:tcBorders>
              <w:top w:val="single" w:sz="12"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18.49</w:t>
            </w:r>
          </w:p>
        </w:tc>
        <w:tc>
          <w:tcPr>
            <w:tcW w:w="720" w:type="dxa"/>
            <w:tcBorders>
              <w:top w:val="single" w:sz="12"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2,762 </w:t>
            </w:r>
          </w:p>
        </w:tc>
        <w:tc>
          <w:tcPr>
            <w:tcW w:w="713" w:type="dxa"/>
            <w:tcBorders>
              <w:top w:val="single" w:sz="12" w:space="0" w:color="auto"/>
              <w:left w:val="single" w:sz="4" w:space="0" w:color="auto"/>
              <w:bottom w:val="single" w:sz="4" w:space="0" w:color="auto"/>
              <w:right w:val="single" w:sz="12"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78.61</w:t>
            </w:r>
          </w:p>
        </w:tc>
      </w:tr>
      <w:tr w:rsidR="00E0237E" w:rsidRPr="00E773C8" w:rsidTr="007668ED">
        <w:tc>
          <w:tcPr>
            <w:tcW w:w="610" w:type="dxa"/>
            <w:vMerge/>
            <w:tcBorders>
              <w:left w:val="single" w:sz="12" w:space="0" w:color="auto"/>
              <w:right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left w:val="single" w:sz="4" w:space="0" w:color="auto"/>
              <w:bottom w:val="single" w:sz="4"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工業</w:t>
            </w:r>
          </w:p>
        </w:tc>
        <w:tc>
          <w:tcPr>
            <w:tcW w:w="749"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 89,668 </w:t>
            </w:r>
          </w:p>
        </w:tc>
        <w:tc>
          <w:tcPr>
            <w:tcW w:w="658"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-0.43</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2,170 </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2.42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22,007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24.54</w:t>
            </w:r>
          </w:p>
        </w:tc>
        <w:tc>
          <w:tcPr>
            <w:tcW w:w="749"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36,118 </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40.28</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29,373 </w:t>
            </w:r>
          </w:p>
        </w:tc>
        <w:tc>
          <w:tcPr>
            <w:tcW w:w="713" w:type="dxa"/>
            <w:tcBorders>
              <w:top w:val="single" w:sz="4" w:space="0" w:color="auto"/>
              <w:left w:val="single" w:sz="4" w:space="0" w:color="auto"/>
              <w:bottom w:val="single" w:sz="4" w:space="0" w:color="auto"/>
              <w:right w:val="single" w:sz="12"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32.76</w:t>
            </w:r>
          </w:p>
        </w:tc>
      </w:tr>
      <w:tr w:rsidR="00E0237E" w:rsidRPr="00E773C8" w:rsidTr="007668ED">
        <w:tc>
          <w:tcPr>
            <w:tcW w:w="610" w:type="dxa"/>
            <w:vMerge/>
            <w:tcBorders>
              <w:left w:val="single" w:sz="12" w:space="0" w:color="auto"/>
              <w:right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left w:val="single" w:sz="4" w:space="0" w:color="auto"/>
              <w:bottom w:val="single" w:sz="4"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服務業</w:t>
            </w:r>
          </w:p>
        </w:tc>
        <w:tc>
          <w:tcPr>
            <w:tcW w:w="749"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139,221 </w:t>
            </w:r>
          </w:p>
        </w:tc>
        <w:tc>
          <w:tcPr>
            <w:tcW w:w="658"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3.57</w:t>
            </w:r>
          </w:p>
        </w:tc>
        <w:tc>
          <w:tcPr>
            <w:tcW w:w="773"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9,683 </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6.96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18,026 </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12.95</w:t>
            </w:r>
          </w:p>
        </w:tc>
        <w:tc>
          <w:tcPr>
            <w:tcW w:w="749"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66,147 </w:t>
            </w:r>
          </w:p>
        </w:tc>
        <w:tc>
          <w:tcPr>
            <w:tcW w:w="749" w:type="dxa"/>
            <w:tcBorders>
              <w:top w:val="single" w:sz="4" w:space="0" w:color="auto"/>
              <w:left w:val="single" w:sz="4" w:space="0" w:color="auto"/>
              <w:bottom w:val="sing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47.51</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45,365 </w:t>
            </w:r>
          </w:p>
        </w:tc>
        <w:tc>
          <w:tcPr>
            <w:tcW w:w="713" w:type="dxa"/>
            <w:tcBorders>
              <w:top w:val="single" w:sz="4" w:space="0" w:color="auto"/>
              <w:left w:val="single" w:sz="4" w:space="0" w:color="auto"/>
              <w:bottom w:val="single" w:sz="4" w:space="0" w:color="auto"/>
              <w:right w:val="single" w:sz="12"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32.58</w:t>
            </w:r>
          </w:p>
        </w:tc>
      </w:tr>
      <w:tr w:rsidR="00E0237E" w:rsidRPr="00E773C8" w:rsidTr="007668ED">
        <w:tc>
          <w:tcPr>
            <w:tcW w:w="610" w:type="dxa"/>
            <w:vMerge/>
            <w:tcBorders>
              <w:left w:val="single" w:sz="12" w:space="0" w:color="auto"/>
              <w:right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single" w:sz="4" w:space="0" w:color="auto"/>
              <w:left w:val="single" w:sz="4" w:space="0" w:color="auto"/>
              <w:bottom w:val="double" w:sz="4"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合計</w:t>
            </w:r>
          </w:p>
        </w:tc>
        <w:tc>
          <w:tcPr>
            <w:tcW w:w="749" w:type="dxa"/>
            <w:tcBorders>
              <w:top w:val="single" w:sz="4" w:space="0" w:color="auto"/>
              <w:left w:val="single" w:sz="4" w:space="0" w:color="auto"/>
              <w:bottom w:val="doub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232,402 </w:t>
            </w:r>
          </w:p>
        </w:tc>
        <w:tc>
          <w:tcPr>
            <w:tcW w:w="658" w:type="dxa"/>
            <w:tcBorders>
              <w:top w:val="single" w:sz="4" w:space="0" w:color="auto"/>
              <w:left w:val="single" w:sz="4" w:space="0" w:color="auto"/>
              <w:bottom w:val="doub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2.07</w:t>
            </w:r>
          </w:p>
        </w:tc>
        <w:tc>
          <w:tcPr>
            <w:tcW w:w="773" w:type="dxa"/>
            <w:tcBorders>
              <w:top w:val="single" w:sz="4" w:space="0" w:color="auto"/>
              <w:left w:val="single" w:sz="4" w:space="0" w:color="auto"/>
              <w:bottom w:val="doub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11,670 </w:t>
            </w:r>
          </w:p>
        </w:tc>
        <w:tc>
          <w:tcPr>
            <w:tcW w:w="749" w:type="dxa"/>
            <w:tcBorders>
              <w:top w:val="single" w:sz="4" w:space="0" w:color="auto"/>
              <w:left w:val="single" w:sz="4" w:space="0" w:color="auto"/>
              <w:bottom w:val="doub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5.02</w:t>
            </w:r>
          </w:p>
        </w:tc>
        <w:tc>
          <w:tcPr>
            <w:tcW w:w="720" w:type="dxa"/>
            <w:tcBorders>
              <w:top w:val="single" w:sz="4" w:space="0" w:color="auto"/>
              <w:left w:val="single" w:sz="4" w:space="0" w:color="auto"/>
              <w:bottom w:val="doub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40,318 </w:t>
            </w:r>
          </w:p>
        </w:tc>
        <w:tc>
          <w:tcPr>
            <w:tcW w:w="713" w:type="dxa"/>
            <w:tcBorders>
              <w:top w:val="single" w:sz="4" w:space="0" w:color="auto"/>
              <w:left w:val="single" w:sz="4" w:space="0" w:color="auto"/>
              <w:bottom w:val="doub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17.35</w:t>
            </w:r>
          </w:p>
        </w:tc>
        <w:tc>
          <w:tcPr>
            <w:tcW w:w="749" w:type="dxa"/>
            <w:tcBorders>
              <w:top w:val="single" w:sz="4" w:space="0" w:color="auto"/>
              <w:left w:val="single" w:sz="4" w:space="0" w:color="auto"/>
              <w:bottom w:val="doub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102,914 </w:t>
            </w:r>
          </w:p>
        </w:tc>
        <w:tc>
          <w:tcPr>
            <w:tcW w:w="749" w:type="dxa"/>
            <w:tcBorders>
              <w:top w:val="single" w:sz="4" w:space="0" w:color="auto"/>
              <w:left w:val="single" w:sz="4" w:space="0" w:color="auto"/>
              <w:bottom w:val="double" w:sz="4" w:space="0" w:color="auto"/>
              <w:right w:val="single" w:sz="4"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44.28</w:t>
            </w:r>
          </w:p>
        </w:tc>
        <w:tc>
          <w:tcPr>
            <w:tcW w:w="720" w:type="dxa"/>
            <w:tcBorders>
              <w:top w:val="single" w:sz="4" w:space="0" w:color="auto"/>
              <w:left w:val="single" w:sz="4" w:space="0" w:color="auto"/>
              <w:bottom w:val="double" w:sz="4" w:space="0" w:color="auto"/>
              <w:right w:val="single" w:sz="4" w:space="0" w:color="auto"/>
            </w:tcBorders>
            <w:shd w:val="clear" w:color="auto" w:fill="auto"/>
            <w:vAlign w:val="bottom"/>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snapToGrid/>
                <w:spacing w:val="-20"/>
                <w:w w:val="90"/>
                <w:sz w:val="24"/>
                <w:szCs w:val="24"/>
              </w:rPr>
              <w:t xml:space="preserve">77,500 </w:t>
            </w:r>
          </w:p>
        </w:tc>
        <w:tc>
          <w:tcPr>
            <w:tcW w:w="713" w:type="dxa"/>
            <w:tcBorders>
              <w:top w:val="single" w:sz="4" w:space="0" w:color="auto"/>
              <w:left w:val="single" w:sz="4" w:space="0" w:color="auto"/>
              <w:bottom w:val="double" w:sz="4" w:space="0" w:color="auto"/>
              <w:right w:val="single" w:sz="12" w:space="0" w:color="auto"/>
            </w:tcBorders>
            <w:shd w:val="clear" w:color="auto" w:fill="auto"/>
          </w:tcPr>
          <w:p w:rsidR="00E0237E" w:rsidRPr="00E773C8" w:rsidRDefault="00E0237E" w:rsidP="007668ED">
            <w:pPr>
              <w:spacing w:line="280" w:lineRule="exact"/>
              <w:ind w:leftChars="-10" w:left="-19" w:rightChars="-23" w:right="-65" w:hangingChars="5" w:hanging="9"/>
              <w:jc w:val="right"/>
              <w:rPr>
                <w:rFonts w:hAnsi="標楷體"/>
                <w:snapToGrid/>
                <w:spacing w:val="-20"/>
                <w:w w:val="90"/>
                <w:sz w:val="24"/>
                <w:szCs w:val="24"/>
              </w:rPr>
            </w:pPr>
            <w:r w:rsidRPr="00E773C8">
              <w:rPr>
                <w:rFonts w:hAnsi="標楷體" w:hint="eastAsia"/>
                <w:snapToGrid/>
                <w:spacing w:val="-20"/>
                <w:w w:val="90"/>
                <w:sz w:val="24"/>
                <w:szCs w:val="24"/>
              </w:rPr>
              <w:t>33.35</w:t>
            </w:r>
          </w:p>
        </w:tc>
      </w:tr>
      <w:tr w:rsidR="00E0237E" w:rsidRPr="005D1CF5" w:rsidTr="007668ED">
        <w:tc>
          <w:tcPr>
            <w:tcW w:w="610" w:type="dxa"/>
            <w:vMerge/>
            <w:tcBorders>
              <w:left w:val="single" w:sz="12" w:space="0" w:color="auto"/>
              <w:bottom w:val="single" w:sz="12" w:space="0" w:color="auto"/>
              <w:right w:val="single" w:sz="4" w:space="0" w:color="auto"/>
            </w:tcBorders>
            <w:shd w:val="clear" w:color="auto" w:fill="auto"/>
            <w:vAlign w:val="center"/>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ICT產業</w:t>
            </w:r>
          </w:p>
        </w:tc>
        <w:tc>
          <w:tcPr>
            <w:tcW w:w="749"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5</w:t>
            </w:r>
            <w:r>
              <w:rPr>
                <w:rFonts w:hAnsi="標楷體" w:hint="eastAsia"/>
                <w:snapToGrid/>
                <w:spacing w:val="-20"/>
                <w:w w:val="90"/>
                <w:sz w:val="24"/>
                <w:szCs w:val="24"/>
              </w:rPr>
              <w:t>2</w:t>
            </w:r>
            <w:r w:rsidRPr="005D1CF5">
              <w:rPr>
                <w:rFonts w:hAnsi="標楷體"/>
                <w:snapToGrid/>
                <w:spacing w:val="-20"/>
                <w:w w:val="90"/>
                <w:sz w:val="24"/>
                <w:szCs w:val="24"/>
              </w:rPr>
              <w:t>,7</w:t>
            </w:r>
            <w:r>
              <w:rPr>
                <w:rFonts w:hAnsi="標楷體" w:hint="eastAsia"/>
                <w:snapToGrid/>
                <w:spacing w:val="-20"/>
                <w:w w:val="90"/>
                <w:sz w:val="24"/>
                <w:szCs w:val="24"/>
              </w:rPr>
              <w:t>46</w:t>
            </w:r>
          </w:p>
        </w:tc>
        <w:tc>
          <w:tcPr>
            <w:tcW w:w="658"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Pr>
                <w:rFonts w:hAnsi="標楷體" w:hint="eastAsia"/>
                <w:snapToGrid/>
                <w:spacing w:val="-20"/>
                <w:w w:val="90"/>
                <w:sz w:val="24"/>
                <w:szCs w:val="24"/>
              </w:rPr>
              <w:t>-4.02</w:t>
            </w:r>
          </w:p>
        </w:tc>
        <w:tc>
          <w:tcPr>
            <w:tcW w:w="773"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Pr>
                <w:rFonts w:hAnsi="標楷體" w:hint="eastAsia"/>
                <w:snapToGrid/>
                <w:spacing w:val="-20"/>
                <w:w w:val="90"/>
                <w:sz w:val="24"/>
                <w:szCs w:val="24"/>
              </w:rPr>
              <w:t>194</w:t>
            </w:r>
          </w:p>
        </w:tc>
        <w:tc>
          <w:tcPr>
            <w:tcW w:w="749"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0</w:t>
            </w:r>
            <w:r w:rsidRPr="005D1CF5">
              <w:rPr>
                <w:rFonts w:hAnsi="標楷體"/>
                <w:snapToGrid/>
                <w:spacing w:val="-20"/>
                <w:w w:val="90"/>
                <w:sz w:val="24"/>
                <w:szCs w:val="24"/>
              </w:rPr>
              <w:t>.</w:t>
            </w:r>
            <w:r>
              <w:rPr>
                <w:rFonts w:hAnsi="標楷體" w:hint="eastAsia"/>
                <w:snapToGrid/>
                <w:spacing w:val="-20"/>
                <w:w w:val="90"/>
                <w:sz w:val="24"/>
                <w:szCs w:val="24"/>
              </w:rPr>
              <w:t>37</w:t>
            </w:r>
          </w:p>
        </w:tc>
        <w:tc>
          <w:tcPr>
            <w:tcW w:w="720"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1</w:t>
            </w:r>
            <w:r>
              <w:rPr>
                <w:rFonts w:hAnsi="標楷體" w:hint="eastAsia"/>
                <w:snapToGrid/>
                <w:spacing w:val="-20"/>
                <w:w w:val="90"/>
                <w:sz w:val="24"/>
                <w:szCs w:val="24"/>
              </w:rPr>
              <w:t>6</w:t>
            </w:r>
            <w:r w:rsidRPr="005D1CF5">
              <w:rPr>
                <w:rFonts w:hAnsi="標楷體"/>
                <w:snapToGrid/>
                <w:spacing w:val="-20"/>
                <w:w w:val="90"/>
                <w:sz w:val="24"/>
                <w:szCs w:val="24"/>
              </w:rPr>
              <w:t>,6</w:t>
            </w:r>
            <w:r>
              <w:rPr>
                <w:rFonts w:hAnsi="標楷體" w:hint="eastAsia"/>
                <w:snapToGrid/>
                <w:spacing w:val="-20"/>
                <w:w w:val="90"/>
                <w:sz w:val="24"/>
                <w:szCs w:val="24"/>
              </w:rPr>
              <w:t>63</w:t>
            </w:r>
          </w:p>
        </w:tc>
        <w:tc>
          <w:tcPr>
            <w:tcW w:w="713"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3</w:t>
            </w:r>
            <w:r>
              <w:rPr>
                <w:rFonts w:hAnsi="標楷體" w:hint="eastAsia"/>
                <w:snapToGrid/>
                <w:spacing w:val="-20"/>
                <w:w w:val="90"/>
                <w:sz w:val="24"/>
                <w:szCs w:val="24"/>
              </w:rPr>
              <w:t>1.59</w:t>
            </w:r>
          </w:p>
        </w:tc>
        <w:tc>
          <w:tcPr>
            <w:tcW w:w="749"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1</w:t>
            </w:r>
            <w:r>
              <w:rPr>
                <w:rFonts w:hAnsi="標楷體" w:hint="eastAsia"/>
                <w:snapToGrid/>
                <w:spacing w:val="-20"/>
                <w:w w:val="90"/>
                <w:sz w:val="24"/>
                <w:szCs w:val="24"/>
              </w:rPr>
              <w:t>6</w:t>
            </w:r>
            <w:r w:rsidRPr="005D1CF5">
              <w:rPr>
                <w:rFonts w:hAnsi="標楷體"/>
                <w:snapToGrid/>
                <w:spacing w:val="-20"/>
                <w:w w:val="90"/>
                <w:sz w:val="24"/>
                <w:szCs w:val="24"/>
              </w:rPr>
              <w:t>,</w:t>
            </w:r>
            <w:r>
              <w:rPr>
                <w:rFonts w:hAnsi="標楷體" w:hint="eastAsia"/>
                <w:snapToGrid/>
                <w:spacing w:val="-20"/>
                <w:w w:val="90"/>
                <w:sz w:val="24"/>
                <w:szCs w:val="24"/>
              </w:rPr>
              <w:t>287</w:t>
            </w:r>
          </w:p>
        </w:tc>
        <w:tc>
          <w:tcPr>
            <w:tcW w:w="749"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3</w:t>
            </w:r>
            <w:r w:rsidRPr="005D1CF5">
              <w:rPr>
                <w:rFonts w:hAnsi="標楷體"/>
                <w:snapToGrid/>
                <w:spacing w:val="-20"/>
                <w:w w:val="90"/>
                <w:sz w:val="24"/>
                <w:szCs w:val="24"/>
              </w:rPr>
              <w:t>0.</w:t>
            </w:r>
            <w:r>
              <w:rPr>
                <w:rFonts w:hAnsi="標楷體" w:hint="eastAsia"/>
                <w:snapToGrid/>
                <w:spacing w:val="-20"/>
                <w:w w:val="90"/>
                <w:sz w:val="24"/>
                <w:szCs w:val="24"/>
              </w:rPr>
              <w:t>88</w:t>
            </w:r>
          </w:p>
        </w:tc>
        <w:tc>
          <w:tcPr>
            <w:tcW w:w="720" w:type="dxa"/>
            <w:tcBorders>
              <w:top w:val="double" w:sz="4" w:space="0" w:color="auto"/>
              <w:left w:val="single" w:sz="4" w:space="0" w:color="auto"/>
              <w:bottom w:val="single" w:sz="12" w:space="0" w:color="auto"/>
              <w:right w:val="single" w:sz="4"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Pr>
                <w:rFonts w:hAnsi="標楷體" w:hint="eastAsia"/>
                <w:snapToGrid/>
                <w:spacing w:val="-20"/>
                <w:w w:val="90"/>
                <w:sz w:val="24"/>
                <w:szCs w:val="24"/>
              </w:rPr>
              <w:t>19</w:t>
            </w:r>
            <w:r w:rsidRPr="005D1CF5">
              <w:rPr>
                <w:rFonts w:hAnsi="標楷體"/>
                <w:snapToGrid/>
                <w:spacing w:val="-20"/>
                <w:w w:val="90"/>
                <w:sz w:val="24"/>
                <w:szCs w:val="24"/>
              </w:rPr>
              <w:t>,</w:t>
            </w:r>
            <w:r>
              <w:rPr>
                <w:rFonts w:hAnsi="標楷體" w:hint="eastAsia"/>
                <w:snapToGrid/>
                <w:spacing w:val="-20"/>
                <w:w w:val="90"/>
                <w:sz w:val="24"/>
                <w:szCs w:val="24"/>
              </w:rPr>
              <w:t>602</w:t>
            </w:r>
          </w:p>
        </w:tc>
        <w:tc>
          <w:tcPr>
            <w:tcW w:w="713" w:type="dxa"/>
            <w:tcBorders>
              <w:top w:val="double" w:sz="4" w:space="0" w:color="auto"/>
              <w:left w:val="single" w:sz="4" w:space="0" w:color="auto"/>
              <w:bottom w:val="single" w:sz="12" w:space="0" w:color="auto"/>
              <w:right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3</w:t>
            </w:r>
            <w:r>
              <w:rPr>
                <w:rFonts w:hAnsi="標楷體" w:hint="eastAsia"/>
                <w:snapToGrid/>
                <w:spacing w:val="-20"/>
                <w:w w:val="90"/>
                <w:sz w:val="24"/>
                <w:szCs w:val="24"/>
              </w:rPr>
              <w:t>7.16</w:t>
            </w:r>
          </w:p>
        </w:tc>
      </w:tr>
      <w:tr w:rsidR="00E0237E" w:rsidRPr="005D1CF5" w:rsidTr="007668ED">
        <w:tc>
          <w:tcPr>
            <w:tcW w:w="610" w:type="dxa"/>
            <w:vMerge w:val="restart"/>
            <w:tcBorders>
              <w:top w:val="single" w:sz="12" w:space="0" w:color="auto"/>
            </w:tcBorders>
            <w:shd w:val="clear" w:color="auto" w:fill="auto"/>
            <w:vAlign w:val="center"/>
          </w:tcPr>
          <w:p w:rsidR="00E0237E" w:rsidRPr="005D1CF5" w:rsidRDefault="00E0237E" w:rsidP="007668ED">
            <w:pPr>
              <w:spacing w:line="280" w:lineRule="exact"/>
              <w:ind w:leftChars="-10" w:left="-19" w:rightChars="-23" w:right="-65" w:hangingChars="5" w:hanging="9"/>
              <w:rPr>
                <w:rFonts w:hAnsi="標楷體"/>
                <w:snapToGrid/>
                <w:spacing w:val="-20"/>
                <w:w w:val="90"/>
                <w:sz w:val="24"/>
                <w:szCs w:val="24"/>
              </w:rPr>
            </w:pPr>
            <w:r w:rsidRPr="005D1CF5">
              <w:rPr>
                <w:rFonts w:hAnsi="標楷體" w:hint="eastAsia"/>
                <w:snapToGrid/>
                <w:spacing w:val="-20"/>
                <w:w w:val="90"/>
                <w:sz w:val="24"/>
                <w:szCs w:val="24"/>
              </w:rPr>
              <w:t>11</w:t>
            </w:r>
            <w:r>
              <w:rPr>
                <w:rFonts w:hAnsi="標楷體" w:hint="eastAsia"/>
                <w:snapToGrid/>
                <w:spacing w:val="-20"/>
                <w:w w:val="90"/>
                <w:sz w:val="24"/>
                <w:szCs w:val="24"/>
              </w:rPr>
              <w:t>2</w:t>
            </w:r>
            <w:r w:rsidRPr="005D1CF5">
              <w:rPr>
                <w:rFonts w:hAnsi="標楷體" w:hint="eastAsia"/>
                <w:snapToGrid/>
                <w:spacing w:val="-20"/>
                <w:w w:val="90"/>
                <w:sz w:val="24"/>
                <w:szCs w:val="24"/>
              </w:rPr>
              <w:t>年較10</w:t>
            </w:r>
            <w:r>
              <w:rPr>
                <w:rFonts w:hAnsi="標楷體" w:hint="eastAsia"/>
                <w:snapToGrid/>
                <w:spacing w:val="-20"/>
                <w:w w:val="90"/>
                <w:sz w:val="24"/>
                <w:szCs w:val="24"/>
              </w:rPr>
              <w:t>8</w:t>
            </w:r>
            <w:r w:rsidRPr="005D1CF5">
              <w:rPr>
                <w:rFonts w:hAnsi="標楷體" w:hint="eastAsia"/>
                <w:snapToGrid/>
                <w:spacing w:val="-20"/>
                <w:w w:val="90"/>
                <w:sz w:val="24"/>
                <w:szCs w:val="24"/>
              </w:rPr>
              <w:t>年增減情形</w:t>
            </w:r>
          </w:p>
        </w:tc>
        <w:tc>
          <w:tcPr>
            <w:tcW w:w="817" w:type="dxa"/>
            <w:tcBorders>
              <w:top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農業</w:t>
            </w:r>
          </w:p>
        </w:tc>
        <w:tc>
          <w:tcPr>
            <w:tcW w:w="749"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   310 </w:t>
            </w:r>
          </w:p>
        </w:tc>
        <w:tc>
          <w:tcPr>
            <w:tcW w:w="658"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0.71</w:t>
            </w:r>
          </w:p>
        </w:tc>
        <w:tc>
          <w:tcPr>
            <w:tcW w:w="773"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-19 </w:t>
            </w:r>
          </w:p>
        </w:tc>
        <w:tc>
          <w:tcPr>
            <w:tcW w:w="749"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-6.09</w:t>
            </w:r>
          </w:p>
        </w:tc>
        <w:tc>
          <w:tcPr>
            <w:tcW w:w="720"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47 </w:t>
            </w:r>
          </w:p>
        </w:tc>
        <w:tc>
          <w:tcPr>
            <w:tcW w:w="713"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15.11</w:t>
            </w:r>
          </w:p>
        </w:tc>
        <w:tc>
          <w:tcPr>
            <w:tcW w:w="749"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16 </w:t>
            </w:r>
          </w:p>
        </w:tc>
        <w:tc>
          <w:tcPr>
            <w:tcW w:w="749"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5.02</w:t>
            </w:r>
          </w:p>
        </w:tc>
        <w:tc>
          <w:tcPr>
            <w:tcW w:w="720"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266 </w:t>
            </w:r>
          </w:p>
        </w:tc>
        <w:tc>
          <w:tcPr>
            <w:tcW w:w="713" w:type="dxa"/>
            <w:tcBorders>
              <w:top w:val="single" w:sz="12"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85.96</w:t>
            </w:r>
          </w:p>
        </w:tc>
      </w:tr>
      <w:tr w:rsidR="00E0237E" w:rsidRPr="00C73F3B" w:rsidTr="007668ED">
        <w:tc>
          <w:tcPr>
            <w:tcW w:w="610" w:type="dxa"/>
            <w:vMerge/>
            <w:shd w:val="clear" w:color="auto" w:fill="auto"/>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工業</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20,621 </w:t>
            </w:r>
          </w:p>
        </w:tc>
        <w:tc>
          <w:tcPr>
            <w:tcW w:w="658"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46.99</w:t>
            </w:r>
          </w:p>
        </w:tc>
        <w:tc>
          <w:tcPr>
            <w:tcW w:w="773"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-620 </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-3.01</w:t>
            </w:r>
          </w:p>
        </w:tc>
        <w:tc>
          <w:tcPr>
            <w:tcW w:w="720"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6,000 </w:t>
            </w:r>
          </w:p>
        </w:tc>
        <w:tc>
          <w:tcPr>
            <w:tcW w:w="713"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29.10</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6,639 </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32.20</w:t>
            </w:r>
          </w:p>
        </w:tc>
        <w:tc>
          <w:tcPr>
            <w:tcW w:w="720"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8,602 </w:t>
            </w:r>
          </w:p>
        </w:tc>
        <w:tc>
          <w:tcPr>
            <w:tcW w:w="713"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41.72</w:t>
            </w:r>
          </w:p>
        </w:tc>
      </w:tr>
      <w:tr w:rsidR="00E0237E" w:rsidRPr="00C73F3B" w:rsidTr="007668ED">
        <w:tc>
          <w:tcPr>
            <w:tcW w:w="610" w:type="dxa"/>
            <w:vMerge/>
            <w:shd w:val="clear" w:color="auto" w:fill="auto"/>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服務業</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 22,956 </w:t>
            </w:r>
          </w:p>
        </w:tc>
        <w:tc>
          <w:tcPr>
            <w:tcW w:w="658"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52.31</w:t>
            </w:r>
          </w:p>
        </w:tc>
        <w:tc>
          <w:tcPr>
            <w:tcW w:w="773"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1,944 </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8.47</w:t>
            </w:r>
          </w:p>
        </w:tc>
        <w:tc>
          <w:tcPr>
            <w:tcW w:w="720"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3,868 </w:t>
            </w:r>
          </w:p>
        </w:tc>
        <w:tc>
          <w:tcPr>
            <w:tcW w:w="713"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16.85</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8,776 </w:t>
            </w:r>
          </w:p>
        </w:tc>
        <w:tc>
          <w:tcPr>
            <w:tcW w:w="749"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38.23</w:t>
            </w:r>
          </w:p>
        </w:tc>
        <w:tc>
          <w:tcPr>
            <w:tcW w:w="720"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8,369 </w:t>
            </w:r>
          </w:p>
        </w:tc>
        <w:tc>
          <w:tcPr>
            <w:tcW w:w="713" w:type="dxa"/>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36.45</w:t>
            </w:r>
          </w:p>
        </w:tc>
      </w:tr>
      <w:tr w:rsidR="00E0237E" w:rsidRPr="00C73F3B" w:rsidTr="007668ED">
        <w:tc>
          <w:tcPr>
            <w:tcW w:w="610" w:type="dxa"/>
            <w:vMerge/>
            <w:shd w:val="clear" w:color="auto" w:fill="auto"/>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bottom w:val="double" w:sz="4"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合計</w:t>
            </w:r>
          </w:p>
        </w:tc>
        <w:tc>
          <w:tcPr>
            <w:tcW w:w="749"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 43,887 </w:t>
            </w:r>
          </w:p>
        </w:tc>
        <w:tc>
          <w:tcPr>
            <w:tcW w:w="658"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23.28</w:t>
            </w:r>
          </w:p>
        </w:tc>
        <w:tc>
          <w:tcPr>
            <w:tcW w:w="773"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1,305 </w:t>
            </w:r>
          </w:p>
        </w:tc>
        <w:tc>
          <w:tcPr>
            <w:tcW w:w="749"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2.97</w:t>
            </w:r>
          </w:p>
        </w:tc>
        <w:tc>
          <w:tcPr>
            <w:tcW w:w="720"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9,915 </w:t>
            </w:r>
          </w:p>
        </w:tc>
        <w:tc>
          <w:tcPr>
            <w:tcW w:w="713"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22.59</w:t>
            </w:r>
          </w:p>
        </w:tc>
        <w:tc>
          <w:tcPr>
            <w:tcW w:w="749"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15,431 </w:t>
            </w:r>
          </w:p>
        </w:tc>
        <w:tc>
          <w:tcPr>
            <w:tcW w:w="749"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35.16</w:t>
            </w:r>
          </w:p>
        </w:tc>
        <w:tc>
          <w:tcPr>
            <w:tcW w:w="720"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 xml:space="preserve">17,237 </w:t>
            </w:r>
          </w:p>
        </w:tc>
        <w:tc>
          <w:tcPr>
            <w:tcW w:w="713" w:type="dxa"/>
            <w:tcBorders>
              <w:bottom w:val="double" w:sz="4" w:space="0" w:color="auto"/>
            </w:tcBorders>
            <w:shd w:val="clear" w:color="auto" w:fill="auto"/>
            <w:vAlign w:val="bottom"/>
          </w:tcPr>
          <w:p w:rsidR="00E0237E" w:rsidRPr="00C73F3B" w:rsidRDefault="00E0237E" w:rsidP="007668ED">
            <w:pPr>
              <w:spacing w:line="280" w:lineRule="exact"/>
              <w:ind w:leftChars="-10" w:left="-19" w:rightChars="-23" w:right="-65" w:hangingChars="5" w:hanging="9"/>
              <w:jc w:val="right"/>
              <w:rPr>
                <w:rFonts w:hAnsi="標楷體"/>
                <w:snapToGrid/>
                <w:spacing w:val="-20"/>
                <w:w w:val="90"/>
                <w:sz w:val="24"/>
                <w:szCs w:val="24"/>
              </w:rPr>
            </w:pPr>
            <w:r w:rsidRPr="00C73F3B">
              <w:rPr>
                <w:rFonts w:hAnsi="標楷體"/>
                <w:snapToGrid/>
                <w:spacing w:val="-20"/>
                <w:w w:val="90"/>
                <w:sz w:val="24"/>
                <w:szCs w:val="24"/>
              </w:rPr>
              <w:t>39.28</w:t>
            </w:r>
          </w:p>
        </w:tc>
      </w:tr>
      <w:tr w:rsidR="00E0237E" w:rsidRPr="005D1CF5" w:rsidTr="007668ED">
        <w:tc>
          <w:tcPr>
            <w:tcW w:w="610" w:type="dxa"/>
            <w:vMerge/>
            <w:shd w:val="clear" w:color="auto" w:fill="auto"/>
          </w:tcPr>
          <w:p w:rsidR="00E0237E" w:rsidRPr="005D1CF5" w:rsidRDefault="00E0237E" w:rsidP="007668ED">
            <w:pPr>
              <w:spacing w:line="280" w:lineRule="exact"/>
              <w:ind w:leftChars="0" w:left="0" w:firstLineChars="0" w:firstLine="0"/>
              <w:jc w:val="left"/>
              <w:rPr>
                <w:rFonts w:hAnsi="標楷體"/>
                <w:snapToGrid/>
                <w:spacing w:val="-20"/>
                <w:w w:val="90"/>
                <w:sz w:val="24"/>
                <w:szCs w:val="24"/>
              </w:rPr>
            </w:pPr>
          </w:p>
        </w:tc>
        <w:tc>
          <w:tcPr>
            <w:tcW w:w="817"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left"/>
              <w:rPr>
                <w:rFonts w:hAnsi="標楷體"/>
                <w:snapToGrid/>
                <w:spacing w:val="-20"/>
                <w:w w:val="90"/>
                <w:sz w:val="24"/>
                <w:szCs w:val="24"/>
              </w:rPr>
            </w:pPr>
            <w:r w:rsidRPr="005D1CF5">
              <w:rPr>
                <w:rFonts w:hAnsi="標楷體" w:hint="eastAsia"/>
                <w:snapToGrid/>
                <w:spacing w:val="-20"/>
                <w:w w:val="90"/>
                <w:sz w:val="24"/>
                <w:szCs w:val="24"/>
              </w:rPr>
              <w:t>ICT產業</w:t>
            </w:r>
          </w:p>
        </w:tc>
        <w:tc>
          <w:tcPr>
            <w:tcW w:w="749"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1</w:t>
            </w:r>
            <w:r>
              <w:rPr>
                <w:rFonts w:hAnsi="標楷體" w:hint="eastAsia"/>
                <w:snapToGrid/>
                <w:spacing w:val="-20"/>
                <w:w w:val="90"/>
                <w:sz w:val="24"/>
                <w:szCs w:val="24"/>
              </w:rPr>
              <w:t>9</w:t>
            </w:r>
            <w:r w:rsidRPr="005D1CF5">
              <w:rPr>
                <w:rFonts w:hAnsi="標楷體"/>
                <w:snapToGrid/>
                <w:spacing w:val="-20"/>
                <w:w w:val="90"/>
                <w:sz w:val="24"/>
                <w:szCs w:val="24"/>
              </w:rPr>
              <w:t>,</w:t>
            </w:r>
            <w:r>
              <w:rPr>
                <w:rFonts w:hAnsi="標楷體" w:hint="eastAsia"/>
                <w:snapToGrid/>
                <w:spacing w:val="-20"/>
                <w:w w:val="90"/>
                <w:sz w:val="24"/>
                <w:szCs w:val="24"/>
              </w:rPr>
              <w:t>14</w:t>
            </w:r>
            <w:r w:rsidRPr="005D1CF5">
              <w:rPr>
                <w:rFonts w:hAnsi="標楷體"/>
                <w:snapToGrid/>
                <w:spacing w:val="-20"/>
                <w:w w:val="90"/>
                <w:sz w:val="24"/>
                <w:szCs w:val="24"/>
              </w:rPr>
              <w:t>9</w:t>
            </w:r>
          </w:p>
        </w:tc>
        <w:tc>
          <w:tcPr>
            <w:tcW w:w="658"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4</w:t>
            </w:r>
            <w:r>
              <w:rPr>
                <w:rFonts w:hAnsi="標楷體" w:hint="eastAsia"/>
                <w:snapToGrid/>
                <w:spacing w:val="-20"/>
                <w:w w:val="90"/>
                <w:sz w:val="24"/>
                <w:szCs w:val="24"/>
              </w:rPr>
              <w:t>3.63</w:t>
            </w:r>
          </w:p>
        </w:tc>
        <w:tc>
          <w:tcPr>
            <w:tcW w:w="773"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w:t>
            </w:r>
            <w:r>
              <w:rPr>
                <w:rFonts w:hAnsi="標楷體" w:hint="eastAsia"/>
                <w:snapToGrid/>
                <w:spacing w:val="-20"/>
                <w:w w:val="90"/>
                <w:sz w:val="24"/>
                <w:szCs w:val="24"/>
              </w:rPr>
              <w:t>15</w:t>
            </w:r>
          </w:p>
        </w:tc>
        <w:tc>
          <w:tcPr>
            <w:tcW w:w="749"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w:t>
            </w:r>
            <w:r w:rsidRPr="005D1CF5">
              <w:rPr>
                <w:rFonts w:hAnsi="標楷體"/>
                <w:snapToGrid/>
                <w:spacing w:val="-20"/>
                <w:w w:val="90"/>
                <w:sz w:val="24"/>
                <w:szCs w:val="24"/>
              </w:rPr>
              <w:t>0.</w:t>
            </w:r>
            <w:r>
              <w:rPr>
                <w:rFonts w:hAnsi="標楷體" w:hint="eastAsia"/>
                <w:snapToGrid/>
                <w:spacing w:val="-20"/>
                <w:w w:val="90"/>
                <w:sz w:val="24"/>
                <w:szCs w:val="24"/>
              </w:rPr>
              <w:t>08</w:t>
            </w:r>
          </w:p>
        </w:tc>
        <w:tc>
          <w:tcPr>
            <w:tcW w:w="720"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snapToGrid/>
                <w:spacing w:val="-20"/>
                <w:w w:val="90"/>
                <w:sz w:val="24"/>
                <w:szCs w:val="24"/>
              </w:rPr>
              <w:t>4,</w:t>
            </w:r>
            <w:r>
              <w:rPr>
                <w:rFonts w:hAnsi="標楷體" w:hint="eastAsia"/>
                <w:snapToGrid/>
                <w:spacing w:val="-20"/>
                <w:w w:val="90"/>
                <w:sz w:val="24"/>
                <w:szCs w:val="24"/>
              </w:rPr>
              <w:t>863</w:t>
            </w:r>
          </w:p>
        </w:tc>
        <w:tc>
          <w:tcPr>
            <w:tcW w:w="713"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2</w:t>
            </w:r>
            <w:r>
              <w:rPr>
                <w:rFonts w:hAnsi="標楷體" w:hint="eastAsia"/>
                <w:snapToGrid/>
                <w:spacing w:val="-20"/>
                <w:w w:val="90"/>
                <w:sz w:val="24"/>
                <w:szCs w:val="24"/>
              </w:rPr>
              <w:t>5</w:t>
            </w:r>
            <w:r w:rsidRPr="005D1CF5">
              <w:rPr>
                <w:rFonts w:hAnsi="標楷體"/>
                <w:snapToGrid/>
                <w:spacing w:val="-20"/>
                <w:w w:val="90"/>
                <w:sz w:val="24"/>
                <w:szCs w:val="24"/>
              </w:rPr>
              <w:t>.</w:t>
            </w:r>
            <w:r>
              <w:rPr>
                <w:rFonts w:hAnsi="標楷體" w:hint="eastAsia"/>
                <w:snapToGrid/>
                <w:spacing w:val="-20"/>
                <w:w w:val="90"/>
                <w:sz w:val="24"/>
                <w:szCs w:val="24"/>
              </w:rPr>
              <w:t>40</w:t>
            </w:r>
          </w:p>
        </w:tc>
        <w:tc>
          <w:tcPr>
            <w:tcW w:w="749"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snapToGrid/>
                <w:spacing w:val="-20"/>
                <w:w w:val="90"/>
                <w:sz w:val="24"/>
                <w:szCs w:val="24"/>
              </w:rPr>
              <w:t>4,</w:t>
            </w:r>
            <w:r>
              <w:rPr>
                <w:rFonts w:hAnsi="標楷體" w:hint="eastAsia"/>
                <w:snapToGrid/>
                <w:spacing w:val="-20"/>
                <w:w w:val="90"/>
                <w:sz w:val="24"/>
                <w:szCs w:val="24"/>
              </w:rPr>
              <w:t>297</w:t>
            </w:r>
          </w:p>
        </w:tc>
        <w:tc>
          <w:tcPr>
            <w:tcW w:w="749"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hint="eastAsia"/>
                <w:snapToGrid/>
                <w:spacing w:val="-20"/>
                <w:w w:val="90"/>
                <w:sz w:val="24"/>
                <w:szCs w:val="24"/>
              </w:rPr>
              <w:t>2</w:t>
            </w:r>
            <w:r>
              <w:rPr>
                <w:rFonts w:hAnsi="標楷體" w:hint="eastAsia"/>
                <w:snapToGrid/>
                <w:spacing w:val="-20"/>
                <w:w w:val="90"/>
                <w:sz w:val="24"/>
                <w:szCs w:val="24"/>
              </w:rPr>
              <w:t>2.44</w:t>
            </w:r>
          </w:p>
        </w:tc>
        <w:tc>
          <w:tcPr>
            <w:tcW w:w="720"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snapToGrid/>
                <w:spacing w:val="-20"/>
                <w:w w:val="90"/>
                <w:sz w:val="24"/>
                <w:szCs w:val="24"/>
              </w:rPr>
              <w:t>10,</w:t>
            </w:r>
            <w:r>
              <w:rPr>
                <w:rFonts w:hAnsi="標楷體" w:hint="eastAsia"/>
                <w:snapToGrid/>
                <w:spacing w:val="-20"/>
                <w:w w:val="90"/>
                <w:sz w:val="24"/>
                <w:szCs w:val="24"/>
              </w:rPr>
              <w:t>003</w:t>
            </w:r>
          </w:p>
        </w:tc>
        <w:tc>
          <w:tcPr>
            <w:tcW w:w="713" w:type="dxa"/>
            <w:tcBorders>
              <w:top w:val="double" w:sz="4" w:space="0" w:color="auto"/>
              <w:bottom w:val="single" w:sz="12" w:space="0" w:color="auto"/>
            </w:tcBorders>
            <w:shd w:val="clear" w:color="auto" w:fill="auto"/>
          </w:tcPr>
          <w:p w:rsidR="00E0237E" w:rsidRPr="005D1CF5" w:rsidRDefault="00E0237E" w:rsidP="007668ED">
            <w:pPr>
              <w:spacing w:line="280" w:lineRule="exact"/>
              <w:ind w:leftChars="-10" w:left="-19" w:rightChars="-23" w:right="-65" w:hangingChars="5" w:hanging="9"/>
              <w:jc w:val="right"/>
              <w:rPr>
                <w:rFonts w:hAnsi="標楷體"/>
                <w:snapToGrid/>
                <w:spacing w:val="-20"/>
                <w:w w:val="90"/>
                <w:sz w:val="24"/>
                <w:szCs w:val="24"/>
              </w:rPr>
            </w:pPr>
            <w:r w:rsidRPr="005D1CF5">
              <w:rPr>
                <w:rFonts w:hAnsi="標楷體"/>
                <w:snapToGrid/>
                <w:spacing w:val="-20"/>
                <w:w w:val="90"/>
                <w:sz w:val="24"/>
                <w:szCs w:val="24"/>
              </w:rPr>
              <w:t>5</w:t>
            </w:r>
            <w:r>
              <w:rPr>
                <w:rFonts w:hAnsi="標楷體" w:hint="eastAsia"/>
                <w:snapToGrid/>
                <w:spacing w:val="-20"/>
                <w:w w:val="90"/>
                <w:sz w:val="24"/>
                <w:szCs w:val="24"/>
              </w:rPr>
              <w:t>2.24</w:t>
            </w:r>
          </w:p>
        </w:tc>
      </w:tr>
    </w:tbl>
    <w:p w:rsidR="00E0237E" w:rsidRPr="005D1CF5" w:rsidRDefault="00E0237E" w:rsidP="007668ED">
      <w:pPr>
        <w:spacing w:line="280" w:lineRule="exact"/>
        <w:ind w:leftChars="-44" w:left="1317" w:hangingChars="593" w:hanging="1442"/>
        <w:rPr>
          <w:rFonts w:hAnsi="標楷體"/>
          <w:snapToGrid/>
          <w:sz w:val="24"/>
        </w:rPr>
      </w:pPr>
      <w:r w:rsidRPr="005D1CF5">
        <w:rPr>
          <w:rFonts w:hint="eastAsia"/>
          <w:snapToGrid/>
          <w:sz w:val="24"/>
        </w:rPr>
        <w:t>說    明</w:t>
      </w:r>
      <w:r w:rsidRPr="005D1CF5">
        <w:rPr>
          <w:rFonts w:hAnsi="標楷體" w:hint="eastAsia"/>
          <w:snapToGrid/>
          <w:sz w:val="24"/>
        </w:rPr>
        <w:t>：</w:t>
      </w:r>
      <w:r w:rsidRPr="005D1CF5">
        <w:rPr>
          <w:rFonts w:hint="eastAsia"/>
          <w:snapToGrid/>
          <w:sz w:val="24"/>
        </w:rPr>
        <w:t>1.表列各數值均為當期名目值</w:t>
      </w:r>
      <w:r w:rsidRPr="005D1CF5">
        <w:rPr>
          <w:rFonts w:hAnsi="標楷體" w:hint="eastAsia"/>
          <w:snapToGrid/>
          <w:sz w:val="24"/>
        </w:rPr>
        <w:t>，</w:t>
      </w:r>
      <w:r w:rsidRPr="005D1CF5">
        <w:rPr>
          <w:rFonts w:hint="eastAsia"/>
          <w:snapToGrid/>
          <w:sz w:val="24"/>
        </w:rPr>
        <w:t>其中10</w:t>
      </w:r>
      <w:r>
        <w:rPr>
          <w:rFonts w:hint="eastAsia"/>
          <w:snapToGrid/>
          <w:sz w:val="24"/>
        </w:rPr>
        <w:t>8</w:t>
      </w:r>
      <w:r w:rsidRPr="005D1CF5">
        <w:rPr>
          <w:rFonts w:hint="eastAsia"/>
          <w:snapToGrid/>
          <w:sz w:val="24"/>
        </w:rPr>
        <w:t>至11</w:t>
      </w:r>
      <w:r>
        <w:rPr>
          <w:rFonts w:hint="eastAsia"/>
          <w:snapToGrid/>
          <w:sz w:val="24"/>
        </w:rPr>
        <w:t>2</w:t>
      </w:r>
      <w:r w:rsidRPr="005D1CF5">
        <w:rPr>
          <w:rFonts w:hint="eastAsia"/>
          <w:snapToGrid/>
          <w:sz w:val="24"/>
        </w:rPr>
        <w:t>年度GDP增幅均係指較前1年度增加比率</w:t>
      </w:r>
      <w:r w:rsidRPr="005D1CF5">
        <w:rPr>
          <w:rFonts w:hAnsi="標楷體" w:hint="eastAsia"/>
          <w:snapToGrid/>
          <w:sz w:val="24"/>
        </w:rPr>
        <w:t>；</w:t>
      </w:r>
      <w:r w:rsidRPr="005D1CF5">
        <w:rPr>
          <w:rFonts w:hint="eastAsia"/>
          <w:snapToGrid/>
          <w:sz w:val="24"/>
        </w:rPr>
        <w:t>而</w:t>
      </w:r>
      <w:r w:rsidRPr="005D1CF5">
        <w:rPr>
          <w:rFonts w:hAnsi="標楷體" w:hint="eastAsia"/>
          <w:snapToGrid/>
          <w:sz w:val="24"/>
        </w:rPr>
        <w:t>「</w:t>
      </w:r>
      <w:r w:rsidRPr="005D1CF5">
        <w:rPr>
          <w:rFonts w:hint="eastAsia"/>
          <w:snapToGrid/>
          <w:sz w:val="24"/>
        </w:rPr>
        <w:t>生產及進口稅淨額</w:t>
      </w:r>
      <w:r w:rsidRPr="005D1CF5">
        <w:rPr>
          <w:rFonts w:hAnsi="標楷體" w:hint="eastAsia"/>
          <w:snapToGrid/>
          <w:sz w:val="24"/>
        </w:rPr>
        <w:t>」、「固定資本消耗」、「受僱人員報酬」及「營業盈餘」之占比均指各該分配項目占各產業當年度GDP之比率。</w:t>
      </w:r>
    </w:p>
    <w:p w:rsidR="00E0237E" w:rsidRPr="005D1CF5" w:rsidRDefault="00E0237E" w:rsidP="007668ED">
      <w:pPr>
        <w:spacing w:line="280" w:lineRule="exact"/>
        <w:ind w:leftChars="386" w:left="1317" w:hangingChars="92" w:hanging="224"/>
        <w:rPr>
          <w:rFonts w:hAnsi="標楷體"/>
          <w:snapToGrid/>
          <w:sz w:val="24"/>
        </w:rPr>
      </w:pPr>
      <w:r w:rsidRPr="005D1CF5">
        <w:rPr>
          <w:rFonts w:hAnsi="標楷體" w:hint="eastAsia"/>
          <w:snapToGrid/>
          <w:sz w:val="24"/>
        </w:rPr>
        <w:t>2.表列各年度「合計」係指按農業、工業及服務業三級產業區分後各項目之合計數，另為衡量ICT產業對經濟社會所帶來之改變及影響，行政院主計總處參考OECD分類定義，及美國與南韓等主要國家彙編方式，自99年起，配合國民所得統計年修正機制編算相關統計。</w:t>
      </w:r>
    </w:p>
    <w:p w:rsidR="00E0237E" w:rsidRPr="005D1CF5" w:rsidRDefault="00E0237E" w:rsidP="007668ED">
      <w:pPr>
        <w:spacing w:line="280" w:lineRule="exact"/>
        <w:ind w:leftChars="386" w:left="1317" w:hangingChars="92" w:hanging="224"/>
        <w:rPr>
          <w:snapToGrid/>
          <w:sz w:val="24"/>
        </w:rPr>
      </w:pPr>
      <w:r w:rsidRPr="005D1CF5">
        <w:rPr>
          <w:rFonts w:hAnsi="標楷體" w:hint="eastAsia"/>
          <w:snapToGrid/>
          <w:sz w:val="24"/>
        </w:rPr>
        <w:lastRenderedPageBreak/>
        <w:t>3.表列「11</w:t>
      </w:r>
      <w:r>
        <w:rPr>
          <w:rFonts w:hAnsi="標楷體" w:hint="eastAsia"/>
          <w:snapToGrid/>
          <w:sz w:val="24"/>
        </w:rPr>
        <w:t>2</w:t>
      </w:r>
      <w:r w:rsidRPr="005D1CF5">
        <w:rPr>
          <w:rFonts w:hAnsi="標楷體" w:hint="eastAsia"/>
          <w:snapToGrid/>
          <w:sz w:val="24"/>
        </w:rPr>
        <w:t>年較10</w:t>
      </w:r>
      <w:r>
        <w:rPr>
          <w:rFonts w:hAnsi="標楷體" w:hint="eastAsia"/>
          <w:snapToGrid/>
          <w:sz w:val="24"/>
        </w:rPr>
        <w:t>8</w:t>
      </w:r>
      <w:r w:rsidRPr="005D1CF5">
        <w:rPr>
          <w:rFonts w:hAnsi="標楷體" w:hint="eastAsia"/>
          <w:snapToGrid/>
          <w:sz w:val="24"/>
        </w:rPr>
        <w:t>年增減情形」係以11</w:t>
      </w:r>
      <w:r>
        <w:rPr>
          <w:rFonts w:hAnsi="標楷體" w:hint="eastAsia"/>
          <w:snapToGrid/>
          <w:sz w:val="24"/>
        </w:rPr>
        <w:t>2</w:t>
      </w:r>
      <w:r w:rsidRPr="005D1CF5">
        <w:rPr>
          <w:rFonts w:hAnsi="標楷體" w:hint="eastAsia"/>
          <w:snapToGrid/>
          <w:sz w:val="24"/>
        </w:rPr>
        <w:t>年度各項數據與10</w:t>
      </w:r>
      <w:r>
        <w:rPr>
          <w:rFonts w:hAnsi="標楷體" w:hint="eastAsia"/>
          <w:snapToGrid/>
          <w:sz w:val="24"/>
        </w:rPr>
        <w:t>8</w:t>
      </w:r>
      <w:r w:rsidRPr="005D1CF5">
        <w:rPr>
          <w:rFonts w:hAnsi="標楷體" w:hint="eastAsia"/>
          <w:snapToGrid/>
          <w:sz w:val="24"/>
        </w:rPr>
        <w:t>年度比較後之增減情形，其中各產業「GDP增幅」係指11</w:t>
      </w:r>
      <w:r>
        <w:rPr>
          <w:rFonts w:hAnsi="標楷體" w:hint="eastAsia"/>
          <w:snapToGrid/>
          <w:sz w:val="24"/>
        </w:rPr>
        <w:t>2</w:t>
      </w:r>
      <w:r w:rsidRPr="005D1CF5">
        <w:rPr>
          <w:rFonts w:hAnsi="標楷體" w:hint="eastAsia"/>
          <w:snapToGrid/>
          <w:sz w:val="24"/>
        </w:rPr>
        <w:t>年較10</w:t>
      </w:r>
      <w:r>
        <w:rPr>
          <w:rFonts w:hAnsi="標楷體" w:hint="eastAsia"/>
          <w:snapToGrid/>
          <w:sz w:val="24"/>
        </w:rPr>
        <w:t>8</w:t>
      </w:r>
      <w:r w:rsidRPr="005D1CF5">
        <w:rPr>
          <w:rFonts w:hAnsi="標楷體" w:hint="eastAsia"/>
          <w:snapToGrid/>
          <w:sz w:val="24"/>
        </w:rPr>
        <w:t>年GDP增幅2</w:t>
      </w:r>
      <w:r>
        <w:rPr>
          <w:rFonts w:hAnsi="標楷體" w:hint="eastAsia"/>
          <w:snapToGrid/>
          <w:sz w:val="24"/>
        </w:rPr>
        <w:t>3.28</w:t>
      </w:r>
      <w:r w:rsidRPr="005D1CF5">
        <w:rPr>
          <w:rFonts w:hAnsi="標楷體" w:hint="eastAsia"/>
          <w:snapToGrid/>
          <w:sz w:val="24"/>
        </w:rPr>
        <w:t>%中各產業占比，例如服務業占2</w:t>
      </w:r>
      <w:r>
        <w:rPr>
          <w:rFonts w:hAnsi="標楷體" w:hint="eastAsia"/>
          <w:snapToGrid/>
          <w:sz w:val="24"/>
        </w:rPr>
        <w:t>3.28</w:t>
      </w:r>
      <w:r w:rsidRPr="005D1CF5">
        <w:rPr>
          <w:rFonts w:hAnsi="標楷體" w:hint="eastAsia"/>
          <w:snapToGrid/>
          <w:sz w:val="24"/>
        </w:rPr>
        <w:t>%增幅中之5</w:t>
      </w:r>
      <w:r>
        <w:rPr>
          <w:rFonts w:hAnsi="標楷體" w:hint="eastAsia"/>
          <w:snapToGrid/>
          <w:sz w:val="24"/>
        </w:rPr>
        <w:t>2.31</w:t>
      </w:r>
      <w:r w:rsidRPr="005D1CF5">
        <w:rPr>
          <w:rFonts w:hAnsi="標楷體" w:hint="eastAsia"/>
          <w:snapToGrid/>
          <w:sz w:val="24"/>
        </w:rPr>
        <w:t>%。</w:t>
      </w:r>
    </w:p>
    <w:p w:rsidR="00E0237E" w:rsidRPr="005D1CF5" w:rsidRDefault="00E0237E" w:rsidP="007668ED">
      <w:pPr>
        <w:spacing w:line="280" w:lineRule="exact"/>
        <w:ind w:leftChars="-44" w:left="-1" w:hangingChars="51" w:hanging="124"/>
        <w:jc w:val="left"/>
        <w:rPr>
          <w:snapToGrid/>
          <w:sz w:val="24"/>
        </w:rPr>
      </w:pPr>
      <w:r w:rsidRPr="005D1CF5">
        <w:rPr>
          <w:rFonts w:hint="eastAsia"/>
          <w:snapToGrid/>
          <w:sz w:val="24"/>
        </w:rPr>
        <w:t>資料來源</w:t>
      </w:r>
      <w:r w:rsidRPr="005D1CF5">
        <w:rPr>
          <w:rFonts w:hAnsi="標楷體" w:hint="eastAsia"/>
          <w:snapToGrid/>
          <w:sz w:val="24"/>
        </w:rPr>
        <w:t>：中華民國統計資訊網(11</w:t>
      </w:r>
      <w:r>
        <w:rPr>
          <w:rFonts w:hAnsi="標楷體" w:hint="eastAsia"/>
          <w:snapToGrid/>
          <w:sz w:val="24"/>
        </w:rPr>
        <w:t>4</w:t>
      </w:r>
      <w:r w:rsidRPr="005D1CF5">
        <w:rPr>
          <w:rFonts w:hAnsi="標楷體" w:hint="eastAsia"/>
          <w:snapToGrid/>
          <w:sz w:val="24"/>
        </w:rPr>
        <w:t>年8月1</w:t>
      </w:r>
      <w:r>
        <w:rPr>
          <w:rFonts w:hAnsi="標楷體" w:hint="eastAsia"/>
          <w:snapToGrid/>
          <w:sz w:val="24"/>
        </w:rPr>
        <w:t>2</w:t>
      </w:r>
      <w:r w:rsidRPr="005D1CF5">
        <w:rPr>
          <w:rFonts w:hAnsi="標楷體" w:hint="eastAsia"/>
          <w:snapToGrid/>
          <w:sz w:val="24"/>
        </w:rPr>
        <w:t>日查詢)。</w:t>
      </w:r>
    </w:p>
    <w:p w:rsidR="00E0237E" w:rsidRPr="00317974" w:rsidRDefault="00E0237E" w:rsidP="007668ED">
      <w:pPr>
        <w:pStyle w:val="a5"/>
        <w:ind w:left="849" w:hanging="283"/>
        <w:rPr>
          <w:b/>
          <w:snapToGrid/>
        </w:rPr>
      </w:pPr>
      <w:r w:rsidRPr="00317974">
        <w:rPr>
          <w:rFonts w:hint="eastAsia"/>
          <w:b/>
          <w:snapToGrid/>
        </w:rPr>
        <w:t>(二)近5年我國GDP成長</w:t>
      </w:r>
      <w:r w:rsidRPr="00317974">
        <w:rPr>
          <w:b/>
          <w:snapToGrid/>
        </w:rPr>
        <w:t>4</w:t>
      </w:r>
      <w:r w:rsidRPr="00317974">
        <w:rPr>
          <w:rFonts w:hint="eastAsia"/>
          <w:b/>
          <w:snapToGrid/>
        </w:rPr>
        <w:t>兆</w:t>
      </w:r>
      <w:r>
        <w:rPr>
          <w:rFonts w:hint="eastAsia"/>
          <w:b/>
          <w:snapToGrid/>
        </w:rPr>
        <w:t>3</w:t>
      </w:r>
      <w:r w:rsidRPr="00317974">
        <w:rPr>
          <w:b/>
          <w:snapToGrid/>
        </w:rPr>
        <w:t>,</w:t>
      </w:r>
      <w:r>
        <w:rPr>
          <w:rFonts w:hint="eastAsia"/>
          <w:b/>
          <w:snapToGrid/>
        </w:rPr>
        <w:t>887</w:t>
      </w:r>
      <w:r w:rsidRPr="00317974">
        <w:rPr>
          <w:rFonts w:hint="eastAsia"/>
          <w:b/>
          <w:snapToGrid/>
        </w:rPr>
        <w:t>億元</w:t>
      </w:r>
      <w:r w:rsidRPr="00317974">
        <w:rPr>
          <w:rFonts w:hAnsi="標楷體" w:hint="eastAsia"/>
          <w:b/>
          <w:snapToGrid/>
        </w:rPr>
        <w:t>，其中</w:t>
      </w:r>
      <w:r w:rsidRPr="00317974">
        <w:rPr>
          <w:rFonts w:hint="eastAsia"/>
          <w:b/>
          <w:snapToGrid/>
        </w:rPr>
        <w:t>分配予營業盈餘占比最高達</w:t>
      </w:r>
      <w:r>
        <w:rPr>
          <w:rFonts w:hint="eastAsia"/>
          <w:b/>
          <w:snapToGrid/>
        </w:rPr>
        <w:t>39.28</w:t>
      </w:r>
      <w:r w:rsidRPr="00317974">
        <w:rPr>
          <w:rFonts w:hint="eastAsia"/>
          <w:b/>
          <w:snapToGrid/>
        </w:rPr>
        <w:t>%</w:t>
      </w:r>
      <w:r w:rsidRPr="00317974">
        <w:rPr>
          <w:rFonts w:hAnsi="標楷體" w:hint="eastAsia"/>
          <w:b/>
          <w:snapToGrid/>
        </w:rPr>
        <w:t>，</w:t>
      </w:r>
      <w:r w:rsidRPr="00317974">
        <w:rPr>
          <w:rFonts w:hint="eastAsia"/>
          <w:b/>
          <w:snapToGrid/>
        </w:rPr>
        <w:t>其次為分配予受僱人員報酬占比3</w:t>
      </w:r>
      <w:r>
        <w:rPr>
          <w:rFonts w:hint="eastAsia"/>
          <w:b/>
          <w:snapToGrid/>
        </w:rPr>
        <w:t>5</w:t>
      </w:r>
      <w:r w:rsidRPr="00317974">
        <w:rPr>
          <w:rFonts w:hint="eastAsia"/>
          <w:b/>
          <w:snapToGrid/>
        </w:rPr>
        <w:t>.1</w:t>
      </w:r>
      <w:r>
        <w:rPr>
          <w:rFonts w:hint="eastAsia"/>
          <w:b/>
          <w:snapToGrid/>
        </w:rPr>
        <w:t>6</w:t>
      </w:r>
      <w:r w:rsidRPr="00317974">
        <w:rPr>
          <w:rFonts w:hint="eastAsia"/>
          <w:b/>
          <w:snapToGrid/>
        </w:rPr>
        <w:t>%</w:t>
      </w:r>
      <w:r w:rsidRPr="00317974">
        <w:rPr>
          <w:b/>
          <w:snapToGrid/>
        </w:rPr>
        <w:t xml:space="preserve"> </w:t>
      </w:r>
    </w:p>
    <w:p w:rsidR="00E0237E" w:rsidRPr="00317974" w:rsidRDefault="00E0237E" w:rsidP="007668ED">
      <w:pPr>
        <w:pStyle w:val="21"/>
        <w:ind w:left="850" w:firstLine="566"/>
        <w:rPr>
          <w:snapToGrid/>
        </w:rPr>
      </w:pPr>
      <w:r w:rsidRPr="00317974">
        <w:rPr>
          <w:rFonts w:hint="eastAsia"/>
          <w:snapToGrid/>
        </w:rPr>
        <w:t>依我國國內生產及要素所得統計資料，近5年GDP成長</w:t>
      </w:r>
      <w:r>
        <w:rPr>
          <w:rFonts w:hint="eastAsia"/>
          <w:snapToGrid/>
        </w:rPr>
        <w:t>為</w:t>
      </w:r>
      <w:r w:rsidRPr="00317974">
        <w:rPr>
          <w:rFonts w:hint="eastAsia"/>
          <w:snapToGrid/>
        </w:rPr>
        <w:t>2</w:t>
      </w:r>
      <w:r>
        <w:rPr>
          <w:rFonts w:hint="eastAsia"/>
          <w:snapToGrid/>
        </w:rPr>
        <w:t>3.28</w:t>
      </w:r>
      <w:r w:rsidRPr="00317974">
        <w:rPr>
          <w:rFonts w:hint="eastAsia"/>
          <w:snapToGrid/>
        </w:rPr>
        <w:t>%</w:t>
      </w:r>
      <w:r w:rsidRPr="00317974">
        <w:rPr>
          <w:rFonts w:hAnsi="標楷體" w:hint="eastAsia"/>
          <w:snapToGrid/>
        </w:rPr>
        <w:t>，</w:t>
      </w:r>
      <w:r w:rsidRPr="00317974">
        <w:rPr>
          <w:rFonts w:hint="eastAsia"/>
          <w:snapToGrid/>
        </w:rPr>
        <w:t>然分配面中分配予受僱人員報酬之份額自10</w:t>
      </w:r>
      <w:r>
        <w:rPr>
          <w:rFonts w:hint="eastAsia"/>
          <w:snapToGrid/>
        </w:rPr>
        <w:t>8</w:t>
      </w:r>
      <w:r w:rsidRPr="00317974">
        <w:rPr>
          <w:rFonts w:hint="eastAsia"/>
          <w:snapToGrid/>
        </w:rPr>
        <w:t>年度之4</w:t>
      </w:r>
      <w:r>
        <w:rPr>
          <w:rFonts w:hint="eastAsia"/>
          <w:snapToGrid/>
        </w:rPr>
        <w:t>6.41</w:t>
      </w:r>
      <w:r w:rsidRPr="00317974">
        <w:rPr>
          <w:rFonts w:hint="eastAsia"/>
          <w:snapToGrid/>
        </w:rPr>
        <w:t>%降至11</w:t>
      </w:r>
      <w:r>
        <w:rPr>
          <w:rFonts w:hint="eastAsia"/>
          <w:snapToGrid/>
        </w:rPr>
        <w:t>2</w:t>
      </w:r>
      <w:r w:rsidRPr="00317974">
        <w:rPr>
          <w:rFonts w:hint="eastAsia"/>
          <w:snapToGrid/>
        </w:rPr>
        <w:t>年度之4</w:t>
      </w:r>
      <w:r>
        <w:rPr>
          <w:rFonts w:hint="eastAsia"/>
          <w:snapToGrid/>
        </w:rPr>
        <w:t>4.28</w:t>
      </w:r>
      <w:r w:rsidRPr="00317974">
        <w:rPr>
          <w:rFonts w:hint="eastAsia"/>
          <w:snapToGrid/>
        </w:rPr>
        <w:t>%</w:t>
      </w:r>
      <w:r w:rsidRPr="00317974">
        <w:rPr>
          <w:rFonts w:hAnsi="標楷體" w:hint="eastAsia"/>
          <w:snapToGrid/>
        </w:rPr>
        <w:t>，4年間</w:t>
      </w:r>
      <w:r w:rsidRPr="00317974">
        <w:rPr>
          <w:rFonts w:hint="eastAsia"/>
          <w:snapToGrid/>
        </w:rPr>
        <w:t>減少</w:t>
      </w:r>
      <w:r>
        <w:rPr>
          <w:rFonts w:hint="eastAsia"/>
          <w:snapToGrid/>
        </w:rPr>
        <w:t>2.13</w:t>
      </w:r>
      <w:r w:rsidRPr="00317974">
        <w:rPr>
          <w:rFonts w:hint="eastAsia"/>
          <w:snapToGrid/>
        </w:rPr>
        <w:t>個百分點</w:t>
      </w:r>
      <w:r w:rsidRPr="00317974">
        <w:rPr>
          <w:rFonts w:hAnsi="標楷體" w:hint="eastAsia"/>
          <w:snapToGrid/>
        </w:rPr>
        <w:t>；</w:t>
      </w:r>
      <w:r w:rsidRPr="00317974">
        <w:rPr>
          <w:rFonts w:hint="eastAsia"/>
          <w:snapToGrid/>
        </w:rPr>
        <w:t>而同期間分配予營業盈餘之占比卻由3</w:t>
      </w:r>
      <w:r>
        <w:rPr>
          <w:rFonts w:hint="eastAsia"/>
          <w:snapToGrid/>
        </w:rPr>
        <w:t>1.97</w:t>
      </w:r>
      <w:r w:rsidRPr="00317974">
        <w:rPr>
          <w:rFonts w:hint="eastAsia"/>
          <w:snapToGrid/>
        </w:rPr>
        <w:t>%增至3</w:t>
      </w:r>
      <w:r>
        <w:rPr>
          <w:rFonts w:hint="eastAsia"/>
          <w:snapToGrid/>
        </w:rPr>
        <w:t>3.35</w:t>
      </w:r>
      <w:r w:rsidRPr="00317974">
        <w:rPr>
          <w:rFonts w:hint="eastAsia"/>
          <w:snapToGrid/>
        </w:rPr>
        <w:t>%</w:t>
      </w:r>
      <w:r w:rsidRPr="00317974">
        <w:rPr>
          <w:rFonts w:hAnsi="標楷體" w:hint="eastAsia"/>
          <w:snapToGrid/>
        </w:rPr>
        <w:t>，</w:t>
      </w:r>
      <w:r w:rsidRPr="00317974">
        <w:rPr>
          <w:rFonts w:hint="eastAsia"/>
          <w:snapToGrid/>
        </w:rPr>
        <w:t>增加1.3</w:t>
      </w:r>
      <w:r>
        <w:rPr>
          <w:rFonts w:hint="eastAsia"/>
          <w:snapToGrid/>
        </w:rPr>
        <w:t>8</w:t>
      </w:r>
      <w:r w:rsidRPr="00317974">
        <w:rPr>
          <w:rFonts w:hint="eastAsia"/>
          <w:snapToGrid/>
        </w:rPr>
        <w:t>個百分點</w:t>
      </w:r>
      <w:r w:rsidRPr="00317974">
        <w:rPr>
          <w:rFonts w:hAnsi="標楷體" w:hint="eastAsia"/>
          <w:snapToGrid/>
        </w:rPr>
        <w:t>，顯示分配予受僱人員報酬之份額未隨經濟成長而同向增加。</w:t>
      </w:r>
    </w:p>
    <w:p w:rsidR="00E0237E" w:rsidRPr="003C18C3" w:rsidRDefault="00E0237E" w:rsidP="007668ED">
      <w:pPr>
        <w:pStyle w:val="21"/>
        <w:ind w:left="850" w:firstLine="566"/>
        <w:rPr>
          <w:b/>
          <w:snapToGrid/>
        </w:rPr>
      </w:pPr>
      <w:r w:rsidRPr="00317974">
        <w:rPr>
          <w:rFonts w:hint="eastAsia"/>
          <w:snapToGrid/>
        </w:rPr>
        <w:t>再就近5年GDP所增加4兆</w:t>
      </w:r>
      <w:r>
        <w:rPr>
          <w:rFonts w:hint="eastAsia"/>
          <w:snapToGrid/>
        </w:rPr>
        <w:t>3</w:t>
      </w:r>
      <w:r w:rsidRPr="00317974">
        <w:rPr>
          <w:rFonts w:hint="eastAsia"/>
          <w:snapToGrid/>
        </w:rPr>
        <w:t>,</w:t>
      </w:r>
      <w:r>
        <w:rPr>
          <w:rFonts w:hint="eastAsia"/>
          <w:snapToGrid/>
        </w:rPr>
        <w:t>887</w:t>
      </w:r>
      <w:r w:rsidRPr="00317974">
        <w:rPr>
          <w:rFonts w:hint="eastAsia"/>
          <w:snapToGrid/>
        </w:rPr>
        <w:t>億元之分配情形觀之，以分配予營業盈餘之1兆</w:t>
      </w:r>
      <w:r>
        <w:rPr>
          <w:rFonts w:hint="eastAsia"/>
          <w:snapToGrid/>
        </w:rPr>
        <w:t>7</w:t>
      </w:r>
      <w:r w:rsidRPr="00317974">
        <w:rPr>
          <w:snapToGrid/>
        </w:rPr>
        <w:t>,</w:t>
      </w:r>
      <w:r>
        <w:rPr>
          <w:rFonts w:hint="eastAsia"/>
          <w:snapToGrid/>
        </w:rPr>
        <w:t>237</w:t>
      </w:r>
      <w:r w:rsidRPr="00317974">
        <w:rPr>
          <w:rFonts w:hint="eastAsia"/>
          <w:snapToGrid/>
        </w:rPr>
        <w:t>億元(占比</w:t>
      </w:r>
      <w:r>
        <w:rPr>
          <w:rFonts w:hint="eastAsia"/>
          <w:snapToGrid/>
        </w:rPr>
        <w:t>39.28</w:t>
      </w:r>
      <w:r w:rsidRPr="00317974">
        <w:rPr>
          <w:rFonts w:hint="eastAsia"/>
          <w:snapToGrid/>
        </w:rPr>
        <w:t>%)最高、受僱人員報酬1兆5</w:t>
      </w:r>
      <w:r w:rsidRPr="00317974">
        <w:rPr>
          <w:snapToGrid/>
        </w:rPr>
        <w:t>,</w:t>
      </w:r>
      <w:r>
        <w:rPr>
          <w:rFonts w:hint="eastAsia"/>
          <w:snapToGrid/>
        </w:rPr>
        <w:t>43</w:t>
      </w:r>
      <w:r w:rsidRPr="00317974">
        <w:rPr>
          <w:snapToGrid/>
        </w:rPr>
        <w:t>1</w:t>
      </w:r>
      <w:r w:rsidRPr="00317974">
        <w:rPr>
          <w:rFonts w:hint="eastAsia"/>
          <w:snapToGrid/>
        </w:rPr>
        <w:t>億元(占比3</w:t>
      </w:r>
      <w:r>
        <w:rPr>
          <w:rFonts w:hint="eastAsia"/>
          <w:snapToGrid/>
        </w:rPr>
        <w:t>5.16</w:t>
      </w:r>
      <w:r w:rsidRPr="00317974">
        <w:rPr>
          <w:rFonts w:hint="eastAsia"/>
          <w:snapToGrid/>
        </w:rPr>
        <w:t>%)次之，</w:t>
      </w:r>
      <w:r w:rsidRPr="003C18C3">
        <w:rPr>
          <w:rFonts w:hint="eastAsia"/>
          <w:snapToGrid/>
        </w:rPr>
        <w:t>若按產業別區分</w:t>
      </w:r>
      <w:r w:rsidRPr="003C18C3">
        <w:rPr>
          <w:rFonts w:hAnsi="標楷體" w:hint="eastAsia"/>
          <w:snapToGrid/>
        </w:rPr>
        <w:t>，各產業</w:t>
      </w:r>
      <w:r w:rsidRPr="003C18C3">
        <w:rPr>
          <w:rFonts w:hint="eastAsia"/>
          <w:snapToGrid/>
        </w:rPr>
        <w:t>所增加之GDP係以ICT產業分配予營業盈餘之占比達</w:t>
      </w:r>
      <w:r w:rsidRPr="003C18C3">
        <w:rPr>
          <w:snapToGrid/>
        </w:rPr>
        <w:t>5</w:t>
      </w:r>
      <w:r>
        <w:rPr>
          <w:rFonts w:hint="eastAsia"/>
          <w:snapToGrid/>
        </w:rPr>
        <w:t>2.24</w:t>
      </w:r>
      <w:r w:rsidRPr="003C18C3">
        <w:rPr>
          <w:rFonts w:hint="eastAsia"/>
          <w:snapToGrid/>
        </w:rPr>
        <w:t>%最高</w:t>
      </w:r>
      <w:r w:rsidRPr="003C18C3">
        <w:rPr>
          <w:rFonts w:hAnsi="標楷體" w:hint="eastAsia"/>
          <w:snapToGrid/>
        </w:rPr>
        <w:t>、</w:t>
      </w:r>
      <w:r>
        <w:rPr>
          <w:rFonts w:hAnsi="標楷體" w:hint="eastAsia"/>
          <w:snapToGrid/>
        </w:rPr>
        <w:t>而</w:t>
      </w:r>
      <w:r w:rsidRPr="003C18C3">
        <w:rPr>
          <w:rFonts w:hint="eastAsia"/>
          <w:snapToGrid/>
        </w:rPr>
        <w:t>受僱人員報酬占比僅2</w:t>
      </w:r>
      <w:r>
        <w:rPr>
          <w:rFonts w:hint="eastAsia"/>
          <w:snapToGrid/>
        </w:rPr>
        <w:t>2.44</w:t>
      </w:r>
      <w:r w:rsidRPr="003C18C3">
        <w:rPr>
          <w:rFonts w:hint="eastAsia"/>
          <w:snapToGrid/>
        </w:rPr>
        <w:t>%</w:t>
      </w:r>
      <w:r w:rsidRPr="003C18C3">
        <w:rPr>
          <w:rFonts w:hAnsi="標楷體" w:hint="eastAsia"/>
          <w:snapToGrid/>
        </w:rPr>
        <w:t>，</w:t>
      </w:r>
      <w:r w:rsidRPr="003C18C3">
        <w:rPr>
          <w:rFonts w:hint="eastAsia"/>
          <w:snapToGrid/>
        </w:rPr>
        <w:t>低於固定資本消耗之2</w:t>
      </w:r>
      <w:r>
        <w:rPr>
          <w:rFonts w:hint="eastAsia"/>
          <w:snapToGrid/>
        </w:rPr>
        <w:t>5.40</w:t>
      </w:r>
      <w:r w:rsidRPr="003C18C3">
        <w:rPr>
          <w:rFonts w:hint="eastAsia"/>
          <w:snapToGrid/>
        </w:rPr>
        <w:t>%(詳表</w:t>
      </w:r>
      <w:r w:rsidRPr="003C18C3">
        <w:rPr>
          <w:snapToGrid/>
        </w:rPr>
        <w:t>1</w:t>
      </w:r>
      <w:r w:rsidRPr="003C18C3">
        <w:rPr>
          <w:rFonts w:hint="eastAsia"/>
          <w:snapToGrid/>
        </w:rPr>
        <w:t>)，</w:t>
      </w:r>
      <w:r w:rsidRPr="006268F1">
        <w:rPr>
          <w:rFonts w:hint="eastAsia"/>
          <w:snapToGrid/>
        </w:rPr>
        <w:t>究其原因或係科技進步促使自動化生產與資本擴充</w:t>
      </w:r>
      <w:r w:rsidRPr="006268F1">
        <w:rPr>
          <w:rFonts w:hAnsi="標楷體" w:hint="eastAsia"/>
          <w:snapToGrid/>
        </w:rPr>
        <w:t>，</w:t>
      </w:r>
      <w:r w:rsidRPr="006268F1">
        <w:rPr>
          <w:rFonts w:hint="eastAsia"/>
          <w:snapToGrid/>
        </w:rPr>
        <w:t>致其對低技術之勞工需求減少</w:t>
      </w:r>
      <w:r w:rsidRPr="006268F1">
        <w:rPr>
          <w:rFonts w:hAnsi="標楷體" w:hint="eastAsia"/>
          <w:snapToGrid/>
        </w:rPr>
        <w:t>，</w:t>
      </w:r>
      <w:r w:rsidRPr="006268F1">
        <w:rPr>
          <w:rFonts w:hint="eastAsia"/>
          <w:snapToGrid/>
        </w:rPr>
        <w:t>及公司治理追求股東價值極大化等因素所致</w:t>
      </w:r>
      <w:r w:rsidRPr="006268F1">
        <w:rPr>
          <w:rStyle w:val="af4"/>
        </w:rPr>
        <w:footnoteReference w:id="3"/>
      </w:r>
      <w:r w:rsidRPr="006268F1">
        <w:rPr>
          <w:rFonts w:hAnsi="標楷體" w:hint="eastAsia"/>
          <w:snapToGrid/>
        </w:rPr>
        <w:t>；</w:t>
      </w:r>
      <w:r w:rsidRPr="003C18C3">
        <w:rPr>
          <w:rFonts w:hint="eastAsia"/>
          <w:snapToGrid/>
        </w:rPr>
        <w:t>而近5年GDP增加最多之服務業，其雖屬勞力密集產業</w:t>
      </w:r>
      <w:r w:rsidRPr="003C18C3">
        <w:rPr>
          <w:rFonts w:hAnsi="標楷體" w:hint="eastAsia"/>
          <w:snapToGrid/>
        </w:rPr>
        <w:t>，</w:t>
      </w:r>
      <w:r w:rsidRPr="003C18C3">
        <w:rPr>
          <w:rFonts w:hint="eastAsia"/>
          <w:snapToGrid/>
        </w:rPr>
        <w:t>然所增GDP分配予受僱人員報酬</w:t>
      </w:r>
      <w:r>
        <w:rPr>
          <w:rFonts w:hint="eastAsia"/>
          <w:snapToGrid/>
        </w:rPr>
        <w:t>(</w:t>
      </w:r>
      <w:r w:rsidRPr="003C18C3">
        <w:rPr>
          <w:rFonts w:hint="eastAsia"/>
          <w:snapToGrid/>
        </w:rPr>
        <w:t>占</w:t>
      </w:r>
      <w:r>
        <w:rPr>
          <w:rFonts w:hint="eastAsia"/>
          <w:snapToGrid/>
        </w:rPr>
        <w:t>比</w:t>
      </w:r>
      <w:r w:rsidRPr="003C18C3">
        <w:rPr>
          <w:rFonts w:hint="eastAsia"/>
          <w:snapToGrid/>
        </w:rPr>
        <w:t>3</w:t>
      </w:r>
      <w:r>
        <w:rPr>
          <w:rFonts w:hint="eastAsia"/>
          <w:snapToGrid/>
        </w:rPr>
        <w:t>8.23</w:t>
      </w:r>
      <w:r w:rsidRPr="003C18C3">
        <w:rPr>
          <w:rFonts w:hint="eastAsia"/>
          <w:snapToGrid/>
        </w:rPr>
        <w:t>%</w:t>
      </w:r>
      <w:r>
        <w:rPr>
          <w:rFonts w:hint="eastAsia"/>
          <w:snapToGrid/>
        </w:rPr>
        <w:t>)</w:t>
      </w:r>
      <w:r w:rsidRPr="003C18C3">
        <w:rPr>
          <w:rFonts w:hint="eastAsia"/>
          <w:snapToGrid/>
        </w:rPr>
        <w:t>，</w:t>
      </w:r>
      <w:r>
        <w:rPr>
          <w:rFonts w:hint="eastAsia"/>
          <w:snapToGrid/>
        </w:rPr>
        <w:t>僅略高於</w:t>
      </w:r>
      <w:r w:rsidRPr="003C18C3">
        <w:rPr>
          <w:rFonts w:hint="eastAsia"/>
          <w:snapToGrid/>
        </w:rPr>
        <w:t>分配予營業盈餘</w:t>
      </w:r>
      <w:r>
        <w:rPr>
          <w:rFonts w:hint="eastAsia"/>
          <w:snapToGrid/>
        </w:rPr>
        <w:t>(36.45</w:t>
      </w:r>
      <w:r w:rsidRPr="003C18C3">
        <w:rPr>
          <w:rFonts w:hint="eastAsia"/>
          <w:snapToGrid/>
        </w:rPr>
        <w:t>%</w:t>
      </w:r>
      <w:r>
        <w:rPr>
          <w:rFonts w:hint="eastAsia"/>
          <w:snapToGrid/>
        </w:rPr>
        <w:t>)1.78個百分點</w:t>
      </w:r>
      <w:r w:rsidRPr="003C18C3">
        <w:rPr>
          <w:rFonts w:hint="eastAsia"/>
          <w:snapToGrid/>
        </w:rPr>
        <w:t>，凸顯近年無論係資本密集抑或是勞力密集產業</w:t>
      </w:r>
      <w:r w:rsidRPr="003C18C3">
        <w:rPr>
          <w:rFonts w:hAnsi="標楷體" w:hint="eastAsia"/>
          <w:snapToGrid/>
        </w:rPr>
        <w:t>，</w:t>
      </w:r>
      <w:r w:rsidRPr="003C18C3">
        <w:rPr>
          <w:rFonts w:hint="eastAsia"/>
          <w:snapToGrid/>
        </w:rPr>
        <w:t>我國GDP增長成果主要仍分配予企業主及股東。</w:t>
      </w:r>
    </w:p>
    <w:p w:rsidR="00E0237E" w:rsidRPr="003C18C3" w:rsidRDefault="00E0237E" w:rsidP="007668ED">
      <w:pPr>
        <w:pStyle w:val="a5"/>
        <w:ind w:left="849" w:hanging="283"/>
        <w:rPr>
          <w:b/>
          <w:snapToGrid/>
        </w:rPr>
      </w:pPr>
      <w:r w:rsidRPr="003C18C3">
        <w:rPr>
          <w:rFonts w:hint="eastAsia"/>
          <w:b/>
          <w:snapToGrid/>
        </w:rPr>
        <w:t>(三)近5年我國經濟表現多優於美日韓等3國</w:t>
      </w:r>
      <w:r w:rsidRPr="003C18C3">
        <w:rPr>
          <w:rFonts w:hAnsi="標楷體" w:hint="eastAsia"/>
          <w:b/>
          <w:snapToGrid/>
        </w:rPr>
        <w:t>，惟各年度</w:t>
      </w:r>
      <w:r w:rsidRPr="003C18C3">
        <w:rPr>
          <w:rFonts w:hint="eastAsia"/>
          <w:b/>
          <w:snapToGrid/>
        </w:rPr>
        <w:t>GDP分配予受僱人員報酬份額卻低於該3國</w:t>
      </w:r>
      <w:r w:rsidRPr="003C18C3">
        <w:rPr>
          <w:rFonts w:hAnsi="標楷體" w:hint="eastAsia"/>
          <w:b/>
          <w:snapToGrid/>
        </w:rPr>
        <w:t>，顯示我國</w:t>
      </w:r>
      <w:r w:rsidRPr="003C18C3">
        <w:rPr>
          <w:rFonts w:hint="eastAsia"/>
          <w:b/>
          <w:snapToGrid/>
        </w:rPr>
        <w:t>勞工可分享之經濟成果</w:t>
      </w:r>
      <w:r>
        <w:rPr>
          <w:rFonts w:hint="eastAsia"/>
          <w:b/>
          <w:snapToGrid/>
        </w:rPr>
        <w:t>遠</w:t>
      </w:r>
      <w:r w:rsidRPr="003C18C3">
        <w:rPr>
          <w:rFonts w:hint="eastAsia"/>
          <w:b/>
          <w:snapToGrid/>
        </w:rPr>
        <w:t>不及該等國家</w:t>
      </w:r>
    </w:p>
    <w:p w:rsidR="00E0237E" w:rsidRPr="0050183A" w:rsidRDefault="00E0237E" w:rsidP="007668ED">
      <w:pPr>
        <w:pStyle w:val="21"/>
        <w:ind w:left="850" w:firstLine="566"/>
        <w:rPr>
          <w:snapToGrid/>
          <w:color w:val="0070C0"/>
        </w:rPr>
      </w:pPr>
      <w:r w:rsidRPr="003C18C3">
        <w:rPr>
          <w:rFonts w:hint="eastAsia"/>
          <w:snapToGrid/>
        </w:rPr>
        <w:lastRenderedPageBreak/>
        <w:t>經彙整IMF、行政院主計總處、美國商務部經濟分析局、</w:t>
      </w:r>
      <w:r w:rsidRPr="00566609">
        <w:rPr>
          <w:rFonts w:hint="eastAsia"/>
          <w:snapToGrid/>
        </w:rPr>
        <w:t>日本內閣府及韓國銀行公布之統計資料(詳表2)，201</w:t>
      </w:r>
      <w:r>
        <w:rPr>
          <w:rFonts w:hint="eastAsia"/>
          <w:snapToGrid/>
        </w:rPr>
        <w:t>9</w:t>
      </w:r>
      <w:r w:rsidRPr="00566609">
        <w:rPr>
          <w:rFonts w:hint="eastAsia"/>
          <w:snapToGrid/>
        </w:rPr>
        <w:t>至202</w:t>
      </w:r>
      <w:r>
        <w:rPr>
          <w:rFonts w:hint="eastAsia"/>
          <w:snapToGrid/>
        </w:rPr>
        <w:t>3</w:t>
      </w:r>
      <w:r w:rsidRPr="00566609">
        <w:rPr>
          <w:rFonts w:hint="eastAsia"/>
          <w:snapToGrid/>
        </w:rPr>
        <w:t>年5年間，我國經濟成長率除</w:t>
      </w:r>
      <w:r w:rsidRPr="00566609">
        <w:rPr>
          <w:rFonts w:hAnsi="標楷體" w:hint="eastAsia"/>
          <w:snapToGrid/>
        </w:rPr>
        <w:t>2022年為2.</w:t>
      </w:r>
      <w:r>
        <w:rPr>
          <w:rFonts w:hAnsi="標楷體" w:hint="eastAsia"/>
          <w:snapToGrid/>
        </w:rPr>
        <w:t>68</w:t>
      </w:r>
      <w:r w:rsidRPr="00566609">
        <w:rPr>
          <w:rFonts w:hAnsi="標楷體" w:hint="eastAsia"/>
          <w:snapToGrid/>
        </w:rPr>
        <w:t>%略低於韓國之2.</w:t>
      </w:r>
      <w:r>
        <w:rPr>
          <w:rFonts w:hAnsi="標楷體" w:hint="eastAsia"/>
          <w:snapToGrid/>
        </w:rPr>
        <w:t>73</w:t>
      </w:r>
      <w:r w:rsidRPr="00566609">
        <w:rPr>
          <w:rFonts w:hAnsi="標楷體" w:hint="eastAsia"/>
          <w:snapToGrid/>
        </w:rPr>
        <w:t>%</w:t>
      </w:r>
      <w:r>
        <w:rPr>
          <w:rFonts w:hAnsi="標楷體" w:hint="eastAsia"/>
          <w:snapToGrid/>
        </w:rPr>
        <w:t>，</w:t>
      </w:r>
      <w:r w:rsidRPr="00566609">
        <w:rPr>
          <w:rFonts w:hAnsi="標楷體" w:hint="eastAsia"/>
          <w:snapToGrid/>
        </w:rPr>
        <w:t>及</w:t>
      </w:r>
      <w:r w:rsidRPr="00566609">
        <w:rPr>
          <w:rFonts w:hint="eastAsia"/>
          <w:snapToGrid/>
        </w:rPr>
        <w:t>20</w:t>
      </w:r>
      <w:r>
        <w:rPr>
          <w:rFonts w:hint="eastAsia"/>
          <w:snapToGrid/>
        </w:rPr>
        <w:t>23</w:t>
      </w:r>
      <w:r w:rsidRPr="00566609">
        <w:rPr>
          <w:rFonts w:hint="eastAsia"/>
          <w:snapToGrid/>
        </w:rPr>
        <w:t>年為</w:t>
      </w:r>
      <w:r>
        <w:rPr>
          <w:rFonts w:hint="eastAsia"/>
          <w:snapToGrid/>
        </w:rPr>
        <w:t>1.12</w:t>
      </w:r>
      <w:r w:rsidRPr="00566609">
        <w:rPr>
          <w:rFonts w:hint="eastAsia"/>
          <w:snapToGrid/>
        </w:rPr>
        <w:t>%，低於美國之2.</w:t>
      </w:r>
      <w:r>
        <w:rPr>
          <w:rFonts w:hint="eastAsia"/>
          <w:snapToGrid/>
        </w:rPr>
        <w:t>8</w:t>
      </w:r>
      <w:r w:rsidRPr="00566609">
        <w:rPr>
          <w:rFonts w:hint="eastAsia"/>
          <w:snapToGrid/>
        </w:rPr>
        <w:t>9%</w:t>
      </w:r>
      <w:r>
        <w:rPr>
          <w:rFonts w:hint="eastAsia"/>
          <w:snapToGrid/>
        </w:rPr>
        <w:t>、日本之1.49%</w:t>
      </w:r>
      <w:r w:rsidRPr="00566609">
        <w:rPr>
          <w:rFonts w:hint="eastAsia"/>
          <w:snapToGrid/>
        </w:rPr>
        <w:t>與韓國之</w:t>
      </w:r>
      <w:r>
        <w:rPr>
          <w:rFonts w:hint="eastAsia"/>
          <w:snapToGrid/>
        </w:rPr>
        <w:t>1.40</w:t>
      </w:r>
      <w:r w:rsidRPr="00566609">
        <w:rPr>
          <w:rFonts w:hint="eastAsia"/>
          <w:snapToGrid/>
        </w:rPr>
        <w:t>%外，我國經濟表現大多優於美、日、韓等3國，甚且於2020年受COVID-19疫情影響，當該3國經濟均呈負成長之際，我國仍有3.</w:t>
      </w:r>
      <w:r>
        <w:rPr>
          <w:rFonts w:hint="eastAsia"/>
          <w:snapToGrid/>
        </w:rPr>
        <w:t>42</w:t>
      </w:r>
      <w:r w:rsidRPr="00566609">
        <w:rPr>
          <w:rFonts w:hint="eastAsia"/>
          <w:snapToGrid/>
        </w:rPr>
        <w:t>%之經濟成長率，表現不俗；然再觀各國GDP之分配情況，我國分配予受僱人員報酬之比率均為4國之末，尤以2020年我國經濟成長率表現遠高於其他3國，惟受僱人員報酬所分配之占比(4</w:t>
      </w:r>
      <w:r>
        <w:rPr>
          <w:rFonts w:hint="eastAsia"/>
          <w:snapToGrid/>
        </w:rPr>
        <w:t>5.1</w:t>
      </w:r>
      <w:r w:rsidRPr="00566609">
        <w:rPr>
          <w:rFonts w:hint="eastAsia"/>
          <w:snapToGrid/>
        </w:rPr>
        <w:t>%)卻遠低於經濟成長率分別為-4.1</w:t>
      </w:r>
      <w:r>
        <w:rPr>
          <w:rFonts w:hint="eastAsia"/>
          <w:snapToGrid/>
        </w:rPr>
        <w:t>7</w:t>
      </w:r>
      <w:r w:rsidRPr="00566609">
        <w:rPr>
          <w:rFonts w:hint="eastAsia"/>
          <w:snapToGrid/>
        </w:rPr>
        <w:t>%與-2.1</w:t>
      </w:r>
      <w:r>
        <w:rPr>
          <w:rFonts w:hint="eastAsia"/>
          <w:snapToGrid/>
        </w:rPr>
        <w:t>6</w:t>
      </w:r>
      <w:r w:rsidRPr="00566609">
        <w:rPr>
          <w:rFonts w:hint="eastAsia"/>
          <w:snapToGrid/>
        </w:rPr>
        <w:t>%之日本(52.5%)及美國(54.</w:t>
      </w:r>
      <w:r>
        <w:rPr>
          <w:rFonts w:hint="eastAsia"/>
          <w:snapToGrid/>
        </w:rPr>
        <w:t>3</w:t>
      </w:r>
      <w:r w:rsidRPr="00566609">
        <w:rPr>
          <w:rFonts w:hint="eastAsia"/>
          <w:snapToGrid/>
        </w:rPr>
        <w:t>%)，顯示我國受僱員工分享到經濟成長之成果</w:t>
      </w:r>
      <w:r>
        <w:rPr>
          <w:rFonts w:hint="eastAsia"/>
          <w:snapToGrid/>
        </w:rPr>
        <w:t>不及</w:t>
      </w:r>
      <w:r w:rsidRPr="00566609">
        <w:rPr>
          <w:rFonts w:hint="eastAsia"/>
          <w:snapToGrid/>
        </w:rPr>
        <w:t>美、日、韓等3國。</w:t>
      </w:r>
    </w:p>
    <w:p w:rsidR="00E0237E" w:rsidRPr="000D1876" w:rsidRDefault="00E0237E" w:rsidP="007668ED">
      <w:pPr>
        <w:pStyle w:val="200"/>
        <w:ind w:leftChars="-25" w:left="629" w:hangingChars="247" w:hanging="700"/>
        <w:jc w:val="both"/>
        <w:rPr>
          <w:snapToGrid/>
          <w:szCs w:val="24"/>
        </w:rPr>
      </w:pPr>
      <w:r w:rsidRPr="000D1876">
        <w:rPr>
          <w:rFonts w:hint="eastAsia"/>
          <w:b/>
          <w:snapToGrid/>
          <w:sz w:val="28"/>
        </w:rPr>
        <w:t>表2  2</w:t>
      </w:r>
      <w:r w:rsidRPr="000D1876">
        <w:rPr>
          <w:b/>
          <w:snapToGrid/>
          <w:sz w:val="28"/>
        </w:rPr>
        <w:t>01</w:t>
      </w:r>
      <w:r>
        <w:rPr>
          <w:rFonts w:hint="eastAsia"/>
          <w:b/>
          <w:snapToGrid/>
          <w:sz w:val="28"/>
        </w:rPr>
        <w:t>9</w:t>
      </w:r>
      <w:r w:rsidRPr="000D1876">
        <w:rPr>
          <w:rFonts w:hint="eastAsia"/>
          <w:b/>
          <w:snapToGrid/>
          <w:sz w:val="28"/>
        </w:rPr>
        <w:t>至202</w:t>
      </w:r>
      <w:r>
        <w:rPr>
          <w:rFonts w:hint="eastAsia"/>
          <w:b/>
          <w:snapToGrid/>
          <w:sz w:val="28"/>
        </w:rPr>
        <w:t>3</w:t>
      </w:r>
      <w:r w:rsidRPr="000D1876">
        <w:rPr>
          <w:rFonts w:hint="eastAsia"/>
          <w:b/>
          <w:snapToGrid/>
          <w:sz w:val="28"/>
        </w:rPr>
        <w:t>年我國</w:t>
      </w:r>
      <w:r w:rsidRPr="000D1876">
        <w:rPr>
          <w:rFonts w:hAnsi="標楷體" w:hint="eastAsia"/>
          <w:b/>
          <w:snapToGrid/>
          <w:sz w:val="28"/>
        </w:rPr>
        <w:t>、</w:t>
      </w:r>
      <w:r w:rsidRPr="000D1876">
        <w:rPr>
          <w:rFonts w:hint="eastAsia"/>
          <w:b/>
          <w:snapToGrid/>
          <w:sz w:val="28"/>
        </w:rPr>
        <w:t>美國</w:t>
      </w:r>
      <w:r w:rsidRPr="000D1876">
        <w:rPr>
          <w:rFonts w:hAnsi="標楷體" w:hint="eastAsia"/>
          <w:b/>
          <w:snapToGrid/>
          <w:sz w:val="28"/>
        </w:rPr>
        <w:t>、</w:t>
      </w:r>
      <w:r w:rsidRPr="000D1876">
        <w:rPr>
          <w:rFonts w:hint="eastAsia"/>
          <w:b/>
          <w:snapToGrid/>
          <w:sz w:val="28"/>
        </w:rPr>
        <w:t>日本及韓國各年度經濟成長率及GDP分配予受僱人員報酬占比概況表</w:t>
      </w:r>
      <w:r w:rsidRPr="000D1876">
        <w:rPr>
          <w:rFonts w:hint="eastAsia"/>
          <w:snapToGrid/>
        </w:rPr>
        <w:t xml:space="preserve">                     </w:t>
      </w:r>
      <w:r w:rsidRPr="000D1876">
        <w:rPr>
          <w:rFonts w:hint="eastAsia"/>
          <w:snapToGrid/>
          <w:szCs w:val="24"/>
        </w:rPr>
        <w:t>單位</w:t>
      </w:r>
      <w:r w:rsidRPr="000D1876">
        <w:rPr>
          <w:rFonts w:hAnsi="標楷體" w:hint="eastAsia"/>
          <w:snapToGrid/>
          <w:szCs w:val="24"/>
        </w:rPr>
        <w:t>：</w:t>
      </w:r>
      <w:r w:rsidRPr="000D1876">
        <w:rPr>
          <w:rFonts w:hint="eastAsia"/>
          <w:snapToGrid/>
          <w:szCs w:val="24"/>
        </w:rPr>
        <w:t>%</w:t>
      </w:r>
    </w:p>
    <w:tbl>
      <w:tblPr>
        <w:tblW w:w="0" w:type="auto"/>
        <w:tblInd w:w="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0"/>
        <w:gridCol w:w="868"/>
        <w:gridCol w:w="1124"/>
        <w:gridCol w:w="822"/>
        <w:gridCol w:w="1036"/>
        <w:gridCol w:w="896"/>
        <w:gridCol w:w="1063"/>
        <w:gridCol w:w="994"/>
        <w:gridCol w:w="1165"/>
      </w:tblGrid>
      <w:tr w:rsidR="00E0237E" w:rsidRPr="000D1876" w:rsidTr="007668ED">
        <w:trPr>
          <w:tblHeader/>
        </w:trPr>
        <w:tc>
          <w:tcPr>
            <w:tcW w:w="700" w:type="dxa"/>
            <w:vMerge w:val="restart"/>
            <w:shd w:val="clear" w:color="auto" w:fill="auto"/>
            <w:vAlign w:val="center"/>
          </w:tcPr>
          <w:p w:rsidR="00E0237E" w:rsidRPr="000D1876" w:rsidRDefault="00E0237E" w:rsidP="007668ED">
            <w:pPr>
              <w:spacing w:line="280" w:lineRule="exact"/>
              <w:ind w:leftChars="0" w:left="0" w:firstLineChars="0" w:firstLine="0"/>
              <w:jc w:val="center"/>
              <w:rPr>
                <w:rFonts w:hAnsi="標楷體"/>
                <w:b/>
                <w:snapToGrid/>
                <w:spacing w:val="-20"/>
                <w:sz w:val="24"/>
                <w:szCs w:val="24"/>
              </w:rPr>
            </w:pPr>
            <w:r w:rsidRPr="000D1876">
              <w:rPr>
                <w:rFonts w:hAnsi="標楷體" w:hint="eastAsia"/>
                <w:b/>
                <w:snapToGrid/>
                <w:spacing w:val="-20"/>
                <w:sz w:val="24"/>
                <w:szCs w:val="24"/>
              </w:rPr>
              <w:t>年度</w:t>
            </w:r>
          </w:p>
        </w:tc>
        <w:tc>
          <w:tcPr>
            <w:tcW w:w="1992" w:type="dxa"/>
            <w:gridSpan w:val="2"/>
          </w:tcPr>
          <w:p w:rsidR="00E0237E" w:rsidRPr="000D1876" w:rsidRDefault="00E0237E" w:rsidP="007668ED">
            <w:pPr>
              <w:spacing w:line="280" w:lineRule="exact"/>
              <w:ind w:leftChars="0" w:left="0" w:firstLineChars="0" w:firstLine="0"/>
              <w:jc w:val="center"/>
              <w:rPr>
                <w:rFonts w:hAnsi="標楷體"/>
                <w:b/>
                <w:snapToGrid/>
                <w:spacing w:val="-20"/>
                <w:sz w:val="24"/>
                <w:szCs w:val="24"/>
              </w:rPr>
            </w:pPr>
            <w:r w:rsidRPr="000D1876">
              <w:rPr>
                <w:rFonts w:hAnsi="標楷體" w:hint="eastAsia"/>
                <w:b/>
                <w:snapToGrid/>
                <w:spacing w:val="-20"/>
                <w:sz w:val="24"/>
                <w:szCs w:val="24"/>
              </w:rPr>
              <w:t>臺  灣</w:t>
            </w:r>
          </w:p>
        </w:tc>
        <w:tc>
          <w:tcPr>
            <w:tcW w:w="1858" w:type="dxa"/>
            <w:gridSpan w:val="2"/>
          </w:tcPr>
          <w:p w:rsidR="00E0237E" w:rsidRPr="000D1876" w:rsidRDefault="00E0237E" w:rsidP="007668ED">
            <w:pPr>
              <w:spacing w:line="280" w:lineRule="exact"/>
              <w:ind w:leftChars="0" w:left="0" w:firstLineChars="0" w:firstLine="0"/>
              <w:jc w:val="center"/>
              <w:rPr>
                <w:rFonts w:hAnsi="標楷體"/>
                <w:b/>
                <w:snapToGrid/>
                <w:spacing w:val="-20"/>
                <w:sz w:val="24"/>
                <w:szCs w:val="24"/>
              </w:rPr>
            </w:pPr>
            <w:r w:rsidRPr="000D1876">
              <w:rPr>
                <w:rFonts w:hAnsi="標楷體" w:hint="eastAsia"/>
                <w:b/>
                <w:snapToGrid/>
                <w:spacing w:val="-20"/>
                <w:sz w:val="24"/>
                <w:szCs w:val="24"/>
              </w:rPr>
              <w:t>美  國</w:t>
            </w:r>
          </w:p>
        </w:tc>
        <w:tc>
          <w:tcPr>
            <w:tcW w:w="1959" w:type="dxa"/>
            <w:gridSpan w:val="2"/>
          </w:tcPr>
          <w:p w:rsidR="00E0237E" w:rsidRPr="000D1876" w:rsidRDefault="00E0237E" w:rsidP="007668ED">
            <w:pPr>
              <w:spacing w:line="280" w:lineRule="exact"/>
              <w:ind w:leftChars="0" w:left="0" w:firstLineChars="0" w:firstLine="0"/>
              <w:jc w:val="center"/>
              <w:rPr>
                <w:rFonts w:hAnsi="標楷體"/>
                <w:b/>
                <w:snapToGrid/>
                <w:spacing w:val="-20"/>
                <w:sz w:val="24"/>
                <w:szCs w:val="24"/>
              </w:rPr>
            </w:pPr>
            <w:r w:rsidRPr="000D1876">
              <w:rPr>
                <w:rFonts w:hAnsi="標楷體" w:hint="eastAsia"/>
                <w:b/>
                <w:snapToGrid/>
                <w:spacing w:val="-20"/>
                <w:sz w:val="24"/>
                <w:szCs w:val="24"/>
              </w:rPr>
              <w:t>日  本</w:t>
            </w:r>
          </w:p>
        </w:tc>
        <w:tc>
          <w:tcPr>
            <w:tcW w:w="2159" w:type="dxa"/>
            <w:gridSpan w:val="2"/>
          </w:tcPr>
          <w:p w:rsidR="00E0237E" w:rsidRPr="000D1876" w:rsidRDefault="00E0237E" w:rsidP="007668ED">
            <w:pPr>
              <w:spacing w:line="280" w:lineRule="exact"/>
              <w:ind w:leftChars="0" w:left="0" w:firstLineChars="0" w:firstLine="0"/>
              <w:jc w:val="center"/>
              <w:rPr>
                <w:rFonts w:hAnsi="標楷體"/>
                <w:b/>
                <w:snapToGrid/>
                <w:spacing w:val="-20"/>
                <w:sz w:val="24"/>
                <w:szCs w:val="24"/>
              </w:rPr>
            </w:pPr>
            <w:r w:rsidRPr="000D1876">
              <w:rPr>
                <w:rFonts w:hAnsi="標楷體" w:hint="eastAsia"/>
                <w:b/>
                <w:snapToGrid/>
                <w:spacing w:val="-20"/>
                <w:sz w:val="24"/>
                <w:szCs w:val="24"/>
              </w:rPr>
              <w:t>韓  國</w:t>
            </w:r>
          </w:p>
        </w:tc>
      </w:tr>
      <w:tr w:rsidR="00E0237E" w:rsidRPr="000D1876" w:rsidTr="007668ED">
        <w:trPr>
          <w:tblHeader/>
        </w:trPr>
        <w:tc>
          <w:tcPr>
            <w:tcW w:w="700" w:type="dxa"/>
            <w:vMerge/>
            <w:shd w:val="clear" w:color="auto" w:fill="auto"/>
          </w:tcPr>
          <w:p w:rsidR="00E0237E" w:rsidRPr="000D1876" w:rsidRDefault="00E0237E" w:rsidP="007668ED">
            <w:pPr>
              <w:spacing w:line="280" w:lineRule="exact"/>
              <w:ind w:leftChars="0" w:left="0" w:firstLineChars="0" w:firstLine="0"/>
              <w:jc w:val="center"/>
              <w:rPr>
                <w:rFonts w:hAnsi="標楷體"/>
                <w:b/>
                <w:snapToGrid/>
                <w:spacing w:val="-20"/>
                <w:sz w:val="24"/>
                <w:szCs w:val="24"/>
              </w:rPr>
            </w:pPr>
          </w:p>
        </w:tc>
        <w:tc>
          <w:tcPr>
            <w:tcW w:w="868" w:type="dxa"/>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經濟</w:t>
            </w:r>
          </w:p>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成長率</w:t>
            </w:r>
          </w:p>
        </w:tc>
        <w:tc>
          <w:tcPr>
            <w:tcW w:w="1124" w:type="dxa"/>
            <w:shd w:val="clear" w:color="auto" w:fill="auto"/>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受僱人員報酬分配占比</w:t>
            </w:r>
          </w:p>
        </w:tc>
        <w:tc>
          <w:tcPr>
            <w:tcW w:w="822" w:type="dxa"/>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經濟</w:t>
            </w:r>
          </w:p>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成長率</w:t>
            </w:r>
          </w:p>
        </w:tc>
        <w:tc>
          <w:tcPr>
            <w:tcW w:w="1036" w:type="dxa"/>
            <w:shd w:val="clear" w:color="auto" w:fill="auto"/>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受僱人員報酬分配占比</w:t>
            </w:r>
          </w:p>
        </w:tc>
        <w:tc>
          <w:tcPr>
            <w:tcW w:w="896" w:type="dxa"/>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經濟</w:t>
            </w:r>
          </w:p>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成長率</w:t>
            </w:r>
          </w:p>
        </w:tc>
        <w:tc>
          <w:tcPr>
            <w:tcW w:w="1063" w:type="dxa"/>
            <w:shd w:val="clear" w:color="auto" w:fill="auto"/>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受僱人員報酬分配占比</w:t>
            </w:r>
          </w:p>
        </w:tc>
        <w:tc>
          <w:tcPr>
            <w:tcW w:w="994" w:type="dxa"/>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經濟</w:t>
            </w:r>
          </w:p>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成長率</w:t>
            </w:r>
          </w:p>
        </w:tc>
        <w:tc>
          <w:tcPr>
            <w:tcW w:w="1165" w:type="dxa"/>
            <w:shd w:val="clear" w:color="auto" w:fill="auto"/>
          </w:tcPr>
          <w:p w:rsidR="00E0237E" w:rsidRPr="000D1876" w:rsidRDefault="00E0237E" w:rsidP="007668ED">
            <w:pPr>
              <w:spacing w:line="280" w:lineRule="exact"/>
              <w:ind w:leftChars="-22" w:left="-51" w:rightChars="-13" w:right="-37" w:hangingChars="6" w:hanging="11"/>
              <w:jc w:val="center"/>
              <w:rPr>
                <w:rFonts w:hAnsi="標楷體"/>
                <w:b/>
                <w:snapToGrid/>
                <w:spacing w:val="-20"/>
                <w:w w:val="90"/>
                <w:sz w:val="24"/>
                <w:szCs w:val="24"/>
              </w:rPr>
            </w:pPr>
            <w:r w:rsidRPr="000D1876">
              <w:rPr>
                <w:rFonts w:hAnsi="標楷體" w:hint="eastAsia"/>
                <w:b/>
                <w:snapToGrid/>
                <w:spacing w:val="-20"/>
                <w:w w:val="90"/>
                <w:sz w:val="24"/>
                <w:szCs w:val="24"/>
              </w:rPr>
              <w:t>受僱人員報酬分配占比</w:t>
            </w:r>
          </w:p>
        </w:tc>
      </w:tr>
      <w:tr w:rsidR="00E0237E" w:rsidRPr="000D1876" w:rsidTr="007668ED">
        <w:tc>
          <w:tcPr>
            <w:tcW w:w="700" w:type="dxa"/>
            <w:shd w:val="clear" w:color="auto" w:fill="auto"/>
          </w:tcPr>
          <w:p w:rsidR="00E0237E" w:rsidRPr="000D1876" w:rsidRDefault="00E0237E" w:rsidP="007668ED">
            <w:pPr>
              <w:spacing w:line="280" w:lineRule="exact"/>
              <w:ind w:leftChars="0" w:left="0" w:firstLineChars="0" w:firstLine="0"/>
              <w:jc w:val="center"/>
              <w:rPr>
                <w:rFonts w:hAnsi="標楷體"/>
                <w:snapToGrid/>
                <w:spacing w:val="-20"/>
                <w:sz w:val="24"/>
                <w:szCs w:val="24"/>
              </w:rPr>
            </w:pPr>
            <w:r w:rsidRPr="000D1876">
              <w:rPr>
                <w:rFonts w:hAnsi="標楷體" w:hint="eastAsia"/>
                <w:snapToGrid/>
                <w:spacing w:val="-20"/>
                <w:sz w:val="24"/>
                <w:szCs w:val="24"/>
              </w:rPr>
              <w:t>2019</w:t>
            </w:r>
          </w:p>
        </w:tc>
        <w:tc>
          <w:tcPr>
            <w:tcW w:w="868"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3.06</w:t>
            </w:r>
          </w:p>
        </w:tc>
        <w:tc>
          <w:tcPr>
            <w:tcW w:w="1124"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46.</w:t>
            </w:r>
            <w:r>
              <w:rPr>
                <w:rFonts w:hAnsi="標楷體" w:hint="eastAsia"/>
                <w:snapToGrid/>
                <w:spacing w:val="-20"/>
                <w:sz w:val="24"/>
                <w:szCs w:val="24"/>
              </w:rPr>
              <w:t>4</w:t>
            </w:r>
          </w:p>
        </w:tc>
        <w:tc>
          <w:tcPr>
            <w:tcW w:w="822"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2.</w:t>
            </w:r>
            <w:r>
              <w:rPr>
                <w:rFonts w:hAnsi="標楷體" w:hint="eastAsia"/>
                <w:snapToGrid/>
                <w:spacing w:val="-20"/>
                <w:sz w:val="24"/>
                <w:szCs w:val="24"/>
              </w:rPr>
              <w:t>58</w:t>
            </w:r>
          </w:p>
        </w:tc>
        <w:tc>
          <w:tcPr>
            <w:tcW w:w="1036"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53.</w:t>
            </w:r>
            <w:r>
              <w:rPr>
                <w:rFonts w:hAnsi="標楷體" w:hint="eastAsia"/>
                <w:snapToGrid/>
                <w:spacing w:val="-20"/>
                <w:sz w:val="24"/>
                <w:szCs w:val="24"/>
              </w:rPr>
              <w:t>3</w:t>
            </w:r>
          </w:p>
        </w:tc>
        <w:tc>
          <w:tcPr>
            <w:tcW w:w="896"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-0.40</w:t>
            </w:r>
          </w:p>
        </w:tc>
        <w:tc>
          <w:tcPr>
            <w:tcW w:w="1063"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51.4</w:t>
            </w:r>
          </w:p>
        </w:tc>
        <w:tc>
          <w:tcPr>
            <w:tcW w:w="994"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2.</w:t>
            </w:r>
            <w:r>
              <w:rPr>
                <w:rFonts w:hAnsi="標楷體" w:hint="eastAsia"/>
                <w:snapToGrid/>
                <w:spacing w:val="-20"/>
                <w:sz w:val="24"/>
                <w:szCs w:val="24"/>
              </w:rPr>
              <w:t>31</w:t>
            </w:r>
          </w:p>
        </w:tc>
        <w:tc>
          <w:tcPr>
            <w:tcW w:w="1165"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sidRPr="000D1876">
              <w:rPr>
                <w:rFonts w:hAnsi="標楷體"/>
                <w:snapToGrid/>
                <w:spacing w:val="-20"/>
                <w:sz w:val="24"/>
                <w:szCs w:val="24"/>
              </w:rPr>
              <w:t>6</w:t>
            </w:r>
            <w:r w:rsidRPr="000D1876">
              <w:rPr>
                <w:rFonts w:hAnsi="標楷體" w:hint="eastAsia"/>
                <w:snapToGrid/>
                <w:spacing w:val="-20"/>
                <w:sz w:val="24"/>
                <w:szCs w:val="24"/>
              </w:rPr>
              <w:t>.</w:t>
            </w:r>
            <w:r w:rsidRPr="000D1876">
              <w:rPr>
                <w:rFonts w:hAnsi="標楷體"/>
                <w:snapToGrid/>
                <w:spacing w:val="-20"/>
                <w:sz w:val="24"/>
                <w:szCs w:val="24"/>
              </w:rPr>
              <w:t>7</w:t>
            </w:r>
          </w:p>
        </w:tc>
      </w:tr>
      <w:tr w:rsidR="00E0237E" w:rsidRPr="000D1876" w:rsidTr="007668ED">
        <w:tc>
          <w:tcPr>
            <w:tcW w:w="700" w:type="dxa"/>
            <w:shd w:val="clear" w:color="auto" w:fill="auto"/>
          </w:tcPr>
          <w:p w:rsidR="00E0237E" w:rsidRPr="000D1876" w:rsidRDefault="00E0237E" w:rsidP="007668ED">
            <w:pPr>
              <w:spacing w:line="280" w:lineRule="exact"/>
              <w:ind w:leftChars="0" w:left="0" w:firstLineChars="0" w:firstLine="0"/>
              <w:jc w:val="center"/>
              <w:rPr>
                <w:rFonts w:hAnsi="標楷體"/>
                <w:snapToGrid/>
                <w:spacing w:val="-20"/>
                <w:sz w:val="24"/>
                <w:szCs w:val="24"/>
              </w:rPr>
            </w:pPr>
            <w:r w:rsidRPr="000D1876">
              <w:rPr>
                <w:rFonts w:hAnsi="標楷體" w:hint="eastAsia"/>
                <w:snapToGrid/>
                <w:spacing w:val="-20"/>
                <w:sz w:val="24"/>
                <w:szCs w:val="24"/>
              </w:rPr>
              <w:t>2020</w:t>
            </w:r>
          </w:p>
        </w:tc>
        <w:tc>
          <w:tcPr>
            <w:tcW w:w="868"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3.</w:t>
            </w:r>
            <w:r>
              <w:rPr>
                <w:rFonts w:hAnsi="標楷體" w:hint="eastAsia"/>
                <w:snapToGrid/>
                <w:spacing w:val="-20"/>
                <w:sz w:val="24"/>
                <w:szCs w:val="24"/>
              </w:rPr>
              <w:t>42</w:t>
            </w:r>
          </w:p>
        </w:tc>
        <w:tc>
          <w:tcPr>
            <w:tcW w:w="1124"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Pr>
                <w:rFonts w:hAnsi="標楷體" w:hint="eastAsia"/>
                <w:snapToGrid/>
                <w:spacing w:val="-20"/>
                <w:sz w:val="24"/>
                <w:szCs w:val="24"/>
              </w:rPr>
              <w:t>5.1</w:t>
            </w:r>
          </w:p>
        </w:tc>
        <w:tc>
          <w:tcPr>
            <w:tcW w:w="822"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-2.</w:t>
            </w:r>
            <w:r w:rsidRPr="000D1876">
              <w:rPr>
                <w:rFonts w:hAnsi="標楷體"/>
                <w:snapToGrid/>
                <w:spacing w:val="-20"/>
                <w:sz w:val="24"/>
                <w:szCs w:val="24"/>
              </w:rPr>
              <w:t>1</w:t>
            </w:r>
            <w:r>
              <w:rPr>
                <w:rFonts w:hAnsi="標楷體" w:hint="eastAsia"/>
                <w:snapToGrid/>
                <w:spacing w:val="-20"/>
                <w:sz w:val="24"/>
                <w:szCs w:val="24"/>
              </w:rPr>
              <w:t>6</w:t>
            </w:r>
          </w:p>
        </w:tc>
        <w:tc>
          <w:tcPr>
            <w:tcW w:w="1036"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54.</w:t>
            </w:r>
            <w:r>
              <w:rPr>
                <w:rFonts w:hAnsi="標楷體" w:hint="eastAsia"/>
                <w:snapToGrid/>
                <w:spacing w:val="-20"/>
                <w:sz w:val="24"/>
                <w:szCs w:val="24"/>
              </w:rPr>
              <w:t>3</w:t>
            </w:r>
          </w:p>
        </w:tc>
        <w:tc>
          <w:tcPr>
            <w:tcW w:w="896"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sidRPr="000D1876">
              <w:rPr>
                <w:rFonts w:hAnsi="標楷體"/>
                <w:snapToGrid/>
                <w:spacing w:val="-20"/>
                <w:sz w:val="24"/>
                <w:szCs w:val="24"/>
              </w:rPr>
              <w:t>1</w:t>
            </w:r>
            <w:r>
              <w:rPr>
                <w:rFonts w:hAnsi="標楷體" w:hint="eastAsia"/>
                <w:snapToGrid/>
                <w:spacing w:val="-20"/>
                <w:sz w:val="24"/>
                <w:szCs w:val="24"/>
              </w:rPr>
              <w:t>7</w:t>
            </w:r>
          </w:p>
        </w:tc>
        <w:tc>
          <w:tcPr>
            <w:tcW w:w="1063"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52.5</w:t>
            </w:r>
          </w:p>
        </w:tc>
        <w:tc>
          <w:tcPr>
            <w:tcW w:w="994"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-0.7</w:t>
            </w:r>
            <w:r>
              <w:rPr>
                <w:rFonts w:hAnsi="標楷體" w:hint="eastAsia"/>
                <w:snapToGrid/>
                <w:spacing w:val="-20"/>
                <w:sz w:val="24"/>
                <w:szCs w:val="24"/>
              </w:rPr>
              <w:t>0</w:t>
            </w:r>
          </w:p>
        </w:tc>
        <w:tc>
          <w:tcPr>
            <w:tcW w:w="1165"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47.</w:t>
            </w:r>
            <w:r w:rsidRPr="000D1876">
              <w:rPr>
                <w:rFonts w:hAnsi="標楷體"/>
                <w:snapToGrid/>
                <w:spacing w:val="-20"/>
                <w:sz w:val="24"/>
                <w:szCs w:val="24"/>
              </w:rPr>
              <w:t>5</w:t>
            </w:r>
          </w:p>
        </w:tc>
      </w:tr>
      <w:tr w:rsidR="00E0237E" w:rsidRPr="000D1876" w:rsidTr="007668ED">
        <w:tc>
          <w:tcPr>
            <w:tcW w:w="700" w:type="dxa"/>
            <w:shd w:val="clear" w:color="auto" w:fill="auto"/>
          </w:tcPr>
          <w:p w:rsidR="00E0237E" w:rsidRPr="000D1876" w:rsidRDefault="00E0237E" w:rsidP="007668ED">
            <w:pPr>
              <w:spacing w:line="280" w:lineRule="exact"/>
              <w:ind w:leftChars="0" w:left="0" w:firstLineChars="0" w:firstLine="0"/>
              <w:jc w:val="center"/>
              <w:rPr>
                <w:rFonts w:hAnsi="標楷體"/>
                <w:snapToGrid/>
                <w:spacing w:val="-20"/>
                <w:sz w:val="24"/>
                <w:szCs w:val="24"/>
              </w:rPr>
            </w:pPr>
            <w:r w:rsidRPr="000D1876">
              <w:rPr>
                <w:rFonts w:hAnsi="標楷體" w:hint="eastAsia"/>
                <w:snapToGrid/>
                <w:spacing w:val="-20"/>
                <w:sz w:val="24"/>
                <w:szCs w:val="24"/>
              </w:rPr>
              <w:t>2021</w:t>
            </w:r>
          </w:p>
        </w:tc>
        <w:tc>
          <w:tcPr>
            <w:tcW w:w="868"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6.</w:t>
            </w:r>
            <w:r>
              <w:rPr>
                <w:rFonts w:hAnsi="標楷體" w:hint="eastAsia"/>
                <w:snapToGrid/>
                <w:spacing w:val="-20"/>
                <w:sz w:val="24"/>
                <w:szCs w:val="24"/>
              </w:rPr>
              <w:t>7</w:t>
            </w:r>
            <w:r w:rsidRPr="000D1876">
              <w:rPr>
                <w:rFonts w:hAnsi="標楷體"/>
                <w:snapToGrid/>
                <w:spacing w:val="-20"/>
                <w:sz w:val="24"/>
                <w:szCs w:val="24"/>
              </w:rPr>
              <w:t>2</w:t>
            </w:r>
          </w:p>
        </w:tc>
        <w:tc>
          <w:tcPr>
            <w:tcW w:w="1124"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43.</w:t>
            </w:r>
            <w:r>
              <w:rPr>
                <w:rFonts w:hAnsi="標楷體" w:hint="eastAsia"/>
                <w:snapToGrid/>
                <w:spacing w:val="-20"/>
                <w:sz w:val="24"/>
                <w:szCs w:val="24"/>
              </w:rPr>
              <w:t>7</w:t>
            </w:r>
          </w:p>
        </w:tc>
        <w:tc>
          <w:tcPr>
            <w:tcW w:w="822"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6.01</w:t>
            </w:r>
          </w:p>
        </w:tc>
        <w:tc>
          <w:tcPr>
            <w:tcW w:w="1036"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53.</w:t>
            </w:r>
            <w:r>
              <w:rPr>
                <w:rFonts w:hAnsi="標楷體" w:hint="eastAsia"/>
                <w:snapToGrid/>
                <w:spacing w:val="-20"/>
                <w:sz w:val="24"/>
                <w:szCs w:val="24"/>
              </w:rPr>
              <w:t>1</w:t>
            </w:r>
          </w:p>
        </w:tc>
        <w:tc>
          <w:tcPr>
            <w:tcW w:w="896"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2.</w:t>
            </w:r>
            <w:r>
              <w:rPr>
                <w:rFonts w:hAnsi="標楷體" w:hint="eastAsia"/>
                <w:snapToGrid/>
                <w:spacing w:val="-20"/>
                <w:sz w:val="24"/>
                <w:szCs w:val="24"/>
              </w:rPr>
              <w:t>70</w:t>
            </w:r>
          </w:p>
        </w:tc>
        <w:tc>
          <w:tcPr>
            <w:tcW w:w="1063"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52.2</w:t>
            </w:r>
          </w:p>
        </w:tc>
        <w:tc>
          <w:tcPr>
            <w:tcW w:w="994"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Pr>
                <w:rFonts w:hAnsi="標楷體" w:hint="eastAsia"/>
                <w:snapToGrid/>
                <w:spacing w:val="-20"/>
                <w:sz w:val="24"/>
                <w:szCs w:val="24"/>
              </w:rPr>
              <w:t>6</w:t>
            </w:r>
            <w:r w:rsidRPr="000D1876">
              <w:rPr>
                <w:rFonts w:hAnsi="標楷體"/>
                <w:snapToGrid/>
                <w:spacing w:val="-20"/>
                <w:sz w:val="24"/>
                <w:szCs w:val="24"/>
              </w:rPr>
              <w:t>1</w:t>
            </w:r>
          </w:p>
        </w:tc>
        <w:tc>
          <w:tcPr>
            <w:tcW w:w="1165"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46.</w:t>
            </w:r>
            <w:r w:rsidRPr="000D1876">
              <w:rPr>
                <w:rFonts w:hAnsi="標楷體"/>
                <w:snapToGrid/>
                <w:spacing w:val="-20"/>
                <w:sz w:val="24"/>
                <w:szCs w:val="24"/>
              </w:rPr>
              <w:t>2</w:t>
            </w:r>
          </w:p>
        </w:tc>
      </w:tr>
      <w:tr w:rsidR="00E0237E" w:rsidRPr="000D1876" w:rsidTr="007668ED">
        <w:tc>
          <w:tcPr>
            <w:tcW w:w="700" w:type="dxa"/>
            <w:shd w:val="clear" w:color="auto" w:fill="auto"/>
          </w:tcPr>
          <w:p w:rsidR="00E0237E" w:rsidRPr="000D1876" w:rsidRDefault="00E0237E" w:rsidP="007668ED">
            <w:pPr>
              <w:spacing w:line="280" w:lineRule="exact"/>
              <w:ind w:leftChars="0" w:left="0" w:firstLineChars="0" w:firstLine="0"/>
              <w:jc w:val="center"/>
              <w:rPr>
                <w:rFonts w:hAnsi="標楷體"/>
                <w:snapToGrid/>
                <w:spacing w:val="-20"/>
                <w:sz w:val="24"/>
                <w:szCs w:val="24"/>
              </w:rPr>
            </w:pPr>
            <w:r w:rsidRPr="000D1876">
              <w:rPr>
                <w:rFonts w:hAnsi="標楷體" w:hint="eastAsia"/>
                <w:snapToGrid/>
                <w:spacing w:val="-20"/>
                <w:sz w:val="24"/>
                <w:szCs w:val="24"/>
              </w:rPr>
              <w:t>2</w:t>
            </w:r>
            <w:r w:rsidRPr="000D1876">
              <w:rPr>
                <w:rFonts w:hAnsi="標楷體"/>
                <w:snapToGrid/>
                <w:spacing w:val="-20"/>
                <w:sz w:val="24"/>
                <w:szCs w:val="24"/>
              </w:rPr>
              <w:t>022</w:t>
            </w:r>
          </w:p>
        </w:tc>
        <w:tc>
          <w:tcPr>
            <w:tcW w:w="868"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2</w:t>
            </w:r>
            <w:r w:rsidRPr="000D1876">
              <w:rPr>
                <w:rFonts w:hAnsi="標楷體"/>
                <w:snapToGrid/>
                <w:spacing w:val="-20"/>
                <w:sz w:val="24"/>
                <w:szCs w:val="24"/>
              </w:rPr>
              <w:t>.</w:t>
            </w:r>
            <w:r>
              <w:rPr>
                <w:rFonts w:hAnsi="標楷體" w:hint="eastAsia"/>
                <w:snapToGrid/>
                <w:spacing w:val="-20"/>
                <w:sz w:val="24"/>
                <w:szCs w:val="24"/>
              </w:rPr>
              <w:t>68</w:t>
            </w:r>
          </w:p>
        </w:tc>
        <w:tc>
          <w:tcPr>
            <w:tcW w:w="1124"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Pr>
                <w:rFonts w:hAnsi="標楷體" w:hint="eastAsia"/>
                <w:snapToGrid/>
                <w:spacing w:val="-20"/>
                <w:sz w:val="24"/>
                <w:szCs w:val="24"/>
              </w:rPr>
              <w:t>4.1</w:t>
            </w:r>
          </w:p>
        </w:tc>
        <w:tc>
          <w:tcPr>
            <w:tcW w:w="822"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2.51</w:t>
            </w:r>
          </w:p>
        </w:tc>
        <w:tc>
          <w:tcPr>
            <w:tcW w:w="1036"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w:t>
            </w:r>
            <w:r>
              <w:rPr>
                <w:rFonts w:hAnsi="標楷體" w:hint="eastAsia"/>
                <w:snapToGrid/>
                <w:spacing w:val="-20"/>
                <w:sz w:val="24"/>
                <w:szCs w:val="24"/>
              </w:rPr>
              <w:t>1.6</w:t>
            </w:r>
          </w:p>
        </w:tc>
        <w:tc>
          <w:tcPr>
            <w:tcW w:w="896"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0</w:t>
            </w:r>
            <w:r w:rsidRPr="000D1876">
              <w:rPr>
                <w:rFonts w:hAnsi="標楷體"/>
                <w:snapToGrid/>
                <w:spacing w:val="-20"/>
                <w:sz w:val="24"/>
                <w:szCs w:val="24"/>
              </w:rPr>
              <w:t>.9</w:t>
            </w:r>
            <w:r>
              <w:rPr>
                <w:rFonts w:hAnsi="標楷體" w:hint="eastAsia"/>
                <w:snapToGrid/>
                <w:spacing w:val="-20"/>
                <w:sz w:val="24"/>
                <w:szCs w:val="24"/>
              </w:rPr>
              <w:t>4</w:t>
            </w:r>
          </w:p>
        </w:tc>
        <w:tc>
          <w:tcPr>
            <w:tcW w:w="1063"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52.</w:t>
            </w:r>
            <w:r>
              <w:rPr>
                <w:rFonts w:hAnsi="標楷體" w:hint="eastAsia"/>
                <w:snapToGrid/>
                <w:spacing w:val="-20"/>
                <w:sz w:val="24"/>
                <w:szCs w:val="24"/>
              </w:rPr>
              <w:t>7</w:t>
            </w:r>
          </w:p>
        </w:tc>
        <w:tc>
          <w:tcPr>
            <w:tcW w:w="994"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2</w:t>
            </w:r>
            <w:r w:rsidRPr="000D1876">
              <w:rPr>
                <w:rFonts w:hAnsi="標楷體"/>
                <w:snapToGrid/>
                <w:spacing w:val="-20"/>
                <w:sz w:val="24"/>
                <w:szCs w:val="24"/>
              </w:rPr>
              <w:t>.</w:t>
            </w:r>
            <w:r>
              <w:rPr>
                <w:rFonts w:hAnsi="標楷體" w:hint="eastAsia"/>
                <w:snapToGrid/>
                <w:spacing w:val="-20"/>
                <w:sz w:val="24"/>
                <w:szCs w:val="24"/>
              </w:rPr>
              <w:t>73</w:t>
            </w:r>
          </w:p>
        </w:tc>
        <w:tc>
          <w:tcPr>
            <w:tcW w:w="1165"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sidRPr="000D1876">
              <w:rPr>
                <w:rFonts w:hAnsi="標楷體"/>
                <w:snapToGrid/>
                <w:spacing w:val="-20"/>
                <w:sz w:val="24"/>
                <w:szCs w:val="24"/>
              </w:rPr>
              <w:t>6.9</w:t>
            </w:r>
          </w:p>
        </w:tc>
      </w:tr>
      <w:tr w:rsidR="00E0237E" w:rsidRPr="000D1876" w:rsidTr="007668ED">
        <w:tc>
          <w:tcPr>
            <w:tcW w:w="700" w:type="dxa"/>
            <w:shd w:val="clear" w:color="auto" w:fill="auto"/>
          </w:tcPr>
          <w:p w:rsidR="00E0237E" w:rsidRPr="000D1876" w:rsidRDefault="00E0237E" w:rsidP="007668ED">
            <w:pPr>
              <w:spacing w:line="280" w:lineRule="exact"/>
              <w:ind w:leftChars="0" w:left="0" w:firstLineChars="0" w:firstLine="0"/>
              <w:jc w:val="center"/>
              <w:rPr>
                <w:rFonts w:hAnsi="標楷體"/>
                <w:snapToGrid/>
                <w:spacing w:val="-20"/>
                <w:sz w:val="24"/>
                <w:szCs w:val="24"/>
              </w:rPr>
            </w:pPr>
            <w:r w:rsidRPr="000D1876">
              <w:rPr>
                <w:rFonts w:hAnsi="標楷體" w:hint="eastAsia"/>
                <w:snapToGrid/>
                <w:spacing w:val="-20"/>
                <w:sz w:val="24"/>
                <w:szCs w:val="24"/>
              </w:rPr>
              <w:t>2</w:t>
            </w:r>
            <w:r w:rsidRPr="000D1876">
              <w:rPr>
                <w:rFonts w:hAnsi="標楷體"/>
                <w:snapToGrid/>
                <w:spacing w:val="-20"/>
                <w:sz w:val="24"/>
                <w:szCs w:val="24"/>
              </w:rPr>
              <w:t>02</w:t>
            </w:r>
            <w:r>
              <w:rPr>
                <w:rFonts w:hAnsi="標楷體" w:hint="eastAsia"/>
                <w:snapToGrid/>
                <w:spacing w:val="-20"/>
                <w:sz w:val="24"/>
                <w:szCs w:val="24"/>
              </w:rPr>
              <w:t>3</w:t>
            </w:r>
          </w:p>
        </w:tc>
        <w:tc>
          <w:tcPr>
            <w:tcW w:w="868"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1.12</w:t>
            </w:r>
          </w:p>
        </w:tc>
        <w:tc>
          <w:tcPr>
            <w:tcW w:w="1124"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Pr>
                <w:rFonts w:hAnsi="標楷體" w:hint="eastAsia"/>
                <w:snapToGrid/>
                <w:spacing w:val="-20"/>
                <w:sz w:val="24"/>
                <w:szCs w:val="24"/>
              </w:rPr>
              <w:t>4.3</w:t>
            </w:r>
          </w:p>
        </w:tc>
        <w:tc>
          <w:tcPr>
            <w:tcW w:w="822"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2.89</w:t>
            </w:r>
          </w:p>
        </w:tc>
        <w:tc>
          <w:tcPr>
            <w:tcW w:w="1036"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w:t>
            </w:r>
            <w:r>
              <w:rPr>
                <w:rFonts w:hAnsi="標楷體" w:hint="eastAsia"/>
                <w:snapToGrid/>
                <w:spacing w:val="-20"/>
                <w:sz w:val="24"/>
                <w:szCs w:val="24"/>
              </w:rPr>
              <w:t>1.6</w:t>
            </w:r>
          </w:p>
        </w:tc>
        <w:tc>
          <w:tcPr>
            <w:tcW w:w="896"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1.49</w:t>
            </w:r>
          </w:p>
        </w:tc>
        <w:tc>
          <w:tcPr>
            <w:tcW w:w="1063"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5</w:t>
            </w:r>
            <w:r>
              <w:rPr>
                <w:rFonts w:hAnsi="標楷體" w:hint="eastAsia"/>
                <w:snapToGrid/>
                <w:spacing w:val="-20"/>
                <w:sz w:val="24"/>
                <w:szCs w:val="24"/>
              </w:rPr>
              <w:t>0.9</w:t>
            </w:r>
          </w:p>
        </w:tc>
        <w:tc>
          <w:tcPr>
            <w:tcW w:w="994" w:type="dxa"/>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1.40</w:t>
            </w:r>
          </w:p>
        </w:tc>
        <w:tc>
          <w:tcPr>
            <w:tcW w:w="1165" w:type="dxa"/>
            <w:shd w:val="clear" w:color="auto" w:fill="auto"/>
          </w:tcPr>
          <w:p w:rsidR="00E0237E" w:rsidRPr="000D1876" w:rsidRDefault="00E0237E" w:rsidP="007668ED">
            <w:pPr>
              <w:spacing w:line="280" w:lineRule="exact"/>
              <w:ind w:leftChars="0" w:left="0" w:firstLineChars="0" w:firstLine="0"/>
              <w:jc w:val="right"/>
              <w:rPr>
                <w:rFonts w:hAnsi="標楷體"/>
                <w:snapToGrid/>
                <w:spacing w:val="-20"/>
                <w:sz w:val="24"/>
                <w:szCs w:val="24"/>
              </w:rPr>
            </w:pPr>
            <w:r w:rsidRPr="000D1876">
              <w:rPr>
                <w:rFonts w:hAnsi="標楷體" w:hint="eastAsia"/>
                <w:snapToGrid/>
                <w:spacing w:val="-20"/>
                <w:sz w:val="24"/>
                <w:szCs w:val="24"/>
              </w:rPr>
              <w:t>4</w:t>
            </w:r>
            <w:r>
              <w:rPr>
                <w:rFonts w:hAnsi="標楷體" w:hint="eastAsia"/>
                <w:snapToGrid/>
                <w:spacing w:val="-20"/>
                <w:sz w:val="24"/>
                <w:szCs w:val="24"/>
              </w:rPr>
              <w:t>7.8</w:t>
            </w:r>
          </w:p>
        </w:tc>
      </w:tr>
    </w:tbl>
    <w:p w:rsidR="00E0237E" w:rsidRPr="000D1876" w:rsidRDefault="00E0237E" w:rsidP="007668ED">
      <w:pPr>
        <w:spacing w:line="280" w:lineRule="exact"/>
        <w:ind w:leftChars="-29" w:left="1093" w:hangingChars="483" w:hanging="1175"/>
        <w:jc w:val="left"/>
        <w:rPr>
          <w:snapToGrid/>
          <w:sz w:val="24"/>
        </w:rPr>
      </w:pPr>
      <w:r w:rsidRPr="000D1876">
        <w:rPr>
          <w:rFonts w:hint="eastAsia"/>
          <w:sz w:val="24"/>
          <w:szCs w:val="24"/>
        </w:rPr>
        <w:t>資料來源</w:t>
      </w:r>
      <w:r w:rsidRPr="000D1876">
        <w:rPr>
          <w:rFonts w:hAnsi="標楷體" w:hint="eastAsia"/>
          <w:sz w:val="24"/>
          <w:szCs w:val="24"/>
        </w:rPr>
        <w:t>：相關數據彙整自IMF、行政院主計總處、美國商務部經濟分析局、日本內閣府及韓國銀行公布之統計資料(11</w:t>
      </w:r>
      <w:r>
        <w:rPr>
          <w:rFonts w:hAnsi="標楷體" w:hint="eastAsia"/>
          <w:sz w:val="24"/>
          <w:szCs w:val="24"/>
        </w:rPr>
        <w:t>4</w:t>
      </w:r>
      <w:r w:rsidRPr="000D1876">
        <w:rPr>
          <w:rFonts w:hAnsi="標楷體" w:hint="eastAsia"/>
          <w:sz w:val="24"/>
          <w:szCs w:val="24"/>
        </w:rPr>
        <w:t>年</w:t>
      </w:r>
      <w:r w:rsidRPr="000D1876">
        <w:rPr>
          <w:rFonts w:hAnsi="標楷體"/>
          <w:sz w:val="24"/>
          <w:szCs w:val="24"/>
        </w:rPr>
        <w:t>8</w:t>
      </w:r>
      <w:r w:rsidRPr="000D1876">
        <w:rPr>
          <w:rFonts w:hAnsi="標楷體" w:hint="eastAsia"/>
          <w:sz w:val="24"/>
          <w:szCs w:val="24"/>
        </w:rPr>
        <w:t>月</w:t>
      </w:r>
      <w:r>
        <w:rPr>
          <w:rFonts w:hAnsi="標楷體" w:hint="eastAsia"/>
          <w:sz w:val="24"/>
          <w:szCs w:val="24"/>
        </w:rPr>
        <w:t>12</w:t>
      </w:r>
      <w:r w:rsidRPr="000D1876">
        <w:rPr>
          <w:rFonts w:hAnsi="標楷體" w:hint="eastAsia"/>
          <w:sz w:val="24"/>
          <w:szCs w:val="24"/>
        </w:rPr>
        <w:t>日查詢)。</w:t>
      </w:r>
    </w:p>
    <w:bookmarkEnd w:id="4"/>
    <w:p w:rsidR="00E0237E" w:rsidRPr="00566609" w:rsidRDefault="00E0237E" w:rsidP="007668ED">
      <w:pPr>
        <w:ind w:left="566" w:firstLine="566"/>
      </w:pPr>
      <w:r w:rsidRPr="00566609">
        <w:rPr>
          <w:rFonts w:hint="eastAsia"/>
        </w:rPr>
        <w:t>綜上</w:t>
      </w:r>
      <w:r w:rsidRPr="00566609">
        <w:rPr>
          <w:rFonts w:hAnsi="標楷體" w:hint="eastAsia"/>
        </w:rPr>
        <w:t>，近5年我國GDP成長</w:t>
      </w:r>
      <w:r>
        <w:rPr>
          <w:rFonts w:hAnsi="標楷體" w:hint="eastAsia"/>
        </w:rPr>
        <w:t>二成</w:t>
      </w:r>
      <w:r w:rsidRPr="00566609">
        <w:rPr>
          <w:rFonts w:hAnsi="標楷體" w:hint="eastAsia"/>
        </w:rPr>
        <w:t>餘，惟所創造之附加價值分配予受僱人員報酬占比卻減少</w:t>
      </w:r>
      <w:r>
        <w:rPr>
          <w:rFonts w:hAnsi="標楷體" w:hint="eastAsia"/>
        </w:rPr>
        <w:t>2.13</w:t>
      </w:r>
      <w:r w:rsidRPr="00566609">
        <w:rPr>
          <w:rFonts w:hAnsi="標楷體" w:hint="eastAsia"/>
        </w:rPr>
        <w:t>個百分點，甚且在我國經濟表現優於美國、日本及韓國下，受僱人員所分享到經濟成長之份額卻不如該3國，致受薪階級對經濟成長之感受有限，尚待行政部門研謀善策以縮減該等落差。</w:t>
      </w:r>
    </w:p>
    <w:bookmarkEnd w:id="5"/>
    <w:bookmarkEnd w:id="6"/>
    <w:bookmarkEnd w:id="7"/>
    <w:bookmarkEnd w:id="8"/>
    <w:bookmarkEnd w:id="9"/>
    <w:p w:rsidR="00E0237E" w:rsidRPr="00566609" w:rsidRDefault="00E0237E" w:rsidP="007668ED">
      <w:pPr>
        <w:pStyle w:val="ab"/>
      </w:pPr>
      <w:r w:rsidRPr="00566609">
        <w:rPr>
          <w:rFonts w:hint="eastAsia"/>
        </w:rPr>
        <w:t>（分機：</w:t>
      </w:r>
      <w:r>
        <w:rPr>
          <w:rFonts w:hint="eastAsia"/>
        </w:rPr>
        <w:t>1921</w:t>
      </w:r>
      <w:r w:rsidRPr="00566609">
        <w:rPr>
          <w:rFonts w:hint="eastAsia"/>
        </w:rPr>
        <w:t xml:space="preserve"> </w:t>
      </w:r>
      <w:r>
        <w:rPr>
          <w:rFonts w:hint="eastAsia"/>
        </w:rPr>
        <w:t>林佑樺</w:t>
      </w:r>
      <w:r w:rsidRPr="00566609">
        <w:rPr>
          <w:rFonts w:hint="eastAsia"/>
        </w:rPr>
        <w:t>）</w:t>
      </w:r>
    </w:p>
    <w:sectPr w:rsidR="00E0237E" w:rsidRPr="00566609"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856440">
      <w:rPr>
        <w:rStyle w:val="aff"/>
        <w:noProof/>
      </w:rPr>
      <w:t>4</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E0237E" w:rsidRPr="00D53ABD" w:rsidRDefault="00E0237E" w:rsidP="00D53ABD">
      <w:pPr>
        <w:pStyle w:val="142"/>
        <w:ind w:left="41" w:hangingChars="17" w:hanging="41"/>
        <w:rPr>
          <w:rStyle w:val="af4"/>
          <w:vertAlign w:val="baseline"/>
        </w:rPr>
      </w:pPr>
      <w:r w:rsidRPr="00D53ABD">
        <w:rPr>
          <w:rStyle w:val="af4"/>
          <w:rFonts w:hAnsi="標楷體"/>
          <w:snapToGrid/>
          <w:szCs w:val="24"/>
        </w:rPr>
        <w:footnoteRef/>
      </w:r>
      <w:r w:rsidRPr="00D53ABD">
        <w:rPr>
          <w:rStyle w:val="af4"/>
          <w:rFonts w:hint="eastAsia"/>
          <w:vertAlign w:val="baseline"/>
        </w:rPr>
        <w:t>採三級產業分類係用以表達一國經濟發展情形，「一級產業」為農業部門，包含農業、林業、漁業、牧業等直接取自自然資源之產業；「二級產業」為工業部門，含括採礦業、製造業、水電、煤氣及營造業等將一級產業資源再進行加工之產業；「三級產業」係指除一級及二級產業外所有行業，泛指服務業及可提升生活水平、技術、設備等產業，包括金融、保險、不動產、運輸、倉儲、通訊、電腦服務及軟體業、工商服務、公共行政、社會服務及個人服務、其他等。</w:t>
      </w:r>
    </w:p>
  </w:footnote>
  <w:footnote w:id="2">
    <w:p w:rsidR="00E0237E" w:rsidRPr="00D53ABD" w:rsidRDefault="00E0237E" w:rsidP="00D95123">
      <w:pPr>
        <w:pStyle w:val="142"/>
        <w:ind w:left="56" w:hangingChars="23" w:hanging="56"/>
      </w:pPr>
      <w:r w:rsidRPr="00D53ABD">
        <w:rPr>
          <w:rStyle w:val="af4"/>
          <w:rFonts w:hAnsi="標楷體"/>
          <w:snapToGrid/>
          <w:szCs w:val="24"/>
        </w:rPr>
        <w:footnoteRef/>
      </w:r>
      <w:r w:rsidRPr="00D53ABD">
        <w:rPr>
          <w:rStyle w:val="af4"/>
          <w:rFonts w:hint="eastAsia"/>
          <w:vertAlign w:val="baseline"/>
        </w:rPr>
        <w:t>依行政院主計總處之定義，我國ICT產業範圍包括「CR.電子零組件製造業」、「CS.電腦、電子產品及光學製品製造業」、「JB.電信業」及「JC.電腦相關及資訊服務業」4中業。</w:t>
      </w:r>
    </w:p>
  </w:footnote>
  <w:footnote w:id="3">
    <w:p w:rsidR="00E0237E" w:rsidRPr="003C18C3" w:rsidRDefault="00E0237E" w:rsidP="007668ED">
      <w:pPr>
        <w:pStyle w:val="af5"/>
        <w:spacing w:line="280" w:lineRule="exact"/>
        <w:ind w:left="112" w:hangingChars="46" w:hanging="112"/>
        <w:jc w:val="both"/>
        <w:rPr>
          <w:rStyle w:val="af4"/>
          <w:rFonts w:hAnsi="標楷體"/>
          <w:sz w:val="24"/>
          <w:szCs w:val="24"/>
        </w:rPr>
      </w:pPr>
      <w:r w:rsidRPr="0000497A">
        <w:rPr>
          <w:rStyle w:val="af4"/>
          <w:rFonts w:ascii="標楷體" w:eastAsia="標楷體" w:hAnsi="標楷體"/>
          <w:sz w:val="24"/>
          <w:szCs w:val="24"/>
        </w:rPr>
        <w:footnoteRef/>
      </w:r>
      <w:r w:rsidRPr="003C18C3">
        <w:rPr>
          <w:rFonts w:ascii="標楷體" w:eastAsia="標楷體" w:hAnsi="標楷體" w:hint="eastAsia"/>
          <w:sz w:val="24"/>
          <w:szCs w:val="24"/>
        </w:rPr>
        <w:t>參自112年中央銀行年報。</w:t>
      </w:r>
      <w:r w:rsidRPr="003C18C3">
        <w:rPr>
          <w:rStyle w:val="af4"/>
          <w:rFonts w:hAnsi="標楷體"/>
          <w:sz w:val="24"/>
          <w:szCs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56440"/>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B3FD28B-2651-4888-908D-C65B9FC33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F41E5-89D4-4D65-9BE5-E462049A4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740</Words>
  <Characters>4219</Characters>
  <Application>Microsoft Office Word</Application>
  <DocSecurity>0</DocSecurity>
  <Lines>35</Lines>
  <Paragraphs>9</Paragraphs>
  <ScaleCrop>false</ScaleCrop>
  <Company>HOME</Company>
  <LinksUpToDate>false</LinksUpToDate>
  <CharactersWithSpaces>4950</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2025-09-22T06:51:00Z</dcterms:created>
  <dcterms:modified xsi:type="dcterms:W3CDTF">2025-09-22T06:51:00Z</dcterms:modified>
</cp:coreProperties>
</file>