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927CD9" w:rsidRPr="00840EE4" w:rsidRDefault="00927CD9" w:rsidP="007668ED">
      <w:pPr>
        <w:pStyle w:val="14"/>
        <w:ind w:left="567" w:hanging="567"/>
      </w:pPr>
      <w:bookmarkStart w:id="2" w:name="_Toc109066158"/>
      <w:bookmarkStart w:id="3" w:name="_Toc208942785"/>
      <w:bookmarkEnd w:id="0"/>
      <w:r>
        <w:rPr>
          <w:rFonts w:hAnsi="標楷體" w:hint="eastAsia"/>
        </w:rPr>
        <w:t>一二</w:t>
      </w:r>
      <w:r w:rsidRPr="00840EE4">
        <w:rPr>
          <w:rFonts w:hint="eastAsia"/>
        </w:rPr>
        <w:t>、</w:t>
      </w:r>
      <w:bookmarkEnd w:id="2"/>
      <w:r w:rsidRPr="00ED10D4">
        <w:rPr>
          <w:rFonts w:hint="eastAsia"/>
        </w:rPr>
        <w:t>原住民族及客家文化園區賡續推動特色觀光，雖略見成效，惟入園人數尚未回復至疫情前水準，仍有提升空間；規劃新建之原住民族博物館允宜與原住民族文化園區屬性有所區隔並互相搭配發展，俾能更全面推廣與保存原住民族文化</w:t>
      </w:r>
      <w:bookmarkEnd w:id="3"/>
    </w:p>
    <w:p w:rsidR="00927CD9" w:rsidRPr="00A25379" w:rsidRDefault="00927CD9" w:rsidP="007668ED">
      <w:pPr>
        <w:ind w:left="566" w:firstLine="566"/>
        <w:rPr>
          <w:rFonts w:hAnsi="標楷體"/>
        </w:rPr>
      </w:pPr>
      <w:r w:rsidRPr="00A25379">
        <w:rPr>
          <w:rFonts w:hAnsi="標楷體" w:hint="eastAsia"/>
        </w:rPr>
        <w:t>我國原住民族及客家族群擁有深厚且獨特之文化底蘊，為促進原住民族及客家文化之保存與發展，文化園區扮演著推動族群文化傳承、展現多元文化魅力之重要角色，</w:t>
      </w:r>
      <w:r>
        <w:rPr>
          <w:rFonts w:hAnsi="標楷體" w:hint="eastAsia"/>
        </w:rPr>
        <w:t>原住民族委員會(以下簡稱</w:t>
      </w:r>
      <w:r w:rsidRPr="00A25379">
        <w:rPr>
          <w:rFonts w:hAnsi="標楷體" w:hint="eastAsia"/>
        </w:rPr>
        <w:t>原民會</w:t>
      </w:r>
      <w:r>
        <w:rPr>
          <w:rFonts w:hAnsi="標楷體" w:hint="eastAsia"/>
        </w:rPr>
        <w:t>)</w:t>
      </w:r>
      <w:r w:rsidRPr="00A25379">
        <w:rPr>
          <w:rFonts w:hAnsi="標楷體" w:hint="eastAsia"/>
        </w:rPr>
        <w:t>及</w:t>
      </w:r>
      <w:r>
        <w:rPr>
          <w:rFonts w:hAnsi="標楷體" w:hint="eastAsia"/>
        </w:rPr>
        <w:t>客家委員會(以下簡稱</w:t>
      </w:r>
      <w:r w:rsidRPr="00A25379">
        <w:rPr>
          <w:rFonts w:hAnsi="標楷體" w:hint="eastAsia"/>
        </w:rPr>
        <w:t>客委會</w:t>
      </w:r>
      <w:r>
        <w:rPr>
          <w:rFonts w:hAnsi="標楷體" w:hint="eastAsia"/>
        </w:rPr>
        <w:t>)</w:t>
      </w:r>
      <w:r w:rsidRPr="00A25379">
        <w:rPr>
          <w:rFonts w:hAnsi="標楷體" w:hint="eastAsia"/>
        </w:rPr>
        <w:t>多年來持續運營原住民族及客家文化園區，以推廣特色觀光，</w:t>
      </w:r>
      <w:r>
        <w:rPr>
          <w:rFonts w:hAnsi="標楷體" w:hint="eastAsia"/>
        </w:rPr>
        <w:t>期能</w:t>
      </w:r>
      <w:r w:rsidRPr="00A25379">
        <w:rPr>
          <w:rFonts w:hAnsi="標楷體" w:hint="eastAsia"/>
        </w:rPr>
        <w:t>促進文化保存，</w:t>
      </w:r>
      <w:r>
        <w:rPr>
          <w:rFonts w:hAnsi="標楷體" w:hint="eastAsia"/>
        </w:rPr>
        <w:t>並</w:t>
      </w:r>
      <w:r w:rsidRPr="00A25379">
        <w:rPr>
          <w:rFonts w:hAnsi="標楷體" w:hint="eastAsia"/>
        </w:rPr>
        <w:t>活絡地方經濟</w:t>
      </w:r>
      <w:r>
        <w:rPr>
          <w:rFonts w:hAnsi="標楷體" w:hint="eastAsia"/>
        </w:rPr>
        <w:t>；另</w:t>
      </w:r>
      <w:r w:rsidRPr="00A25379">
        <w:rPr>
          <w:rFonts w:hAnsi="標楷體" w:hint="eastAsia"/>
        </w:rPr>
        <w:t>原民會近年</w:t>
      </w:r>
      <w:r>
        <w:rPr>
          <w:rFonts w:hAnsi="標楷體" w:hint="eastAsia"/>
        </w:rPr>
        <w:t>亦</w:t>
      </w:r>
      <w:r w:rsidRPr="00A25379">
        <w:rPr>
          <w:rFonts w:hAnsi="標楷體" w:hint="eastAsia"/>
        </w:rPr>
        <w:t>規劃新建原住民族博物館。說明如下：</w:t>
      </w:r>
    </w:p>
    <w:p w:rsidR="00927CD9" w:rsidRPr="00A25379" w:rsidRDefault="00927CD9" w:rsidP="007668ED">
      <w:pPr>
        <w:pStyle w:val="a5"/>
        <w:ind w:left="849" w:hanging="283"/>
        <w:rPr>
          <w:rFonts w:hAnsi="標楷體"/>
          <w:b/>
        </w:rPr>
      </w:pPr>
      <w:r w:rsidRPr="00A25379">
        <w:rPr>
          <w:rFonts w:hAnsi="標楷體"/>
          <w:b/>
        </w:rPr>
        <w:t>(</w:t>
      </w:r>
      <w:r w:rsidRPr="00A25379">
        <w:rPr>
          <w:rFonts w:hAnsi="標楷體" w:hint="eastAsia"/>
          <w:b/>
        </w:rPr>
        <w:t>一</w:t>
      </w:r>
      <w:r w:rsidRPr="00A25379">
        <w:rPr>
          <w:rFonts w:hAnsi="標楷體"/>
          <w:b/>
        </w:rPr>
        <w:t>)</w:t>
      </w:r>
      <w:r w:rsidRPr="00A25379">
        <w:rPr>
          <w:rFonts w:hAnsi="標楷體" w:hint="eastAsia"/>
          <w:b/>
        </w:rPr>
        <w:t>原住民族及客家文化園區賡續推動特色觀光，雖受疫情影響觀光人數下滑，近年已逐步回穩，惟整體發展仍有提升空間</w:t>
      </w:r>
    </w:p>
    <w:p w:rsidR="00927CD9" w:rsidRPr="00A25379" w:rsidRDefault="00927CD9" w:rsidP="007668ED">
      <w:pPr>
        <w:pStyle w:val="21"/>
        <w:ind w:left="850" w:firstLine="566"/>
        <w:rPr>
          <w:rFonts w:hAnsi="標楷體"/>
        </w:rPr>
      </w:pPr>
      <w:r w:rsidRPr="00A25379">
        <w:rPr>
          <w:rFonts w:hAnsi="標楷體" w:hint="eastAsia"/>
        </w:rPr>
        <w:t>臺灣原住民族文化園區位於屏東縣瑪家鄉，是國內原住民族文化最具代表性之實地體驗場域，自76年開園以來，承載典藏保存著臺灣原住民16族之傳統生活文化、藝術、多元族群文化樣式及傳統歌舞等，園區共分五大區域，展示各族傳統建築、歌舞、生活器物與文化儀式。惟園區隨著社會變遷以及不斷受到自然環境之災害衝擊，許多設施已顯老舊破損，無法對應時代之需求及社會大眾期待，爰原民會原住民族文化發展中心</w:t>
      </w:r>
      <w:r w:rsidRPr="00A25379">
        <w:rPr>
          <w:rStyle w:val="af4"/>
          <w:rFonts w:hAnsi="標楷體"/>
        </w:rPr>
        <w:footnoteReference w:id="1"/>
      </w:r>
      <w:r w:rsidRPr="00A25379">
        <w:rPr>
          <w:rFonts w:hAnsi="標楷體" w:hint="eastAsia"/>
        </w:rPr>
        <w:t>(以下簡稱原發中心)自106年起推動「臺灣原住民族文化園區綠珠雕琢再造計畫」，陸續針對老舊設施進行系統性修復，導入環境友善與智慧化服務設施，並自110年起進行規劃環境教育課程教案，預計114年底完成環境教育設施場所認證並辦理環境教</w:t>
      </w:r>
      <w:r w:rsidRPr="00A25379">
        <w:rPr>
          <w:rFonts w:hAnsi="標楷體" w:hint="eastAsia"/>
        </w:rPr>
        <w:lastRenderedPageBreak/>
        <w:t>育課程，積極朝向「文化＋教育＋觀光」之多元場域邁進。</w:t>
      </w:r>
    </w:p>
    <w:p w:rsidR="00927CD9" w:rsidRPr="00A25379" w:rsidRDefault="00927CD9" w:rsidP="007668ED">
      <w:pPr>
        <w:pStyle w:val="21"/>
        <w:ind w:left="850" w:firstLine="566"/>
        <w:rPr>
          <w:rFonts w:hAnsi="標楷體"/>
        </w:rPr>
      </w:pPr>
      <w:r w:rsidRPr="00A25379">
        <w:rPr>
          <w:rFonts w:hAnsi="標楷體" w:hint="eastAsia"/>
        </w:rPr>
        <w:t>臺灣原住民族文化園區自105至108年</w:t>
      </w:r>
      <w:r>
        <w:rPr>
          <w:rFonts w:hAnsi="標楷體" w:hint="eastAsia"/>
        </w:rPr>
        <w:t>年</w:t>
      </w:r>
      <w:r w:rsidRPr="00A25379">
        <w:rPr>
          <w:rFonts w:hAnsi="標楷體" w:hint="eastAsia"/>
        </w:rPr>
        <w:t>平均參觀人數逾41萬人次(詳表1)，惟109至111年間受嚴重特殊傳染性肺炎疫情影響參觀人數驟減</w:t>
      </w:r>
      <w:r w:rsidRPr="00A25379">
        <w:rPr>
          <w:rStyle w:val="af4"/>
          <w:rFonts w:hAnsi="標楷體"/>
        </w:rPr>
        <w:footnoteReference w:id="2"/>
      </w:r>
      <w:r w:rsidRPr="00A25379">
        <w:rPr>
          <w:rFonts w:hAnsi="標楷體" w:hint="eastAsia"/>
        </w:rPr>
        <w:t>，110年參觀人數僅15萬4</w:t>
      </w:r>
      <w:r w:rsidRPr="00A25379">
        <w:rPr>
          <w:rFonts w:hAnsi="標楷體"/>
        </w:rPr>
        <w:t>,</w:t>
      </w:r>
      <w:r w:rsidRPr="00A25379">
        <w:rPr>
          <w:rFonts w:hAnsi="標楷體" w:hint="eastAsia"/>
        </w:rPr>
        <w:t>265人次，111年起國內旅遊逐漸開放，園區整體營運情形</w:t>
      </w:r>
      <w:r>
        <w:rPr>
          <w:rFonts w:hAnsi="標楷體" w:hint="eastAsia"/>
        </w:rPr>
        <w:t>略為</w:t>
      </w:r>
      <w:r w:rsidRPr="00A25379">
        <w:rPr>
          <w:rFonts w:hAnsi="標楷體" w:hint="eastAsia"/>
        </w:rPr>
        <w:t>改善，惟尚未回復疫情前水準，仍有提升空間。</w:t>
      </w:r>
    </w:p>
    <w:p w:rsidR="00927CD9" w:rsidRPr="00A25379" w:rsidRDefault="00927CD9" w:rsidP="007668ED">
      <w:pPr>
        <w:ind w:left="566" w:right="-1204" w:firstLineChars="124" w:firstLine="302"/>
        <w:jc w:val="left"/>
        <w:textAlignment w:val="baseline"/>
        <w:rPr>
          <w:rFonts w:hAnsi="標楷體"/>
        </w:rPr>
      </w:pPr>
      <w:r w:rsidRPr="00A25379">
        <w:rPr>
          <w:rFonts w:hAnsi="標楷體"/>
          <w:b/>
          <w:spacing w:val="-20"/>
        </w:rPr>
        <w:t>表</w:t>
      </w:r>
      <w:r w:rsidRPr="00A25379">
        <w:rPr>
          <w:rFonts w:hAnsi="標楷體" w:hint="eastAsia"/>
          <w:b/>
          <w:spacing w:val="-20"/>
        </w:rPr>
        <w:t>1</w:t>
      </w:r>
      <w:r w:rsidRPr="00A25379">
        <w:rPr>
          <w:rFonts w:hAnsi="標楷體"/>
          <w:b/>
          <w:spacing w:val="-20"/>
        </w:rPr>
        <w:t xml:space="preserve"> </w:t>
      </w:r>
      <w:r w:rsidRPr="00A25379">
        <w:rPr>
          <w:rFonts w:hAnsi="標楷體" w:hint="eastAsia"/>
          <w:b/>
          <w:spacing w:val="-20"/>
        </w:rPr>
        <w:t>臺灣原住民族文化園區</w:t>
      </w:r>
      <w:r w:rsidRPr="00A25379">
        <w:rPr>
          <w:rFonts w:hAnsi="標楷體"/>
          <w:b/>
          <w:spacing w:val="-20"/>
        </w:rPr>
        <w:t>近年度</w:t>
      </w:r>
      <w:r w:rsidRPr="00A25379">
        <w:rPr>
          <w:rFonts w:hAnsi="標楷體" w:hint="eastAsia"/>
          <w:b/>
          <w:spacing w:val="-20"/>
        </w:rPr>
        <w:t>遊客人數</w:t>
      </w:r>
      <w:r w:rsidRPr="00A25379">
        <w:rPr>
          <w:rFonts w:hAnsi="標楷體"/>
          <w:b/>
          <w:spacing w:val="-20"/>
        </w:rPr>
        <w:t>情形</w:t>
      </w:r>
      <w:r>
        <w:rPr>
          <w:rFonts w:hAnsi="標楷體" w:hint="eastAsia"/>
          <w:b/>
          <w:spacing w:val="-20"/>
        </w:rPr>
        <w:t>表</w:t>
      </w:r>
      <w:r w:rsidRPr="00A25379">
        <w:rPr>
          <w:rFonts w:hAnsi="標楷體"/>
          <w:b/>
        </w:rPr>
        <w:t xml:space="preserve"> </w:t>
      </w:r>
      <w:r>
        <w:rPr>
          <w:rFonts w:hAnsi="標楷體" w:hint="eastAsia"/>
          <w:b/>
        </w:rPr>
        <w:t xml:space="preserve">  </w:t>
      </w:r>
      <w:r w:rsidRPr="00A25379">
        <w:rPr>
          <w:rFonts w:hAnsi="標楷體" w:hint="eastAsia"/>
          <w:b/>
        </w:rPr>
        <w:t xml:space="preserve">      </w:t>
      </w:r>
      <w:r w:rsidRPr="00A25379">
        <w:rPr>
          <w:rFonts w:hAnsi="標楷體"/>
          <w:sz w:val="24"/>
        </w:rPr>
        <w:t>單位:人次</w:t>
      </w:r>
    </w:p>
    <w:tbl>
      <w:tblPr>
        <w:tblW w:w="7567" w:type="dxa"/>
        <w:tblInd w:w="1046" w:type="dxa"/>
        <w:tblLayout w:type="fixed"/>
        <w:tblCellMar>
          <w:left w:w="10" w:type="dxa"/>
          <w:right w:w="10" w:type="dxa"/>
        </w:tblCellMar>
        <w:tblLook w:val="04A0" w:firstRow="1" w:lastRow="0" w:firstColumn="1" w:lastColumn="0" w:noHBand="0" w:noVBand="1"/>
      </w:tblPr>
      <w:tblGrid>
        <w:gridCol w:w="4024"/>
        <w:gridCol w:w="3543"/>
      </w:tblGrid>
      <w:tr w:rsidR="00927CD9" w:rsidRPr="00A25379">
        <w:trPr>
          <w:trHeight w:val="295"/>
          <w:tblHeader/>
        </w:trPr>
        <w:tc>
          <w:tcPr>
            <w:tcW w:w="4024"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300DBB" w:rsidRDefault="00927CD9">
            <w:pPr>
              <w:pStyle w:val="142"/>
              <w:ind w:left="283" w:hanging="283"/>
              <w:jc w:val="center"/>
              <w:rPr>
                <w:rFonts w:hAnsi="標楷體"/>
                <w:b/>
                <w:bCs/>
              </w:rPr>
            </w:pPr>
            <w:r w:rsidRPr="00300DBB">
              <w:rPr>
                <w:rFonts w:hAnsi="標楷體"/>
                <w:b/>
                <w:bCs/>
              </w:rPr>
              <w:t>年度</w:t>
            </w:r>
          </w:p>
        </w:tc>
        <w:tc>
          <w:tcPr>
            <w:tcW w:w="3543" w:type="dxa"/>
            <w:tcBorders>
              <w:top w:val="single" w:sz="12" w:space="0" w:color="000000"/>
              <w:left w:val="single" w:sz="4" w:space="0" w:color="000000"/>
              <w:right w:val="single" w:sz="12" w:space="0" w:color="000000"/>
            </w:tcBorders>
            <w:shd w:val="clear" w:color="auto" w:fill="auto"/>
            <w:tcMar>
              <w:top w:w="0" w:type="dxa"/>
              <w:left w:w="108" w:type="dxa"/>
              <w:bottom w:w="0" w:type="dxa"/>
              <w:right w:w="108" w:type="dxa"/>
            </w:tcMar>
            <w:vAlign w:val="center"/>
          </w:tcPr>
          <w:p w:rsidR="00927CD9" w:rsidRPr="00300DBB" w:rsidRDefault="00927CD9">
            <w:pPr>
              <w:pStyle w:val="142"/>
              <w:ind w:left="283" w:hanging="283"/>
              <w:jc w:val="center"/>
              <w:rPr>
                <w:rFonts w:hAnsi="標楷體"/>
                <w:b/>
                <w:bCs/>
              </w:rPr>
            </w:pPr>
            <w:r w:rsidRPr="00300DBB">
              <w:rPr>
                <w:rFonts w:hAnsi="標楷體"/>
                <w:b/>
                <w:bCs/>
              </w:rPr>
              <w:t>入園遊客人數</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w:t>
            </w:r>
            <w:r w:rsidRPr="00A25379">
              <w:rPr>
                <w:rFonts w:hAnsi="標楷體"/>
                <w:kern w:val="0"/>
                <w:szCs w:val="32"/>
              </w:rPr>
              <w:t>5</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rPr>
            </w:pPr>
            <w:r w:rsidRPr="00A25379">
              <w:rPr>
                <w:rFonts w:hAnsi="標楷體"/>
                <w:kern w:val="0"/>
              </w:rPr>
              <w:t>371,890</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w:t>
            </w:r>
            <w:r w:rsidRPr="00A25379">
              <w:rPr>
                <w:rFonts w:hAnsi="標楷體"/>
                <w:kern w:val="0"/>
                <w:szCs w:val="32"/>
              </w:rPr>
              <w:t>6</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rPr>
            </w:pPr>
            <w:r w:rsidRPr="00A25379">
              <w:rPr>
                <w:rFonts w:hAnsi="標楷體"/>
                <w:kern w:val="0"/>
              </w:rPr>
              <w:t>495,455</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107</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rPr>
              <w:t>390,563</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108</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rPr>
              <w:t>405,131</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shd w:val="pct15" w:color="auto" w:fill="FFFFFF"/>
              </w:rPr>
            </w:pPr>
            <w:r w:rsidRPr="00A25379">
              <w:rPr>
                <w:rFonts w:hAnsi="標楷體" w:hint="eastAsia"/>
                <w:shd w:val="pct15" w:color="auto" w:fill="FFFFFF"/>
              </w:rPr>
              <w:t>105-108平均</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hd w:val="pct15" w:color="auto" w:fill="FFFFFF"/>
              </w:rPr>
            </w:pPr>
            <w:r w:rsidRPr="00A25379">
              <w:rPr>
                <w:rFonts w:hAnsi="標楷體" w:hint="eastAsia"/>
                <w:kern w:val="0"/>
                <w:shd w:val="pct15" w:color="auto" w:fill="FFFFFF"/>
              </w:rPr>
              <w:t>415</w:t>
            </w:r>
            <w:r w:rsidRPr="00A25379">
              <w:rPr>
                <w:rFonts w:hAnsi="標楷體"/>
                <w:kern w:val="0"/>
                <w:shd w:val="pct15" w:color="auto" w:fill="FFFFFF"/>
              </w:rPr>
              <w:t>,</w:t>
            </w:r>
            <w:r w:rsidRPr="00A25379">
              <w:rPr>
                <w:rFonts w:hAnsi="標楷體" w:hint="eastAsia"/>
                <w:kern w:val="0"/>
                <w:shd w:val="pct15" w:color="auto" w:fill="FFFFFF"/>
              </w:rPr>
              <w:t>760</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109</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rPr>
              <w:t>191,311</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110</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rPr>
              <w:t>154,265</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111</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cs="新細明體"/>
                <w:kern w:val="0"/>
              </w:rPr>
              <w:t>212,611</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112</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cs="新細明體"/>
                <w:kern w:val="0"/>
              </w:rPr>
              <w:t>212,495</w:t>
            </w:r>
          </w:p>
        </w:tc>
      </w:tr>
      <w:tr w:rsidR="00927CD9" w:rsidRPr="00A25379" w:rsidTr="007668ED">
        <w:tc>
          <w:tcPr>
            <w:tcW w:w="4024" w:type="dxa"/>
            <w:tcBorders>
              <w:top w:val="single" w:sz="4" w:space="0" w:color="000000"/>
              <w:left w:val="single" w:sz="12" w:space="0" w:color="000000"/>
              <w:bottom w:val="single" w:sz="12" w:space="0" w:color="auto"/>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113</w:t>
            </w:r>
          </w:p>
        </w:tc>
        <w:tc>
          <w:tcPr>
            <w:tcW w:w="3543" w:type="dxa"/>
            <w:tcBorders>
              <w:top w:val="single" w:sz="4" w:space="0" w:color="000000"/>
              <w:left w:val="single" w:sz="4" w:space="0" w:color="000000"/>
              <w:bottom w:val="single" w:sz="12" w:space="0" w:color="auto"/>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cs="新細明體" w:hint="eastAsia"/>
                <w:kern w:val="0"/>
              </w:rPr>
              <w:t>197</w:t>
            </w:r>
            <w:r w:rsidRPr="00A25379">
              <w:rPr>
                <w:rFonts w:hAnsi="標楷體" w:cs="新細明體"/>
                <w:kern w:val="0"/>
              </w:rPr>
              <w:t>,</w:t>
            </w:r>
            <w:r w:rsidRPr="00A25379">
              <w:rPr>
                <w:rFonts w:hAnsi="標楷體" w:cs="新細明體" w:hint="eastAsia"/>
                <w:kern w:val="0"/>
              </w:rPr>
              <w:t>528</w:t>
            </w:r>
          </w:p>
        </w:tc>
      </w:tr>
    </w:tbl>
    <w:p w:rsidR="00927CD9" w:rsidRPr="00A25379" w:rsidRDefault="00927CD9" w:rsidP="007668ED">
      <w:pPr>
        <w:widowControl/>
        <w:spacing w:line="0" w:lineRule="atLeast"/>
        <w:ind w:left="566" w:firstLineChars="158" w:firstLine="384"/>
        <w:rPr>
          <w:rFonts w:hAnsi="標楷體"/>
        </w:rPr>
      </w:pPr>
      <w:r w:rsidRPr="00A25379">
        <w:rPr>
          <w:rFonts w:hAnsi="標楷體" w:hint="eastAsia"/>
          <w:sz w:val="24"/>
          <w:szCs w:val="24"/>
        </w:rPr>
        <w:t>資料來源：原民會提供。</w:t>
      </w:r>
    </w:p>
    <w:p w:rsidR="00927CD9" w:rsidRPr="00A25379" w:rsidRDefault="00927CD9" w:rsidP="007668ED">
      <w:pPr>
        <w:pStyle w:val="21"/>
        <w:ind w:left="850" w:firstLine="566"/>
        <w:rPr>
          <w:rFonts w:hAnsi="標楷體"/>
        </w:rPr>
      </w:pPr>
      <w:r w:rsidRPr="00A25379">
        <w:rPr>
          <w:rFonts w:hAnsi="標楷體" w:hint="eastAsia"/>
        </w:rPr>
        <w:t>客委會於93年成立臺灣客家文化中心籌備處，負責規劃興建南北客家文化園區(以下簡稱南北園區)，兩座國家級之文化設施均以博物館為定位，且已納入文化部國立博物館群。南部六堆客家文化園區(以下簡稱南園)以六堆客家村落及社區相連結，形成南臺灣之客家文化網絡，保存體驗六堆客庄深厚人文資產為營運目標，並以發展「生態博物館」為定位；北部臺灣客家文化館(以下簡稱北館)以作為「全球客家博物館」為目標，扮演平臺角色，以臺灣客家、多元族群及全球客家等為主題，並持續拓展海內外客家研究交流合作，陸續於100與101年正式開園。</w:t>
      </w:r>
    </w:p>
    <w:p w:rsidR="00927CD9" w:rsidRPr="00A25379" w:rsidRDefault="00927CD9" w:rsidP="007668ED">
      <w:pPr>
        <w:pStyle w:val="21"/>
        <w:ind w:left="850" w:firstLine="566"/>
        <w:rPr>
          <w:rFonts w:hAnsi="標楷體"/>
        </w:rPr>
      </w:pPr>
      <w:r w:rsidRPr="00A25379">
        <w:rPr>
          <w:rFonts w:hAnsi="標楷體" w:hint="eastAsia"/>
        </w:rPr>
        <w:lastRenderedPageBreak/>
        <w:t>南北園區101年度參觀人數高達273萬餘人次(詳表2)，其中南園因102年度採公辦民營(OT)方式營運，參觀人數因收費致大幅下降至39萬餘人次，於同年9月收回經營權並恢復免費入園參觀，至108年度止參觀人數逐年穩定成長；而北館以102年度之參觀人數131萬餘人次為最高峰，而後逐年遞減至105年度之48萬餘人次</w:t>
      </w:r>
      <w:r>
        <w:rPr>
          <w:rFonts w:hAnsi="標楷體" w:hint="eastAsia"/>
        </w:rPr>
        <w:t>。</w:t>
      </w:r>
      <w:r w:rsidRPr="00A25379">
        <w:rPr>
          <w:rFonts w:hAnsi="標楷體" w:hint="eastAsia"/>
        </w:rPr>
        <w:t>客委會就國內外類似之文化館舍比較分析，該類園區自開館後約2至3年參觀人次會逐漸受周邊區域性旅遊景點發展、民眾新鮮感、旅遊評價等因素影響而明顯下降，爰客委會透過深化研究、典藏、展示及教育推廣活動，並強化社區連結等規劃，透過主動邀請學校、社團參訪，強化經營不同客群，以耕耘回流客源，106年度起參觀人數止跌回升，至108年度回升至82萬餘人次。惟109至111年間南北園區亦因嚴重特殊傳染性肺炎疫情造成參觀人數減少。為因應疫情後環境轉變，南北園館持續推出不同措施推廣博物館文化，疫情趨緩後，更強化實體服務優化，入園人數自111年起逐漸回穩並穩定成長，惟尚未回復疫情前水準，仍有提升空間。</w:t>
      </w:r>
    </w:p>
    <w:p w:rsidR="00927CD9" w:rsidRPr="00A25379" w:rsidRDefault="00927CD9" w:rsidP="007668ED">
      <w:pPr>
        <w:ind w:left="566" w:right="-1204" w:firstLineChars="124" w:firstLine="352"/>
        <w:jc w:val="left"/>
        <w:textAlignment w:val="baseline"/>
        <w:rPr>
          <w:rFonts w:hAnsi="標楷體"/>
        </w:rPr>
      </w:pPr>
      <w:r w:rsidRPr="00A25379">
        <w:rPr>
          <w:rFonts w:hAnsi="標楷體"/>
          <w:b/>
        </w:rPr>
        <w:t>表</w:t>
      </w:r>
      <w:r w:rsidRPr="00A25379">
        <w:rPr>
          <w:rFonts w:hAnsi="標楷體" w:hint="eastAsia"/>
          <w:b/>
        </w:rPr>
        <w:t>2</w:t>
      </w:r>
      <w:r w:rsidRPr="00A25379">
        <w:rPr>
          <w:rFonts w:hAnsi="標楷體"/>
          <w:b/>
        </w:rPr>
        <w:t xml:space="preserve"> </w:t>
      </w:r>
      <w:r w:rsidRPr="00A25379">
        <w:rPr>
          <w:rFonts w:hAnsi="標楷體" w:hint="eastAsia"/>
          <w:b/>
        </w:rPr>
        <w:t>南北客家文化園區</w:t>
      </w:r>
      <w:r w:rsidRPr="00A25379">
        <w:rPr>
          <w:rFonts w:hAnsi="標楷體"/>
          <w:b/>
        </w:rPr>
        <w:t>近年度</w:t>
      </w:r>
      <w:r w:rsidRPr="00A25379">
        <w:rPr>
          <w:rFonts w:hAnsi="標楷體" w:hint="eastAsia"/>
          <w:b/>
        </w:rPr>
        <w:t>遊客人數</w:t>
      </w:r>
      <w:r w:rsidRPr="00A25379">
        <w:rPr>
          <w:rFonts w:hAnsi="標楷體"/>
          <w:b/>
        </w:rPr>
        <w:t>情形</w:t>
      </w:r>
      <w:r>
        <w:rPr>
          <w:rFonts w:hAnsi="標楷體" w:hint="eastAsia"/>
          <w:b/>
        </w:rPr>
        <w:t xml:space="preserve">表  </w:t>
      </w:r>
      <w:r w:rsidRPr="00A25379">
        <w:rPr>
          <w:rFonts w:hAnsi="標楷體"/>
          <w:b/>
        </w:rPr>
        <w:t xml:space="preserve"> </w:t>
      </w:r>
      <w:r w:rsidRPr="00A25379">
        <w:rPr>
          <w:rFonts w:hAnsi="標楷體" w:hint="eastAsia"/>
          <w:b/>
        </w:rPr>
        <w:t xml:space="preserve">   </w:t>
      </w:r>
      <w:r w:rsidRPr="00A25379">
        <w:rPr>
          <w:rFonts w:hAnsi="標楷體"/>
          <w:sz w:val="24"/>
        </w:rPr>
        <w:t>單位:人次</w:t>
      </w:r>
    </w:p>
    <w:tbl>
      <w:tblPr>
        <w:tblW w:w="7567" w:type="dxa"/>
        <w:tblInd w:w="1046" w:type="dxa"/>
        <w:tblLayout w:type="fixed"/>
        <w:tblCellMar>
          <w:left w:w="10" w:type="dxa"/>
          <w:right w:w="10" w:type="dxa"/>
        </w:tblCellMar>
        <w:tblLook w:val="04A0" w:firstRow="1" w:lastRow="0" w:firstColumn="1" w:lastColumn="0" w:noHBand="0" w:noVBand="1"/>
      </w:tblPr>
      <w:tblGrid>
        <w:gridCol w:w="1090"/>
        <w:gridCol w:w="2083"/>
        <w:gridCol w:w="2126"/>
        <w:gridCol w:w="2268"/>
      </w:tblGrid>
      <w:tr w:rsidR="00927CD9" w:rsidRPr="00A25379">
        <w:tc>
          <w:tcPr>
            <w:tcW w:w="1090"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b/>
              </w:rPr>
            </w:pPr>
            <w:r w:rsidRPr="00A25379">
              <w:rPr>
                <w:rFonts w:hAnsi="標楷體"/>
                <w:b/>
              </w:rPr>
              <w:t>年度</w:t>
            </w:r>
          </w:p>
        </w:tc>
        <w:tc>
          <w:tcPr>
            <w:tcW w:w="647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b/>
              </w:rPr>
            </w:pPr>
            <w:r w:rsidRPr="00A25379">
              <w:rPr>
                <w:rFonts w:hAnsi="標楷體"/>
                <w:b/>
              </w:rPr>
              <w:t>入園(館)遊客人數</w:t>
            </w:r>
          </w:p>
        </w:tc>
      </w:tr>
      <w:tr w:rsidR="00927CD9" w:rsidRPr="00A25379">
        <w:tc>
          <w:tcPr>
            <w:tcW w:w="1090"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b/>
              </w:rP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b/>
              </w:rPr>
            </w:pPr>
            <w:r w:rsidRPr="00A25379">
              <w:rPr>
                <w:rFonts w:hAnsi="標楷體" w:hint="eastAsia"/>
                <w:b/>
              </w:rPr>
              <w:t>北館</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b/>
              </w:rPr>
            </w:pPr>
            <w:r w:rsidRPr="00A25379">
              <w:rPr>
                <w:rFonts w:hAnsi="標楷體" w:hint="eastAsia"/>
                <w:b/>
              </w:rPr>
              <w:t>南園</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b/>
              </w:rPr>
            </w:pPr>
            <w:r w:rsidRPr="00A25379">
              <w:rPr>
                <w:rFonts w:hAnsi="標楷體"/>
                <w:b/>
              </w:rPr>
              <w:t>合計</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100</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328,943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328,943</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101</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1,210,195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1,527,387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2,737,582</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102</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1,319,664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390,188</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1,709,852</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103</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804,942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744,297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1,549,239</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w:t>
            </w:r>
            <w:r w:rsidRPr="00A25379">
              <w:rPr>
                <w:rFonts w:hAnsi="標楷體"/>
                <w:kern w:val="0"/>
                <w:szCs w:val="32"/>
              </w:rPr>
              <w:t>4</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620,449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778,653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1,399,102</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w:t>
            </w:r>
            <w:r w:rsidRPr="00A25379">
              <w:rPr>
                <w:rFonts w:hAnsi="標楷體"/>
                <w:kern w:val="0"/>
                <w:szCs w:val="32"/>
              </w:rPr>
              <w:t>5</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487,334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792,092</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1,279,426</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w:t>
            </w:r>
            <w:r w:rsidRPr="00A25379">
              <w:rPr>
                <w:rFonts w:hAnsi="標楷體"/>
                <w:kern w:val="0"/>
                <w:szCs w:val="32"/>
              </w:rPr>
              <w:t>6</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742,619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908,141</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1,650,760</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107</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751,500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929,307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kern w:val="0"/>
                <w:szCs w:val="32"/>
              </w:rPr>
            </w:pPr>
            <w:r w:rsidRPr="00A25379">
              <w:rPr>
                <w:rFonts w:hAnsi="標楷體"/>
                <w:kern w:val="0"/>
                <w:szCs w:val="32"/>
              </w:rPr>
              <w:t>1,680,807</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108</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821,033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979,100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kern w:val="0"/>
                <w:szCs w:val="32"/>
              </w:rPr>
            </w:pPr>
            <w:r w:rsidRPr="00A25379">
              <w:rPr>
                <w:rFonts w:hAnsi="標楷體"/>
                <w:kern w:val="0"/>
                <w:szCs w:val="32"/>
              </w:rPr>
              <w:t>1,800,133</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109</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665,913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823,714</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kern w:val="0"/>
                <w:szCs w:val="32"/>
              </w:rPr>
            </w:pPr>
            <w:r w:rsidRPr="00A25379">
              <w:rPr>
                <w:rFonts w:hAnsi="標楷體"/>
                <w:kern w:val="0"/>
                <w:szCs w:val="32"/>
              </w:rPr>
              <w:t>1,489,627</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110</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418,614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504,821</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923,435</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111</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490,864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630,228</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1,121,092</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112</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603,968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713,713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1,317,681</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113</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619,311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759,640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1,378,951</w:t>
            </w:r>
          </w:p>
        </w:tc>
      </w:tr>
      <w:tr w:rsidR="00927CD9" w:rsidRPr="00A25379">
        <w:tc>
          <w:tcPr>
            <w:tcW w:w="109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lastRenderedPageBreak/>
              <w:t>114</w:t>
            </w:r>
          </w:p>
        </w:tc>
        <w:tc>
          <w:tcPr>
            <w:tcW w:w="208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szCs w:val="32"/>
              </w:rPr>
              <w:t>213,478</w:t>
            </w:r>
          </w:p>
        </w:tc>
        <w:tc>
          <w:tcPr>
            <w:tcW w:w="212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szCs w:val="32"/>
              </w:rPr>
              <w:t>266,317</w:t>
            </w:r>
          </w:p>
        </w:tc>
        <w:tc>
          <w:tcPr>
            <w:tcW w:w="2268"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szCs w:val="32"/>
              </w:rPr>
              <w:t>479,795</w:t>
            </w:r>
          </w:p>
        </w:tc>
      </w:tr>
    </w:tbl>
    <w:p w:rsidR="00927CD9" w:rsidRPr="00A25379" w:rsidRDefault="00927CD9" w:rsidP="007668ED">
      <w:pPr>
        <w:widowControl/>
        <w:spacing w:line="0" w:lineRule="atLeast"/>
        <w:ind w:left="566" w:firstLineChars="158" w:firstLine="384"/>
        <w:rPr>
          <w:rFonts w:hAnsi="標楷體"/>
        </w:rPr>
      </w:pPr>
      <w:r w:rsidRPr="00A25379">
        <w:rPr>
          <w:rFonts w:hAnsi="標楷體" w:hint="eastAsia"/>
          <w:sz w:val="24"/>
          <w:szCs w:val="24"/>
        </w:rPr>
        <w:t>資料來源：客委會提供。</w:t>
      </w:r>
    </w:p>
    <w:p w:rsidR="00927CD9" w:rsidRPr="00A25379" w:rsidRDefault="00927CD9" w:rsidP="007668ED">
      <w:pPr>
        <w:pStyle w:val="a5"/>
        <w:ind w:left="849" w:hanging="283"/>
        <w:rPr>
          <w:rFonts w:hAnsi="標楷體"/>
          <w:b/>
        </w:rPr>
      </w:pPr>
      <w:r w:rsidRPr="00A25379">
        <w:rPr>
          <w:rFonts w:hAnsi="標楷體" w:hint="eastAsia"/>
          <w:b/>
        </w:rPr>
        <w:t>(</w:t>
      </w:r>
      <w:r>
        <w:rPr>
          <w:rFonts w:hAnsi="標楷體" w:hint="eastAsia"/>
          <w:b/>
        </w:rPr>
        <w:t>二</w:t>
      </w:r>
      <w:r w:rsidRPr="00A25379">
        <w:rPr>
          <w:rFonts w:hAnsi="標楷體" w:hint="eastAsia"/>
          <w:b/>
        </w:rPr>
        <w:t>)新建原住民族博物館之功能定位應與文化園區之屬性有所區隔，並與園區建立互補合作關係，俾結合國家高度與在地活力，共同推動原住民族文化之永續發展</w:t>
      </w:r>
    </w:p>
    <w:p w:rsidR="00927CD9" w:rsidRPr="00A25379" w:rsidRDefault="00927CD9" w:rsidP="007668ED">
      <w:pPr>
        <w:pStyle w:val="21"/>
        <w:ind w:left="850" w:firstLine="566"/>
        <w:rPr>
          <w:rFonts w:hAnsi="標楷體"/>
        </w:rPr>
      </w:pPr>
      <w:r w:rsidRPr="00A25379">
        <w:rPr>
          <w:rFonts w:hAnsi="標楷體" w:hint="eastAsia"/>
        </w:rPr>
        <w:t>原民會為強化原住民族文化主體性，建構集典藏、展示、教育及國際交流於一體之國家級文化基地，並透過與南島語族連結，提升臺灣原民文化之國際能見度，爰籌設國立原住民族博物館(以下簡稱原博館)，相關規劃摘述如下：</w:t>
      </w:r>
    </w:p>
    <w:p w:rsidR="00927CD9" w:rsidRPr="00A25379" w:rsidRDefault="00927CD9" w:rsidP="007668ED">
      <w:pPr>
        <w:pStyle w:val="123"/>
        <w:ind w:left="1133" w:hanging="283"/>
      </w:pPr>
      <w:r>
        <w:rPr>
          <w:rFonts w:hint="eastAsia"/>
        </w:rPr>
        <w:t>1.</w:t>
      </w:r>
      <w:r w:rsidRPr="00300DBB">
        <w:rPr>
          <w:rFonts w:hint="eastAsia"/>
          <w:b/>
          <w:bCs/>
        </w:rPr>
        <w:t>法源依據</w:t>
      </w:r>
      <w:r w:rsidRPr="00A25379">
        <w:rPr>
          <w:rFonts w:hint="eastAsia"/>
        </w:rPr>
        <w:t>：博物館法於</w:t>
      </w:r>
      <w:r w:rsidRPr="00A25379">
        <w:t>104</w:t>
      </w:r>
      <w:r w:rsidRPr="00A25379">
        <w:rPr>
          <w:rFonts w:hint="eastAsia"/>
        </w:rPr>
        <w:t>年</w:t>
      </w:r>
      <w:r w:rsidRPr="00A25379">
        <w:t>7</w:t>
      </w:r>
      <w:r w:rsidRPr="00A25379">
        <w:rPr>
          <w:rFonts w:hint="eastAsia"/>
        </w:rPr>
        <w:t>月</w:t>
      </w:r>
      <w:r w:rsidRPr="00A25379">
        <w:t>l</w:t>
      </w:r>
      <w:r w:rsidRPr="00A25379">
        <w:rPr>
          <w:rFonts w:hint="eastAsia"/>
        </w:rPr>
        <w:t>日</w:t>
      </w:r>
      <w:r>
        <w:rPr>
          <w:rFonts w:hint="eastAsia"/>
        </w:rPr>
        <w:t>制定</w:t>
      </w:r>
      <w:r w:rsidRPr="00A25379">
        <w:rPr>
          <w:rFonts w:hint="eastAsia"/>
        </w:rPr>
        <w:t>公布</w:t>
      </w:r>
      <w:r>
        <w:rPr>
          <w:rFonts w:hint="eastAsia"/>
        </w:rPr>
        <w:t>並</w:t>
      </w:r>
      <w:r w:rsidRPr="00A25379">
        <w:rPr>
          <w:rFonts w:hint="eastAsia"/>
        </w:rPr>
        <w:t>施行，其第</w:t>
      </w:r>
      <w:r w:rsidRPr="00A25379">
        <w:t>6</w:t>
      </w:r>
      <w:r w:rsidRPr="00A25379">
        <w:rPr>
          <w:rFonts w:hint="eastAsia"/>
        </w:rPr>
        <w:t>條明定：「為蒐藏、保存、研究原住民族文獻、歷史與文物，中央目的事業主管機關應設置原住民族博物館，推動原住民族文化永續發展」。</w:t>
      </w:r>
    </w:p>
    <w:p w:rsidR="00927CD9" w:rsidRPr="00A25379" w:rsidRDefault="00927CD9" w:rsidP="007668ED">
      <w:pPr>
        <w:pStyle w:val="123"/>
        <w:ind w:left="1133" w:hanging="283"/>
      </w:pPr>
      <w:r>
        <w:rPr>
          <w:rFonts w:hint="eastAsia"/>
        </w:rPr>
        <w:t>2.</w:t>
      </w:r>
      <w:r w:rsidRPr="00300DBB">
        <w:rPr>
          <w:rFonts w:hint="eastAsia"/>
          <w:b/>
          <w:bCs/>
        </w:rPr>
        <w:t>規劃概念</w:t>
      </w:r>
      <w:r w:rsidRPr="00A25379">
        <w:rPr>
          <w:rFonts w:hint="eastAsia"/>
        </w:rPr>
        <w:t>：臺灣原住民族多樣化之建築文化是原住民族與自然環境互動對話之體現，園區空間規劃以反映原住民族環境觀為原則，並將原住民族之聚落和建築文化，與園區整體空間意象和博物館功能連結。</w:t>
      </w:r>
    </w:p>
    <w:p w:rsidR="00927CD9" w:rsidRPr="00A25379" w:rsidRDefault="00927CD9" w:rsidP="007668ED">
      <w:pPr>
        <w:pStyle w:val="123"/>
        <w:ind w:left="1133" w:hanging="283"/>
      </w:pPr>
      <w:r>
        <w:rPr>
          <w:rFonts w:hint="eastAsia"/>
        </w:rPr>
        <w:t>3.</w:t>
      </w:r>
      <w:r w:rsidRPr="00300DBB">
        <w:rPr>
          <w:rFonts w:hint="eastAsia"/>
          <w:b/>
          <w:bCs/>
        </w:rPr>
        <w:t>興建計畫及預算</w:t>
      </w:r>
      <w:r w:rsidRPr="00A25379">
        <w:rPr>
          <w:rFonts w:hint="eastAsia"/>
        </w:rPr>
        <w:t>：原民會所提「國立原住民族博物館園區興建計畫」(以下簡稱原博館興建計畫)之可行性評估報告，業經行政院108年4月26日原則同意，並核示工程經費為34.68億元。復原民會多次修正該計畫之經費及期程，終獲行政院於113年3月19日核定，計畫期程自113至120年，總經費為58億5,900萬元</w:t>
      </w:r>
      <w:r>
        <w:rPr>
          <w:rStyle w:val="af4"/>
        </w:rPr>
        <w:footnoteReference w:id="3"/>
      </w:r>
      <w:r w:rsidRPr="00A25379">
        <w:rPr>
          <w:rFonts w:hint="eastAsia"/>
        </w:rPr>
        <w:t>。</w:t>
      </w:r>
    </w:p>
    <w:p w:rsidR="00927CD9" w:rsidRPr="00A25379" w:rsidRDefault="00927CD9" w:rsidP="007668ED">
      <w:pPr>
        <w:pStyle w:val="21"/>
        <w:ind w:left="850" w:firstLine="566"/>
        <w:rPr>
          <w:rFonts w:hAnsi="標楷體"/>
        </w:rPr>
      </w:pPr>
      <w:r w:rsidRPr="00A25379">
        <w:rPr>
          <w:rFonts w:hAnsi="標楷體" w:hint="eastAsia"/>
        </w:rPr>
        <w:t>原博館係以國家級博物館為定位，著重學術研究、文物典藏展示修復，並包含南島語族與國際間之交流平台、培養專業</w:t>
      </w:r>
      <w:r w:rsidRPr="00A25379">
        <w:rPr>
          <w:rFonts w:hAnsi="標楷體" w:hint="eastAsia"/>
        </w:rPr>
        <w:lastRenderedPageBreak/>
        <w:t>人才、發揮館際效應培植並帶動各地方文化館舍。爰原民會對原博館</w:t>
      </w:r>
      <w:r>
        <w:rPr>
          <w:rFonts w:hAnsi="標楷體" w:hint="eastAsia"/>
        </w:rPr>
        <w:t>之</w:t>
      </w:r>
      <w:r w:rsidRPr="00A25379">
        <w:rPr>
          <w:rFonts w:hAnsi="標楷體" w:hint="eastAsia"/>
        </w:rPr>
        <w:t>規劃，宜審慎思考其功能定位與既有文化園區之屬性區隔，方能發揮互補效益，形塑完整且具有延展性之族群文化傳播體系。</w:t>
      </w:r>
    </w:p>
    <w:p w:rsidR="00927CD9" w:rsidRPr="00A25379" w:rsidRDefault="00927CD9" w:rsidP="007668ED">
      <w:pPr>
        <w:ind w:left="566" w:firstLine="566"/>
      </w:pPr>
      <w:r>
        <w:rPr>
          <w:rFonts w:hint="eastAsia"/>
        </w:rPr>
        <w:t>綜上，</w:t>
      </w:r>
      <w:r w:rsidRPr="00ED10D4">
        <w:rPr>
          <w:rFonts w:hint="eastAsia"/>
        </w:rPr>
        <w:t>臺灣原住民族文化園區及客家文化園區持續推動特色觀光，有助於文化保存與活絡地方經濟，雖受疫情影響觀光人數下滑，近年已逐步回穩，惟整體發展仍有提升空間。此外，規劃新建之原博館，允宜與現有原住民族文化園區之功能定位有所區隔，並互相搭配發展，以更全面地保存及推廣原住民族文化。</w:t>
      </w:r>
    </w:p>
    <w:p w:rsidR="00927CD9" w:rsidRPr="00840EE4" w:rsidRDefault="00927CD9" w:rsidP="007668ED">
      <w:pPr>
        <w:pStyle w:val="ab"/>
      </w:pPr>
      <w:r w:rsidRPr="00840EE4">
        <w:rPr>
          <w:rFonts w:hint="eastAsia"/>
        </w:rPr>
        <w:t>(分機：1919傅勤文)</w:t>
      </w:r>
    </w:p>
    <w:sectPr w:rsidR="00927CD9" w:rsidRPr="00840EE4"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0132FA">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927CD9" w:rsidRPr="003D2D12" w:rsidRDefault="00927CD9" w:rsidP="00991008">
      <w:pPr>
        <w:pStyle w:val="142"/>
        <w:ind w:left="195" w:hangingChars="80" w:hanging="195"/>
      </w:pPr>
      <w:r w:rsidRPr="003D2D12">
        <w:rPr>
          <w:rStyle w:val="af4"/>
          <w:szCs w:val="24"/>
        </w:rPr>
        <w:footnoteRef/>
      </w:r>
      <w:r w:rsidRPr="003D2D12">
        <w:t xml:space="preserve"> </w:t>
      </w:r>
      <w:r w:rsidRPr="003D2D12">
        <w:rPr>
          <w:rFonts w:hint="eastAsia"/>
        </w:rPr>
        <w:t>原住民族委員會原住民族文化發展中心組織法</w:t>
      </w:r>
      <w:r>
        <w:rPr>
          <w:rFonts w:hint="eastAsia"/>
        </w:rPr>
        <w:t>第2條第7款:「</w:t>
      </w:r>
      <w:r w:rsidRPr="00A071A7">
        <w:rPr>
          <w:rFonts w:hint="eastAsia"/>
        </w:rPr>
        <w:t>臺灣原住民族文化園區場館營運發展管理、督導及遊客服務</w:t>
      </w:r>
      <w:r w:rsidRPr="00233232">
        <w:rPr>
          <w:rFonts w:hint="eastAsia"/>
        </w:rPr>
        <w:t>。</w:t>
      </w:r>
      <w:r>
        <w:rPr>
          <w:rFonts w:hint="eastAsia"/>
        </w:rPr>
        <w:t>」</w:t>
      </w:r>
    </w:p>
  </w:footnote>
  <w:footnote w:id="2">
    <w:p w:rsidR="00927CD9" w:rsidRPr="005F4828" w:rsidRDefault="00927CD9" w:rsidP="00991008">
      <w:pPr>
        <w:pStyle w:val="142"/>
        <w:ind w:left="195" w:hangingChars="80" w:hanging="195"/>
        <w:rPr>
          <w:szCs w:val="24"/>
        </w:rPr>
      </w:pPr>
      <w:r w:rsidRPr="005F4828">
        <w:rPr>
          <w:rStyle w:val="af4"/>
          <w:szCs w:val="24"/>
        </w:rPr>
        <w:footnoteRef/>
      </w:r>
      <w:r w:rsidRPr="005F4828">
        <w:rPr>
          <w:szCs w:val="24"/>
        </w:rPr>
        <w:t xml:space="preserve"> </w:t>
      </w:r>
      <w:r w:rsidRPr="005F4828">
        <w:rPr>
          <w:rFonts w:hint="eastAsia"/>
          <w:szCs w:val="24"/>
        </w:rPr>
        <w:t>臺灣原住民文化園區109至110年期間因疫情影響配合</w:t>
      </w:r>
      <w:r>
        <w:rPr>
          <w:rFonts w:hint="eastAsia"/>
          <w:szCs w:val="24"/>
        </w:rPr>
        <w:t>政府政策休園，且為優化園區體驗設施，施工期間關閉部分館所，致參觀人數</w:t>
      </w:r>
      <w:r w:rsidRPr="005F4828">
        <w:rPr>
          <w:rFonts w:hint="eastAsia"/>
          <w:szCs w:val="24"/>
        </w:rPr>
        <w:t>減少</w:t>
      </w:r>
      <w:r>
        <w:rPr>
          <w:rFonts w:hint="eastAsia"/>
          <w:szCs w:val="24"/>
        </w:rPr>
        <w:t>。</w:t>
      </w:r>
    </w:p>
  </w:footnote>
  <w:footnote w:id="3">
    <w:p w:rsidR="00927CD9" w:rsidRPr="005415EE" w:rsidRDefault="00927CD9" w:rsidP="00991008">
      <w:pPr>
        <w:pStyle w:val="142"/>
        <w:ind w:left="195" w:hangingChars="80" w:hanging="195"/>
      </w:pPr>
      <w:r w:rsidRPr="005415EE">
        <w:rPr>
          <w:rStyle w:val="af4"/>
          <w:szCs w:val="24"/>
        </w:rPr>
        <w:footnoteRef/>
      </w:r>
      <w:r w:rsidRPr="005415EE">
        <w:t xml:space="preserve"> </w:t>
      </w:r>
      <w:r w:rsidRPr="005415EE">
        <w:rPr>
          <w:rFonts w:hint="eastAsia"/>
        </w:rPr>
        <w:t>原民會依「國立原住民族博物館籌備處暫行組織規程」於114年6月18日成立籌備處，刻正辦理原博館基地移撥事宜等相關籌備工作。</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132F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FD79C64-59D6-4CD0-8B09-F5A79D6FF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6DA73-4E87-4151-9048-B97A27D66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456</Words>
  <Characters>2605</Characters>
  <Application>Microsoft Office Word</Application>
  <DocSecurity>0</DocSecurity>
  <Lines>21</Lines>
  <Paragraphs>6</Paragraphs>
  <ScaleCrop>false</ScaleCrop>
  <Company>HOME</Company>
  <LinksUpToDate>false</LinksUpToDate>
  <CharactersWithSpaces>3055</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