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CB04EA" w:rsidRPr="004342C7" w:rsidRDefault="00CB04EA" w:rsidP="007668ED">
      <w:pPr>
        <w:pStyle w:val="14"/>
        <w:ind w:left="567" w:hanging="567"/>
        <w:rPr>
          <w:rFonts w:hAnsi="標楷體"/>
        </w:rPr>
      </w:pPr>
      <w:bookmarkStart w:id="2" w:name="_Toc173847869"/>
      <w:bookmarkStart w:id="3" w:name="_Toc177394281"/>
      <w:bookmarkStart w:id="4" w:name="_Toc208942789"/>
      <w:bookmarkEnd w:id="0"/>
      <w:r>
        <w:rPr>
          <w:rFonts w:hAnsi="標楷體" w:hint="eastAsia"/>
        </w:rPr>
        <w:t>一六</w:t>
      </w:r>
      <w:r w:rsidRPr="004342C7">
        <w:rPr>
          <w:rFonts w:hAnsi="標楷體" w:hint="eastAsia"/>
        </w:rPr>
        <w:t>、</w:t>
      </w:r>
      <w:bookmarkEnd w:id="2"/>
      <w:bookmarkEnd w:id="3"/>
      <w:r w:rsidRPr="004D5EFB">
        <w:rPr>
          <w:rFonts w:hAnsi="標楷體" w:hint="eastAsia"/>
        </w:rPr>
        <w:t>近年藝文活動網路購票，屢發生黃牛票情事，允宜妥為籌謀與精進，以遏止類此事件再度發生</w:t>
      </w:r>
      <w:bookmarkEnd w:id="4"/>
    </w:p>
    <w:p w:rsidR="00CB04EA" w:rsidRPr="004342C7" w:rsidRDefault="00CB04EA" w:rsidP="007668ED">
      <w:pPr>
        <w:ind w:left="566" w:firstLine="566"/>
        <w:rPr>
          <w:rFonts w:hAnsi="標楷體"/>
        </w:rPr>
      </w:pPr>
      <w:r w:rsidRPr="004D5EFB">
        <w:rPr>
          <w:rFonts w:hAnsi="標楷體" w:hint="eastAsia"/>
        </w:rPr>
        <w:t>鑒於近年黃牛票廣為民眾詬病，為有效遏阻此類現象，文化部除修正</w:t>
      </w:r>
      <w:r>
        <w:rPr>
          <w:rFonts w:hAnsi="標楷體" w:hint="eastAsia"/>
        </w:rPr>
        <w:t>文化創意產業發展法(下稱</w:t>
      </w:r>
      <w:r w:rsidRPr="004D5EFB">
        <w:rPr>
          <w:rFonts w:hAnsi="標楷體" w:hint="eastAsia"/>
        </w:rPr>
        <w:t>文創法</w:t>
      </w:r>
      <w:r>
        <w:rPr>
          <w:rFonts w:hAnsi="標楷體" w:hint="eastAsia"/>
        </w:rPr>
        <w:t>)</w:t>
      </w:r>
      <w:r w:rsidRPr="004D5EFB">
        <w:rPr>
          <w:rFonts w:hAnsi="標楷體" w:hint="eastAsia"/>
        </w:rPr>
        <w:t>及建置相關檢舉機制外，並於113年度編列預算2,925萬元，</w:t>
      </w:r>
      <w:r>
        <w:rPr>
          <w:rFonts w:hAnsi="標楷體" w:hint="eastAsia"/>
        </w:rPr>
        <w:t>執行結果，決算數2</w:t>
      </w:r>
      <w:r>
        <w:rPr>
          <w:rFonts w:hAnsi="標楷體"/>
        </w:rPr>
        <w:t>,</w:t>
      </w:r>
      <w:r>
        <w:rPr>
          <w:rFonts w:hAnsi="標楷體" w:hint="eastAsia"/>
        </w:rPr>
        <w:t>295萬元(執行率78.46%)，用於</w:t>
      </w:r>
      <w:r w:rsidRPr="004D5EFB">
        <w:rPr>
          <w:rFonts w:hAnsi="標楷體" w:hint="eastAsia"/>
        </w:rPr>
        <w:t>推動流行音樂現場演出實施票券實名制之補助</w:t>
      </w:r>
      <w:r>
        <w:rPr>
          <w:rFonts w:hAnsi="標楷體" w:hint="eastAsia"/>
        </w:rPr>
        <w:t>及藝文表演票券黃牛防制相關業務</w:t>
      </w:r>
      <w:r w:rsidRPr="004D5EFB">
        <w:rPr>
          <w:rFonts w:hAnsi="標楷體" w:hint="eastAsia"/>
        </w:rPr>
        <w:t>。經查:</w:t>
      </w:r>
    </w:p>
    <w:p w:rsidR="00CB04EA" w:rsidRPr="004342C7" w:rsidRDefault="00CB04EA" w:rsidP="007668ED">
      <w:pPr>
        <w:pStyle w:val="a5"/>
        <w:ind w:left="849" w:hanging="283"/>
        <w:rPr>
          <w:rFonts w:hAnsi="標楷體"/>
          <w:b/>
        </w:rPr>
      </w:pPr>
      <w:r w:rsidRPr="004342C7">
        <w:rPr>
          <w:rFonts w:hAnsi="標楷體" w:hint="eastAsia"/>
          <w:b/>
        </w:rPr>
        <w:t>(一)</w:t>
      </w:r>
      <w:r w:rsidRPr="004D5EFB">
        <w:rPr>
          <w:rFonts w:hAnsi="標楷體" w:hint="eastAsia"/>
          <w:b/>
        </w:rPr>
        <w:t>為防</w:t>
      </w:r>
      <w:r>
        <w:rPr>
          <w:rFonts w:hAnsi="標楷體" w:hint="eastAsia"/>
          <w:b/>
        </w:rPr>
        <w:t>制</w:t>
      </w:r>
      <w:r w:rsidRPr="004D5EFB">
        <w:rPr>
          <w:rFonts w:hAnsi="標楷體" w:hint="eastAsia"/>
          <w:b/>
        </w:rPr>
        <w:t>黃牛票，政府已修法，並建置黃牛票檢舉及實名制補助機制，期落實表演現場票券實名制</w:t>
      </w:r>
    </w:p>
    <w:p w:rsidR="00CB04EA" w:rsidRDefault="00CB04EA" w:rsidP="007668ED">
      <w:pPr>
        <w:pStyle w:val="21"/>
        <w:ind w:left="850" w:firstLine="566"/>
        <w:rPr>
          <w:rFonts w:hAnsi="標楷體"/>
        </w:rPr>
      </w:pPr>
      <w:r w:rsidRPr="004D5EFB">
        <w:rPr>
          <w:rFonts w:hAnsi="標楷體" w:hint="eastAsia"/>
        </w:rPr>
        <w:t>文化部為防</w:t>
      </w:r>
      <w:r>
        <w:rPr>
          <w:rFonts w:hAnsi="標楷體" w:hint="eastAsia"/>
        </w:rPr>
        <w:t>制</w:t>
      </w:r>
      <w:r w:rsidRPr="004D5EFB">
        <w:rPr>
          <w:rFonts w:hAnsi="標楷體" w:hint="eastAsia"/>
        </w:rPr>
        <w:t>黃牛票問題所修正之文創法第10條之1</w:t>
      </w:r>
      <w:r>
        <w:rPr>
          <w:rStyle w:val="af4"/>
          <w:rFonts w:hAnsi="標楷體"/>
        </w:rPr>
        <w:footnoteReference w:id="1"/>
      </w:r>
      <w:r w:rsidRPr="004D5EFB">
        <w:rPr>
          <w:rFonts w:hAnsi="標楷體" w:hint="eastAsia"/>
        </w:rPr>
        <w:t xml:space="preserve"> ，業於112年</w:t>
      </w:r>
      <w:r>
        <w:rPr>
          <w:rFonts w:hAnsi="標楷體" w:hint="eastAsia"/>
        </w:rPr>
        <w:t>5</w:t>
      </w:r>
      <w:r w:rsidRPr="004D5EFB">
        <w:rPr>
          <w:rFonts w:hAnsi="標楷體" w:hint="eastAsia"/>
        </w:rPr>
        <w:t>月</w:t>
      </w:r>
      <w:r>
        <w:rPr>
          <w:rFonts w:hAnsi="標楷體" w:hint="eastAsia"/>
        </w:rPr>
        <w:t>31</w:t>
      </w:r>
      <w:r w:rsidRPr="004D5EFB">
        <w:rPr>
          <w:rFonts w:hAnsi="標楷體" w:hint="eastAsia"/>
        </w:rPr>
        <w:t>日開始施行，除加重對黃牛票罰則及賦予地方政府更大裁罰權限外，並強化檢舉與調查機制。倘民眾發現有疑似演唱會、展覽等藝文活動之黃牛票券，可逕向文化部或活動所在地文化局提出檢舉。目前市縣文化局網站亦多設有「線上檢舉表單」或聯絡電話提供民眾檢舉，文化部並成立黃牛檢舉專區，以因應民眾及地方政府諮詢需求，俾地方政府於規劃檢舉、調查流程及裁罰標準等法令遵循流程需有專業法律諮詢服務及人力協助時，提供相關協助。</w:t>
      </w:r>
    </w:p>
    <w:p w:rsidR="00CB04EA" w:rsidRPr="004D5EFB" w:rsidRDefault="00CB04EA" w:rsidP="007668ED">
      <w:pPr>
        <w:pStyle w:val="21"/>
        <w:ind w:left="850" w:firstLine="566"/>
        <w:rPr>
          <w:rFonts w:hAnsi="標楷體"/>
        </w:rPr>
      </w:pPr>
      <w:r w:rsidRPr="004D5EFB">
        <w:rPr>
          <w:rFonts w:hAnsi="標楷體" w:hint="eastAsia"/>
        </w:rPr>
        <w:t>據該部所陳，持續與內政部警政署刑事警察局及地方政府、售票平台等保持資訊合作交換，藉由售票平台過濾異常帳號及訂單，主動送請具調查權之內政部警政署刑事警察局偵查第九大隊偵辦，藉由隨時蒐集相關檢舉資料並適時提供警察單</w:t>
      </w:r>
      <w:r w:rsidRPr="004D5EFB">
        <w:rPr>
          <w:rFonts w:hAnsi="標楷體" w:hint="eastAsia"/>
        </w:rPr>
        <w:lastRenderedPageBreak/>
        <w:t>位調查，強化查察效力。目前警方已破獲AI黃牛、Max搶票機器人、全</w:t>
      </w:r>
      <w:r>
        <w:rPr>
          <w:rFonts w:hAnsi="標楷體" w:hint="eastAsia"/>
        </w:rPr>
        <w:t>臺</w:t>
      </w:r>
      <w:r w:rsidRPr="004D5EFB">
        <w:rPr>
          <w:rFonts w:hAnsi="標楷體" w:hint="eastAsia"/>
        </w:rPr>
        <w:t>最大販售黃牛業者的黃牛夫妻檔等案。</w:t>
      </w:r>
    </w:p>
    <w:p w:rsidR="00CB04EA" w:rsidRDefault="00CB04EA" w:rsidP="007668ED">
      <w:pPr>
        <w:pStyle w:val="21"/>
        <w:ind w:left="850" w:firstLine="566"/>
        <w:rPr>
          <w:rFonts w:hAnsi="標楷體"/>
        </w:rPr>
      </w:pPr>
      <w:r w:rsidRPr="004D5EFB">
        <w:rPr>
          <w:rFonts w:hAnsi="標楷體" w:hint="eastAsia"/>
        </w:rPr>
        <w:t>114年1至</w:t>
      </w:r>
      <w:r>
        <w:rPr>
          <w:rFonts w:hAnsi="標楷體" w:hint="eastAsia"/>
        </w:rPr>
        <w:t>7</w:t>
      </w:r>
      <w:r w:rsidRPr="004D5EFB">
        <w:rPr>
          <w:rFonts w:hAnsi="標楷體" w:hint="eastAsia"/>
        </w:rPr>
        <w:t>月止，各級政府接獲檢舉案件數即達</w:t>
      </w:r>
      <w:r>
        <w:rPr>
          <w:rFonts w:hAnsi="標楷體" w:hint="eastAsia"/>
        </w:rPr>
        <w:t>2</w:t>
      </w:r>
      <w:r w:rsidRPr="004D5EFB">
        <w:rPr>
          <w:rFonts w:hAnsi="標楷體" w:hint="eastAsia"/>
        </w:rPr>
        <w:t>,</w:t>
      </w:r>
      <w:r>
        <w:rPr>
          <w:rFonts w:hAnsi="標楷體" w:hint="eastAsia"/>
        </w:rPr>
        <w:t>093</w:t>
      </w:r>
      <w:r w:rsidRPr="004D5EFB">
        <w:rPr>
          <w:rFonts w:hAnsi="標楷體" w:hint="eastAsia"/>
        </w:rPr>
        <w:t>件，</w:t>
      </w:r>
      <w:r>
        <w:rPr>
          <w:rFonts w:hAnsi="標楷體" w:hint="eastAsia"/>
        </w:rPr>
        <w:t>已超越112年之1</w:t>
      </w:r>
      <w:r>
        <w:rPr>
          <w:rFonts w:hAnsi="標楷體"/>
        </w:rPr>
        <w:t>,</w:t>
      </w:r>
      <w:r>
        <w:rPr>
          <w:rFonts w:hAnsi="標楷體" w:hint="eastAsia"/>
        </w:rPr>
        <w:t>593件，</w:t>
      </w:r>
      <w:r w:rsidRPr="004D5EFB">
        <w:rPr>
          <w:rFonts w:hAnsi="標楷體" w:hint="eastAsia"/>
        </w:rPr>
        <w:t>另113年</w:t>
      </w:r>
      <w:r>
        <w:rPr>
          <w:rFonts w:hAnsi="標楷體" w:hint="eastAsia"/>
        </w:rPr>
        <w:t>亦</w:t>
      </w:r>
      <w:r w:rsidRPr="004D5EFB">
        <w:rPr>
          <w:rFonts w:hAnsi="標楷體" w:hint="eastAsia"/>
        </w:rPr>
        <w:t>達7,236件(詳表1)，據文化部陳稱，係</w:t>
      </w:r>
      <w:r>
        <w:rPr>
          <w:rFonts w:hAnsi="標楷體" w:hint="eastAsia"/>
        </w:rPr>
        <w:t>因</w:t>
      </w:r>
      <w:r w:rsidRPr="004D5EFB">
        <w:rPr>
          <w:rFonts w:hAnsi="標楷體" w:hint="eastAsia"/>
        </w:rPr>
        <w:t>當年度周杰倫演唱會等大型活動，帶動民眾檢舉數量激增，導致案件數暴增。另據該部查處數據觀之，接獲檢舉案件數逐年增加，地方政府實際裁處案件數亦隨之增加，已由112年之13件，逐步增加至114年1至</w:t>
      </w:r>
      <w:r>
        <w:rPr>
          <w:rFonts w:hAnsi="標楷體" w:hint="eastAsia"/>
        </w:rPr>
        <w:t>7</w:t>
      </w:r>
      <w:r w:rsidRPr="004D5EFB">
        <w:rPr>
          <w:rFonts w:hAnsi="標楷體" w:hint="eastAsia"/>
        </w:rPr>
        <w:t>月之裁處</w:t>
      </w:r>
      <w:r>
        <w:rPr>
          <w:rFonts w:hAnsi="標楷體" w:hint="eastAsia"/>
        </w:rPr>
        <w:t>201</w:t>
      </w:r>
      <w:r w:rsidRPr="004D5EFB">
        <w:rPr>
          <w:rFonts w:hAnsi="標楷體" w:hint="eastAsia"/>
        </w:rPr>
        <w:t>件</w:t>
      </w:r>
      <w:r>
        <w:rPr>
          <w:rFonts w:hAnsi="標楷體" w:hint="eastAsia"/>
        </w:rPr>
        <w:t>。此外，警方亦破獲AI黃牛、Ma</w:t>
      </w:r>
      <w:r>
        <w:rPr>
          <w:rFonts w:hAnsi="標楷體"/>
        </w:rPr>
        <w:t>x</w:t>
      </w:r>
      <w:r>
        <w:rPr>
          <w:rFonts w:hAnsi="標楷體" w:hint="eastAsia"/>
        </w:rPr>
        <w:t>搶票機器人、全臺最大黃牛夫妻檔等</w:t>
      </w:r>
      <w:r w:rsidRPr="004D5EFB">
        <w:rPr>
          <w:rFonts w:hAnsi="標楷體" w:hint="eastAsia"/>
        </w:rPr>
        <w:t>，顯示執法技術與能量已逐漸提升。</w:t>
      </w:r>
    </w:p>
    <w:p w:rsidR="00CB04EA" w:rsidRPr="004342C7" w:rsidRDefault="00CB04EA" w:rsidP="007668ED">
      <w:pPr>
        <w:ind w:leftChars="290" w:left="1245" w:rightChars="-301" w:right="-852" w:firstLineChars="0" w:hanging="424"/>
        <w:jc w:val="left"/>
        <w:rPr>
          <w:rFonts w:hAnsi="標楷體"/>
          <w:b/>
        </w:rPr>
      </w:pPr>
      <w:r w:rsidRPr="004342C7">
        <w:rPr>
          <w:rFonts w:hAnsi="標楷體" w:hint="eastAsia"/>
          <w:b/>
        </w:rPr>
        <w:t>表</w:t>
      </w:r>
      <w:r>
        <w:rPr>
          <w:rFonts w:hAnsi="標楷體" w:hint="eastAsia"/>
          <w:b/>
        </w:rPr>
        <w:t>1</w:t>
      </w:r>
      <w:r w:rsidRPr="004342C7">
        <w:rPr>
          <w:rFonts w:hAnsi="標楷體" w:hint="eastAsia"/>
          <w:b/>
        </w:rPr>
        <w:t xml:space="preserve">  </w:t>
      </w:r>
      <w:r w:rsidRPr="00EF18A7">
        <w:rPr>
          <w:rFonts w:hAnsi="標楷體"/>
          <w:b/>
        </w:rPr>
        <w:t>112</w:t>
      </w:r>
      <w:r w:rsidRPr="00EF18A7">
        <w:rPr>
          <w:rFonts w:hAnsi="標楷體" w:hint="eastAsia"/>
          <w:b/>
        </w:rPr>
        <w:t>至114年</w:t>
      </w:r>
      <w:r>
        <w:rPr>
          <w:rFonts w:hAnsi="標楷體" w:hint="eastAsia"/>
          <w:b/>
        </w:rPr>
        <w:t>7</w:t>
      </w:r>
      <w:r w:rsidRPr="00EF18A7">
        <w:rPr>
          <w:rFonts w:hAnsi="標楷體" w:hint="eastAsia"/>
          <w:b/>
        </w:rPr>
        <w:t>月底止黃牛票查處情形</w:t>
      </w:r>
      <w:r>
        <w:rPr>
          <w:rFonts w:hAnsi="標楷體" w:hint="eastAsia"/>
          <w:b/>
        </w:rPr>
        <w:t xml:space="preserve">表     </w:t>
      </w:r>
      <w:r w:rsidRPr="00EF18A7">
        <w:rPr>
          <w:rFonts w:hAnsi="標楷體" w:hint="eastAsia"/>
          <w:b/>
        </w:rPr>
        <w:t xml:space="preserve"> </w:t>
      </w:r>
      <w:r>
        <w:rPr>
          <w:rFonts w:hAnsi="標楷體" w:hint="eastAsia"/>
          <w:b/>
        </w:rPr>
        <w:t xml:space="preserve"> </w:t>
      </w:r>
      <w:r w:rsidRPr="00EF18A7">
        <w:rPr>
          <w:rFonts w:hAnsi="標楷體" w:hint="eastAsia"/>
          <w:b/>
        </w:rPr>
        <w:t xml:space="preserve"> </w:t>
      </w:r>
      <w:r w:rsidRPr="00EF18A7">
        <w:rPr>
          <w:rFonts w:hAnsi="標楷體" w:hint="eastAsia"/>
          <w:sz w:val="24"/>
          <w:szCs w:val="24"/>
        </w:rPr>
        <w:t>單位:件</w:t>
      </w:r>
    </w:p>
    <w:tbl>
      <w:tblPr>
        <w:tblW w:w="0" w:type="auto"/>
        <w:tblInd w:w="959"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1984"/>
        <w:gridCol w:w="993"/>
        <w:gridCol w:w="992"/>
        <w:gridCol w:w="1294"/>
        <w:gridCol w:w="2391"/>
      </w:tblGrid>
      <w:tr w:rsidR="00CB04EA" w:rsidRPr="004D5EFB" w:rsidTr="007668ED">
        <w:trPr>
          <w:trHeight w:val="329"/>
        </w:trPr>
        <w:tc>
          <w:tcPr>
            <w:tcW w:w="1984" w:type="dxa"/>
            <w:shd w:val="clear" w:color="auto" w:fill="auto"/>
            <w:vAlign w:val="center"/>
          </w:tcPr>
          <w:p w:rsidR="00CB04EA" w:rsidRPr="004D5EFB" w:rsidRDefault="00CB04EA" w:rsidP="007668ED">
            <w:pPr>
              <w:pStyle w:val="142"/>
            </w:pPr>
            <w:r w:rsidRPr="004D5EFB">
              <w:rPr>
                <w:rFonts w:hint="eastAsia"/>
              </w:rPr>
              <w:t>項目</w:t>
            </w:r>
          </w:p>
        </w:tc>
        <w:tc>
          <w:tcPr>
            <w:tcW w:w="993" w:type="dxa"/>
            <w:shd w:val="clear" w:color="auto" w:fill="auto"/>
            <w:vAlign w:val="center"/>
          </w:tcPr>
          <w:p w:rsidR="00CB04EA" w:rsidRPr="004D5EFB" w:rsidRDefault="00CB04EA" w:rsidP="007668ED">
            <w:pPr>
              <w:pStyle w:val="142"/>
            </w:pPr>
            <w:r w:rsidRPr="004D5EFB">
              <w:rPr>
                <w:rFonts w:hint="eastAsia"/>
              </w:rPr>
              <w:t>112年</w:t>
            </w:r>
          </w:p>
        </w:tc>
        <w:tc>
          <w:tcPr>
            <w:tcW w:w="992" w:type="dxa"/>
            <w:shd w:val="clear" w:color="auto" w:fill="auto"/>
            <w:vAlign w:val="center"/>
          </w:tcPr>
          <w:p w:rsidR="00CB04EA" w:rsidRPr="004D5EFB" w:rsidRDefault="00CB04EA" w:rsidP="007668ED">
            <w:pPr>
              <w:pStyle w:val="142"/>
            </w:pPr>
            <w:r w:rsidRPr="004D5EFB">
              <w:rPr>
                <w:rFonts w:hint="eastAsia"/>
              </w:rPr>
              <w:t>113年</w:t>
            </w:r>
          </w:p>
        </w:tc>
        <w:tc>
          <w:tcPr>
            <w:tcW w:w="1294" w:type="dxa"/>
            <w:shd w:val="clear" w:color="auto" w:fill="auto"/>
            <w:vAlign w:val="center"/>
          </w:tcPr>
          <w:p w:rsidR="00CB04EA" w:rsidRPr="004D5EFB" w:rsidRDefault="00CB04EA" w:rsidP="007668ED">
            <w:pPr>
              <w:pStyle w:val="142"/>
            </w:pPr>
            <w:r w:rsidRPr="004D5EFB">
              <w:rPr>
                <w:rFonts w:hint="eastAsia"/>
              </w:rPr>
              <w:t>114年</w:t>
            </w:r>
            <w:r>
              <w:rPr>
                <w:rFonts w:hint="eastAsia"/>
              </w:rPr>
              <w:t>7</w:t>
            </w:r>
            <w:r w:rsidRPr="004D5EFB">
              <w:rPr>
                <w:rFonts w:hint="eastAsia"/>
              </w:rPr>
              <w:t>月底</w:t>
            </w:r>
          </w:p>
        </w:tc>
        <w:tc>
          <w:tcPr>
            <w:tcW w:w="2391" w:type="dxa"/>
            <w:shd w:val="clear" w:color="auto" w:fill="auto"/>
            <w:vAlign w:val="center"/>
          </w:tcPr>
          <w:p w:rsidR="00CB04EA" w:rsidRPr="004D5EFB" w:rsidRDefault="00CB04EA" w:rsidP="007668ED">
            <w:pPr>
              <w:pStyle w:val="142"/>
            </w:pPr>
            <w:r w:rsidRPr="004D5EFB">
              <w:rPr>
                <w:rFonts w:hint="eastAsia"/>
              </w:rPr>
              <w:t>備註</w:t>
            </w:r>
          </w:p>
        </w:tc>
      </w:tr>
      <w:tr w:rsidR="00CB04EA" w:rsidRPr="004D5EFB" w:rsidTr="007668ED">
        <w:tc>
          <w:tcPr>
            <w:tcW w:w="1984" w:type="dxa"/>
            <w:shd w:val="clear" w:color="auto" w:fill="auto"/>
            <w:vAlign w:val="center"/>
          </w:tcPr>
          <w:p w:rsidR="00CB04EA" w:rsidRPr="004D5EFB" w:rsidRDefault="00CB04EA" w:rsidP="007668ED">
            <w:pPr>
              <w:pStyle w:val="142"/>
            </w:pPr>
            <w:r w:rsidRPr="004D5EFB">
              <w:rPr>
                <w:rFonts w:hint="eastAsia"/>
              </w:rPr>
              <w:t>接獲檢舉案件數</w:t>
            </w:r>
          </w:p>
        </w:tc>
        <w:tc>
          <w:tcPr>
            <w:tcW w:w="993" w:type="dxa"/>
            <w:shd w:val="clear" w:color="auto" w:fill="auto"/>
            <w:vAlign w:val="center"/>
          </w:tcPr>
          <w:p w:rsidR="00CB04EA" w:rsidRPr="004D5EFB" w:rsidRDefault="00CB04EA" w:rsidP="007668ED">
            <w:pPr>
              <w:pStyle w:val="142"/>
              <w:jc w:val="right"/>
            </w:pPr>
            <w:r w:rsidRPr="004D5EFB">
              <w:t>1,593</w:t>
            </w:r>
          </w:p>
        </w:tc>
        <w:tc>
          <w:tcPr>
            <w:tcW w:w="992" w:type="dxa"/>
            <w:shd w:val="clear" w:color="auto" w:fill="auto"/>
            <w:vAlign w:val="center"/>
          </w:tcPr>
          <w:p w:rsidR="00CB04EA" w:rsidRPr="004D5EFB" w:rsidRDefault="00CB04EA" w:rsidP="007668ED">
            <w:pPr>
              <w:pStyle w:val="142"/>
              <w:jc w:val="right"/>
            </w:pPr>
            <w:r w:rsidRPr="004D5EFB">
              <w:t>7,236</w:t>
            </w:r>
          </w:p>
        </w:tc>
        <w:tc>
          <w:tcPr>
            <w:tcW w:w="1294" w:type="dxa"/>
            <w:shd w:val="clear" w:color="auto" w:fill="auto"/>
            <w:vAlign w:val="center"/>
          </w:tcPr>
          <w:p w:rsidR="00CB04EA" w:rsidRPr="004D5EFB" w:rsidRDefault="00CB04EA" w:rsidP="007668ED">
            <w:pPr>
              <w:pStyle w:val="142"/>
              <w:jc w:val="right"/>
            </w:pPr>
            <w:r>
              <w:rPr>
                <w:rFonts w:hint="eastAsia"/>
              </w:rPr>
              <w:t>2</w:t>
            </w:r>
            <w:r w:rsidRPr="004D5EFB">
              <w:t>,</w:t>
            </w:r>
            <w:r>
              <w:rPr>
                <w:rFonts w:hint="eastAsia"/>
              </w:rPr>
              <w:t>093</w:t>
            </w:r>
          </w:p>
        </w:tc>
        <w:tc>
          <w:tcPr>
            <w:tcW w:w="2391" w:type="dxa"/>
            <w:shd w:val="clear" w:color="auto" w:fill="auto"/>
            <w:vAlign w:val="center"/>
          </w:tcPr>
          <w:p w:rsidR="00CB04EA" w:rsidRPr="004D5EFB" w:rsidRDefault="00CB04EA" w:rsidP="007668ED">
            <w:pPr>
              <w:pStyle w:val="142"/>
            </w:pPr>
            <w:r w:rsidRPr="004D5EFB">
              <w:t>113</w:t>
            </w:r>
            <w:r w:rsidRPr="004D5EFB">
              <w:rPr>
                <w:rFonts w:hint="eastAsia"/>
              </w:rPr>
              <w:t>年10 月因周杰倫演唱會開賣湧入大量檢舉案件</w:t>
            </w:r>
          </w:p>
        </w:tc>
      </w:tr>
      <w:tr w:rsidR="00CB04EA" w:rsidRPr="004D5EFB" w:rsidTr="007668ED">
        <w:tc>
          <w:tcPr>
            <w:tcW w:w="1984" w:type="dxa"/>
            <w:shd w:val="clear" w:color="auto" w:fill="auto"/>
            <w:vAlign w:val="center"/>
          </w:tcPr>
          <w:p w:rsidR="00CB04EA" w:rsidRPr="004D5EFB" w:rsidRDefault="00CB04EA" w:rsidP="007668ED">
            <w:pPr>
              <w:pStyle w:val="142"/>
            </w:pPr>
            <w:r w:rsidRPr="004D5EFB">
              <w:rPr>
                <w:rFonts w:hint="eastAsia"/>
              </w:rPr>
              <w:t>調查案件數</w:t>
            </w:r>
            <w:r w:rsidRPr="004D5EFB">
              <w:rPr>
                <w:rFonts w:hint="eastAsia"/>
                <w:vertAlign w:val="superscript"/>
              </w:rPr>
              <w:t>1</w:t>
            </w:r>
          </w:p>
        </w:tc>
        <w:tc>
          <w:tcPr>
            <w:tcW w:w="993" w:type="dxa"/>
            <w:shd w:val="clear" w:color="auto" w:fill="auto"/>
            <w:vAlign w:val="center"/>
          </w:tcPr>
          <w:p w:rsidR="00CB04EA" w:rsidRPr="004D5EFB" w:rsidRDefault="00CB04EA" w:rsidP="007668ED">
            <w:pPr>
              <w:pStyle w:val="142"/>
              <w:jc w:val="right"/>
            </w:pPr>
            <w:r w:rsidRPr="004D5EFB">
              <w:t>411</w:t>
            </w:r>
          </w:p>
        </w:tc>
        <w:tc>
          <w:tcPr>
            <w:tcW w:w="992" w:type="dxa"/>
            <w:shd w:val="clear" w:color="auto" w:fill="auto"/>
            <w:vAlign w:val="center"/>
          </w:tcPr>
          <w:p w:rsidR="00CB04EA" w:rsidRPr="004D5EFB" w:rsidRDefault="00CB04EA" w:rsidP="007668ED">
            <w:pPr>
              <w:pStyle w:val="142"/>
              <w:jc w:val="right"/>
            </w:pPr>
            <w:r w:rsidRPr="004D5EFB">
              <w:t>1,817</w:t>
            </w:r>
          </w:p>
        </w:tc>
        <w:tc>
          <w:tcPr>
            <w:tcW w:w="1294" w:type="dxa"/>
            <w:shd w:val="clear" w:color="auto" w:fill="auto"/>
            <w:vAlign w:val="center"/>
          </w:tcPr>
          <w:p w:rsidR="00CB04EA" w:rsidRPr="004D5EFB" w:rsidRDefault="00CB04EA" w:rsidP="007668ED">
            <w:pPr>
              <w:pStyle w:val="142"/>
              <w:jc w:val="right"/>
            </w:pPr>
            <w:r>
              <w:rPr>
                <w:rFonts w:hint="eastAsia"/>
              </w:rPr>
              <w:t>698</w:t>
            </w:r>
          </w:p>
        </w:tc>
        <w:tc>
          <w:tcPr>
            <w:tcW w:w="2391" w:type="dxa"/>
            <w:shd w:val="clear" w:color="auto" w:fill="auto"/>
            <w:vAlign w:val="center"/>
          </w:tcPr>
          <w:p w:rsidR="00CB04EA" w:rsidRPr="004D5EFB" w:rsidRDefault="00CB04EA" w:rsidP="007668ED">
            <w:pPr>
              <w:pStyle w:val="142"/>
            </w:pPr>
          </w:p>
        </w:tc>
      </w:tr>
      <w:tr w:rsidR="00CB04EA" w:rsidRPr="004D5EFB" w:rsidTr="007668ED">
        <w:tc>
          <w:tcPr>
            <w:tcW w:w="1984" w:type="dxa"/>
            <w:shd w:val="clear" w:color="auto" w:fill="auto"/>
            <w:vAlign w:val="center"/>
          </w:tcPr>
          <w:p w:rsidR="00CB04EA" w:rsidRPr="004D5EFB" w:rsidRDefault="00CB04EA" w:rsidP="007668ED">
            <w:pPr>
              <w:pStyle w:val="142"/>
            </w:pPr>
            <w:r w:rsidRPr="004D5EFB">
              <w:rPr>
                <w:rFonts w:hint="eastAsia"/>
              </w:rPr>
              <w:t>地方政府裁處案件數</w:t>
            </w:r>
          </w:p>
        </w:tc>
        <w:tc>
          <w:tcPr>
            <w:tcW w:w="993" w:type="dxa"/>
            <w:shd w:val="clear" w:color="auto" w:fill="auto"/>
            <w:vAlign w:val="center"/>
          </w:tcPr>
          <w:p w:rsidR="00CB04EA" w:rsidRPr="004D5EFB" w:rsidRDefault="00CB04EA" w:rsidP="007668ED">
            <w:pPr>
              <w:pStyle w:val="142"/>
              <w:jc w:val="right"/>
            </w:pPr>
            <w:r w:rsidRPr="004D5EFB">
              <w:t>13</w:t>
            </w:r>
          </w:p>
        </w:tc>
        <w:tc>
          <w:tcPr>
            <w:tcW w:w="992" w:type="dxa"/>
            <w:shd w:val="clear" w:color="auto" w:fill="auto"/>
            <w:vAlign w:val="center"/>
          </w:tcPr>
          <w:p w:rsidR="00CB04EA" w:rsidRPr="004D5EFB" w:rsidRDefault="00CB04EA" w:rsidP="007668ED">
            <w:pPr>
              <w:pStyle w:val="142"/>
              <w:jc w:val="right"/>
            </w:pPr>
            <w:r w:rsidRPr="004D5EFB">
              <w:t>134</w:t>
            </w:r>
          </w:p>
        </w:tc>
        <w:tc>
          <w:tcPr>
            <w:tcW w:w="1294" w:type="dxa"/>
            <w:shd w:val="clear" w:color="auto" w:fill="auto"/>
            <w:vAlign w:val="center"/>
          </w:tcPr>
          <w:p w:rsidR="00CB04EA" w:rsidRPr="004D5EFB" w:rsidRDefault="00CB04EA" w:rsidP="007668ED">
            <w:pPr>
              <w:pStyle w:val="142"/>
              <w:jc w:val="right"/>
            </w:pPr>
            <w:r>
              <w:rPr>
                <w:rFonts w:hint="eastAsia"/>
              </w:rPr>
              <w:t>201</w:t>
            </w:r>
          </w:p>
        </w:tc>
        <w:tc>
          <w:tcPr>
            <w:tcW w:w="2391" w:type="dxa"/>
            <w:shd w:val="clear" w:color="auto" w:fill="auto"/>
            <w:vAlign w:val="center"/>
          </w:tcPr>
          <w:p w:rsidR="00CB04EA" w:rsidRPr="004D5EFB" w:rsidRDefault="00CB04EA" w:rsidP="007668ED">
            <w:pPr>
              <w:pStyle w:val="142"/>
            </w:pPr>
          </w:p>
        </w:tc>
      </w:tr>
    </w:tbl>
    <w:p w:rsidR="00CB04EA" w:rsidRPr="00EF18A7" w:rsidRDefault="00CB04EA" w:rsidP="007668ED">
      <w:pPr>
        <w:spacing w:line="280" w:lineRule="exact"/>
        <w:ind w:leftChars="286" w:left="810" w:firstLineChars="0" w:firstLine="0"/>
        <w:jc w:val="left"/>
        <w:rPr>
          <w:rFonts w:hAnsi="標楷體"/>
          <w:sz w:val="24"/>
          <w:szCs w:val="24"/>
        </w:rPr>
      </w:pPr>
      <w:r w:rsidRPr="00EF18A7">
        <w:rPr>
          <w:rFonts w:hAnsi="標楷體" w:hint="eastAsia"/>
          <w:sz w:val="24"/>
          <w:szCs w:val="24"/>
        </w:rPr>
        <w:t>說    明</w:t>
      </w:r>
      <w:r w:rsidRPr="0038193C">
        <w:rPr>
          <w:rFonts w:hAnsi="標楷體" w:hint="eastAsia"/>
          <w:sz w:val="24"/>
          <w:szCs w:val="24"/>
        </w:rPr>
        <w:t>:</w:t>
      </w:r>
      <w:r w:rsidRPr="00EF18A7">
        <w:rPr>
          <w:rFonts w:hAnsi="標楷體" w:hint="eastAsia"/>
          <w:sz w:val="24"/>
          <w:szCs w:val="24"/>
        </w:rPr>
        <w:t>1.</w:t>
      </w:r>
      <w:r>
        <w:rPr>
          <w:rFonts w:hAnsi="標楷體" w:hint="eastAsia"/>
          <w:sz w:val="24"/>
          <w:szCs w:val="24"/>
        </w:rPr>
        <w:t>含</w:t>
      </w:r>
      <w:r w:rsidRPr="00EF18A7">
        <w:rPr>
          <w:rFonts w:hAnsi="標楷體" w:hint="eastAsia"/>
          <w:sz w:val="24"/>
          <w:szCs w:val="24"/>
        </w:rPr>
        <w:t>地方政府提供之自行調查案件數。</w:t>
      </w:r>
    </w:p>
    <w:p w:rsidR="00CB04EA" w:rsidRPr="00EF18A7" w:rsidRDefault="00CB04EA" w:rsidP="007668ED">
      <w:pPr>
        <w:spacing w:line="280" w:lineRule="exact"/>
        <w:ind w:leftChars="658" w:left="2100" w:hangingChars="97" w:hanging="236"/>
        <w:jc w:val="left"/>
        <w:rPr>
          <w:rFonts w:hAnsi="標楷體"/>
          <w:sz w:val="24"/>
          <w:szCs w:val="24"/>
        </w:rPr>
      </w:pPr>
      <w:r w:rsidRPr="00EF18A7">
        <w:rPr>
          <w:rFonts w:hAnsi="標楷體" w:hint="eastAsia"/>
          <w:sz w:val="24"/>
          <w:szCs w:val="24"/>
        </w:rPr>
        <w:t>2.不正方式係由警方調查，並非地方政府裁處，目前文化部送請警方調查之不正方式案件共</w:t>
      </w:r>
      <w:r w:rsidRPr="00EF18A7">
        <w:rPr>
          <w:rFonts w:hAnsi="標楷體"/>
          <w:sz w:val="24"/>
          <w:szCs w:val="24"/>
        </w:rPr>
        <w:t>3</w:t>
      </w:r>
      <w:r w:rsidRPr="00EF18A7">
        <w:rPr>
          <w:rFonts w:hAnsi="標楷體" w:hint="eastAsia"/>
          <w:sz w:val="24"/>
          <w:szCs w:val="24"/>
        </w:rPr>
        <w:t>件，</w:t>
      </w:r>
      <w:r w:rsidRPr="00EF18A7">
        <w:rPr>
          <w:rFonts w:hAnsi="標楷體"/>
          <w:sz w:val="24"/>
          <w:szCs w:val="24"/>
        </w:rPr>
        <w:t>2</w:t>
      </w:r>
      <w:r w:rsidRPr="00EF18A7">
        <w:rPr>
          <w:rFonts w:hAnsi="標楷體" w:hint="eastAsia"/>
          <w:color w:val="000000"/>
          <w:sz w:val="24"/>
        </w:rPr>
        <w:t>件緩起訴</w:t>
      </w:r>
      <w:r w:rsidRPr="00EF18A7">
        <w:rPr>
          <w:rFonts w:hAnsi="標楷體" w:hint="eastAsia"/>
          <w:sz w:val="24"/>
          <w:szCs w:val="24"/>
        </w:rPr>
        <w:t>、</w:t>
      </w:r>
      <w:r w:rsidRPr="00EF18A7">
        <w:rPr>
          <w:rFonts w:hAnsi="標楷體"/>
          <w:sz w:val="24"/>
          <w:szCs w:val="24"/>
        </w:rPr>
        <w:t>1</w:t>
      </w:r>
      <w:r w:rsidRPr="00EF18A7">
        <w:rPr>
          <w:rFonts w:hAnsi="標楷體" w:hint="eastAsia"/>
          <w:sz w:val="24"/>
          <w:szCs w:val="24"/>
        </w:rPr>
        <w:t>件不起訴。</w:t>
      </w:r>
    </w:p>
    <w:p w:rsidR="00CB04EA" w:rsidRPr="004342C7" w:rsidRDefault="00CB04EA" w:rsidP="007668ED">
      <w:pPr>
        <w:spacing w:line="280" w:lineRule="exact"/>
        <w:ind w:leftChars="285" w:left="2266" w:hangingChars="600" w:hanging="1459"/>
        <w:jc w:val="left"/>
        <w:rPr>
          <w:rFonts w:hAnsi="標楷體"/>
          <w:sz w:val="24"/>
        </w:rPr>
      </w:pPr>
      <w:r w:rsidRPr="00EF18A7">
        <w:rPr>
          <w:rFonts w:hAnsi="標楷體" w:hint="eastAsia"/>
          <w:sz w:val="24"/>
          <w:szCs w:val="24"/>
        </w:rPr>
        <w:t>資料來源:文化部提供</w:t>
      </w:r>
      <w:r>
        <w:rPr>
          <w:rFonts w:hAnsi="標楷體" w:hint="eastAsia"/>
          <w:sz w:val="24"/>
          <w:szCs w:val="24"/>
        </w:rPr>
        <w:t>。</w:t>
      </w:r>
    </w:p>
    <w:p w:rsidR="00CB04EA" w:rsidRPr="004342C7" w:rsidRDefault="00CB04EA" w:rsidP="007668ED">
      <w:pPr>
        <w:pStyle w:val="a5"/>
        <w:ind w:left="849" w:hanging="283"/>
        <w:rPr>
          <w:rFonts w:hAnsi="標楷體"/>
          <w:b/>
        </w:rPr>
      </w:pPr>
      <w:r w:rsidRPr="004342C7">
        <w:rPr>
          <w:rFonts w:hAnsi="標楷體" w:hint="eastAsia"/>
          <w:b/>
        </w:rPr>
        <w:t xml:space="preserve"> (二)</w:t>
      </w:r>
      <w:r w:rsidRPr="00EF18A7">
        <w:rPr>
          <w:rFonts w:hAnsi="標楷體" w:hint="eastAsia"/>
          <w:b/>
        </w:rPr>
        <w:t>補助演唱會</w:t>
      </w:r>
      <w:r>
        <w:rPr>
          <w:rFonts w:hAnsi="標楷體" w:hint="eastAsia"/>
          <w:b/>
        </w:rPr>
        <w:t>實施票券</w:t>
      </w:r>
      <w:r w:rsidRPr="00EF18A7">
        <w:rPr>
          <w:rFonts w:hAnsi="標楷體" w:hint="eastAsia"/>
          <w:b/>
        </w:rPr>
        <w:t>實名制</w:t>
      </w:r>
      <w:r>
        <w:rPr>
          <w:rFonts w:hAnsi="標楷體" w:hint="eastAsia"/>
          <w:b/>
        </w:rPr>
        <w:t>對遏止黃牛歪風</w:t>
      </w:r>
      <w:r w:rsidRPr="00EF18A7">
        <w:rPr>
          <w:rFonts w:hAnsi="標楷體" w:hint="eastAsia"/>
          <w:b/>
        </w:rPr>
        <w:t>雖有短期之效，</w:t>
      </w:r>
      <w:r>
        <w:rPr>
          <w:rFonts w:hAnsi="標楷體" w:hint="eastAsia"/>
          <w:b/>
        </w:rPr>
        <w:t>惟為提升修法成效，仍宜研謀長期精進作法</w:t>
      </w:r>
    </w:p>
    <w:p w:rsidR="00CB04EA" w:rsidRDefault="00CB04EA" w:rsidP="007668ED">
      <w:pPr>
        <w:pStyle w:val="21"/>
        <w:ind w:left="850" w:firstLine="566"/>
        <w:rPr>
          <w:rFonts w:hAnsi="標楷體"/>
        </w:rPr>
      </w:pPr>
      <w:r w:rsidRPr="00EF4036">
        <w:rPr>
          <w:rFonts w:hAnsi="標楷體" w:hint="eastAsia"/>
        </w:rPr>
        <w:t>為鼓勵業者辦理現場演唱會採用實名制，文化</w:t>
      </w:r>
      <w:r w:rsidRPr="00EF4036">
        <w:rPr>
          <w:rFonts w:hAnsi="標楷體"/>
        </w:rPr>
        <w:t>部</w:t>
      </w:r>
      <w:r w:rsidRPr="00EF4036">
        <w:rPr>
          <w:rFonts w:hAnsi="標楷體" w:hint="eastAsia"/>
        </w:rPr>
        <w:t>分別於113及</w:t>
      </w:r>
      <w:r w:rsidRPr="00EF4036">
        <w:rPr>
          <w:rFonts w:hAnsi="標楷體"/>
        </w:rPr>
        <w:t>114年</w:t>
      </w:r>
      <w:r w:rsidRPr="00EF4036">
        <w:rPr>
          <w:rFonts w:hAnsi="標楷體" w:hint="eastAsia"/>
        </w:rPr>
        <w:t>度各</w:t>
      </w:r>
      <w:r w:rsidRPr="00EF4036">
        <w:rPr>
          <w:rFonts w:hAnsi="標楷體"/>
        </w:rPr>
        <w:t>編列2,925</w:t>
      </w:r>
      <w:r>
        <w:rPr>
          <w:rFonts w:hAnsi="標楷體" w:hint="eastAsia"/>
        </w:rPr>
        <w:t>萬元</w:t>
      </w:r>
      <w:r w:rsidRPr="00EF4036">
        <w:rPr>
          <w:rFonts w:hAnsi="標楷體" w:hint="eastAsia"/>
        </w:rPr>
        <w:t>及</w:t>
      </w:r>
      <w:r w:rsidRPr="00EF4036">
        <w:rPr>
          <w:rFonts w:hAnsi="標楷體"/>
        </w:rPr>
        <w:t>2,12</w:t>
      </w:r>
      <w:r w:rsidRPr="00EF4036">
        <w:rPr>
          <w:rFonts w:hAnsi="標楷體" w:hint="eastAsia"/>
        </w:rPr>
        <w:t>7</w:t>
      </w:r>
      <w:r w:rsidRPr="00EF4036">
        <w:rPr>
          <w:rFonts w:hAnsi="標楷體"/>
        </w:rPr>
        <w:t>萬</w:t>
      </w:r>
      <w:r w:rsidRPr="00EF4036">
        <w:rPr>
          <w:rFonts w:hAnsi="標楷體" w:hint="eastAsia"/>
        </w:rPr>
        <w:t>元預算</w:t>
      </w:r>
      <w:r w:rsidRPr="00EF4036">
        <w:rPr>
          <w:rFonts w:hAnsi="標楷體"/>
        </w:rPr>
        <w:t>推動流行音樂現場演出實施票券實名制</w:t>
      </w:r>
      <w:r w:rsidRPr="00EF4036">
        <w:rPr>
          <w:rFonts w:hAnsi="標楷體" w:hint="eastAsia"/>
        </w:rPr>
        <w:t>之</w:t>
      </w:r>
      <w:r w:rsidRPr="00EF4036">
        <w:rPr>
          <w:rFonts w:hAnsi="標楷體"/>
        </w:rPr>
        <w:t>補助</w:t>
      </w:r>
      <w:r>
        <w:rPr>
          <w:rFonts w:hAnsi="標楷體" w:hint="eastAsia"/>
        </w:rPr>
        <w:t>及辦理藝文表演票券黃牛防制相關業務</w:t>
      </w:r>
      <w:r w:rsidRPr="00EF4036">
        <w:rPr>
          <w:rFonts w:hAnsi="標楷體" w:hint="eastAsia"/>
        </w:rPr>
        <w:t>，主要係</w:t>
      </w:r>
      <w:r w:rsidRPr="00EF4036">
        <w:rPr>
          <w:rFonts w:hAnsi="標楷體"/>
        </w:rPr>
        <w:t>輔導國內場館結合流行音樂演唱會主辦單位</w:t>
      </w:r>
      <w:r w:rsidRPr="00EF4036">
        <w:rPr>
          <w:rFonts w:hAnsi="標楷體" w:hint="eastAsia"/>
        </w:rPr>
        <w:t>實施票券實名制。據文化部統計，</w:t>
      </w:r>
      <w:r w:rsidRPr="00EF4036">
        <w:rPr>
          <w:rFonts w:hAnsi="標楷體"/>
        </w:rPr>
        <w:t xml:space="preserve"> 112</w:t>
      </w:r>
      <w:r w:rsidRPr="00EF4036">
        <w:rPr>
          <w:rFonts w:hAnsi="標楷體" w:hint="eastAsia"/>
        </w:rPr>
        <w:t>及</w:t>
      </w:r>
      <w:r w:rsidRPr="00EF4036">
        <w:rPr>
          <w:rFonts w:hAnsi="標楷體"/>
        </w:rPr>
        <w:t>113年</w:t>
      </w:r>
      <w:r w:rsidRPr="00EF4036">
        <w:rPr>
          <w:rFonts w:hAnsi="標楷體" w:hint="eastAsia"/>
        </w:rPr>
        <w:t>度各</w:t>
      </w:r>
      <w:r w:rsidRPr="00EF4036">
        <w:rPr>
          <w:rFonts w:hAnsi="標楷體"/>
        </w:rPr>
        <w:t>補助</w:t>
      </w:r>
      <w:r w:rsidRPr="00EF4036">
        <w:rPr>
          <w:rFonts w:hAnsi="標楷體" w:hint="eastAsia"/>
        </w:rPr>
        <w:t>4案、</w:t>
      </w:r>
      <w:r w:rsidRPr="00EF4036">
        <w:rPr>
          <w:rFonts w:hAnsi="標楷體" w:hint="eastAsia"/>
        </w:rPr>
        <w:lastRenderedPageBreak/>
        <w:t>314萬</w:t>
      </w:r>
      <w:r>
        <w:rPr>
          <w:rFonts w:hAnsi="標楷體" w:hint="eastAsia"/>
        </w:rPr>
        <w:t>7千</w:t>
      </w:r>
      <w:r w:rsidRPr="00EF4036">
        <w:rPr>
          <w:rFonts w:hAnsi="標楷體" w:hint="eastAsia"/>
        </w:rPr>
        <w:t>元及</w:t>
      </w:r>
      <w:r w:rsidRPr="00EF4036">
        <w:rPr>
          <w:rFonts w:hAnsi="標楷體"/>
        </w:rPr>
        <w:t>5</w:t>
      </w:r>
      <w:r w:rsidRPr="00EF4036">
        <w:rPr>
          <w:rFonts w:hAnsi="標楷體" w:hint="eastAsia"/>
        </w:rPr>
        <w:t>3</w:t>
      </w:r>
      <w:r w:rsidRPr="00EF4036">
        <w:rPr>
          <w:rFonts w:hAnsi="標楷體"/>
        </w:rPr>
        <w:t>案</w:t>
      </w:r>
      <w:r w:rsidRPr="00EF4036">
        <w:rPr>
          <w:rFonts w:hAnsi="標楷體" w:hint="eastAsia"/>
        </w:rPr>
        <w:t>、2,295萬元</w:t>
      </w:r>
      <w:r w:rsidRPr="00EF4036">
        <w:rPr>
          <w:rFonts w:hAnsi="標楷體"/>
          <w:vertAlign w:val="superscript"/>
        </w:rPr>
        <w:footnoteReference w:id="2"/>
      </w:r>
      <w:r>
        <w:rPr>
          <w:rFonts w:hAnsi="標楷體" w:hint="eastAsia"/>
        </w:rPr>
        <w:t>(詳表2)</w:t>
      </w:r>
      <w:r w:rsidRPr="00EF4036">
        <w:rPr>
          <w:rFonts w:hAnsi="標楷體"/>
        </w:rPr>
        <w:t>，114年</w:t>
      </w:r>
      <w:r w:rsidRPr="00EF4036">
        <w:rPr>
          <w:rFonts w:hAnsi="標楷體" w:hint="eastAsia"/>
        </w:rPr>
        <w:t>截至</w:t>
      </w:r>
      <w:r>
        <w:rPr>
          <w:rFonts w:hAnsi="標楷體" w:hint="eastAsia"/>
        </w:rPr>
        <w:t>7</w:t>
      </w:r>
      <w:r w:rsidRPr="00EF4036">
        <w:rPr>
          <w:rFonts w:hAnsi="標楷體"/>
        </w:rPr>
        <w:t>月</w:t>
      </w:r>
      <w:r w:rsidRPr="00EF4036">
        <w:rPr>
          <w:rFonts w:hAnsi="標楷體" w:hint="eastAsia"/>
        </w:rPr>
        <w:t>底止</w:t>
      </w:r>
      <w:r>
        <w:rPr>
          <w:rFonts w:hAnsi="標楷體" w:hint="eastAsia"/>
        </w:rPr>
        <w:t>已有134場演唱會公布實施實名制，包含張學友、陳奕迅、蘇打綠、米津玄師、戴佩妮、Y</w:t>
      </w:r>
      <w:r>
        <w:rPr>
          <w:rFonts w:hAnsi="標楷體"/>
        </w:rPr>
        <w:t>OASOBI</w:t>
      </w:r>
      <w:r>
        <w:rPr>
          <w:rFonts w:hAnsi="標楷體" w:hint="eastAsia"/>
        </w:rPr>
        <w:t>、G</w:t>
      </w:r>
      <w:r>
        <w:rPr>
          <w:rFonts w:hAnsi="標楷體"/>
        </w:rPr>
        <w:t>-DRAGON</w:t>
      </w:r>
      <w:r>
        <w:rPr>
          <w:rFonts w:hAnsi="標楷體" w:hint="eastAsia"/>
        </w:rPr>
        <w:t>等熱門演唱會，</w:t>
      </w:r>
      <w:r w:rsidRPr="00162458">
        <w:rPr>
          <w:rFonts w:hAnsi="標楷體" w:hint="eastAsia"/>
        </w:rPr>
        <w:t>目前接獲</w:t>
      </w:r>
      <w:r w:rsidRPr="00EF4036">
        <w:rPr>
          <w:rFonts w:hAnsi="標楷體" w:hint="eastAsia"/>
        </w:rPr>
        <w:t>申請案件計</w:t>
      </w:r>
      <w:r>
        <w:rPr>
          <w:rFonts w:hAnsi="標楷體" w:hint="eastAsia"/>
        </w:rPr>
        <w:t>78</w:t>
      </w:r>
      <w:r w:rsidRPr="00EF4036">
        <w:rPr>
          <w:rFonts w:hAnsi="標楷體"/>
        </w:rPr>
        <w:t>案，</w:t>
      </w:r>
      <w:r>
        <w:rPr>
          <w:rFonts w:hAnsi="標楷體" w:hint="eastAsia"/>
        </w:rPr>
        <w:t>陸續收案審查中</w:t>
      </w:r>
      <w:r w:rsidRPr="00EF4036">
        <w:rPr>
          <w:rFonts w:hAnsi="標楷體"/>
        </w:rPr>
        <w:t>。</w:t>
      </w:r>
    </w:p>
    <w:p w:rsidR="00CB04EA" w:rsidRPr="00A67AC1" w:rsidRDefault="00CB04EA" w:rsidP="007668ED">
      <w:pPr>
        <w:widowControl/>
        <w:adjustRightInd w:val="0"/>
        <w:snapToGrid w:val="0"/>
        <w:spacing w:line="240" w:lineRule="auto"/>
        <w:ind w:leftChars="292" w:left="850" w:hangingChars="8" w:hanging="23"/>
        <w:jc w:val="left"/>
        <w:rPr>
          <w:rFonts w:hAnsi="標楷體"/>
        </w:rPr>
      </w:pPr>
      <w:r w:rsidRPr="00A67AC1">
        <w:rPr>
          <w:rFonts w:hAnsi="標楷體" w:hint="eastAsia"/>
          <w:b/>
        </w:rPr>
        <w:t>表</w:t>
      </w:r>
      <w:r w:rsidRPr="004976E1">
        <w:rPr>
          <w:rFonts w:hAnsi="標楷體" w:hint="eastAsia"/>
          <w:b/>
        </w:rPr>
        <w:t>2</w:t>
      </w:r>
      <w:r w:rsidRPr="00A67AC1">
        <w:rPr>
          <w:rFonts w:hAnsi="標楷體" w:hint="eastAsia"/>
          <w:b/>
        </w:rPr>
        <w:t xml:space="preserve">  文化部</w:t>
      </w:r>
      <w:r w:rsidRPr="00A67AC1">
        <w:rPr>
          <w:rFonts w:hAnsi="標楷體"/>
          <w:b/>
        </w:rPr>
        <w:t>補助</w:t>
      </w:r>
      <w:r w:rsidRPr="00A67AC1">
        <w:rPr>
          <w:rFonts w:hAnsi="標楷體" w:hint="eastAsia"/>
          <w:b/>
        </w:rPr>
        <w:t>演唱會</w:t>
      </w:r>
      <w:r w:rsidRPr="00A67AC1">
        <w:rPr>
          <w:rFonts w:hAnsi="標楷體"/>
          <w:b/>
        </w:rPr>
        <w:t>實名制</w:t>
      </w:r>
      <w:r w:rsidRPr="00A67AC1">
        <w:rPr>
          <w:rFonts w:hAnsi="標楷體" w:hint="eastAsia"/>
          <w:b/>
        </w:rPr>
        <w:t>概況表</w:t>
      </w:r>
      <w:r>
        <w:rPr>
          <w:rFonts w:hAnsi="標楷體" w:hint="eastAsia"/>
          <w:b/>
        </w:rPr>
        <w:t xml:space="preserve">  </w:t>
      </w:r>
      <w:r w:rsidRPr="004976E1">
        <w:rPr>
          <w:rFonts w:hAnsi="標楷體" w:hint="eastAsia"/>
          <w:sz w:val="24"/>
          <w:szCs w:val="24"/>
        </w:rPr>
        <w:t>單位:場、件、</w:t>
      </w:r>
      <w:r>
        <w:rPr>
          <w:rFonts w:hAnsi="標楷體" w:hint="eastAsia"/>
          <w:sz w:val="24"/>
          <w:szCs w:val="24"/>
        </w:rPr>
        <w:t>新臺幣千</w:t>
      </w:r>
      <w:r w:rsidRPr="004976E1">
        <w:rPr>
          <w:rFonts w:hAnsi="標楷體" w:hint="eastAsia"/>
          <w:sz w:val="24"/>
          <w:szCs w:val="24"/>
        </w:rPr>
        <w:t>元</w:t>
      </w:r>
    </w:p>
    <w:tbl>
      <w:tblPr>
        <w:tblW w:w="0" w:type="auto"/>
        <w:tblInd w:w="959"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2410"/>
        <w:gridCol w:w="1701"/>
        <w:gridCol w:w="1842"/>
        <w:gridCol w:w="1701"/>
      </w:tblGrid>
      <w:tr w:rsidR="00CB04EA" w:rsidRPr="004D5EFB" w:rsidTr="007668ED">
        <w:trPr>
          <w:trHeight w:val="329"/>
        </w:trPr>
        <w:tc>
          <w:tcPr>
            <w:tcW w:w="2410" w:type="dxa"/>
            <w:shd w:val="clear" w:color="auto" w:fill="auto"/>
            <w:vAlign w:val="center"/>
          </w:tcPr>
          <w:p w:rsidR="00CB04EA" w:rsidRPr="004D5EFB" w:rsidRDefault="00CB04EA" w:rsidP="007668ED">
            <w:pPr>
              <w:pStyle w:val="142"/>
            </w:pPr>
            <w:r w:rsidRPr="004D5EFB">
              <w:rPr>
                <w:rFonts w:hint="eastAsia"/>
              </w:rPr>
              <w:t>項目</w:t>
            </w:r>
          </w:p>
        </w:tc>
        <w:tc>
          <w:tcPr>
            <w:tcW w:w="1701" w:type="dxa"/>
            <w:shd w:val="clear" w:color="auto" w:fill="auto"/>
            <w:vAlign w:val="center"/>
          </w:tcPr>
          <w:p w:rsidR="00CB04EA" w:rsidRPr="004D5EFB" w:rsidRDefault="00CB04EA" w:rsidP="007668ED">
            <w:pPr>
              <w:pStyle w:val="142"/>
            </w:pPr>
            <w:r w:rsidRPr="004D5EFB">
              <w:rPr>
                <w:rFonts w:hint="eastAsia"/>
              </w:rPr>
              <w:t>112年</w:t>
            </w:r>
            <w:r>
              <w:rPr>
                <w:rFonts w:hint="eastAsia"/>
              </w:rPr>
              <w:t>度</w:t>
            </w:r>
          </w:p>
        </w:tc>
        <w:tc>
          <w:tcPr>
            <w:tcW w:w="1842" w:type="dxa"/>
            <w:shd w:val="clear" w:color="auto" w:fill="auto"/>
            <w:vAlign w:val="center"/>
          </w:tcPr>
          <w:p w:rsidR="00CB04EA" w:rsidRPr="004D5EFB" w:rsidRDefault="00CB04EA" w:rsidP="007668ED">
            <w:pPr>
              <w:pStyle w:val="142"/>
            </w:pPr>
            <w:r w:rsidRPr="004D5EFB">
              <w:rPr>
                <w:rFonts w:hint="eastAsia"/>
              </w:rPr>
              <w:t>113年</w:t>
            </w:r>
            <w:r>
              <w:rPr>
                <w:rFonts w:hint="eastAsia"/>
              </w:rPr>
              <w:t>度</w:t>
            </w:r>
          </w:p>
        </w:tc>
        <w:tc>
          <w:tcPr>
            <w:tcW w:w="1701" w:type="dxa"/>
            <w:shd w:val="clear" w:color="auto" w:fill="auto"/>
            <w:vAlign w:val="center"/>
          </w:tcPr>
          <w:p w:rsidR="00CB04EA" w:rsidRPr="004D5EFB" w:rsidRDefault="00CB04EA" w:rsidP="007668ED">
            <w:pPr>
              <w:pStyle w:val="142"/>
            </w:pPr>
            <w:r w:rsidRPr="004D5EFB">
              <w:rPr>
                <w:rFonts w:hint="eastAsia"/>
              </w:rPr>
              <w:t>114年</w:t>
            </w:r>
            <w:r>
              <w:rPr>
                <w:rFonts w:hint="eastAsia"/>
              </w:rPr>
              <w:t>度</w:t>
            </w:r>
            <w:r w:rsidRPr="00056399">
              <w:rPr>
                <w:rFonts w:hint="eastAsia"/>
                <w:vertAlign w:val="superscript"/>
              </w:rPr>
              <w:t>*</w:t>
            </w:r>
          </w:p>
        </w:tc>
      </w:tr>
      <w:tr w:rsidR="00CB04EA" w:rsidRPr="004D5EFB" w:rsidTr="007668ED">
        <w:tc>
          <w:tcPr>
            <w:tcW w:w="2410" w:type="dxa"/>
            <w:shd w:val="clear" w:color="auto" w:fill="auto"/>
            <w:vAlign w:val="center"/>
          </w:tcPr>
          <w:p w:rsidR="00CB04EA" w:rsidRPr="004D5EFB" w:rsidRDefault="00CB04EA" w:rsidP="007668ED">
            <w:pPr>
              <w:pStyle w:val="142"/>
            </w:pPr>
            <w:r w:rsidRPr="00056399">
              <w:rPr>
                <w:rFonts w:hint="eastAsia"/>
              </w:rPr>
              <w:t>公布實施實名制之演唱會場次數</w:t>
            </w:r>
          </w:p>
        </w:tc>
        <w:tc>
          <w:tcPr>
            <w:tcW w:w="1701" w:type="dxa"/>
            <w:shd w:val="clear" w:color="auto" w:fill="auto"/>
            <w:vAlign w:val="center"/>
          </w:tcPr>
          <w:p w:rsidR="00CB04EA" w:rsidRPr="004D5EFB" w:rsidRDefault="00CB04EA" w:rsidP="007668ED">
            <w:pPr>
              <w:pStyle w:val="142"/>
              <w:jc w:val="right"/>
            </w:pPr>
            <w:r>
              <w:rPr>
                <w:rFonts w:hint="eastAsia"/>
              </w:rPr>
              <w:t>13</w:t>
            </w:r>
          </w:p>
        </w:tc>
        <w:tc>
          <w:tcPr>
            <w:tcW w:w="1842" w:type="dxa"/>
            <w:shd w:val="clear" w:color="auto" w:fill="auto"/>
            <w:vAlign w:val="center"/>
          </w:tcPr>
          <w:p w:rsidR="00CB04EA" w:rsidRPr="004D5EFB" w:rsidRDefault="00CB04EA" w:rsidP="007668ED">
            <w:pPr>
              <w:pStyle w:val="142"/>
              <w:jc w:val="right"/>
            </w:pPr>
            <w:r>
              <w:t>77</w:t>
            </w:r>
          </w:p>
        </w:tc>
        <w:tc>
          <w:tcPr>
            <w:tcW w:w="1701" w:type="dxa"/>
            <w:shd w:val="clear" w:color="auto" w:fill="auto"/>
            <w:vAlign w:val="center"/>
          </w:tcPr>
          <w:p w:rsidR="00CB04EA" w:rsidRPr="004D5EFB" w:rsidRDefault="00CB04EA" w:rsidP="007668ED">
            <w:pPr>
              <w:pStyle w:val="142"/>
              <w:jc w:val="right"/>
            </w:pPr>
            <w:r>
              <w:t>134</w:t>
            </w:r>
          </w:p>
        </w:tc>
      </w:tr>
      <w:tr w:rsidR="00CB04EA" w:rsidRPr="004D5EFB" w:rsidTr="007668ED">
        <w:tc>
          <w:tcPr>
            <w:tcW w:w="2410" w:type="dxa"/>
            <w:shd w:val="clear" w:color="auto" w:fill="auto"/>
            <w:vAlign w:val="center"/>
          </w:tcPr>
          <w:p w:rsidR="00CB04EA" w:rsidRPr="004D5EFB" w:rsidRDefault="00CB04EA" w:rsidP="007668ED">
            <w:pPr>
              <w:pStyle w:val="142"/>
            </w:pPr>
            <w:r w:rsidRPr="00056399">
              <w:t>補助件數</w:t>
            </w:r>
          </w:p>
        </w:tc>
        <w:tc>
          <w:tcPr>
            <w:tcW w:w="1701" w:type="dxa"/>
            <w:shd w:val="clear" w:color="auto" w:fill="auto"/>
            <w:vAlign w:val="center"/>
          </w:tcPr>
          <w:p w:rsidR="00CB04EA" w:rsidRPr="004D5EFB" w:rsidRDefault="00CB04EA" w:rsidP="007668ED">
            <w:pPr>
              <w:pStyle w:val="142"/>
              <w:jc w:val="right"/>
            </w:pPr>
            <w:r w:rsidRPr="004D5EFB">
              <w:t>4</w:t>
            </w:r>
          </w:p>
        </w:tc>
        <w:tc>
          <w:tcPr>
            <w:tcW w:w="1842" w:type="dxa"/>
            <w:shd w:val="clear" w:color="auto" w:fill="auto"/>
            <w:vAlign w:val="center"/>
          </w:tcPr>
          <w:p w:rsidR="00CB04EA" w:rsidRPr="004D5EFB" w:rsidRDefault="00CB04EA" w:rsidP="007668ED">
            <w:pPr>
              <w:pStyle w:val="142"/>
              <w:jc w:val="right"/>
            </w:pPr>
            <w:r>
              <w:t>53</w:t>
            </w:r>
          </w:p>
        </w:tc>
        <w:tc>
          <w:tcPr>
            <w:tcW w:w="1701" w:type="dxa"/>
            <w:shd w:val="clear" w:color="auto" w:fill="auto"/>
            <w:vAlign w:val="center"/>
          </w:tcPr>
          <w:p w:rsidR="00CB04EA" w:rsidRPr="004D5EFB" w:rsidRDefault="00CB04EA" w:rsidP="007668ED">
            <w:pPr>
              <w:pStyle w:val="142"/>
              <w:jc w:val="right"/>
            </w:pPr>
            <w:r>
              <w:t>35</w:t>
            </w:r>
          </w:p>
        </w:tc>
      </w:tr>
      <w:tr w:rsidR="00CB04EA" w:rsidRPr="004D5EFB" w:rsidTr="007668ED">
        <w:tc>
          <w:tcPr>
            <w:tcW w:w="2410" w:type="dxa"/>
            <w:shd w:val="clear" w:color="auto" w:fill="auto"/>
            <w:vAlign w:val="center"/>
          </w:tcPr>
          <w:p w:rsidR="00CB04EA" w:rsidRPr="004D5EFB" w:rsidRDefault="00CB04EA" w:rsidP="007668ED">
            <w:pPr>
              <w:pStyle w:val="142"/>
            </w:pPr>
            <w:r w:rsidRPr="00056399">
              <w:rPr>
                <w:rFonts w:hint="eastAsia"/>
              </w:rPr>
              <w:t>補助預算數</w:t>
            </w:r>
          </w:p>
        </w:tc>
        <w:tc>
          <w:tcPr>
            <w:tcW w:w="1701" w:type="dxa"/>
            <w:shd w:val="clear" w:color="auto" w:fill="auto"/>
            <w:vAlign w:val="center"/>
          </w:tcPr>
          <w:p w:rsidR="00CB04EA" w:rsidRPr="004D5EFB" w:rsidRDefault="00CB04EA" w:rsidP="007668ED">
            <w:pPr>
              <w:pStyle w:val="142"/>
              <w:jc w:val="right"/>
            </w:pPr>
            <w:r>
              <w:rPr>
                <w:rFonts w:hint="eastAsia"/>
              </w:rPr>
              <w:t>-</w:t>
            </w:r>
          </w:p>
        </w:tc>
        <w:tc>
          <w:tcPr>
            <w:tcW w:w="1842" w:type="dxa"/>
            <w:shd w:val="clear" w:color="auto" w:fill="auto"/>
            <w:vAlign w:val="center"/>
          </w:tcPr>
          <w:p w:rsidR="00CB04EA" w:rsidRPr="004D5EFB" w:rsidRDefault="00CB04EA" w:rsidP="007668ED">
            <w:pPr>
              <w:pStyle w:val="142"/>
              <w:jc w:val="right"/>
            </w:pPr>
            <w:r>
              <w:rPr>
                <w:rFonts w:hint="eastAsia"/>
              </w:rPr>
              <w:t>2</w:t>
            </w:r>
            <w:r>
              <w:t>9,250</w:t>
            </w:r>
          </w:p>
        </w:tc>
        <w:tc>
          <w:tcPr>
            <w:tcW w:w="1701" w:type="dxa"/>
            <w:shd w:val="clear" w:color="auto" w:fill="auto"/>
            <w:vAlign w:val="center"/>
          </w:tcPr>
          <w:p w:rsidR="00CB04EA" w:rsidRDefault="00CB04EA" w:rsidP="007668ED">
            <w:pPr>
              <w:pStyle w:val="142"/>
              <w:jc w:val="right"/>
            </w:pPr>
            <w:r>
              <w:rPr>
                <w:rFonts w:hint="eastAsia"/>
              </w:rPr>
              <w:t>2</w:t>
            </w:r>
            <w:r>
              <w:t>1</w:t>
            </w:r>
            <w:r>
              <w:rPr>
                <w:rFonts w:hint="eastAsia"/>
              </w:rPr>
              <w:t>,</w:t>
            </w:r>
            <w:r>
              <w:t>270</w:t>
            </w:r>
          </w:p>
        </w:tc>
      </w:tr>
      <w:tr w:rsidR="00CB04EA" w:rsidRPr="004D5EFB" w:rsidTr="007668ED">
        <w:tc>
          <w:tcPr>
            <w:tcW w:w="2410" w:type="dxa"/>
            <w:shd w:val="clear" w:color="auto" w:fill="auto"/>
            <w:vAlign w:val="center"/>
          </w:tcPr>
          <w:p w:rsidR="00CB04EA" w:rsidRPr="004D5EFB" w:rsidRDefault="00CB04EA" w:rsidP="007668ED">
            <w:pPr>
              <w:pStyle w:val="142"/>
            </w:pPr>
            <w:r w:rsidRPr="00056399">
              <w:rPr>
                <w:rFonts w:hint="eastAsia"/>
              </w:rPr>
              <w:t>補助決算數</w:t>
            </w:r>
          </w:p>
        </w:tc>
        <w:tc>
          <w:tcPr>
            <w:tcW w:w="1701" w:type="dxa"/>
            <w:shd w:val="clear" w:color="auto" w:fill="auto"/>
            <w:vAlign w:val="center"/>
          </w:tcPr>
          <w:p w:rsidR="00CB04EA" w:rsidRPr="004D5EFB" w:rsidRDefault="00CB04EA" w:rsidP="007668ED">
            <w:pPr>
              <w:pStyle w:val="142"/>
              <w:jc w:val="right"/>
            </w:pPr>
            <w:r>
              <w:rPr>
                <w:rFonts w:hint="eastAsia"/>
              </w:rPr>
              <w:t>3</w:t>
            </w:r>
            <w:r>
              <w:t>,</w:t>
            </w:r>
            <w:r>
              <w:rPr>
                <w:rFonts w:hint="eastAsia"/>
              </w:rPr>
              <w:t>1</w:t>
            </w:r>
            <w:r>
              <w:t>4</w:t>
            </w:r>
            <w:r>
              <w:rPr>
                <w:rFonts w:hint="eastAsia"/>
              </w:rPr>
              <w:t>7</w:t>
            </w:r>
          </w:p>
        </w:tc>
        <w:tc>
          <w:tcPr>
            <w:tcW w:w="1842" w:type="dxa"/>
            <w:shd w:val="clear" w:color="auto" w:fill="auto"/>
            <w:vAlign w:val="center"/>
          </w:tcPr>
          <w:p w:rsidR="00CB04EA" w:rsidRPr="004D5EFB" w:rsidRDefault="00CB04EA" w:rsidP="007668ED">
            <w:pPr>
              <w:pStyle w:val="142"/>
              <w:jc w:val="right"/>
            </w:pPr>
            <w:r>
              <w:rPr>
                <w:rFonts w:hint="eastAsia"/>
              </w:rPr>
              <w:t>2</w:t>
            </w:r>
            <w:r>
              <w:t>2,950</w:t>
            </w:r>
          </w:p>
        </w:tc>
        <w:tc>
          <w:tcPr>
            <w:tcW w:w="1701" w:type="dxa"/>
            <w:shd w:val="clear" w:color="auto" w:fill="auto"/>
            <w:vAlign w:val="center"/>
          </w:tcPr>
          <w:p w:rsidR="00CB04EA" w:rsidRPr="004D5EFB" w:rsidRDefault="00CB04EA" w:rsidP="007668ED">
            <w:pPr>
              <w:pStyle w:val="142"/>
              <w:jc w:val="right"/>
            </w:pPr>
            <w:r>
              <w:t>5</w:t>
            </w:r>
            <w:r>
              <w:rPr>
                <w:rFonts w:hint="eastAsia"/>
              </w:rPr>
              <w:t>,</w:t>
            </w:r>
            <w:r>
              <w:t>640</w:t>
            </w:r>
          </w:p>
        </w:tc>
      </w:tr>
    </w:tbl>
    <w:p w:rsidR="00CB04EA" w:rsidRDefault="00CB04EA" w:rsidP="007668ED">
      <w:pPr>
        <w:widowControl/>
        <w:adjustRightInd w:val="0"/>
        <w:snapToGrid w:val="0"/>
        <w:spacing w:line="240" w:lineRule="auto"/>
        <w:ind w:leftChars="286" w:left="2140" w:hangingChars="547" w:hanging="1330"/>
        <w:jc w:val="left"/>
        <w:rPr>
          <w:rFonts w:hAnsi="標楷體"/>
          <w:sz w:val="24"/>
          <w:szCs w:val="24"/>
        </w:rPr>
      </w:pPr>
      <w:r>
        <w:rPr>
          <w:rFonts w:hAnsi="標楷體" w:hint="eastAsia"/>
          <w:sz w:val="24"/>
          <w:szCs w:val="24"/>
        </w:rPr>
        <w:t>說    明</w:t>
      </w:r>
      <w:r w:rsidRPr="00056399">
        <w:rPr>
          <w:rFonts w:hAnsi="標楷體" w:hint="eastAsia"/>
          <w:sz w:val="24"/>
          <w:szCs w:val="24"/>
        </w:rPr>
        <w:t>:</w:t>
      </w:r>
      <w:r>
        <w:rPr>
          <w:rFonts w:hAnsi="標楷體" w:hint="eastAsia"/>
          <w:sz w:val="24"/>
          <w:szCs w:val="24"/>
        </w:rPr>
        <w:t>1.114年度除預算數外，均為截至7月底資料，且決算數為核定補助金額。</w:t>
      </w:r>
    </w:p>
    <w:p w:rsidR="00CB04EA" w:rsidRDefault="00CB04EA" w:rsidP="007668ED">
      <w:pPr>
        <w:widowControl/>
        <w:adjustRightInd w:val="0"/>
        <w:snapToGrid w:val="0"/>
        <w:spacing w:line="240" w:lineRule="auto"/>
        <w:ind w:leftChars="667" w:left="2115" w:hangingChars="93" w:hanging="226"/>
        <w:jc w:val="left"/>
        <w:rPr>
          <w:rFonts w:hAnsi="標楷體"/>
          <w:sz w:val="24"/>
          <w:szCs w:val="24"/>
        </w:rPr>
      </w:pPr>
      <w:r>
        <w:rPr>
          <w:rFonts w:hint="eastAsia"/>
          <w:bCs/>
          <w:sz w:val="24"/>
        </w:rPr>
        <w:t>2.</w:t>
      </w:r>
      <w:r w:rsidRPr="00FD6153">
        <w:rPr>
          <w:rFonts w:hint="eastAsia"/>
          <w:bCs/>
          <w:sz w:val="24"/>
        </w:rPr>
        <w:t>係該部以人工至國內各大購票平台統計規模1萬人以上實施實名制之場次。</w:t>
      </w:r>
    </w:p>
    <w:p w:rsidR="00CB04EA" w:rsidRDefault="00CB04EA" w:rsidP="007668ED">
      <w:pPr>
        <w:widowControl/>
        <w:adjustRightInd w:val="0"/>
        <w:snapToGrid w:val="0"/>
        <w:spacing w:line="240" w:lineRule="auto"/>
        <w:ind w:leftChars="291" w:left="824" w:firstLineChars="0" w:firstLine="0"/>
        <w:jc w:val="left"/>
        <w:rPr>
          <w:rFonts w:hAnsi="標楷體"/>
        </w:rPr>
      </w:pPr>
      <w:r w:rsidRPr="004976E1">
        <w:rPr>
          <w:rFonts w:hAnsi="標楷體" w:hint="eastAsia"/>
          <w:sz w:val="24"/>
          <w:szCs w:val="24"/>
        </w:rPr>
        <w:t>資料來源:文化部提供，本中心整理。</w:t>
      </w:r>
    </w:p>
    <w:p w:rsidR="00CB04EA" w:rsidRPr="00EF4036" w:rsidRDefault="00CB04EA" w:rsidP="007668ED">
      <w:pPr>
        <w:pStyle w:val="21"/>
        <w:ind w:left="850" w:firstLine="566"/>
        <w:rPr>
          <w:rFonts w:hAnsi="標楷體"/>
        </w:rPr>
      </w:pPr>
      <w:r>
        <w:rPr>
          <w:rFonts w:hAnsi="標楷體" w:hint="eastAsia"/>
        </w:rPr>
        <w:t>演</w:t>
      </w:r>
      <w:r w:rsidRPr="00EF4036">
        <w:rPr>
          <w:rFonts w:hAnsi="標楷體" w:hint="eastAsia"/>
        </w:rPr>
        <w:t>唱會票券實名制之落實，需有大量人力配合查驗，需額外增加之人力成本，且增加民眾入場等待時間，故實名制推動初期為鼓勵業者導入，並減少民眾不便，由政府補助建置或擴充相關查驗系統及增加相關現場查驗人力，尚屬合理。鑒於演唱會經濟除其本身產業效益外，亦對周邊包含商城、旅宿、餐飲業者等帶來可觀衍生效益，故演唱會經濟已成為北、高等多個地方政府未來重要文化經濟動能，</w:t>
      </w:r>
      <w:r>
        <w:rPr>
          <w:rFonts w:hAnsi="標楷體" w:hint="eastAsia"/>
        </w:rPr>
        <w:t>允宜綜合考量相關現況，適時</w:t>
      </w:r>
      <w:r w:rsidRPr="00EF4036">
        <w:rPr>
          <w:rFonts w:hAnsi="標楷體" w:hint="eastAsia"/>
        </w:rPr>
        <w:t>檢討建立合理補助制度，降低一次性補助經費，鼓勵業者強化</w:t>
      </w:r>
      <w:r w:rsidRPr="00EF4036">
        <w:rPr>
          <w:rFonts w:hAnsi="標楷體"/>
        </w:rPr>
        <w:t>系統性</w:t>
      </w:r>
      <w:r w:rsidRPr="00EF4036">
        <w:rPr>
          <w:rFonts w:hAnsi="標楷體" w:hint="eastAsia"/>
        </w:rPr>
        <w:t>及</w:t>
      </w:r>
      <w:r w:rsidRPr="00EF4036">
        <w:rPr>
          <w:rFonts w:hAnsi="標楷體"/>
        </w:rPr>
        <w:t>長期效益</w:t>
      </w:r>
      <w:r w:rsidRPr="00EF4036">
        <w:rPr>
          <w:rFonts w:hAnsi="標楷體" w:hint="eastAsia"/>
        </w:rPr>
        <w:t>之能量，同時強化</w:t>
      </w:r>
      <w:r w:rsidRPr="00EF4036">
        <w:rPr>
          <w:rFonts w:hAnsi="標楷體"/>
        </w:rPr>
        <w:t>地方政府調查與裁罰</w:t>
      </w:r>
      <w:r w:rsidRPr="00EF4036">
        <w:rPr>
          <w:rFonts w:hAnsi="標楷體" w:hint="eastAsia"/>
        </w:rPr>
        <w:t>之執法能力</w:t>
      </w:r>
      <w:r w:rsidRPr="00EF4036">
        <w:rPr>
          <w:rFonts w:hAnsi="標楷體"/>
        </w:rPr>
        <w:t>與技術</w:t>
      </w:r>
      <w:r w:rsidRPr="00EF4036">
        <w:rPr>
          <w:rFonts w:hAnsi="標楷體" w:hint="eastAsia"/>
        </w:rPr>
        <w:t>。</w:t>
      </w:r>
    </w:p>
    <w:p w:rsidR="00CB04EA" w:rsidRDefault="00CB04EA" w:rsidP="007668ED">
      <w:pPr>
        <w:pStyle w:val="21"/>
        <w:ind w:left="850" w:firstLine="566"/>
        <w:rPr>
          <w:rFonts w:hAnsi="標楷體"/>
        </w:rPr>
      </w:pPr>
      <w:r w:rsidRPr="00EF4036">
        <w:rPr>
          <w:rFonts w:hAnsi="標楷體" w:hint="eastAsia"/>
        </w:rPr>
        <w:t>長期而言，考量政府經費之合理運用，允宜研議結合相關執法或數位工具之整合，例如納入數位身分驗證技術、推動數位化演出憑證標準制定等，並促進票務產業鏈與資訊安全產業</w:t>
      </w:r>
      <w:r w:rsidRPr="00EF4036">
        <w:rPr>
          <w:rFonts w:hAnsi="標楷體" w:hint="eastAsia"/>
        </w:rPr>
        <w:lastRenderedPageBreak/>
        <w:t>之合作發展。此外，</w:t>
      </w:r>
      <w:r w:rsidRPr="00EF4036">
        <w:rPr>
          <w:rFonts w:hAnsi="標楷體"/>
        </w:rPr>
        <w:t>應建立跨部會協作與平台業者自律機制，將票券制度透明化，持續透過消費者</w:t>
      </w:r>
      <w:r w:rsidRPr="00EF4036">
        <w:rPr>
          <w:rFonts w:hAnsi="標楷體" w:hint="eastAsia"/>
        </w:rPr>
        <w:t>宣導</w:t>
      </w:r>
      <w:r w:rsidRPr="00EF4036">
        <w:rPr>
          <w:rFonts w:hAnsi="標楷體"/>
        </w:rPr>
        <w:t>與檢舉管道，</w:t>
      </w:r>
      <w:r w:rsidRPr="00EF4036">
        <w:rPr>
          <w:rFonts w:hAnsi="標楷體" w:hint="eastAsia"/>
        </w:rPr>
        <w:t>產官民三方合作</w:t>
      </w:r>
      <w:r w:rsidRPr="00EF4036">
        <w:rPr>
          <w:rFonts w:hAnsi="標楷體"/>
        </w:rPr>
        <w:t>建構更完整</w:t>
      </w:r>
      <w:r w:rsidRPr="00EF4036">
        <w:rPr>
          <w:rFonts w:hAnsi="標楷體" w:hint="eastAsia"/>
        </w:rPr>
        <w:t>之</w:t>
      </w:r>
      <w:r w:rsidRPr="00EF4036">
        <w:rPr>
          <w:rFonts w:hAnsi="標楷體"/>
        </w:rPr>
        <w:t>藝文消費保障環境。</w:t>
      </w:r>
    </w:p>
    <w:p w:rsidR="00CB04EA" w:rsidRDefault="00CB04EA" w:rsidP="007668ED">
      <w:pPr>
        <w:ind w:left="566" w:firstLine="566"/>
      </w:pPr>
      <w:r>
        <w:rPr>
          <w:rFonts w:hint="eastAsia"/>
        </w:rPr>
        <w:t>綜上，</w:t>
      </w:r>
      <w:r w:rsidRPr="00CA3C53">
        <w:rPr>
          <w:rFonts w:hint="eastAsia"/>
        </w:rPr>
        <w:t>近年藝文活動網路購票，屢發生黃牛票情事，</w:t>
      </w:r>
      <w:r>
        <w:rPr>
          <w:rFonts w:hint="eastAsia"/>
        </w:rPr>
        <w:t>為</w:t>
      </w:r>
      <w:r w:rsidRPr="00CA3C53">
        <w:rPr>
          <w:rFonts w:hint="eastAsia"/>
        </w:rPr>
        <w:t>防制黃牛票，中央政府已修法並建置黃牛票檢舉及實名制補助機制，期落實表演現場票券實名制</w:t>
      </w:r>
      <w:r>
        <w:rPr>
          <w:rFonts w:hint="eastAsia"/>
        </w:rPr>
        <w:t>；然補</w:t>
      </w:r>
      <w:r w:rsidRPr="00CA3C53">
        <w:rPr>
          <w:rFonts w:hint="eastAsia"/>
        </w:rPr>
        <w:t>助演唱會實施實名制雖有短期之效，</w:t>
      </w:r>
      <w:r>
        <w:rPr>
          <w:rFonts w:hint="eastAsia"/>
        </w:rPr>
        <w:t>為</w:t>
      </w:r>
      <w:r w:rsidRPr="00CA3C53">
        <w:rPr>
          <w:rFonts w:hint="eastAsia"/>
        </w:rPr>
        <w:t>政府經費之合理運用，允宜研謀長期精進作法</w:t>
      </w:r>
      <w:r>
        <w:rPr>
          <w:rFonts w:hint="eastAsia"/>
        </w:rPr>
        <w:t>，</w:t>
      </w:r>
      <w:r w:rsidRPr="00CA3C53">
        <w:rPr>
          <w:rFonts w:hint="eastAsia"/>
        </w:rPr>
        <w:t>結合政府相關執法或數位工具之整合</w:t>
      </w:r>
      <w:r>
        <w:rPr>
          <w:rFonts w:hint="eastAsia"/>
        </w:rPr>
        <w:t>，以</w:t>
      </w:r>
      <w:r w:rsidRPr="00CA3C53">
        <w:rPr>
          <w:rFonts w:hint="eastAsia"/>
        </w:rPr>
        <w:t>提升修法成效並杜絕黃牛歪風</w:t>
      </w:r>
      <w:r>
        <w:rPr>
          <w:rFonts w:hint="eastAsia"/>
        </w:rPr>
        <w:t>。</w:t>
      </w:r>
    </w:p>
    <w:p w:rsidR="00CB04EA" w:rsidRPr="004342C7" w:rsidRDefault="00CB04EA" w:rsidP="007668ED">
      <w:pPr>
        <w:pStyle w:val="ab"/>
        <w:ind w:left="850" w:firstLine="566"/>
        <w:rPr>
          <w:rFonts w:hAnsi="標楷體"/>
        </w:rPr>
      </w:pPr>
      <w:r w:rsidRPr="004342C7">
        <w:rPr>
          <w:rFonts w:hAnsi="標楷體" w:hint="eastAsia"/>
        </w:rPr>
        <w:t>（分機：191</w:t>
      </w:r>
      <w:r>
        <w:rPr>
          <w:rFonts w:hAnsi="標楷體" w:hint="eastAsia"/>
        </w:rPr>
        <w:t>3</w:t>
      </w:r>
      <w:r w:rsidRPr="004342C7">
        <w:rPr>
          <w:rFonts w:hAnsi="標楷體" w:hint="eastAsia"/>
        </w:rPr>
        <w:t xml:space="preserve"> </w:t>
      </w:r>
      <w:r>
        <w:rPr>
          <w:rFonts w:hAnsi="標楷體" w:hint="eastAsia"/>
        </w:rPr>
        <w:t>許福添</w:t>
      </w:r>
      <w:r w:rsidRPr="004342C7">
        <w:rPr>
          <w:rFonts w:hAnsi="標楷體" w:hint="eastAsia"/>
        </w:rPr>
        <w:t>）</w:t>
      </w:r>
    </w:p>
    <w:sectPr w:rsidR="00CB04EA" w:rsidRPr="004342C7"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073958">
      <w:rPr>
        <w:rStyle w:val="aff"/>
        <w:noProof/>
      </w:rPr>
      <w:t>4</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CB04EA" w:rsidRPr="002D0D58" w:rsidRDefault="00CB04EA" w:rsidP="00057356">
      <w:pPr>
        <w:pStyle w:val="142"/>
        <w:ind w:left="180" w:hangingChars="74" w:hanging="180"/>
      </w:pPr>
      <w:r>
        <w:rPr>
          <w:rStyle w:val="af4"/>
        </w:rPr>
        <w:footnoteRef/>
      </w:r>
      <w:r>
        <w:t xml:space="preserve"> </w:t>
      </w:r>
      <w:r w:rsidRPr="00CD197A">
        <w:rPr>
          <w:rFonts w:hint="eastAsia"/>
        </w:rPr>
        <w:t>文創法第10條之1規定略以，</w:t>
      </w:r>
      <w:r w:rsidRPr="002D0D58">
        <w:rPr>
          <w:rFonts w:hint="eastAsia"/>
        </w:rPr>
        <w:t>凡將藝文表演票券以超過票面金額或定價販售者，按票券張數，由主管機關處票面金額或定價之10倍至50倍罰鍰，且以虛偽資料或其他不正方式，利用電腦或其他相關設備購買藝文表演票券，取得訂票或取票憑證者，處3年以下有期徒刑，或科或併科新臺幣300萬元以下罰金，期有效遏阻黃牛票之情形。</w:t>
      </w:r>
    </w:p>
  </w:footnote>
  <w:footnote w:id="2">
    <w:p w:rsidR="00CB04EA" w:rsidRDefault="00CB04EA" w:rsidP="00057356">
      <w:pPr>
        <w:pStyle w:val="142"/>
        <w:ind w:left="180" w:hangingChars="74" w:hanging="180"/>
      </w:pPr>
      <w:r>
        <w:rPr>
          <w:rStyle w:val="af4"/>
        </w:rPr>
        <w:footnoteRef/>
      </w:r>
      <w:r>
        <w:t xml:space="preserve"> </w:t>
      </w:r>
      <w:r w:rsidRPr="00EF4036">
        <w:rPr>
          <w:rFonts w:hint="eastAsia"/>
        </w:rPr>
        <w:t>112年度由提升影視音智慧發展分支計畫之獎補助費支應，113年度起由影視音政策規劃補助及跨域整合分支計畫之獎補助費支應。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73958"/>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E6C3309-7B94-4711-B8C7-593C9A93A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24BF2-C1AA-405D-B005-45BC5B4A4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335</Words>
  <Characters>1916</Characters>
  <Application>Microsoft Office Word</Application>
  <DocSecurity>0</DocSecurity>
  <Lines>15</Lines>
  <Paragraphs>4</Paragraphs>
  <ScaleCrop>false</ScaleCrop>
  <Company>HOME</Company>
  <LinksUpToDate>false</LinksUpToDate>
  <CharactersWithSpaces>2247</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