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B7137" w:rsidRDefault="005B7137" w:rsidP="007668ED">
      <w:pPr>
        <w:pStyle w:val="14"/>
        <w:ind w:left="567" w:hanging="567"/>
      </w:pPr>
      <w:bookmarkStart w:id="2" w:name="_Toc208942795"/>
      <w:bookmarkEnd w:id="0"/>
      <w:r w:rsidRPr="00277813">
        <w:rPr>
          <w:rFonts w:hint="eastAsia"/>
        </w:rPr>
        <w:t>二</w:t>
      </w:r>
      <w:r>
        <w:rPr>
          <w:rFonts w:hint="eastAsia"/>
        </w:rPr>
        <w:t>一</w:t>
      </w:r>
      <w:r w:rsidRPr="00277813">
        <w:rPr>
          <w:rFonts w:hint="eastAsia"/>
        </w:rPr>
        <w:t>、近年度國營事業不動產、廠房及設備餘額增加，惟部分事業資產運用效益卻呈下降，對預期目標達成度之追蹤及相關運用效益之改善提升等，亟待重視並強化控管</w:t>
      </w:r>
      <w:bookmarkEnd w:id="2"/>
    </w:p>
    <w:p w:rsidR="005B7137" w:rsidRDefault="005B7137" w:rsidP="007668ED">
      <w:pPr>
        <w:ind w:left="566" w:firstLine="566"/>
      </w:pPr>
      <w:r w:rsidRPr="00277813">
        <w:rPr>
          <w:rFonts w:hint="eastAsia"/>
        </w:rPr>
        <w:t>隨國內經濟發展、產業升級及能源轉型等需求，近年</w:t>
      </w:r>
      <w:r>
        <w:rPr>
          <w:rFonts w:hint="eastAsia"/>
        </w:rPr>
        <w:t>來</w:t>
      </w:r>
      <w:r w:rsidRPr="00277813">
        <w:rPr>
          <w:rFonts w:hint="eastAsia"/>
        </w:rPr>
        <w:t>國營事業大幅投資興建、擴充及汰換各項設備，113年底15家國營事業「不動產、廠房及設備」</w:t>
      </w:r>
      <w:r>
        <w:rPr>
          <w:rFonts w:hint="eastAsia"/>
        </w:rPr>
        <w:t>已達</w:t>
      </w:r>
      <w:r w:rsidRPr="00277813">
        <w:rPr>
          <w:rFonts w:hint="eastAsia"/>
        </w:rPr>
        <w:t>4兆2,800.33億元，較112年底4兆1,314.79億元，增加1,485.54億元</w:t>
      </w:r>
      <w:r>
        <w:rPr>
          <w:rFonts w:hint="eastAsia"/>
        </w:rPr>
        <w:t>(</w:t>
      </w:r>
      <w:r w:rsidRPr="00277813">
        <w:rPr>
          <w:rFonts w:hint="eastAsia"/>
        </w:rPr>
        <w:t>增幅3.6%</w:t>
      </w:r>
      <w:r>
        <w:rPr>
          <w:rFonts w:hint="eastAsia"/>
        </w:rPr>
        <w:t>)</w:t>
      </w:r>
      <w:r w:rsidRPr="00277813">
        <w:rPr>
          <w:rFonts w:hint="eastAsia"/>
        </w:rPr>
        <w:t>。</w:t>
      </w:r>
      <w:r>
        <w:rPr>
          <w:rFonts w:hint="eastAsia"/>
        </w:rPr>
        <w:t>惟</w:t>
      </w:r>
      <w:r w:rsidRPr="00277813">
        <w:rPr>
          <w:rFonts w:hint="eastAsia"/>
        </w:rPr>
        <w:t>查：</w:t>
      </w:r>
    </w:p>
    <w:p w:rsidR="005B7137" w:rsidRPr="00277813" w:rsidRDefault="005B7137" w:rsidP="007668ED">
      <w:pPr>
        <w:pStyle w:val="a5"/>
        <w:ind w:left="849" w:hanging="283"/>
        <w:rPr>
          <w:b/>
          <w:bCs/>
        </w:rPr>
      </w:pPr>
      <w:r w:rsidRPr="00277813">
        <w:rPr>
          <w:rFonts w:hint="eastAsia"/>
          <w:b/>
          <w:bCs/>
        </w:rPr>
        <w:t>(一)近</w:t>
      </w:r>
      <w:r>
        <w:rPr>
          <w:rFonts w:hint="eastAsia"/>
          <w:b/>
          <w:bCs/>
        </w:rPr>
        <w:t>5</w:t>
      </w:r>
      <w:r w:rsidRPr="00277813">
        <w:rPr>
          <w:rFonts w:hint="eastAsia"/>
          <w:b/>
          <w:bCs/>
        </w:rPr>
        <w:t>年度國營事業投入</w:t>
      </w:r>
      <w:r>
        <w:rPr>
          <w:rFonts w:hint="eastAsia"/>
          <w:b/>
          <w:bCs/>
        </w:rPr>
        <w:t>購建</w:t>
      </w:r>
      <w:r w:rsidRPr="00277813">
        <w:rPr>
          <w:rFonts w:hint="eastAsia"/>
          <w:b/>
          <w:bCs/>
        </w:rPr>
        <w:t>固定資產計畫</w:t>
      </w:r>
      <w:r>
        <w:rPr>
          <w:rFonts w:hint="eastAsia"/>
          <w:b/>
          <w:bCs/>
        </w:rPr>
        <w:t>經費增幅逾三成</w:t>
      </w:r>
    </w:p>
    <w:p w:rsidR="005B7137" w:rsidRDefault="005B7137" w:rsidP="007668ED">
      <w:pPr>
        <w:pStyle w:val="21"/>
        <w:ind w:left="850" w:firstLine="566"/>
      </w:pPr>
      <w:r>
        <w:rPr>
          <w:rFonts w:hint="eastAsia"/>
        </w:rPr>
        <w:t>彙整近5年度(109至113年度)國營事業投入固定資產建設改良擴充計畫(以下簡稱購建固定資產計畫)執行概況，呈逐年增加趨勢，113年度決算數3,447.84億元，較109年度2,493.08億元增加954.76億元，近5年度增幅高達38.30%，主要辦理機關為經濟部主管國營事業，平均每年度投入2,396.99億元。</w:t>
      </w:r>
    </w:p>
    <w:p w:rsidR="005B7137" w:rsidRPr="00277813" w:rsidRDefault="005B7137" w:rsidP="007668ED">
      <w:pPr>
        <w:ind w:leftChars="-33" w:left="712" w:hangingChars="284" w:hanging="805"/>
      </w:pPr>
      <w:r w:rsidRPr="0036079D">
        <w:rPr>
          <w:rFonts w:hint="eastAsia"/>
          <w:b/>
          <w:bCs/>
        </w:rPr>
        <w:t>表1  109至111年度以主管機關別彙整所屬國營事業購建固定資產計畫執行概況表</w:t>
      </w:r>
      <w:r w:rsidRPr="00277813">
        <w:rPr>
          <w:rFonts w:hint="eastAsia"/>
        </w:rPr>
        <w:t xml:space="preserve">     </w:t>
      </w:r>
      <w:r>
        <w:rPr>
          <w:rFonts w:hint="eastAsia"/>
        </w:rPr>
        <w:t xml:space="preserve">      </w:t>
      </w:r>
      <w:r>
        <w:t xml:space="preserve">  </w:t>
      </w:r>
      <w:r>
        <w:rPr>
          <w:rFonts w:hint="eastAsia"/>
        </w:rPr>
        <w:t xml:space="preserve">  </w:t>
      </w:r>
      <w:r>
        <w:t xml:space="preserve"> </w:t>
      </w:r>
      <w:r w:rsidRPr="00277813">
        <w:rPr>
          <w:rFonts w:hint="eastAsia"/>
        </w:rPr>
        <w:t xml:space="preserve">           </w:t>
      </w:r>
      <w:r w:rsidRPr="0036079D">
        <w:rPr>
          <w:rFonts w:hint="eastAsia"/>
          <w:sz w:val="24"/>
          <w:szCs w:val="24"/>
        </w:rPr>
        <w:t>單位：新臺幣千元；%</w:t>
      </w:r>
    </w:p>
    <w:tbl>
      <w:tblPr>
        <w:tblW w:w="8489"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836"/>
        <w:gridCol w:w="885"/>
        <w:gridCol w:w="1353"/>
        <w:gridCol w:w="1354"/>
        <w:gridCol w:w="1353"/>
        <w:gridCol w:w="1354"/>
        <w:gridCol w:w="1354"/>
      </w:tblGrid>
      <w:tr w:rsidR="005B7137" w:rsidRPr="0036079D" w:rsidTr="007668ED">
        <w:trPr>
          <w:tblHeader/>
        </w:trPr>
        <w:tc>
          <w:tcPr>
            <w:tcW w:w="1721" w:type="dxa"/>
            <w:gridSpan w:val="2"/>
            <w:shd w:val="clear" w:color="auto" w:fill="FFFFFF"/>
            <w:vAlign w:val="center"/>
          </w:tcPr>
          <w:p w:rsidR="005B7137" w:rsidRPr="0036079D" w:rsidRDefault="005B7137" w:rsidP="007668ED">
            <w:pPr>
              <w:pStyle w:val="142"/>
              <w:jc w:val="center"/>
              <w:rPr>
                <w:spacing w:val="-10"/>
              </w:rPr>
            </w:pPr>
            <w:r w:rsidRPr="0036079D">
              <w:rPr>
                <w:rFonts w:hint="eastAsia"/>
                <w:spacing w:val="-10"/>
              </w:rPr>
              <w:t>年度</w:t>
            </w:r>
          </w:p>
        </w:tc>
        <w:tc>
          <w:tcPr>
            <w:tcW w:w="1353" w:type="dxa"/>
            <w:shd w:val="clear" w:color="auto" w:fill="FFFFFF"/>
          </w:tcPr>
          <w:p w:rsidR="005B7137" w:rsidRPr="0036079D" w:rsidRDefault="005B7137" w:rsidP="007668ED">
            <w:pPr>
              <w:pStyle w:val="142"/>
              <w:jc w:val="center"/>
              <w:rPr>
                <w:spacing w:val="-10"/>
              </w:rPr>
            </w:pPr>
            <w:r w:rsidRPr="0036079D">
              <w:rPr>
                <w:rFonts w:hint="eastAsia"/>
                <w:spacing w:val="-10"/>
              </w:rPr>
              <w:t>109</w:t>
            </w:r>
          </w:p>
        </w:tc>
        <w:tc>
          <w:tcPr>
            <w:tcW w:w="1354" w:type="dxa"/>
            <w:shd w:val="clear" w:color="auto" w:fill="FFFFFF"/>
            <w:noWrap/>
            <w:vAlign w:val="center"/>
            <w:hideMark/>
          </w:tcPr>
          <w:p w:rsidR="005B7137" w:rsidRPr="0036079D" w:rsidRDefault="005B7137" w:rsidP="007668ED">
            <w:pPr>
              <w:pStyle w:val="142"/>
              <w:jc w:val="center"/>
              <w:rPr>
                <w:spacing w:val="-10"/>
              </w:rPr>
            </w:pPr>
            <w:r w:rsidRPr="0036079D">
              <w:rPr>
                <w:rFonts w:hint="eastAsia"/>
                <w:spacing w:val="-10"/>
              </w:rPr>
              <w:t>110</w:t>
            </w:r>
          </w:p>
        </w:tc>
        <w:tc>
          <w:tcPr>
            <w:tcW w:w="1353" w:type="dxa"/>
            <w:shd w:val="clear" w:color="auto" w:fill="FFFFFF"/>
            <w:noWrap/>
            <w:vAlign w:val="center"/>
            <w:hideMark/>
          </w:tcPr>
          <w:p w:rsidR="005B7137" w:rsidRPr="0036079D" w:rsidRDefault="005B7137" w:rsidP="007668ED">
            <w:pPr>
              <w:pStyle w:val="142"/>
              <w:jc w:val="center"/>
              <w:rPr>
                <w:spacing w:val="-10"/>
              </w:rPr>
            </w:pPr>
            <w:r w:rsidRPr="0036079D">
              <w:rPr>
                <w:rFonts w:hint="eastAsia"/>
                <w:spacing w:val="-10"/>
              </w:rPr>
              <w:t>111</w:t>
            </w:r>
          </w:p>
        </w:tc>
        <w:tc>
          <w:tcPr>
            <w:tcW w:w="1354" w:type="dxa"/>
            <w:shd w:val="clear" w:color="auto" w:fill="FFFFFF"/>
            <w:vAlign w:val="center"/>
            <w:hideMark/>
          </w:tcPr>
          <w:p w:rsidR="005B7137" w:rsidRPr="0036079D" w:rsidRDefault="005B7137" w:rsidP="007668ED">
            <w:pPr>
              <w:pStyle w:val="142"/>
              <w:jc w:val="center"/>
              <w:rPr>
                <w:spacing w:val="-10"/>
              </w:rPr>
            </w:pPr>
            <w:r w:rsidRPr="0036079D">
              <w:rPr>
                <w:rFonts w:hint="eastAsia"/>
                <w:spacing w:val="-10"/>
              </w:rPr>
              <w:t>112</w:t>
            </w:r>
          </w:p>
        </w:tc>
        <w:tc>
          <w:tcPr>
            <w:tcW w:w="1354" w:type="dxa"/>
            <w:shd w:val="clear" w:color="auto" w:fill="FFFFFF"/>
            <w:vAlign w:val="center"/>
            <w:hideMark/>
          </w:tcPr>
          <w:p w:rsidR="005B7137" w:rsidRPr="0036079D" w:rsidRDefault="005B7137" w:rsidP="007668ED">
            <w:pPr>
              <w:pStyle w:val="142"/>
              <w:jc w:val="center"/>
              <w:rPr>
                <w:spacing w:val="-10"/>
              </w:rPr>
            </w:pPr>
            <w:r w:rsidRPr="0036079D">
              <w:rPr>
                <w:rFonts w:hint="eastAsia"/>
                <w:spacing w:val="-10"/>
              </w:rPr>
              <w:t>113</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行政院主管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w:t>
            </w:r>
            <w:r w:rsidRPr="0036079D">
              <w:rPr>
                <w:spacing w:val="-10"/>
              </w:rPr>
              <w:t>82,737</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520,948</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169,494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193,877</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303,208</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w:t>
            </w:r>
            <w:r w:rsidRPr="0036079D">
              <w:rPr>
                <w:spacing w:val="-10"/>
              </w:rPr>
              <w:t>7.51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93.95</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88.34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96.95</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98.50</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經濟部主管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w:t>
            </w:r>
            <w:r w:rsidRPr="0036079D">
              <w:rPr>
                <w:spacing w:val="-10"/>
              </w:rPr>
              <w:t>07,066,900</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w:t>
            </w:r>
            <w:r w:rsidRPr="0036079D">
              <w:rPr>
                <w:spacing w:val="-10"/>
              </w:rPr>
              <w:t>03</w:t>
            </w:r>
            <w:r w:rsidRPr="0036079D">
              <w:rPr>
                <w:rFonts w:hint="eastAsia"/>
                <w:spacing w:val="-10"/>
              </w:rPr>
              <w:t>,707,754</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228,076,093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263,396,864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296,247,083</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w:t>
            </w:r>
            <w:r w:rsidRPr="0036079D">
              <w:rPr>
                <w:spacing w:val="-10"/>
              </w:rPr>
              <w:t>1.99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93.98</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93.62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95.72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87.95</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財政部主管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w:t>
            </w:r>
            <w:r w:rsidRPr="0036079D">
              <w:rPr>
                <w:spacing w:val="-10"/>
              </w:rPr>
              <w:t>,661,021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4,359,292</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4,160,809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3,039,702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3,431,429</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w:t>
            </w:r>
            <w:r w:rsidRPr="0036079D">
              <w:rPr>
                <w:spacing w:val="-10"/>
              </w:rPr>
              <w:t>5.19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71.23</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79.45</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85.63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82.56</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交通部主管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w:t>
            </w:r>
            <w:r w:rsidRPr="0036079D">
              <w:rPr>
                <w:spacing w:val="-10"/>
              </w:rPr>
              <w:t>6,793,809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37,233,462</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49,920,559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56,144,733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44,797,743</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spacing w:val="-10"/>
              </w:rPr>
              <w:t>68.01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77.51</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93.41</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93.84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84.46</w:t>
            </w:r>
          </w:p>
        </w:tc>
      </w:tr>
      <w:tr w:rsidR="005B7137" w:rsidRPr="0036079D" w:rsidTr="007668ED">
        <w:trPr>
          <w:trHeight w:val="308"/>
        </w:trPr>
        <w:tc>
          <w:tcPr>
            <w:tcW w:w="836" w:type="dxa"/>
            <w:vMerge w:val="restart"/>
            <w:shd w:val="clear" w:color="auto" w:fill="FFFFFF"/>
            <w:noWrap/>
            <w:vAlign w:val="center"/>
          </w:tcPr>
          <w:p w:rsidR="005B7137" w:rsidRPr="0036079D" w:rsidRDefault="005B7137" w:rsidP="007668ED">
            <w:pPr>
              <w:pStyle w:val="142"/>
              <w:rPr>
                <w:spacing w:val="-10"/>
              </w:rPr>
            </w:pPr>
            <w:r w:rsidRPr="0036079D">
              <w:rPr>
                <w:rFonts w:hint="eastAsia"/>
                <w:spacing w:val="-10"/>
              </w:rPr>
              <w:t>金管會主管</w:t>
            </w: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決算數</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3</w:t>
            </w:r>
            <w:r w:rsidRPr="0036079D">
              <w:rPr>
                <w:spacing w:val="-10"/>
              </w:rPr>
              <w:t>,803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6,981</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6,316</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4,563</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4,503</w:t>
            </w:r>
          </w:p>
        </w:tc>
      </w:tr>
      <w:tr w:rsidR="005B7137" w:rsidRPr="0036079D" w:rsidTr="007668ED">
        <w:trPr>
          <w:trHeight w:val="308"/>
        </w:trPr>
        <w:tc>
          <w:tcPr>
            <w:tcW w:w="836" w:type="dxa"/>
            <w:vMerge/>
            <w:shd w:val="clear" w:color="auto" w:fill="FFFFFF"/>
            <w:noWrap/>
            <w:vAlign w:val="center"/>
          </w:tcPr>
          <w:p w:rsidR="005B7137" w:rsidRPr="0036079D" w:rsidRDefault="005B7137" w:rsidP="007668ED">
            <w:pPr>
              <w:pStyle w:val="142"/>
              <w:rPr>
                <w:spacing w:val="-10"/>
              </w:rPr>
            </w:pPr>
          </w:p>
        </w:tc>
        <w:tc>
          <w:tcPr>
            <w:tcW w:w="885" w:type="dxa"/>
            <w:shd w:val="clear" w:color="auto" w:fill="FFFFFF"/>
            <w:vAlign w:val="center"/>
          </w:tcPr>
          <w:p w:rsidR="005B7137" w:rsidRPr="0036079D" w:rsidRDefault="005B7137" w:rsidP="007668ED">
            <w:pPr>
              <w:pStyle w:val="142"/>
              <w:rPr>
                <w:spacing w:val="-10"/>
              </w:rPr>
            </w:pPr>
            <w:r w:rsidRPr="0036079D">
              <w:rPr>
                <w:rFonts w:hint="eastAsia"/>
                <w:spacing w:val="-10"/>
              </w:rPr>
              <w:t>執行率</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w:t>
            </w:r>
            <w:r w:rsidRPr="0036079D">
              <w:rPr>
                <w:spacing w:val="-10"/>
              </w:rPr>
              <w:t>9.82</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97.98</w:t>
            </w:r>
          </w:p>
        </w:tc>
        <w:tc>
          <w:tcPr>
            <w:tcW w:w="1353"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91.09</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96.74</w:t>
            </w:r>
          </w:p>
        </w:tc>
        <w:tc>
          <w:tcPr>
            <w:tcW w:w="1354" w:type="dxa"/>
            <w:shd w:val="clear" w:color="auto" w:fill="FFFFFF"/>
            <w:vAlign w:val="center"/>
          </w:tcPr>
          <w:p w:rsidR="005B7137" w:rsidRPr="0036079D" w:rsidRDefault="005B7137" w:rsidP="007668ED">
            <w:pPr>
              <w:pStyle w:val="142"/>
              <w:jc w:val="right"/>
              <w:rPr>
                <w:spacing w:val="-10"/>
              </w:rPr>
            </w:pPr>
            <w:r w:rsidRPr="0036079D">
              <w:rPr>
                <w:rFonts w:hint="eastAsia"/>
                <w:spacing w:val="-10"/>
              </w:rPr>
              <w:t>96.97</w:t>
            </w:r>
          </w:p>
        </w:tc>
      </w:tr>
      <w:tr w:rsidR="005B7137" w:rsidRPr="0036079D" w:rsidTr="007668ED">
        <w:trPr>
          <w:trHeight w:val="308"/>
        </w:trPr>
        <w:tc>
          <w:tcPr>
            <w:tcW w:w="836" w:type="dxa"/>
            <w:vMerge w:val="restart"/>
            <w:shd w:val="clear" w:color="auto" w:fill="FFFFFF"/>
            <w:noWrap/>
            <w:vAlign w:val="center"/>
          </w:tcPr>
          <w:p w:rsidR="005B7137" w:rsidRPr="00D209A4" w:rsidRDefault="005B7137" w:rsidP="007668ED">
            <w:pPr>
              <w:pStyle w:val="142"/>
              <w:rPr>
                <w:b/>
                <w:bCs/>
                <w:spacing w:val="-10"/>
              </w:rPr>
            </w:pPr>
            <w:r w:rsidRPr="00D209A4">
              <w:rPr>
                <w:rFonts w:hint="eastAsia"/>
                <w:b/>
                <w:bCs/>
                <w:spacing w:val="-10"/>
              </w:rPr>
              <w:t>合計</w:t>
            </w:r>
          </w:p>
        </w:tc>
        <w:tc>
          <w:tcPr>
            <w:tcW w:w="885" w:type="dxa"/>
            <w:shd w:val="clear" w:color="auto" w:fill="FFFFFF"/>
            <w:vAlign w:val="center"/>
          </w:tcPr>
          <w:p w:rsidR="005B7137" w:rsidRPr="00D209A4" w:rsidRDefault="005B7137" w:rsidP="007668ED">
            <w:pPr>
              <w:pStyle w:val="142"/>
              <w:rPr>
                <w:b/>
                <w:bCs/>
                <w:spacing w:val="-10"/>
              </w:rPr>
            </w:pPr>
            <w:r w:rsidRPr="00D209A4">
              <w:rPr>
                <w:rFonts w:hint="eastAsia"/>
                <w:b/>
                <w:bCs/>
                <w:spacing w:val="-10"/>
              </w:rPr>
              <w:t>決算數</w:t>
            </w:r>
          </w:p>
        </w:tc>
        <w:tc>
          <w:tcPr>
            <w:tcW w:w="1353" w:type="dxa"/>
            <w:shd w:val="clear" w:color="auto" w:fill="FFFFFF"/>
            <w:vAlign w:val="center"/>
          </w:tcPr>
          <w:p w:rsidR="005B7137" w:rsidRPr="00D209A4" w:rsidRDefault="005B7137" w:rsidP="007668ED">
            <w:pPr>
              <w:pStyle w:val="142"/>
              <w:jc w:val="right"/>
              <w:rPr>
                <w:b/>
                <w:bCs/>
                <w:spacing w:val="-10"/>
              </w:rPr>
            </w:pPr>
            <w:bookmarkStart w:id="3" w:name="_Hlk205990346"/>
            <w:r w:rsidRPr="00D209A4">
              <w:rPr>
                <w:rFonts w:hint="eastAsia"/>
                <w:b/>
                <w:bCs/>
                <w:spacing w:val="-10"/>
              </w:rPr>
              <w:t>249,</w:t>
            </w:r>
            <w:r w:rsidRPr="00D209A4">
              <w:rPr>
                <w:b/>
                <w:bCs/>
                <w:spacing w:val="-10"/>
              </w:rPr>
              <w:t>308,271</w:t>
            </w:r>
            <w:bookmarkEnd w:id="3"/>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245,828,439</w:t>
            </w:r>
          </w:p>
        </w:tc>
        <w:tc>
          <w:tcPr>
            <w:tcW w:w="1353"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282,333,273</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322,779,741</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344,783,967</w:t>
            </w:r>
          </w:p>
        </w:tc>
      </w:tr>
      <w:tr w:rsidR="005B7137" w:rsidRPr="0036079D" w:rsidTr="007668ED">
        <w:trPr>
          <w:trHeight w:val="308"/>
        </w:trPr>
        <w:tc>
          <w:tcPr>
            <w:tcW w:w="836" w:type="dxa"/>
            <w:vMerge/>
            <w:shd w:val="clear" w:color="auto" w:fill="FFFFFF"/>
            <w:noWrap/>
            <w:vAlign w:val="center"/>
          </w:tcPr>
          <w:p w:rsidR="005B7137" w:rsidRPr="00D209A4" w:rsidRDefault="005B7137" w:rsidP="007668ED">
            <w:pPr>
              <w:pStyle w:val="142"/>
              <w:rPr>
                <w:b/>
                <w:bCs/>
                <w:spacing w:val="-10"/>
              </w:rPr>
            </w:pPr>
          </w:p>
        </w:tc>
        <w:tc>
          <w:tcPr>
            <w:tcW w:w="885" w:type="dxa"/>
            <w:shd w:val="clear" w:color="auto" w:fill="FFFFFF"/>
            <w:vAlign w:val="center"/>
          </w:tcPr>
          <w:p w:rsidR="005B7137" w:rsidRPr="00D209A4" w:rsidRDefault="005B7137" w:rsidP="007668ED">
            <w:pPr>
              <w:pStyle w:val="142"/>
              <w:rPr>
                <w:b/>
                <w:bCs/>
                <w:spacing w:val="-10"/>
              </w:rPr>
            </w:pPr>
            <w:r w:rsidRPr="00D209A4">
              <w:rPr>
                <w:rFonts w:hint="eastAsia"/>
                <w:b/>
                <w:bCs/>
                <w:spacing w:val="-10"/>
              </w:rPr>
              <w:t>執行率</w:t>
            </w:r>
          </w:p>
        </w:tc>
        <w:tc>
          <w:tcPr>
            <w:tcW w:w="1353"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8</w:t>
            </w:r>
            <w:r w:rsidRPr="00D209A4">
              <w:rPr>
                <w:b/>
                <w:bCs/>
                <w:spacing w:val="-10"/>
              </w:rPr>
              <w:t>7.19</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90.55</w:t>
            </w:r>
          </w:p>
        </w:tc>
        <w:tc>
          <w:tcPr>
            <w:tcW w:w="1353"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93.34</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95.28</w:t>
            </w:r>
          </w:p>
        </w:tc>
        <w:tc>
          <w:tcPr>
            <w:tcW w:w="1354" w:type="dxa"/>
            <w:shd w:val="clear" w:color="auto" w:fill="FFFFFF"/>
            <w:vAlign w:val="center"/>
          </w:tcPr>
          <w:p w:rsidR="005B7137" w:rsidRPr="00D209A4" w:rsidRDefault="005B7137" w:rsidP="007668ED">
            <w:pPr>
              <w:pStyle w:val="142"/>
              <w:jc w:val="right"/>
              <w:rPr>
                <w:b/>
                <w:bCs/>
                <w:spacing w:val="-10"/>
              </w:rPr>
            </w:pPr>
            <w:r w:rsidRPr="00D209A4">
              <w:rPr>
                <w:rFonts w:hint="eastAsia"/>
                <w:b/>
                <w:bCs/>
                <w:spacing w:val="-10"/>
              </w:rPr>
              <w:t>87.43</w:t>
            </w:r>
          </w:p>
        </w:tc>
      </w:tr>
    </w:tbl>
    <w:p w:rsidR="005B7137" w:rsidRDefault="005B7137" w:rsidP="007668ED">
      <w:pPr>
        <w:pStyle w:val="142"/>
        <w:ind w:left="1204" w:hangingChars="495" w:hanging="1204"/>
      </w:pPr>
      <w:r>
        <w:rPr>
          <w:rFonts w:hint="eastAsia"/>
        </w:rPr>
        <w:t>說    明：執行率為該年度決算數占可用預算數比率；各細項加總與合計數之差異為尾數四捨五入所致。</w:t>
      </w:r>
    </w:p>
    <w:p w:rsidR="005B7137" w:rsidRPr="0036079D" w:rsidRDefault="005B7137" w:rsidP="007668ED">
      <w:pPr>
        <w:pStyle w:val="142"/>
        <w:ind w:left="1204" w:hangingChars="495" w:hanging="1204"/>
      </w:pPr>
      <w:r>
        <w:rPr>
          <w:rFonts w:hint="eastAsia"/>
        </w:rPr>
        <w:t>資料來源：審計部各年度總決算附屬單位決算及綜計表審核報告-營業部分「資本支出計畫預算執行情形明細表」。</w:t>
      </w:r>
    </w:p>
    <w:p w:rsidR="005B7137" w:rsidRPr="0036079D" w:rsidRDefault="005B7137" w:rsidP="007668ED">
      <w:pPr>
        <w:pStyle w:val="a5"/>
        <w:ind w:left="849" w:hanging="283"/>
        <w:rPr>
          <w:b/>
          <w:bCs/>
        </w:rPr>
      </w:pPr>
      <w:r w:rsidRPr="0036079D">
        <w:rPr>
          <w:rFonts w:hint="eastAsia"/>
          <w:b/>
          <w:bCs/>
        </w:rPr>
        <w:lastRenderedPageBreak/>
        <w:t>(二)近年度國營事業不動產、廠房及設備金額增加，惟部分事業之不動產、廠房及設備周轉率及總資產報酬率卻呈下降</w:t>
      </w:r>
    </w:p>
    <w:p w:rsidR="005B7137" w:rsidRDefault="005B7137" w:rsidP="007668ED">
      <w:pPr>
        <w:pStyle w:val="21"/>
        <w:ind w:left="850" w:firstLine="566"/>
      </w:pPr>
      <w:r>
        <w:rPr>
          <w:rFonts w:hint="eastAsia"/>
        </w:rPr>
        <w:t>比較近3年度(111至113年底)全體國營事業「不動產、廠房及設備」金額及運用效益情形(詳表2)，隨國營事業各項購建固定資產計畫之投資增加，資產規模亦呈逐年增加之趨勢，113年底國營事業「不動產、廠房及設備」金額已達4兆2,800.33億元，主要投資事業為經濟部及交通部主管之事業</w:t>
      </w:r>
      <w:r w:rsidRPr="00FF3FF0">
        <w:rPr>
          <w:rFonts w:hint="eastAsia"/>
          <w:spacing w:val="4"/>
        </w:rPr>
        <w:t>，分別達3兆</w:t>
      </w:r>
      <w:r w:rsidRPr="00FF3FF0">
        <w:rPr>
          <w:rFonts w:hint="eastAsia"/>
          <w:spacing w:val="-2"/>
        </w:rPr>
        <w:t>368.40億元及1兆172.26億元，較111年底</w:t>
      </w:r>
      <w:r w:rsidRPr="00FF3FF0">
        <w:rPr>
          <w:rFonts w:hint="eastAsia"/>
          <w:spacing w:val="4"/>
        </w:rPr>
        <w:t>分別增加</w:t>
      </w:r>
      <w:r>
        <w:rPr>
          <w:rFonts w:hint="eastAsia"/>
        </w:rPr>
        <w:t>2,729.99億元(增幅9.88%)及684.36億元(增幅7.21%)；如以個別事業觀之，則以台電公司1兆8,875.42億元最鉅，臺鐵及中油公司均逾5,000億元分居第2及第3位；另以近3年度成長幅度則以桃機公司44.72%為首，中油公司(增幅16.27%)、港務公司(增幅15.36%)及台電公司(增幅10.39%)則均成長逾一成。</w:t>
      </w:r>
    </w:p>
    <w:p w:rsidR="005B7137" w:rsidRDefault="005B7137" w:rsidP="007668ED">
      <w:pPr>
        <w:pStyle w:val="21"/>
        <w:ind w:left="850" w:firstLine="566"/>
      </w:pPr>
      <w:r>
        <w:rPr>
          <w:rFonts w:hint="eastAsia"/>
        </w:rPr>
        <w:t>惟檢視經濟部及交通部所屬國營事業資產運用效益，有關「不動產、廠房及設備週轉率」(每單位不動產、廠房及設備所產生銷售收入之效率)之比較：中油、台水及港務公司近3年度均呈下降趨勢；另以「總資產報酬率」觀之，僅台糖公司尚維持正報酬且呈逐年成長趨勢，中油、台電及臺鐵公司等3事業因近3年度營運虧損，總資產報酬率均呈負值。爰此，有關國營事業各項固定資產購建計畫完成後是否達成預期目標及對於公司整體營運之改善提升等控管機制，亟待重視並強化控管。</w:t>
      </w:r>
    </w:p>
    <w:p w:rsidR="005B7137" w:rsidRDefault="005B7137" w:rsidP="007668ED">
      <w:pPr>
        <w:pStyle w:val="21"/>
        <w:ind w:left="850" w:firstLine="566"/>
      </w:pPr>
    </w:p>
    <w:p w:rsidR="005B7137" w:rsidRDefault="005B7137" w:rsidP="007668ED">
      <w:pPr>
        <w:pStyle w:val="21"/>
        <w:ind w:left="850" w:firstLine="566"/>
      </w:pPr>
    </w:p>
    <w:p w:rsidR="005B7137" w:rsidRDefault="005B7137" w:rsidP="007668ED">
      <w:pPr>
        <w:pStyle w:val="21"/>
        <w:ind w:left="850" w:firstLine="566"/>
      </w:pPr>
    </w:p>
    <w:p w:rsidR="005B7137" w:rsidRDefault="005B7137" w:rsidP="007668ED">
      <w:pPr>
        <w:pStyle w:val="21"/>
        <w:ind w:left="850" w:firstLine="566"/>
      </w:pPr>
    </w:p>
    <w:p w:rsidR="005B7137" w:rsidRPr="00F37108" w:rsidRDefault="005B7137" w:rsidP="007668ED">
      <w:pPr>
        <w:pStyle w:val="21"/>
        <w:ind w:leftChars="2" w:left="746" w:hangingChars="261" w:hanging="740"/>
      </w:pPr>
      <w:r w:rsidRPr="00F37108">
        <w:rPr>
          <w:rFonts w:hint="eastAsia"/>
          <w:b/>
          <w:bCs/>
        </w:rPr>
        <w:lastRenderedPageBreak/>
        <w:t>表2  國營事業111至113年度不動產、廠房及設備餘額暨重要財務比率概況表</w:t>
      </w:r>
      <w:r w:rsidRPr="00F37108">
        <w:rPr>
          <w:rFonts w:hint="eastAsia"/>
        </w:rPr>
        <w:t xml:space="preserve">     </w:t>
      </w:r>
      <w:r>
        <w:t xml:space="preserve"> </w:t>
      </w:r>
      <w:r w:rsidRPr="00F37108">
        <w:rPr>
          <w:rFonts w:hint="eastAsia"/>
        </w:rPr>
        <w:t xml:space="preserve">         </w:t>
      </w:r>
      <w:r>
        <w:rPr>
          <w:rFonts w:hint="eastAsia"/>
        </w:rPr>
        <w:t xml:space="preserve">  </w:t>
      </w:r>
      <w:r w:rsidRPr="00F37108">
        <w:rPr>
          <w:rFonts w:hint="eastAsia"/>
        </w:rPr>
        <w:t xml:space="preserve">          </w:t>
      </w:r>
      <w:r w:rsidRPr="00F37108">
        <w:rPr>
          <w:rFonts w:hint="eastAsia"/>
          <w:sz w:val="24"/>
          <w:szCs w:val="24"/>
        </w:rPr>
        <w:t>單位：新臺幣億元；次；%</w:t>
      </w:r>
    </w:p>
    <w:tbl>
      <w:tblPr>
        <w:tblW w:w="8505" w:type="dxa"/>
        <w:tblInd w:w="2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426"/>
        <w:gridCol w:w="862"/>
        <w:gridCol w:w="893"/>
        <w:gridCol w:w="894"/>
        <w:gridCol w:w="894"/>
        <w:gridCol w:w="850"/>
        <w:gridCol w:w="851"/>
        <w:gridCol w:w="851"/>
        <w:gridCol w:w="661"/>
        <w:gridCol w:w="661"/>
        <w:gridCol w:w="662"/>
      </w:tblGrid>
      <w:tr w:rsidR="005B7137" w:rsidRPr="00F37108" w:rsidTr="007668ED">
        <w:trPr>
          <w:tblHeader/>
        </w:trPr>
        <w:tc>
          <w:tcPr>
            <w:tcW w:w="1288" w:type="dxa"/>
            <w:gridSpan w:val="2"/>
            <w:vMerge w:val="restart"/>
            <w:tcBorders>
              <w:top w:val="single" w:sz="12" w:space="0" w:color="auto"/>
              <w:left w:val="single" w:sz="12" w:space="0" w:color="auto"/>
            </w:tcBorders>
            <w:shd w:val="clear" w:color="auto" w:fill="FFFFFF"/>
            <w:noWrap/>
            <w:vAlign w:val="center"/>
            <w:hideMark/>
          </w:tcPr>
          <w:p w:rsidR="005B7137" w:rsidRPr="00F37108" w:rsidRDefault="005B7137" w:rsidP="007668ED">
            <w:pPr>
              <w:pStyle w:val="142"/>
              <w:jc w:val="center"/>
              <w:rPr>
                <w:spacing w:val="-20"/>
                <w:sz w:val="22"/>
                <w:szCs w:val="22"/>
              </w:rPr>
            </w:pPr>
            <w:r w:rsidRPr="00F37108">
              <w:rPr>
                <w:rFonts w:hint="eastAsia"/>
                <w:spacing w:val="-20"/>
                <w:sz w:val="22"/>
                <w:szCs w:val="22"/>
              </w:rPr>
              <w:t>年度</w:t>
            </w:r>
          </w:p>
        </w:tc>
        <w:tc>
          <w:tcPr>
            <w:tcW w:w="2681" w:type="dxa"/>
            <w:gridSpan w:val="3"/>
            <w:tcBorders>
              <w:top w:val="single" w:sz="12" w:space="0" w:color="auto"/>
              <w:right w:val="double" w:sz="4" w:space="0" w:color="auto"/>
            </w:tcBorders>
            <w:shd w:val="clear" w:color="auto" w:fill="FFFFFF"/>
            <w:noWrap/>
            <w:vAlign w:val="center"/>
          </w:tcPr>
          <w:p w:rsidR="005B7137" w:rsidRPr="00F37108" w:rsidRDefault="005B7137" w:rsidP="007668ED">
            <w:pPr>
              <w:pStyle w:val="142"/>
              <w:jc w:val="center"/>
              <w:rPr>
                <w:spacing w:val="-20"/>
                <w:sz w:val="22"/>
                <w:szCs w:val="22"/>
              </w:rPr>
            </w:pPr>
            <w:bookmarkStart w:id="4" w:name="_Hlk199930483"/>
            <w:r w:rsidRPr="00F37108">
              <w:rPr>
                <w:rFonts w:hint="eastAsia"/>
                <w:spacing w:val="-20"/>
                <w:sz w:val="22"/>
                <w:szCs w:val="22"/>
              </w:rPr>
              <w:t>不動產、廠房及設備餘額</w:t>
            </w:r>
            <w:bookmarkEnd w:id="4"/>
          </w:p>
        </w:tc>
        <w:tc>
          <w:tcPr>
            <w:tcW w:w="2552" w:type="dxa"/>
            <w:gridSpan w:val="3"/>
            <w:tcBorders>
              <w:top w:val="single" w:sz="12" w:space="0" w:color="auto"/>
              <w:left w:val="double" w:sz="4"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不動產、廠房及設備</w:t>
            </w:r>
          </w:p>
          <w:p w:rsidR="005B7137" w:rsidRPr="00F37108" w:rsidRDefault="005B7137" w:rsidP="007668ED">
            <w:pPr>
              <w:pStyle w:val="142"/>
              <w:jc w:val="center"/>
              <w:rPr>
                <w:spacing w:val="-20"/>
                <w:sz w:val="22"/>
                <w:szCs w:val="22"/>
              </w:rPr>
            </w:pPr>
            <w:r w:rsidRPr="00F37108">
              <w:rPr>
                <w:rFonts w:hint="eastAsia"/>
                <w:spacing w:val="-20"/>
                <w:sz w:val="22"/>
                <w:szCs w:val="22"/>
              </w:rPr>
              <w:t>週轉率</w:t>
            </w:r>
          </w:p>
        </w:tc>
        <w:tc>
          <w:tcPr>
            <w:tcW w:w="1984" w:type="dxa"/>
            <w:gridSpan w:val="3"/>
            <w:tcBorders>
              <w:top w:val="single" w:sz="12" w:space="0" w:color="auto"/>
              <w:right w:val="single" w:sz="12" w:space="0" w:color="auto"/>
            </w:tcBorders>
            <w:shd w:val="clear" w:color="auto" w:fill="FFFFFF"/>
            <w:noWrap/>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總資產報酬率</w:t>
            </w:r>
          </w:p>
        </w:tc>
      </w:tr>
      <w:tr w:rsidR="005B7137" w:rsidRPr="00F37108" w:rsidTr="007668ED">
        <w:trPr>
          <w:tblHeader/>
        </w:trPr>
        <w:tc>
          <w:tcPr>
            <w:tcW w:w="1288" w:type="dxa"/>
            <w:gridSpan w:val="2"/>
            <w:vMerge/>
            <w:tcBorders>
              <w:left w:val="single" w:sz="12" w:space="0" w:color="auto"/>
            </w:tcBorders>
            <w:shd w:val="clear" w:color="auto" w:fill="FFFFFF"/>
            <w:noWrap/>
            <w:vAlign w:val="center"/>
          </w:tcPr>
          <w:p w:rsidR="005B7137" w:rsidRPr="00F37108" w:rsidRDefault="005B7137" w:rsidP="007668ED">
            <w:pPr>
              <w:pStyle w:val="142"/>
              <w:rPr>
                <w:spacing w:val="-20"/>
                <w:sz w:val="22"/>
                <w:szCs w:val="22"/>
              </w:rPr>
            </w:pPr>
          </w:p>
        </w:tc>
        <w:tc>
          <w:tcPr>
            <w:tcW w:w="893" w:type="dxa"/>
            <w:shd w:val="clear" w:color="auto" w:fill="FFFFFF"/>
            <w:noWrap/>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111</w:t>
            </w:r>
          </w:p>
        </w:tc>
        <w:tc>
          <w:tcPr>
            <w:tcW w:w="894" w:type="dxa"/>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112</w:t>
            </w:r>
          </w:p>
        </w:tc>
        <w:tc>
          <w:tcPr>
            <w:tcW w:w="894" w:type="dxa"/>
            <w:tcBorders>
              <w:right w:val="double" w:sz="4"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113</w:t>
            </w:r>
          </w:p>
        </w:tc>
        <w:tc>
          <w:tcPr>
            <w:tcW w:w="850" w:type="dxa"/>
            <w:vMerge w:val="restart"/>
            <w:tcBorders>
              <w:left w:val="double" w:sz="4"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111</w:t>
            </w:r>
          </w:p>
        </w:tc>
        <w:tc>
          <w:tcPr>
            <w:tcW w:w="85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112</w:t>
            </w:r>
          </w:p>
        </w:tc>
        <w:tc>
          <w:tcPr>
            <w:tcW w:w="85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113</w:t>
            </w:r>
          </w:p>
        </w:tc>
        <w:tc>
          <w:tcPr>
            <w:tcW w:w="66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111</w:t>
            </w:r>
          </w:p>
        </w:tc>
        <w:tc>
          <w:tcPr>
            <w:tcW w:w="661" w:type="dxa"/>
            <w:vMerge w:val="restart"/>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112</w:t>
            </w:r>
          </w:p>
        </w:tc>
        <w:tc>
          <w:tcPr>
            <w:tcW w:w="662" w:type="dxa"/>
            <w:vMerge w:val="restart"/>
            <w:tcBorders>
              <w:right w:val="single" w:sz="12" w:space="0" w:color="auto"/>
            </w:tcBorders>
            <w:shd w:val="clear" w:color="auto" w:fill="FFFFFF"/>
            <w:vAlign w:val="center"/>
          </w:tcPr>
          <w:p w:rsidR="005B7137" w:rsidRPr="00F37108" w:rsidRDefault="005B7137" w:rsidP="007668ED">
            <w:pPr>
              <w:pStyle w:val="142"/>
              <w:jc w:val="center"/>
              <w:rPr>
                <w:spacing w:val="-20"/>
                <w:sz w:val="22"/>
                <w:szCs w:val="22"/>
              </w:rPr>
            </w:pPr>
            <w:r w:rsidRPr="00F37108">
              <w:rPr>
                <w:rFonts w:hint="eastAsia"/>
                <w:spacing w:val="-20"/>
                <w:sz w:val="22"/>
                <w:szCs w:val="22"/>
              </w:rPr>
              <w:t>113</w:t>
            </w:r>
          </w:p>
        </w:tc>
      </w:tr>
      <w:tr w:rsidR="005B7137" w:rsidRPr="00F37108" w:rsidTr="007668ED">
        <w:tc>
          <w:tcPr>
            <w:tcW w:w="1288" w:type="dxa"/>
            <w:gridSpan w:val="2"/>
            <w:tcBorders>
              <w:left w:val="single" w:sz="12" w:space="0" w:color="auto"/>
            </w:tcBorders>
            <w:shd w:val="clear" w:color="auto" w:fill="FFFFFF"/>
            <w:vAlign w:val="center"/>
          </w:tcPr>
          <w:p w:rsidR="005B7137" w:rsidRPr="003D515F" w:rsidRDefault="005B7137" w:rsidP="007668ED">
            <w:pPr>
              <w:pStyle w:val="142"/>
              <w:rPr>
                <w:b/>
                <w:bCs/>
                <w:spacing w:val="-20"/>
                <w:sz w:val="22"/>
                <w:szCs w:val="22"/>
              </w:rPr>
            </w:pPr>
            <w:r w:rsidRPr="003D515F">
              <w:rPr>
                <w:rFonts w:hint="eastAsia"/>
                <w:b/>
                <w:bCs/>
                <w:spacing w:val="-20"/>
                <w:sz w:val="22"/>
                <w:szCs w:val="22"/>
              </w:rPr>
              <w:t>全體國營事業</w:t>
            </w:r>
          </w:p>
        </w:tc>
        <w:tc>
          <w:tcPr>
            <w:tcW w:w="893" w:type="dxa"/>
            <w:shd w:val="clear" w:color="auto" w:fill="FFFFFF"/>
            <w:noWrap/>
            <w:vAlign w:val="center"/>
          </w:tcPr>
          <w:p w:rsidR="005B7137" w:rsidRPr="003D515F" w:rsidRDefault="005B7137" w:rsidP="007668ED">
            <w:pPr>
              <w:pStyle w:val="142"/>
              <w:jc w:val="right"/>
              <w:rPr>
                <w:b/>
                <w:bCs/>
                <w:spacing w:val="-20"/>
                <w:sz w:val="22"/>
                <w:szCs w:val="22"/>
              </w:rPr>
            </w:pPr>
            <w:r w:rsidRPr="003D515F">
              <w:rPr>
                <w:rFonts w:hint="eastAsia"/>
                <w:b/>
                <w:bCs/>
                <w:spacing w:val="-20"/>
                <w:sz w:val="22"/>
                <w:szCs w:val="22"/>
              </w:rPr>
              <w:t>39,398.57</w:t>
            </w:r>
          </w:p>
        </w:tc>
        <w:tc>
          <w:tcPr>
            <w:tcW w:w="894" w:type="dxa"/>
            <w:shd w:val="clear" w:color="auto" w:fill="FFFFFF"/>
            <w:vAlign w:val="center"/>
          </w:tcPr>
          <w:p w:rsidR="005B7137" w:rsidRPr="003D515F" w:rsidRDefault="005B7137" w:rsidP="007668ED">
            <w:pPr>
              <w:pStyle w:val="142"/>
              <w:jc w:val="right"/>
              <w:rPr>
                <w:b/>
                <w:bCs/>
                <w:spacing w:val="-20"/>
                <w:sz w:val="22"/>
                <w:szCs w:val="22"/>
              </w:rPr>
            </w:pPr>
            <w:r w:rsidRPr="003D515F">
              <w:rPr>
                <w:rFonts w:hint="eastAsia"/>
                <w:b/>
                <w:bCs/>
                <w:spacing w:val="-20"/>
                <w:sz w:val="22"/>
                <w:szCs w:val="22"/>
              </w:rPr>
              <w:t>4</w:t>
            </w:r>
            <w:r w:rsidRPr="003D515F">
              <w:rPr>
                <w:b/>
                <w:bCs/>
                <w:spacing w:val="-20"/>
                <w:sz w:val="22"/>
                <w:szCs w:val="22"/>
              </w:rPr>
              <w:t>1,314.7</w:t>
            </w:r>
            <w:r w:rsidRPr="003D515F">
              <w:rPr>
                <w:rFonts w:hint="eastAsia"/>
                <w:b/>
                <w:bCs/>
                <w:spacing w:val="-20"/>
                <w:sz w:val="22"/>
                <w:szCs w:val="22"/>
              </w:rPr>
              <w:t>9</w:t>
            </w:r>
          </w:p>
        </w:tc>
        <w:tc>
          <w:tcPr>
            <w:tcW w:w="894" w:type="dxa"/>
            <w:tcBorders>
              <w:right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rFonts w:hint="eastAsia"/>
                <w:b/>
                <w:bCs/>
                <w:spacing w:val="-20"/>
                <w:sz w:val="22"/>
                <w:szCs w:val="22"/>
              </w:rPr>
              <w:t>42,800.33</w:t>
            </w:r>
          </w:p>
        </w:tc>
        <w:tc>
          <w:tcPr>
            <w:tcW w:w="850" w:type="dxa"/>
            <w:vMerge/>
            <w:tcBorders>
              <w:left w:val="double" w:sz="4" w:space="0" w:color="auto"/>
            </w:tcBorders>
            <w:shd w:val="clear" w:color="auto" w:fill="FFFFFF"/>
            <w:vAlign w:val="center"/>
          </w:tcPr>
          <w:p w:rsidR="005B7137" w:rsidRPr="00F37108" w:rsidRDefault="005B7137" w:rsidP="007668ED">
            <w:pPr>
              <w:pStyle w:val="142"/>
              <w:rPr>
                <w:spacing w:val="-20"/>
                <w:sz w:val="22"/>
                <w:szCs w:val="22"/>
              </w:rPr>
            </w:pPr>
          </w:p>
        </w:tc>
        <w:tc>
          <w:tcPr>
            <w:tcW w:w="851" w:type="dxa"/>
            <w:vMerge/>
            <w:shd w:val="clear" w:color="auto" w:fill="FFFFFF"/>
            <w:vAlign w:val="center"/>
          </w:tcPr>
          <w:p w:rsidR="005B7137" w:rsidRPr="00F37108" w:rsidRDefault="005B7137" w:rsidP="007668ED">
            <w:pPr>
              <w:pStyle w:val="142"/>
              <w:rPr>
                <w:spacing w:val="-20"/>
                <w:sz w:val="22"/>
                <w:szCs w:val="22"/>
              </w:rPr>
            </w:pPr>
          </w:p>
        </w:tc>
        <w:tc>
          <w:tcPr>
            <w:tcW w:w="851" w:type="dxa"/>
            <w:vMerge/>
            <w:shd w:val="clear" w:color="auto" w:fill="FFFFFF"/>
            <w:vAlign w:val="center"/>
          </w:tcPr>
          <w:p w:rsidR="005B7137" w:rsidRPr="00F37108" w:rsidRDefault="005B7137" w:rsidP="007668ED">
            <w:pPr>
              <w:pStyle w:val="142"/>
              <w:rPr>
                <w:spacing w:val="-20"/>
                <w:sz w:val="22"/>
                <w:szCs w:val="22"/>
              </w:rPr>
            </w:pPr>
          </w:p>
        </w:tc>
        <w:tc>
          <w:tcPr>
            <w:tcW w:w="661" w:type="dxa"/>
            <w:vMerge/>
            <w:shd w:val="clear" w:color="auto" w:fill="FFFFFF"/>
            <w:vAlign w:val="center"/>
          </w:tcPr>
          <w:p w:rsidR="005B7137" w:rsidRPr="00F37108" w:rsidRDefault="005B7137" w:rsidP="007668ED">
            <w:pPr>
              <w:pStyle w:val="142"/>
              <w:rPr>
                <w:spacing w:val="-20"/>
                <w:sz w:val="22"/>
                <w:szCs w:val="22"/>
              </w:rPr>
            </w:pPr>
          </w:p>
        </w:tc>
        <w:tc>
          <w:tcPr>
            <w:tcW w:w="661" w:type="dxa"/>
            <w:vMerge/>
            <w:shd w:val="clear" w:color="auto" w:fill="FFFFFF"/>
            <w:vAlign w:val="center"/>
          </w:tcPr>
          <w:p w:rsidR="005B7137" w:rsidRPr="00F37108" w:rsidRDefault="005B7137" w:rsidP="007668ED">
            <w:pPr>
              <w:pStyle w:val="142"/>
              <w:rPr>
                <w:spacing w:val="-20"/>
                <w:sz w:val="22"/>
                <w:szCs w:val="22"/>
              </w:rPr>
            </w:pPr>
          </w:p>
        </w:tc>
        <w:tc>
          <w:tcPr>
            <w:tcW w:w="662" w:type="dxa"/>
            <w:vMerge/>
            <w:tcBorders>
              <w:right w:val="single" w:sz="12" w:space="0" w:color="auto"/>
            </w:tcBorders>
            <w:shd w:val="clear" w:color="auto" w:fill="FFFFFF"/>
            <w:vAlign w:val="center"/>
          </w:tcPr>
          <w:p w:rsidR="005B7137" w:rsidRPr="00F37108" w:rsidRDefault="005B7137" w:rsidP="007668ED">
            <w:pPr>
              <w:pStyle w:val="142"/>
              <w:rPr>
                <w:spacing w:val="-20"/>
                <w:sz w:val="22"/>
                <w:szCs w:val="22"/>
              </w:rPr>
            </w:pPr>
          </w:p>
        </w:tc>
      </w:tr>
      <w:tr w:rsidR="005B7137" w:rsidRPr="00F37108" w:rsidTr="007668ED">
        <w:tc>
          <w:tcPr>
            <w:tcW w:w="426" w:type="dxa"/>
            <w:vMerge w:val="restart"/>
            <w:tcBorders>
              <w:left w:val="single" w:sz="12" w:space="0" w:color="auto"/>
            </w:tcBorders>
            <w:shd w:val="clear" w:color="auto" w:fill="FFFFFF"/>
            <w:vAlign w:val="center"/>
          </w:tcPr>
          <w:p w:rsidR="005B7137" w:rsidRPr="00F37108" w:rsidRDefault="005B7137" w:rsidP="007668ED">
            <w:pPr>
              <w:pStyle w:val="142"/>
              <w:rPr>
                <w:spacing w:val="-20"/>
                <w:sz w:val="22"/>
                <w:szCs w:val="22"/>
              </w:rPr>
            </w:pPr>
            <w:bookmarkStart w:id="5" w:name="_Hlk200029789"/>
            <w:r w:rsidRPr="00F37108">
              <w:rPr>
                <w:rFonts w:hint="eastAsia"/>
                <w:spacing w:val="-20"/>
                <w:sz w:val="22"/>
                <w:szCs w:val="22"/>
              </w:rPr>
              <w:t>經濟部主管</w:t>
            </w:r>
          </w:p>
        </w:tc>
        <w:tc>
          <w:tcPr>
            <w:tcW w:w="862" w:type="dxa"/>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台糖公司</w:t>
            </w:r>
          </w:p>
        </w:tc>
        <w:tc>
          <w:tcPr>
            <w:tcW w:w="893" w:type="dxa"/>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,503.80</w:t>
            </w:r>
          </w:p>
        </w:tc>
        <w:tc>
          <w:tcPr>
            <w:tcW w:w="894"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,448.99</w:t>
            </w:r>
          </w:p>
        </w:tc>
        <w:tc>
          <w:tcPr>
            <w:tcW w:w="894" w:type="dxa"/>
            <w:tcBorders>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,439.12</w:t>
            </w:r>
          </w:p>
        </w:tc>
        <w:tc>
          <w:tcPr>
            <w:tcW w:w="850" w:type="dxa"/>
            <w:tcBorders>
              <w:left w:val="double" w:sz="4" w:space="0" w:color="auto"/>
            </w:tcBorders>
            <w:shd w:val="clear" w:color="auto" w:fill="FFFFFF"/>
            <w:vAlign w:val="center"/>
          </w:tcPr>
          <w:p w:rsidR="005B7137" w:rsidRPr="00F37108" w:rsidRDefault="005B7137" w:rsidP="007668ED">
            <w:pPr>
              <w:pStyle w:val="142"/>
              <w:ind w:rightChars="-9" w:right="-25"/>
              <w:jc w:val="right"/>
              <w:rPr>
                <w:spacing w:val="-20"/>
                <w:sz w:val="22"/>
                <w:szCs w:val="22"/>
              </w:rPr>
            </w:pPr>
            <w:r w:rsidRPr="00F37108">
              <w:rPr>
                <w:rFonts w:hint="eastAsia"/>
                <w:spacing w:val="-20"/>
                <w:sz w:val="22"/>
                <w:szCs w:val="22"/>
              </w:rPr>
              <w:t xml:space="preserve">0.11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0.12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0.13 </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.37</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.66</w:t>
            </w:r>
          </w:p>
        </w:tc>
        <w:tc>
          <w:tcPr>
            <w:tcW w:w="662" w:type="dxa"/>
            <w:tcBorders>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.8</w:t>
            </w:r>
            <w:r w:rsidRPr="00F37108">
              <w:rPr>
                <w:rFonts w:hint="eastAsia"/>
                <w:spacing w:val="-20"/>
                <w:sz w:val="22"/>
                <w:szCs w:val="22"/>
              </w:rPr>
              <w:t>5</w:t>
            </w:r>
          </w:p>
        </w:tc>
      </w:tr>
      <w:bookmarkEnd w:id="5"/>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中油公司</w:t>
            </w:r>
          </w:p>
        </w:tc>
        <w:tc>
          <w:tcPr>
            <w:tcW w:w="893" w:type="dxa"/>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4</w:t>
            </w:r>
            <w:r w:rsidRPr="00F37108">
              <w:rPr>
                <w:spacing w:val="-20"/>
                <w:sz w:val="22"/>
                <w:szCs w:val="22"/>
              </w:rPr>
              <w:t>,633.39</w:t>
            </w:r>
          </w:p>
        </w:tc>
        <w:tc>
          <w:tcPr>
            <w:tcW w:w="894"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,032.43</w:t>
            </w:r>
          </w:p>
        </w:tc>
        <w:tc>
          <w:tcPr>
            <w:tcW w:w="894" w:type="dxa"/>
            <w:tcBorders>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spacing w:val="-20"/>
                <w:sz w:val="22"/>
                <w:szCs w:val="22"/>
              </w:rPr>
              <w:t>5,3</w:t>
            </w:r>
            <w:r w:rsidRPr="00F37108">
              <w:rPr>
                <w:rFonts w:hint="eastAsia"/>
                <w:spacing w:val="-20"/>
                <w:sz w:val="22"/>
                <w:szCs w:val="22"/>
              </w:rPr>
              <w:t>87</w:t>
            </w:r>
            <w:r w:rsidRPr="00F37108">
              <w:rPr>
                <w:spacing w:val="-20"/>
                <w:sz w:val="22"/>
                <w:szCs w:val="22"/>
              </w:rPr>
              <w:t>.</w:t>
            </w:r>
            <w:r w:rsidRPr="00F37108">
              <w:rPr>
                <w:rFonts w:hint="eastAsia"/>
                <w:spacing w:val="-20"/>
                <w:sz w:val="22"/>
                <w:szCs w:val="22"/>
              </w:rPr>
              <w:t>45</w:t>
            </w:r>
          </w:p>
        </w:tc>
        <w:tc>
          <w:tcPr>
            <w:tcW w:w="850" w:type="dxa"/>
            <w:tcBorders>
              <w:lef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2.68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2.28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2.11 </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20.49</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2.11</w:t>
            </w:r>
          </w:p>
        </w:tc>
        <w:tc>
          <w:tcPr>
            <w:tcW w:w="662" w:type="dxa"/>
            <w:tcBorders>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3.</w:t>
            </w:r>
            <w:r w:rsidRPr="00F37108">
              <w:rPr>
                <w:rFonts w:hint="eastAsia"/>
                <w:spacing w:val="-20"/>
                <w:sz w:val="22"/>
                <w:szCs w:val="22"/>
              </w:rPr>
              <w:t>16</w:t>
            </w:r>
          </w:p>
        </w:tc>
      </w:tr>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台電公司</w:t>
            </w:r>
          </w:p>
        </w:tc>
        <w:tc>
          <w:tcPr>
            <w:tcW w:w="893" w:type="dxa"/>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7,099.44</w:t>
            </w:r>
          </w:p>
        </w:tc>
        <w:tc>
          <w:tcPr>
            <w:tcW w:w="894"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7,824.09</w:t>
            </w:r>
          </w:p>
        </w:tc>
        <w:tc>
          <w:tcPr>
            <w:tcW w:w="894" w:type="dxa"/>
            <w:tcBorders>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18,875.42</w:t>
            </w:r>
          </w:p>
        </w:tc>
        <w:tc>
          <w:tcPr>
            <w:tcW w:w="850" w:type="dxa"/>
            <w:tcBorders>
              <w:lef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0.39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0.45 </w:t>
            </w:r>
          </w:p>
        </w:tc>
        <w:tc>
          <w:tcPr>
            <w:tcW w:w="85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0.46 </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10.00</w:t>
            </w:r>
          </w:p>
        </w:tc>
        <w:tc>
          <w:tcPr>
            <w:tcW w:w="661" w:type="dxa"/>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8.14</w:t>
            </w:r>
          </w:p>
        </w:tc>
        <w:tc>
          <w:tcPr>
            <w:tcW w:w="662" w:type="dxa"/>
            <w:tcBorders>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w:t>
            </w:r>
            <w:r w:rsidRPr="00F37108">
              <w:rPr>
                <w:rFonts w:hint="eastAsia"/>
                <w:spacing w:val="-20"/>
                <w:sz w:val="22"/>
                <w:szCs w:val="22"/>
              </w:rPr>
              <w:t>48</w:t>
            </w:r>
          </w:p>
        </w:tc>
      </w:tr>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tcBorders>
              <w:bottom w:val="single" w:sz="4" w:space="0" w:color="auto"/>
            </w:tcBorders>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台水公司</w:t>
            </w:r>
          </w:p>
        </w:tc>
        <w:tc>
          <w:tcPr>
            <w:tcW w:w="893" w:type="dxa"/>
            <w:tcBorders>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3</w:t>
            </w:r>
            <w:r w:rsidRPr="00F37108">
              <w:rPr>
                <w:spacing w:val="-20"/>
                <w:sz w:val="22"/>
                <w:szCs w:val="22"/>
              </w:rPr>
              <w:t>,401.78</w:t>
            </w:r>
          </w:p>
        </w:tc>
        <w:tc>
          <w:tcPr>
            <w:tcW w:w="894"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3</w:t>
            </w:r>
            <w:r w:rsidRPr="00F37108">
              <w:rPr>
                <w:spacing w:val="-20"/>
                <w:sz w:val="22"/>
                <w:szCs w:val="22"/>
              </w:rPr>
              <w:t>,527.83</w:t>
            </w:r>
          </w:p>
        </w:tc>
        <w:tc>
          <w:tcPr>
            <w:tcW w:w="894" w:type="dxa"/>
            <w:tcBorders>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3</w:t>
            </w:r>
            <w:r w:rsidRPr="00F37108">
              <w:rPr>
                <w:spacing w:val="-20"/>
                <w:sz w:val="22"/>
                <w:szCs w:val="22"/>
              </w:rPr>
              <w:t>,666.40</w:t>
            </w:r>
          </w:p>
        </w:tc>
        <w:tc>
          <w:tcPr>
            <w:tcW w:w="850" w:type="dxa"/>
            <w:tcBorders>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0.10 </w:t>
            </w:r>
          </w:p>
        </w:tc>
        <w:tc>
          <w:tcPr>
            <w:tcW w:w="85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0.09 </w:t>
            </w:r>
          </w:p>
        </w:tc>
        <w:tc>
          <w:tcPr>
            <w:tcW w:w="85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0.09 </w:t>
            </w:r>
          </w:p>
        </w:tc>
        <w:tc>
          <w:tcPr>
            <w:tcW w:w="66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.02</w:t>
            </w:r>
          </w:p>
        </w:tc>
        <w:tc>
          <w:tcPr>
            <w:tcW w:w="661" w:type="dxa"/>
            <w:tcBorders>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1.19</w:t>
            </w:r>
          </w:p>
        </w:tc>
        <w:tc>
          <w:tcPr>
            <w:tcW w:w="662" w:type="dxa"/>
            <w:tcBorders>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1.06</w:t>
            </w:r>
          </w:p>
        </w:tc>
      </w:tr>
      <w:tr w:rsidR="005B7137" w:rsidRPr="00F37108" w:rsidTr="007668ED">
        <w:tc>
          <w:tcPr>
            <w:tcW w:w="426" w:type="dxa"/>
            <w:vMerge/>
            <w:tcBorders>
              <w:left w:val="single" w:sz="12" w:space="0" w:color="auto"/>
              <w:bottom w:val="double" w:sz="4" w:space="0" w:color="auto"/>
            </w:tcBorders>
            <w:shd w:val="clear" w:color="auto" w:fill="FFFFFF"/>
            <w:vAlign w:val="center"/>
          </w:tcPr>
          <w:p w:rsidR="005B7137" w:rsidRPr="00F37108" w:rsidRDefault="005B7137" w:rsidP="007668ED">
            <w:pPr>
              <w:pStyle w:val="142"/>
              <w:rPr>
                <w:spacing w:val="-20"/>
                <w:sz w:val="22"/>
                <w:szCs w:val="22"/>
              </w:rPr>
            </w:pPr>
          </w:p>
        </w:tc>
        <w:tc>
          <w:tcPr>
            <w:tcW w:w="862" w:type="dxa"/>
            <w:tcBorders>
              <w:top w:val="single" w:sz="4" w:space="0" w:color="auto"/>
              <w:bottom w:val="double" w:sz="4" w:space="0" w:color="auto"/>
            </w:tcBorders>
            <w:shd w:val="clear" w:color="auto" w:fill="FFFFFF"/>
            <w:noWrap/>
            <w:vAlign w:val="center"/>
          </w:tcPr>
          <w:p w:rsidR="005B7137" w:rsidRPr="003D515F" w:rsidRDefault="005B7137" w:rsidP="007668ED">
            <w:pPr>
              <w:pStyle w:val="142"/>
              <w:rPr>
                <w:b/>
                <w:bCs/>
                <w:spacing w:val="-20"/>
                <w:sz w:val="22"/>
                <w:szCs w:val="22"/>
              </w:rPr>
            </w:pPr>
            <w:r w:rsidRPr="003D515F">
              <w:rPr>
                <w:rFonts w:hint="eastAsia"/>
                <w:b/>
                <w:bCs/>
                <w:spacing w:val="-20"/>
                <w:sz w:val="22"/>
                <w:szCs w:val="22"/>
              </w:rPr>
              <w:t>小計</w:t>
            </w:r>
          </w:p>
        </w:tc>
        <w:tc>
          <w:tcPr>
            <w:tcW w:w="893" w:type="dxa"/>
            <w:tcBorders>
              <w:top w:val="single" w:sz="4" w:space="0" w:color="auto"/>
              <w:bottom w:val="double" w:sz="4" w:space="0" w:color="auto"/>
            </w:tcBorders>
            <w:shd w:val="clear" w:color="auto" w:fill="FFFFFF"/>
            <w:noWrap/>
            <w:vAlign w:val="center"/>
          </w:tcPr>
          <w:p w:rsidR="005B7137" w:rsidRPr="003D515F" w:rsidRDefault="005B7137" w:rsidP="007668ED">
            <w:pPr>
              <w:pStyle w:val="142"/>
              <w:jc w:val="right"/>
              <w:rPr>
                <w:b/>
                <w:bCs/>
                <w:spacing w:val="-20"/>
                <w:sz w:val="22"/>
                <w:szCs w:val="22"/>
              </w:rPr>
            </w:pPr>
            <w:r w:rsidRPr="003D515F">
              <w:rPr>
                <w:b/>
                <w:bCs/>
                <w:spacing w:val="-20"/>
                <w:sz w:val="22"/>
                <w:szCs w:val="22"/>
              </w:rPr>
              <w:t>27,638.41</w:t>
            </w:r>
          </w:p>
        </w:tc>
        <w:tc>
          <w:tcPr>
            <w:tcW w:w="894" w:type="dxa"/>
            <w:tcBorders>
              <w:top w:val="single" w:sz="4" w:space="0" w:color="auto"/>
              <w:bottom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28,833.34</w:t>
            </w:r>
          </w:p>
        </w:tc>
        <w:tc>
          <w:tcPr>
            <w:tcW w:w="894" w:type="dxa"/>
            <w:tcBorders>
              <w:top w:val="single" w:sz="4" w:space="0" w:color="auto"/>
              <w:bottom w:val="double" w:sz="4" w:space="0" w:color="auto"/>
              <w:right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30,3</w:t>
            </w:r>
            <w:r w:rsidRPr="003D515F">
              <w:rPr>
                <w:rFonts w:hint="eastAsia"/>
                <w:b/>
                <w:bCs/>
                <w:spacing w:val="-20"/>
                <w:sz w:val="22"/>
                <w:szCs w:val="22"/>
              </w:rPr>
              <w:t>68.</w:t>
            </w:r>
            <w:r w:rsidRPr="003D515F">
              <w:rPr>
                <w:b/>
                <w:bCs/>
                <w:spacing w:val="-20"/>
                <w:sz w:val="22"/>
                <w:szCs w:val="22"/>
              </w:rPr>
              <w:t>4</w:t>
            </w:r>
            <w:r w:rsidRPr="003D515F">
              <w:rPr>
                <w:rFonts w:hint="eastAsia"/>
                <w:b/>
                <w:bCs/>
                <w:spacing w:val="-20"/>
                <w:sz w:val="22"/>
                <w:szCs w:val="22"/>
              </w:rPr>
              <w:t>0</w:t>
            </w:r>
          </w:p>
        </w:tc>
        <w:tc>
          <w:tcPr>
            <w:tcW w:w="850" w:type="dxa"/>
            <w:tcBorders>
              <w:top w:val="single" w:sz="4" w:space="0" w:color="auto"/>
              <w:left w:val="doub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2" w:type="dxa"/>
            <w:tcBorders>
              <w:top w:val="single" w:sz="4" w:space="0" w:color="auto"/>
              <w:bottom w:val="doub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r>
      <w:tr w:rsidR="005B7137" w:rsidRPr="00F37108" w:rsidTr="007668ED">
        <w:tc>
          <w:tcPr>
            <w:tcW w:w="426" w:type="dxa"/>
            <w:vMerge w:val="restart"/>
            <w:tcBorders>
              <w:top w:val="double" w:sz="4" w:space="0" w:color="auto"/>
              <w:left w:val="single" w:sz="12"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交通部主管</w:t>
            </w:r>
          </w:p>
        </w:tc>
        <w:tc>
          <w:tcPr>
            <w:tcW w:w="862" w:type="dxa"/>
            <w:tcBorders>
              <w:top w:val="double" w:sz="4" w:space="0" w:color="auto"/>
              <w:bottom w:val="single" w:sz="4"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中華郵政</w:t>
            </w:r>
          </w:p>
        </w:tc>
        <w:tc>
          <w:tcPr>
            <w:tcW w:w="893" w:type="dxa"/>
            <w:tcBorders>
              <w:top w:val="doub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,174.12</w:t>
            </w:r>
          </w:p>
        </w:tc>
        <w:tc>
          <w:tcPr>
            <w:tcW w:w="894"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,219.70</w:t>
            </w:r>
          </w:p>
        </w:tc>
        <w:tc>
          <w:tcPr>
            <w:tcW w:w="894" w:type="dxa"/>
            <w:tcBorders>
              <w:top w:val="doub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spacing w:val="-20"/>
                <w:sz w:val="22"/>
                <w:szCs w:val="22"/>
              </w:rPr>
              <w:t>1,2</w:t>
            </w:r>
            <w:r w:rsidRPr="00F37108">
              <w:rPr>
                <w:rFonts w:hint="eastAsia"/>
                <w:spacing w:val="-20"/>
                <w:sz w:val="22"/>
                <w:szCs w:val="22"/>
              </w:rPr>
              <w:t>37</w:t>
            </w:r>
            <w:r w:rsidRPr="00F37108">
              <w:rPr>
                <w:spacing w:val="-20"/>
                <w:sz w:val="22"/>
                <w:szCs w:val="22"/>
              </w:rPr>
              <w:t>.</w:t>
            </w:r>
            <w:r w:rsidRPr="00F37108">
              <w:rPr>
                <w:rFonts w:hint="eastAsia"/>
                <w:spacing w:val="-20"/>
                <w:sz w:val="22"/>
                <w:szCs w:val="22"/>
              </w:rPr>
              <w:t>09</w:t>
            </w:r>
          </w:p>
        </w:tc>
        <w:tc>
          <w:tcPr>
            <w:tcW w:w="850" w:type="dxa"/>
            <w:tcBorders>
              <w:top w:val="doub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2.91 </w:t>
            </w:r>
          </w:p>
        </w:tc>
        <w:tc>
          <w:tcPr>
            <w:tcW w:w="85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2.14 </w:t>
            </w:r>
          </w:p>
        </w:tc>
        <w:tc>
          <w:tcPr>
            <w:tcW w:w="85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2.70</w:t>
            </w:r>
          </w:p>
        </w:tc>
        <w:tc>
          <w:tcPr>
            <w:tcW w:w="66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.25</w:t>
            </w:r>
          </w:p>
        </w:tc>
        <w:tc>
          <w:tcPr>
            <w:tcW w:w="661" w:type="dxa"/>
            <w:tcBorders>
              <w:top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0.02</w:t>
            </w:r>
          </w:p>
        </w:tc>
        <w:tc>
          <w:tcPr>
            <w:tcW w:w="662" w:type="dxa"/>
            <w:tcBorders>
              <w:top w:val="doub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0</w:t>
            </w:r>
            <w:r w:rsidRPr="00F37108">
              <w:rPr>
                <w:spacing w:val="-20"/>
                <w:sz w:val="22"/>
                <w:szCs w:val="22"/>
              </w:rPr>
              <w:t>.03</w:t>
            </w:r>
          </w:p>
        </w:tc>
      </w:tr>
      <w:tr w:rsidR="005B7137" w:rsidRPr="00F37108" w:rsidTr="007668ED">
        <w:tc>
          <w:tcPr>
            <w:tcW w:w="426" w:type="dxa"/>
            <w:vMerge/>
            <w:tcBorders>
              <w:left w:val="single" w:sz="12" w:space="0" w:color="auto"/>
            </w:tcBorders>
            <w:shd w:val="clear" w:color="auto" w:fill="FFFFFF"/>
            <w:noWrap/>
            <w:vAlign w:val="center"/>
            <w:hideMark/>
          </w:tcPr>
          <w:p w:rsidR="005B7137" w:rsidRPr="00F37108" w:rsidRDefault="005B7137" w:rsidP="007668ED">
            <w:pPr>
              <w:pStyle w:val="142"/>
              <w:rPr>
                <w:spacing w:val="-20"/>
                <w:sz w:val="22"/>
                <w:szCs w:val="22"/>
              </w:rPr>
            </w:pPr>
          </w:p>
        </w:tc>
        <w:tc>
          <w:tcPr>
            <w:tcW w:w="862" w:type="dxa"/>
            <w:tcBorders>
              <w:top w:val="single" w:sz="4" w:space="0" w:color="auto"/>
              <w:bottom w:val="single" w:sz="4" w:space="0" w:color="auto"/>
            </w:tcBorders>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臺鐵公司</w:t>
            </w:r>
          </w:p>
        </w:tc>
        <w:tc>
          <w:tcPr>
            <w:tcW w:w="893"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,288.43</w:t>
            </w:r>
          </w:p>
        </w:tc>
        <w:tc>
          <w:tcPr>
            <w:tcW w:w="894"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,810.13</w:t>
            </w:r>
          </w:p>
        </w:tc>
        <w:tc>
          <w:tcPr>
            <w:tcW w:w="894" w:type="dxa"/>
            <w:tcBorders>
              <w:top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,601.96</w:t>
            </w:r>
          </w:p>
        </w:tc>
        <w:tc>
          <w:tcPr>
            <w:tcW w:w="850" w:type="dxa"/>
            <w:tcBorders>
              <w:top w:val="sing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0.04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0.04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0.04 </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spacing w:val="-20"/>
                <w:sz w:val="22"/>
                <w:szCs w:val="22"/>
              </w:rPr>
              <w:t>-</w:t>
            </w:r>
            <w:r w:rsidRPr="00F37108">
              <w:rPr>
                <w:rFonts w:hint="eastAsia"/>
                <w:spacing w:val="-20"/>
                <w:sz w:val="22"/>
                <w:szCs w:val="22"/>
              </w:rPr>
              <w:t>1.47</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1.44</w:t>
            </w:r>
          </w:p>
        </w:tc>
        <w:tc>
          <w:tcPr>
            <w:tcW w:w="662" w:type="dxa"/>
            <w:tcBorders>
              <w:top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1.7</w:t>
            </w:r>
            <w:r w:rsidRPr="00F37108">
              <w:rPr>
                <w:rFonts w:hint="eastAsia"/>
                <w:spacing w:val="-20"/>
                <w:sz w:val="22"/>
                <w:szCs w:val="22"/>
              </w:rPr>
              <w:t>2</w:t>
            </w:r>
          </w:p>
        </w:tc>
      </w:tr>
      <w:tr w:rsidR="005B7137" w:rsidRPr="00F37108" w:rsidTr="007668ED">
        <w:tc>
          <w:tcPr>
            <w:tcW w:w="426" w:type="dxa"/>
            <w:vMerge/>
            <w:tcBorders>
              <w:left w:val="single" w:sz="12" w:space="0" w:color="auto"/>
            </w:tcBorders>
            <w:shd w:val="clear" w:color="auto" w:fill="FFFFFF"/>
            <w:vAlign w:val="center"/>
          </w:tcPr>
          <w:p w:rsidR="005B7137" w:rsidRPr="00F37108" w:rsidRDefault="005B7137" w:rsidP="007668ED">
            <w:pPr>
              <w:pStyle w:val="142"/>
              <w:rPr>
                <w:spacing w:val="-20"/>
                <w:sz w:val="22"/>
                <w:szCs w:val="22"/>
              </w:rPr>
            </w:pPr>
          </w:p>
        </w:tc>
        <w:tc>
          <w:tcPr>
            <w:tcW w:w="862"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港務公司</w:t>
            </w:r>
          </w:p>
        </w:tc>
        <w:tc>
          <w:tcPr>
            <w:tcW w:w="893"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13.14</w:t>
            </w:r>
          </w:p>
        </w:tc>
        <w:tc>
          <w:tcPr>
            <w:tcW w:w="894"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52.26</w:t>
            </w:r>
          </w:p>
        </w:tc>
        <w:tc>
          <w:tcPr>
            <w:tcW w:w="894" w:type="dxa"/>
            <w:tcBorders>
              <w:top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91.96</w:t>
            </w:r>
          </w:p>
        </w:tc>
        <w:tc>
          <w:tcPr>
            <w:tcW w:w="850" w:type="dxa"/>
            <w:tcBorders>
              <w:top w:val="sing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0.46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0.45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0.44 </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.72</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.76</w:t>
            </w:r>
          </w:p>
        </w:tc>
        <w:tc>
          <w:tcPr>
            <w:tcW w:w="662" w:type="dxa"/>
            <w:tcBorders>
              <w:top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.75</w:t>
            </w:r>
          </w:p>
        </w:tc>
      </w:tr>
      <w:tr w:rsidR="005B7137" w:rsidRPr="00F37108" w:rsidTr="007668ED">
        <w:tc>
          <w:tcPr>
            <w:tcW w:w="426" w:type="dxa"/>
            <w:vMerge/>
            <w:tcBorders>
              <w:left w:val="single" w:sz="12" w:space="0" w:color="auto"/>
            </w:tcBorders>
            <w:shd w:val="clear" w:color="auto" w:fill="FFFFFF"/>
            <w:vAlign w:val="center"/>
            <w:hideMark/>
          </w:tcPr>
          <w:p w:rsidR="005B7137" w:rsidRPr="00F37108" w:rsidRDefault="005B7137" w:rsidP="007668ED">
            <w:pPr>
              <w:pStyle w:val="142"/>
              <w:rPr>
                <w:spacing w:val="-20"/>
                <w:sz w:val="22"/>
                <w:szCs w:val="22"/>
              </w:rPr>
            </w:pPr>
          </w:p>
        </w:tc>
        <w:tc>
          <w:tcPr>
            <w:tcW w:w="862" w:type="dxa"/>
            <w:tcBorders>
              <w:top w:val="single" w:sz="4" w:space="0" w:color="auto"/>
              <w:bottom w:val="single" w:sz="4" w:space="0" w:color="auto"/>
            </w:tcBorders>
            <w:shd w:val="clear" w:color="auto" w:fill="FFFFFF"/>
            <w:noWrap/>
            <w:vAlign w:val="center"/>
            <w:hideMark/>
          </w:tcPr>
          <w:p w:rsidR="005B7137" w:rsidRPr="00F37108" w:rsidRDefault="005B7137" w:rsidP="007668ED">
            <w:pPr>
              <w:pStyle w:val="142"/>
              <w:rPr>
                <w:spacing w:val="-20"/>
                <w:sz w:val="22"/>
                <w:szCs w:val="22"/>
              </w:rPr>
            </w:pPr>
            <w:r w:rsidRPr="00F37108">
              <w:rPr>
                <w:rFonts w:hint="eastAsia"/>
                <w:spacing w:val="-20"/>
                <w:sz w:val="22"/>
                <w:szCs w:val="22"/>
              </w:rPr>
              <w:t>桃機公司</w:t>
            </w:r>
          </w:p>
        </w:tc>
        <w:tc>
          <w:tcPr>
            <w:tcW w:w="893" w:type="dxa"/>
            <w:tcBorders>
              <w:top w:val="single" w:sz="4" w:space="0" w:color="auto"/>
              <w:bottom w:val="single" w:sz="4" w:space="0" w:color="auto"/>
            </w:tcBorders>
            <w:shd w:val="clear" w:color="auto" w:fill="FFFFFF"/>
            <w:noWrap/>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5</w:t>
            </w:r>
            <w:r w:rsidRPr="00F37108">
              <w:rPr>
                <w:spacing w:val="-20"/>
                <w:sz w:val="22"/>
                <w:szCs w:val="22"/>
              </w:rPr>
              <w:t>12.21</w:t>
            </w:r>
          </w:p>
        </w:tc>
        <w:tc>
          <w:tcPr>
            <w:tcW w:w="894"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6</w:t>
            </w:r>
            <w:r w:rsidRPr="00F37108">
              <w:rPr>
                <w:spacing w:val="-20"/>
                <w:sz w:val="22"/>
                <w:szCs w:val="22"/>
              </w:rPr>
              <w:t>37.04</w:t>
            </w:r>
          </w:p>
        </w:tc>
        <w:tc>
          <w:tcPr>
            <w:tcW w:w="894" w:type="dxa"/>
            <w:tcBorders>
              <w:top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7</w:t>
            </w:r>
            <w:r w:rsidRPr="00F37108">
              <w:rPr>
                <w:spacing w:val="-20"/>
                <w:sz w:val="22"/>
                <w:szCs w:val="22"/>
              </w:rPr>
              <w:t>41.25</w:t>
            </w:r>
          </w:p>
        </w:tc>
        <w:tc>
          <w:tcPr>
            <w:tcW w:w="850" w:type="dxa"/>
            <w:tcBorders>
              <w:top w:val="single" w:sz="4" w:space="0" w:color="auto"/>
              <w:left w:val="doub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0.24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0.28 </w:t>
            </w:r>
          </w:p>
        </w:tc>
        <w:tc>
          <w:tcPr>
            <w:tcW w:w="85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 xml:space="preserve">0.35 </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4.10</w:t>
            </w:r>
          </w:p>
        </w:tc>
        <w:tc>
          <w:tcPr>
            <w:tcW w:w="661" w:type="dxa"/>
            <w:tcBorders>
              <w:top w:val="single" w:sz="4" w:space="0" w:color="auto"/>
              <w:bottom w:val="single" w:sz="4"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2</w:t>
            </w:r>
            <w:r w:rsidRPr="00F37108">
              <w:rPr>
                <w:spacing w:val="-20"/>
                <w:sz w:val="22"/>
                <w:szCs w:val="22"/>
              </w:rPr>
              <w:t>.81</w:t>
            </w:r>
          </w:p>
        </w:tc>
        <w:tc>
          <w:tcPr>
            <w:tcW w:w="662" w:type="dxa"/>
            <w:tcBorders>
              <w:top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1</w:t>
            </w:r>
            <w:r w:rsidRPr="00F37108">
              <w:rPr>
                <w:spacing w:val="-20"/>
                <w:sz w:val="22"/>
                <w:szCs w:val="22"/>
              </w:rPr>
              <w:t>0.91</w:t>
            </w:r>
          </w:p>
        </w:tc>
      </w:tr>
      <w:tr w:rsidR="005B7137" w:rsidRPr="00F37108" w:rsidTr="007668ED">
        <w:tc>
          <w:tcPr>
            <w:tcW w:w="426" w:type="dxa"/>
            <w:vMerge/>
            <w:tcBorders>
              <w:left w:val="single" w:sz="12" w:space="0" w:color="auto"/>
              <w:bottom w:val="single" w:sz="12" w:space="0" w:color="auto"/>
            </w:tcBorders>
            <w:shd w:val="clear" w:color="auto" w:fill="FFFFFF"/>
            <w:vAlign w:val="center"/>
          </w:tcPr>
          <w:p w:rsidR="005B7137" w:rsidRPr="00F37108" w:rsidRDefault="005B7137" w:rsidP="007668ED">
            <w:pPr>
              <w:pStyle w:val="142"/>
              <w:rPr>
                <w:spacing w:val="-20"/>
                <w:sz w:val="22"/>
                <w:szCs w:val="22"/>
              </w:rPr>
            </w:pPr>
          </w:p>
        </w:tc>
        <w:tc>
          <w:tcPr>
            <w:tcW w:w="862" w:type="dxa"/>
            <w:tcBorders>
              <w:top w:val="single" w:sz="4" w:space="0" w:color="auto"/>
              <w:bottom w:val="single" w:sz="12" w:space="0" w:color="auto"/>
            </w:tcBorders>
            <w:shd w:val="clear" w:color="auto" w:fill="FFFFFF"/>
            <w:noWrap/>
            <w:vAlign w:val="center"/>
          </w:tcPr>
          <w:p w:rsidR="005B7137" w:rsidRPr="00F37108" w:rsidRDefault="005B7137" w:rsidP="007668ED">
            <w:pPr>
              <w:pStyle w:val="142"/>
              <w:rPr>
                <w:spacing w:val="-20"/>
                <w:sz w:val="22"/>
                <w:szCs w:val="22"/>
              </w:rPr>
            </w:pPr>
            <w:r w:rsidRPr="00F37108">
              <w:rPr>
                <w:rFonts w:hint="eastAsia"/>
                <w:spacing w:val="-20"/>
                <w:sz w:val="22"/>
                <w:szCs w:val="22"/>
              </w:rPr>
              <w:t>小計</w:t>
            </w:r>
          </w:p>
        </w:tc>
        <w:tc>
          <w:tcPr>
            <w:tcW w:w="893" w:type="dxa"/>
            <w:tcBorders>
              <w:top w:val="single" w:sz="4" w:space="0" w:color="auto"/>
              <w:bottom w:val="single" w:sz="12" w:space="0" w:color="auto"/>
            </w:tcBorders>
            <w:shd w:val="clear" w:color="auto" w:fill="FFFFFF"/>
            <w:noWrap/>
            <w:vAlign w:val="center"/>
          </w:tcPr>
          <w:p w:rsidR="005B7137" w:rsidRPr="003D515F" w:rsidRDefault="005B7137" w:rsidP="007668ED">
            <w:pPr>
              <w:pStyle w:val="142"/>
              <w:jc w:val="right"/>
              <w:rPr>
                <w:b/>
                <w:bCs/>
                <w:spacing w:val="-20"/>
                <w:sz w:val="22"/>
                <w:szCs w:val="22"/>
              </w:rPr>
            </w:pPr>
            <w:r w:rsidRPr="003D515F">
              <w:rPr>
                <w:b/>
                <w:bCs/>
                <w:spacing w:val="-20"/>
                <w:sz w:val="22"/>
                <w:szCs w:val="22"/>
              </w:rPr>
              <w:t>9,487.90</w:t>
            </w:r>
          </w:p>
        </w:tc>
        <w:tc>
          <w:tcPr>
            <w:tcW w:w="894" w:type="dxa"/>
            <w:tcBorders>
              <w:top w:val="single" w:sz="4" w:space="0" w:color="auto"/>
              <w:bottom w:val="single" w:sz="12"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10,219.13</w:t>
            </w:r>
          </w:p>
        </w:tc>
        <w:tc>
          <w:tcPr>
            <w:tcW w:w="894" w:type="dxa"/>
            <w:tcBorders>
              <w:top w:val="single" w:sz="4" w:space="0" w:color="auto"/>
              <w:bottom w:val="single" w:sz="12" w:space="0" w:color="auto"/>
              <w:right w:val="double" w:sz="4" w:space="0" w:color="auto"/>
            </w:tcBorders>
            <w:shd w:val="clear" w:color="auto" w:fill="FFFFFF"/>
            <w:vAlign w:val="center"/>
          </w:tcPr>
          <w:p w:rsidR="005B7137" w:rsidRPr="003D515F" w:rsidRDefault="005B7137" w:rsidP="007668ED">
            <w:pPr>
              <w:pStyle w:val="142"/>
              <w:jc w:val="right"/>
              <w:rPr>
                <w:b/>
                <w:bCs/>
                <w:spacing w:val="-20"/>
                <w:sz w:val="22"/>
                <w:szCs w:val="22"/>
              </w:rPr>
            </w:pPr>
            <w:r w:rsidRPr="003D515F">
              <w:rPr>
                <w:b/>
                <w:bCs/>
                <w:spacing w:val="-20"/>
                <w:sz w:val="22"/>
                <w:szCs w:val="22"/>
              </w:rPr>
              <w:t>10,1</w:t>
            </w:r>
            <w:r w:rsidRPr="003D515F">
              <w:rPr>
                <w:rFonts w:hint="eastAsia"/>
                <w:b/>
                <w:bCs/>
                <w:spacing w:val="-20"/>
                <w:sz w:val="22"/>
                <w:szCs w:val="22"/>
              </w:rPr>
              <w:t>72</w:t>
            </w:r>
            <w:r w:rsidRPr="003D515F">
              <w:rPr>
                <w:b/>
                <w:bCs/>
                <w:spacing w:val="-20"/>
                <w:sz w:val="22"/>
                <w:szCs w:val="22"/>
              </w:rPr>
              <w:t>.</w:t>
            </w:r>
            <w:r w:rsidRPr="003D515F">
              <w:rPr>
                <w:rFonts w:hint="eastAsia"/>
                <w:b/>
                <w:bCs/>
                <w:spacing w:val="-20"/>
                <w:sz w:val="22"/>
                <w:szCs w:val="22"/>
              </w:rPr>
              <w:t>26</w:t>
            </w:r>
          </w:p>
        </w:tc>
        <w:tc>
          <w:tcPr>
            <w:tcW w:w="850" w:type="dxa"/>
            <w:tcBorders>
              <w:top w:val="single" w:sz="4" w:space="0" w:color="auto"/>
              <w:left w:val="doub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85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1" w:type="dxa"/>
            <w:tcBorders>
              <w:top w:val="single" w:sz="4" w:space="0" w:color="auto"/>
              <w:bottom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c>
          <w:tcPr>
            <w:tcW w:w="662" w:type="dxa"/>
            <w:tcBorders>
              <w:top w:val="single" w:sz="4" w:space="0" w:color="auto"/>
              <w:bottom w:val="single" w:sz="12" w:space="0" w:color="auto"/>
              <w:right w:val="single" w:sz="12" w:space="0" w:color="auto"/>
            </w:tcBorders>
            <w:shd w:val="clear" w:color="auto" w:fill="FFFFFF"/>
            <w:vAlign w:val="center"/>
          </w:tcPr>
          <w:p w:rsidR="005B7137" w:rsidRPr="00F37108" w:rsidRDefault="005B7137" w:rsidP="007668ED">
            <w:pPr>
              <w:pStyle w:val="142"/>
              <w:jc w:val="right"/>
              <w:rPr>
                <w:spacing w:val="-20"/>
                <w:sz w:val="22"/>
                <w:szCs w:val="22"/>
              </w:rPr>
            </w:pPr>
            <w:r w:rsidRPr="00F37108">
              <w:rPr>
                <w:rFonts w:hint="eastAsia"/>
                <w:spacing w:val="-20"/>
                <w:sz w:val="22"/>
                <w:szCs w:val="22"/>
              </w:rPr>
              <w:t>-</w:t>
            </w:r>
            <w:r w:rsidRPr="00F37108">
              <w:rPr>
                <w:spacing w:val="-20"/>
                <w:sz w:val="22"/>
                <w:szCs w:val="22"/>
              </w:rPr>
              <w:t>-</w:t>
            </w:r>
          </w:p>
        </w:tc>
      </w:tr>
    </w:tbl>
    <w:p w:rsidR="005B7137" w:rsidRDefault="005B7137" w:rsidP="007668ED">
      <w:pPr>
        <w:pStyle w:val="142"/>
        <w:ind w:left="1175" w:hangingChars="483" w:hanging="1175"/>
      </w:pPr>
      <w:r>
        <w:rPr>
          <w:rFonts w:hint="eastAsia"/>
        </w:rPr>
        <w:t>說    明：不動產、廠房及設備周轉率=營業收入/期初期末平均不動產、廠房及設備餘額×100%；總資產報酬率=本期淨利(損)/期初期末平均資產×100%</w:t>
      </w:r>
    </w:p>
    <w:p w:rsidR="005B7137" w:rsidRPr="00F37108" w:rsidRDefault="005B7137" w:rsidP="007668ED">
      <w:pPr>
        <w:pStyle w:val="142"/>
      </w:pPr>
      <w:r>
        <w:rPr>
          <w:rFonts w:hint="eastAsia"/>
        </w:rPr>
        <w:t>資料來源：各國營事業各年度決算書。</w:t>
      </w:r>
    </w:p>
    <w:p w:rsidR="005B7137" w:rsidRPr="00F37108" w:rsidRDefault="005B7137" w:rsidP="007668ED">
      <w:pPr>
        <w:pStyle w:val="a5"/>
        <w:ind w:left="849" w:hanging="283"/>
        <w:rPr>
          <w:b/>
          <w:bCs/>
        </w:rPr>
      </w:pPr>
      <w:r w:rsidRPr="00F37108">
        <w:rPr>
          <w:rFonts w:hint="eastAsia"/>
          <w:b/>
          <w:bCs/>
        </w:rPr>
        <w:t>(三)</w:t>
      </w:r>
      <w:r>
        <w:rPr>
          <w:rFonts w:hint="eastAsia"/>
          <w:b/>
          <w:bCs/>
        </w:rPr>
        <w:t>依</w:t>
      </w:r>
      <w:r w:rsidRPr="00F37108">
        <w:rPr>
          <w:rFonts w:hint="eastAsia"/>
          <w:b/>
          <w:bCs/>
        </w:rPr>
        <w:t>審計部近2年度「國營事業購建固定資產計畫完成後經濟效益之查核」，逾半尚未回收投資計畫未達預期年度目標值</w:t>
      </w:r>
    </w:p>
    <w:p w:rsidR="005B7137" w:rsidRDefault="005B7137" w:rsidP="007668ED">
      <w:pPr>
        <w:pStyle w:val="21"/>
        <w:ind w:left="850" w:firstLine="566"/>
      </w:pPr>
      <w:r>
        <w:rPr>
          <w:rFonts w:hint="eastAsia"/>
        </w:rPr>
        <w:t>彙整審計部112及113年度中央政府總決算審核報告「國營事業購建固定資產計畫完成後經濟效益之查核」所作調查情形(詳表3)，分別就90及94項已完成後尚未回收投資金額之計畫進行調查，投資規模分別達6,425.80億元及6,442.10億元，隨政府各項購建固定資產計畫陸續完工運轉，呈增加之趨勢；另除原規劃無法回收之政策性投資計畫(111及112年度分別為14項及13項)，112及113年度分別有46項(占比51.11%)及50項(占比53.19%)等尚未回收投資計畫未達預期年度目標值，占比逾半並呈增加趨勢，113年度甚有23項計畫已逾原訂投資回收年限。</w:t>
      </w:r>
    </w:p>
    <w:p w:rsidR="005B7137" w:rsidRDefault="005B7137" w:rsidP="007668ED">
      <w:pPr>
        <w:pStyle w:val="21"/>
        <w:ind w:left="850" w:firstLine="566"/>
      </w:pPr>
      <w:r>
        <w:rPr>
          <w:rFonts w:hint="eastAsia"/>
        </w:rPr>
        <w:t>比較113年度查核結果，以經濟部所屬國營事業合共40項未達預期目標最多，主要為台糖公司16項及台電公司17項，</w:t>
      </w:r>
      <w:r>
        <w:rPr>
          <w:rFonts w:hint="eastAsia"/>
        </w:rPr>
        <w:lastRenderedPageBreak/>
        <w:t>其中台糖公司並有10項已逾原訂投資回收年限。審計部已連續於112及113年度中央政府總決算審核報告提具審核意見略以：經濟部所屬國營事業重大購建固定資產計畫完成後經濟效益達成情形，攸關國家經濟發展與事業永續經營，惟逾半數完成後計畫效益未達預期目標，或已過回收年限仍無法收回投資成本，允宜積極督促研謀善策妥處，以發揮資金投資效益。</w:t>
      </w:r>
    </w:p>
    <w:p w:rsidR="005B7137" w:rsidRDefault="005B7137" w:rsidP="007668ED">
      <w:pPr>
        <w:pStyle w:val="21"/>
        <w:ind w:leftChars="25" w:left="851" w:hangingChars="275" w:hanging="780"/>
      </w:pPr>
      <w:r w:rsidRPr="00925F23">
        <w:rPr>
          <w:rFonts w:hint="eastAsia"/>
          <w:b/>
          <w:bCs/>
        </w:rPr>
        <w:t>表</w:t>
      </w:r>
      <w:r>
        <w:rPr>
          <w:rFonts w:hint="eastAsia"/>
          <w:b/>
          <w:bCs/>
        </w:rPr>
        <w:t>3</w:t>
      </w:r>
      <w:r w:rsidRPr="00925F23">
        <w:rPr>
          <w:rFonts w:hint="eastAsia"/>
          <w:b/>
          <w:bCs/>
        </w:rPr>
        <w:t xml:space="preserve">  近</w:t>
      </w:r>
      <w:r>
        <w:rPr>
          <w:rFonts w:hint="eastAsia"/>
          <w:b/>
          <w:bCs/>
        </w:rPr>
        <w:t>2</w:t>
      </w:r>
      <w:r w:rsidRPr="00925F23">
        <w:rPr>
          <w:rFonts w:hint="eastAsia"/>
          <w:b/>
          <w:bCs/>
        </w:rPr>
        <w:t>年度</w:t>
      </w:r>
      <w:r>
        <w:rPr>
          <w:rFonts w:hAnsi="標楷體" w:hint="eastAsia"/>
          <w:b/>
          <w:bCs/>
        </w:rPr>
        <w:t>「</w:t>
      </w:r>
      <w:r w:rsidRPr="00925F23">
        <w:rPr>
          <w:rFonts w:hint="eastAsia"/>
          <w:b/>
          <w:bCs/>
        </w:rPr>
        <w:t>審計部國營事業購建固定資產計畫完成後經濟效益之查核</w:t>
      </w:r>
      <w:r>
        <w:rPr>
          <w:rFonts w:hAnsi="標楷體" w:hint="eastAsia"/>
          <w:b/>
          <w:bCs/>
        </w:rPr>
        <w:t>」</w:t>
      </w:r>
      <w:r w:rsidRPr="00925F23">
        <w:rPr>
          <w:rFonts w:hint="eastAsia"/>
          <w:b/>
          <w:bCs/>
        </w:rPr>
        <w:t>概況表</w:t>
      </w:r>
      <w:r w:rsidRPr="00F37108">
        <w:rPr>
          <w:rFonts w:hint="eastAsia"/>
        </w:rPr>
        <w:t xml:space="preserve">  </w:t>
      </w:r>
      <w:r>
        <w:rPr>
          <w:rFonts w:hint="eastAsia"/>
        </w:rPr>
        <w:t xml:space="preserve">                </w:t>
      </w:r>
      <w:r w:rsidRPr="00925F23">
        <w:rPr>
          <w:rFonts w:hint="eastAsia"/>
          <w:sz w:val="24"/>
          <w:szCs w:val="24"/>
        </w:rPr>
        <w:t>單位：項數；新臺幣億元；%</w:t>
      </w:r>
    </w:p>
    <w:tbl>
      <w:tblPr>
        <w:tblW w:w="8482"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119"/>
        <w:gridCol w:w="504"/>
        <w:gridCol w:w="966"/>
        <w:gridCol w:w="602"/>
        <w:gridCol w:w="910"/>
        <w:gridCol w:w="490"/>
        <w:gridCol w:w="882"/>
        <w:gridCol w:w="643"/>
        <w:gridCol w:w="910"/>
        <w:gridCol w:w="588"/>
        <w:gridCol w:w="868"/>
      </w:tblGrid>
      <w:tr w:rsidR="005B7137" w:rsidRPr="00F37108" w:rsidTr="007668ED">
        <w:trPr>
          <w:tblHeader/>
        </w:trPr>
        <w:tc>
          <w:tcPr>
            <w:tcW w:w="1119" w:type="dxa"/>
            <w:vMerge w:val="restart"/>
            <w:tcBorders>
              <w:top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項目</w:t>
            </w:r>
          </w:p>
        </w:tc>
        <w:tc>
          <w:tcPr>
            <w:tcW w:w="2982" w:type="dxa"/>
            <w:gridSpan w:val="4"/>
            <w:tcBorders>
              <w:top w:val="single" w:sz="12" w:space="0" w:color="auto"/>
              <w:left w:val="single" w:sz="4" w:space="0" w:color="auto"/>
              <w:bottom w:val="single" w:sz="4" w:space="0" w:color="auto"/>
              <w:right w:val="double" w:sz="4" w:space="0" w:color="auto"/>
            </w:tcBorders>
            <w:shd w:val="clear" w:color="auto" w:fill="FFFFFF"/>
            <w:noWrap/>
            <w:vAlign w:val="center"/>
            <w:hideMark/>
          </w:tcPr>
          <w:p w:rsidR="005B7137" w:rsidRPr="00F37108" w:rsidRDefault="005B7137" w:rsidP="007668ED">
            <w:pPr>
              <w:pStyle w:val="142"/>
              <w:jc w:val="center"/>
              <w:rPr>
                <w:spacing w:val="-20"/>
              </w:rPr>
            </w:pPr>
            <w:r w:rsidRPr="00F37108">
              <w:rPr>
                <w:rFonts w:hint="eastAsia"/>
                <w:spacing w:val="-20"/>
              </w:rPr>
              <w:t>112年度</w:t>
            </w:r>
          </w:p>
        </w:tc>
        <w:tc>
          <w:tcPr>
            <w:tcW w:w="4381" w:type="dxa"/>
            <w:gridSpan w:val="6"/>
            <w:tcBorders>
              <w:top w:val="single" w:sz="12" w:space="0" w:color="auto"/>
              <w:left w:val="double" w:sz="4" w:space="0" w:color="auto"/>
              <w:bottom w:val="single" w:sz="4" w:space="0" w:color="auto"/>
              <w:right w:val="single" w:sz="12" w:space="0" w:color="auto"/>
            </w:tcBorders>
            <w:shd w:val="clear" w:color="auto" w:fill="FFFFFF"/>
            <w:vAlign w:val="center"/>
            <w:hideMark/>
          </w:tcPr>
          <w:p w:rsidR="005B7137" w:rsidRPr="00F37108" w:rsidRDefault="005B7137" w:rsidP="007668ED">
            <w:pPr>
              <w:pStyle w:val="142"/>
              <w:jc w:val="center"/>
              <w:rPr>
                <w:spacing w:val="-20"/>
              </w:rPr>
            </w:pPr>
            <w:r w:rsidRPr="00F37108">
              <w:rPr>
                <w:rFonts w:hint="eastAsia"/>
                <w:spacing w:val="-20"/>
              </w:rPr>
              <w:t>113年度</w:t>
            </w:r>
          </w:p>
        </w:tc>
      </w:tr>
      <w:tr w:rsidR="005B7137" w:rsidRPr="00F37108" w:rsidTr="007668ED">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p>
        </w:tc>
        <w:tc>
          <w:tcPr>
            <w:tcW w:w="147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rsidR="005B7137" w:rsidRPr="00F37108" w:rsidRDefault="005B7137" w:rsidP="007668ED">
            <w:pPr>
              <w:pStyle w:val="142"/>
              <w:jc w:val="center"/>
              <w:rPr>
                <w:spacing w:val="-20"/>
              </w:rPr>
            </w:pPr>
            <w:r w:rsidRPr="00F37108">
              <w:rPr>
                <w:rFonts w:hint="eastAsia"/>
                <w:spacing w:val="-20"/>
              </w:rPr>
              <w:t>完成後投資尚未回收總項數及投資金額</w:t>
            </w:r>
          </w:p>
        </w:tc>
        <w:tc>
          <w:tcPr>
            <w:tcW w:w="1512" w:type="dxa"/>
            <w:gridSpan w:val="2"/>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未達預期目標項數及投資金額</w:t>
            </w:r>
          </w:p>
        </w:tc>
        <w:tc>
          <w:tcPr>
            <w:tcW w:w="1372" w:type="dxa"/>
            <w:gridSpan w:val="2"/>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完成後投資尚未回收總項數及投資金額</w:t>
            </w:r>
          </w:p>
        </w:tc>
        <w:tc>
          <w:tcPr>
            <w:tcW w:w="15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bookmarkStart w:id="6" w:name="_Hlk200119776"/>
            <w:r w:rsidRPr="00F37108">
              <w:rPr>
                <w:rFonts w:hint="eastAsia"/>
                <w:spacing w:val="-20"/>
              </w:rPr>
              <w:t>未達預期目標計</w:t>
            </w:r>
            <w:bookmarkEnd w:id="6"/>
            <w:r w:rsidRPr="00F37108">
              <w:rPr>
                <w:rFonts w:hint="eastAsia"/>
                <w:spacing w:val="-20"/>
              </w:rPr>
              <w:t>項數及投資金額</w:t>
            </w:r>
          </w:p>
        </w:tc>
        <w:tc>
          <w:tcPr>
            <w:tcW w:w="1456" w:type="dxa"/>
            <w:gridSpan w:val="2"/>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center"/>
              <w:rPr>
                <w:spacing w:val="-20"/>
              </w:rPr>
            </w:pPr>
            <w:r w:rsidRPr="00F37108">
              <w:rPr>
                <w:rFonts w:hint="eastAsia"/>
                <w:spacing w:val="-20"/>
              </w:rPr>
              <w:t>未達預期目標</w:t>
            </w:r>
          </w:p>
          <w:p w:rsidR="005B7137" w:rsidRPr="00F37108" w:rsidRDefault="005B7137" w:rsidP="007668ED">
            <w:pPr>
              <w:pStyle w:val="142"/>
              <w:jc w:val="center"/>
              <w:rPr>
                <w:spacing w:val="-20"/>
              </w:rPr>
            </w:pPr>
            <w:r w:rsidRPr="00F37108">
              <w:rPr>
                <w:rFonts w:hint="eastAsia"/>
                <w:spacing w:val="-20"/>
              </w:rPr>
              <w:t>且已逾回收年限項數及投資金額</w:t>
            </w:r>
          </w:p>
        </w:tc>
      </w:tr>
      <w:tr w:rsidR="005B7137" w:rsidRPr="00F37108" w:rsidTr="007668ED">
        <w:trPr>
          <w:tblHeader/>
        </w:trPr>
        <w:tc>
          <w:tcPr>
            <w:tcW w:w="1119" w:type="dxa"/>
            <w:vMerge/>
            <w:tcBorders>
              <w:top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p>
        </w:tc>
        <w:tc>
          <w:tcPr>
            <w:tcW w:w="504"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B7137" w:rsidRPr="00F37108" w:rsidRDefault="005B7137" w:rsidP="007668ED">
            <w:pPr>
              <w:pStyle w:val="142"/>
              <w:jc w:val="center"/>
              <w:rPr>
                <w:spacing w:val="-20"/>
              </w:rPr>
            </w:pPr>
            <w:r w:rsidRPr="00F37108">
              <w:rPr>
                <w:rFonts w:hint="eastAsia"/>
                <w:spacing w:val="-20"/>
              </w:rPr>
              <w:t>項數</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c>
          <w:tcPr>
            <w:tcW w:w="588"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項數</w:t>
            </w:r>
          </w:p>
        </w:tc>
        <w:tc>
          <w:tcPr>
            <w:tcW w:w="868" w:type="dxa"/>
            <w:tcBorders>
              <w:top w:val="single" w:sz="4" w:space="0" w:color="auto"/>
              <w:left w:val="single" w:sz="4" w:space="0" w:color="auto"/>
              <w:bottom w:val="single" w:sz="4" w:space="0" w:color="auto"/>
              <w:right w:val="single" w:sz="12" w:space="0" w:color="auto"/>
            </w:tcBorders>
            <w:shd w:val="clear" w:color="auto" w:fill="FFFFFF"/>
            <w:vAlign w:val="center"/>
          </w:tcPr>
          <w:p w:rsidR="005B7137" w:rsidRPr="00F37108" w:rsidRDefault="005B7137" w:rsidP="007668ED">
            <w:pPr>
              <w:pStyle w:val="142"/>
              <w:jc w:val="center"/>
              <w:rPr>
                <w:spacing w:val="-20"/>
              </w:rPr>
            </w:pPr>
            <w:r w:rsidRPr="00F37108">
              <w:rPr>
                <w:rFonts w:hint="eastAsia"/>
                <w:spacing w:val="-20"/>
              </w:rPr>
              <w:t>投資金額</w:t>
            </w:r>
          </w:p>
        </w:tc>
      </w:tr>
      <w:tr w:rsidR="005B7137" w:rsidRPr="00F37108" w:rsidTr="007668ED">
        <w:tc>
          <w:tcPr>
            <w:tcW w:w="1119" w:type="dxa"/>
            <w:tcBorders>
              <w:top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bookmarkStart w:id="7" w:name="_Hlk199928774"/>
            <w:r w:rsidRPr="00CD3791">
              <w:rPr>
                <w:rFonts w:hint="eastAsia"/>
                <w:b/>
                <w:bCs/>
                <w:spacing w:val="-20"/>
              </w:rPr>
              <w:t>合計</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90</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6</w:t>
            </w:r>
            <w:r w:rsidRPr="00CD3791">
              <w:rPr>
                <w:b/>
                <w:bCs/>
                <w:spacing w:val="-20"/>
              </w:rPr>
              <w:t>,</w:t>
            </w:r>
            <w:r w:rsidRPr="00CD3791">
              <w:rPr>
                <w:rFonts w:hint="eastAsia"/>
                <w:b/>
                <w:bCs/>
                <w:spacing w:val="-20"/>
              </w:rPr>
              <w:t>425.80</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46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w:t>
            </w:r>
            <w:r w:rsidRPr="00CD3791">
              <w:rPr>
                <w:rFonts w:hint="eastAsia"/>
                <w:b/>
                <w:bCs/>
                <w:spacing w:val="-20"/>
              </w:rPr>
              <w:t>500</w:t>
            </w:r>
            <w:r w:rsidRPr="00CD3791">
              <w:rPr>
                <w:b/>
                <w:bCs/>
                <w:spacing w:val="-20"/>
              </w:rPr>
              <w:t>.</w:t>
            </w:r>
            <w:r w:rsidRPr="00CD3791">
              <w:rPr>
                <w:rFonts w:hint="eastAsia"/>
                <w:b/>
                <w:bCs/>
                <w:spacing w:val="-20"/>
              </w:rPr>
              <w:t>55</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94</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6</w:t>
            </w:r>
            <w:r w:rsidRPr="00CD3791">
              <w:rPr>
                <w:b/>
                <w:bCs/>
                <w:spacing w:val="-20"/>
              </w:rPr>
              <w:t>,</w:t>
            </w:r>
            <w:r w:rsidRPr="00CD3791">
              <w:rPr>
                <w:rFonts w:hint="eastAsia"/>
                <w:b/>
                <w:bCs/>
                <w:spacing w:val="-20"/>
              </w:rPr>
              <w:t>442.10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0</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,020.90</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3</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b/>
                <w:bCs/>
                <w:spacing w:val="-20"/>
              </w:rPr>
              <w:t>672.65</w:t>
            </w:r>
          </w:p>
        </w:tc>
      </w:tr>
      <w:bookmarkEnd w:id="7"/>
      <w:tr w:rsidR="005B7137" w:rsidRPr="00F37108" w:rsidTr="007668ED">
        <w:tc>
          <w:tcPr>
            <w:tcW w:w="1119" w:type="dxa"/>
            <w:tcBorders>
              <w:top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占比(%)</w:t>
            </w:r>
          </w:p>
        </w:tc>
        <w:tc>
          <w:tcPr>
            <w:tcW w:w="14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100.00</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51.11</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23.35</w:t>
            </w:r>
          </w:p>
        </w:tc>
        <w:tc>
          <w:tcPr>
            <w:tcW w:w="1372" w:type="dxa"/>
            <w:gridSpan w:val="2"/>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100.00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3.19</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3</w:t>
            </w:r>
            <w:r w:rsidRPr="00CD3791">
              <w:rPr>
                <w:b/>
                <w:bCs/>
                <w:spacing w:val="-20"/>
              </w:rPr>
              <w:t>1.37</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4.46</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0.44</w:t>
            </w:r>
          </w:p>
        </w:tc>
      </w:tr>
      <w:tr w:rsidR="005B7137" w:rsidRPr="00CD3791"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經濟部主管</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67</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w:t>
            </w:r>
            <w:r w:rsidRPr="00CD3791">
              <w:rPr>
                <w:rFonts w:hint="eastAsia"/>
                <w:b/>
                <w:bCs/>
                <w:spacing w:val="-20"/>
              </w:rPr>
              <w:t>878.42</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3</w:t>
            </w:r>
            <w:r w:rsidRPr="00CD3791">
              <w:rPr>
                <w:b/>
                <w:bCs/>
                <w:spacing w:val="-20"/>
              </w:rPr>
              <w:t>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,354.30</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71</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5,896.90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4</w:t>
            </w:r>
            <w:r w:rsidRPr="00CD3791">
              <w:rPr>
                <w:b/>
                <w:bCs/>
                <w:spacing w:val="-20"/>
              </w:rPr>
              <w:t>0</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,854.16</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8</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65.97</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1.台糖公司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19</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107.16</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5</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9</w:t>
            </w:r>
            <w:r w:rsidRPr="00F37108">
              <w:rPr>
                <w:spacing w:val="-20"/>
              </w:rPr>
              <w:t>6.56</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r w:rsidRPr="00F37108">
              <w:rPr>
                <w:spacing w:val="-20"/>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19.33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16</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00.54</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7</w:t>
            </w:r>
            <w:r w:rsidRPr="00F37108">
              <w:rPr>
                <w:spacing w:val="-20"/>
              </w:rPr>
              <w:t>1.26</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2.中油公司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10</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spacing w:val="-20"/>
              </w:rPr>
              <w:t>569</w:t>
            </w:r>
            <w:r w:rsidRPr="00F37108">
              <w:rPr>
                <w:rFonts w:hint="eastAsia"/>
                <w:spacing w:val="-20"/>
              </w:rPr>
              <w:t>.</w:t>
            </w:r>
            <w:r w:rsidRPr="00F37108">
              <w:rPr>
                <w:spacing w:val="-20"/>
              </w:rPr>
              <w:t>33</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6</w:t>
            </w:r>
            <w:r w:rsidRPr="00F37108">
              <w:rPr>
                <w:spacing w:val="-20"/>
              </w:rPr>
              <w:t>8.84</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r w:rsidRPr="00F37108">
              <w:rPr>
                <w:spacing w:val="-20"/>
              </w:rPr>
              <w:t>69.33</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r w:rsidRPr="00F37108">
              <w:rPr>
                <w:spacing w:val="-20"/>
              </w:rPr>
              <w:t>88.80</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r w:rsidRPr="00F37108">
              <w:rPr>
                <w:spacing w:val="-20"/>
              </w:rPr>
              <w:t>8.00</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3.台電公司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33</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5,150.49</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,173.10</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r w:rsidRPr="00F37108">
              <w:rPr>
                <w:spacing w:val="-20"/>
              </w:rPr>
              <w:t>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r w:rsidRPr="00F37108">
              <w:rPr>
                <w:spacing w:val="-20"/>
              </w:rPr>
              <w:t>,158.92</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17</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,249.01</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4</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4</w:t>
            </w:r>
            <w:r w:rsidRPr="00F37108">
              <w:rPr>
                <w:spacing w:val="-20"/>
              </w:rPr>
              <w:t>50.92</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4.台水公司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5</w:t>
            </w:r>
            <w:r w:rsidRPr="00F37108">
              <w:rPr>
                <w:spacing w:val="-20"/>
              </w:rPr>
              <w:t>1.42</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5.79</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r w:rsidRPr="00F37108">
              <w:rPr>
                <w:spacing w:val="-20"/>
              </w:rPr>
              <w:t>9.30</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5.79</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1</w:t>
            </w:r>
            <w:r w:rsidRPr="00F37108">
              <w:rPr>
                <w:spacing w:val="-20"/>
              </w:rPr>
              <w:t>5.79</w:t>
            </w:r>
          </w:p>
        </w:tc>
      </w:tr>
      <w:tr w:rsidR="005B7137" w:rsidRPr="00CD3791"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財政部主管</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.24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.24</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b/>
                <w:bCs/>
                <w:spacing w:val="-20"/>
              </w:rPr>
              <w:t>1.24</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.24</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1.菸酒公司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spacing w:val="-20"/>
              </w:rPr>
              <w:t>1.24</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.24</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r>
      <w:tr w:rsidR="005B7137" w:rsidRPr="00CD3791"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CD3791" w:rsidRDefault="005B7137" w:rsidP="007668ED">
            <w:pPr>
              <w:pStyle w:val="142"/>
              <w:rPr>
                <w:b/>
                <w:bCs/>
                <w:spacing w:val="-20"/>
              </w:rPr>
            </w:pPr>
            <w:r w:rsidRPr="00CD3791">
              <w:rPr>
                <w:rFonts w:hint="eastAsia"/>
                <w:b/>
                <w:bCs/>
                <w:spacing w:val="-20"/>
              </w:rPr>
              <w:t>交通部主管</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2</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46.14</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45.00</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2</w:t>
            </w:r>
            <w:r w:rsidRPr="00CD3791">
              <w:rPr>
                <w:b/>
                <w:bCs/>
                <w:spacing w:val="-20"/>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5</w:t>
            </w:r>
            <w:r w:rsidRPr="00CD3791">
              <w:rPr>
                <w:b/>
                <w:bCs/>
                <w:spacing w:val="-20"/>
              </w:rPr>
              <w:t>43.96</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9</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65.49</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5</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CD3791" w:rsidRDefault="005B7137" w:rsidP="007668ED">
            <w:pPr>
              <w:pStyle w:val="142"/>
              <w:jc w:val="right"/>
              <w:rPr>
                <w:b/>
                <w:bCs/>
                <w:spacing w:val="-20"/>
              </w:rPr>
            </w:pPr>
            <w:r w:rsidRPr="00CD3791">
              <w:rPr>
                <w:rFonts w:hint="eastAsia"/>
                <w:b/>
                <w:bCs/>
                <w:spacing w:val="-20"/>
              </w:rPr>
              <w:t>1</w:t>
            </w:r>
            <w:r w:rsidRPr="00CD3791">
              <w:rPr>
                <w:b/>
                <w:bCs/>
                <w:spacing w:val="-20"/>
              </w:rPr>
              <w:t>06.68</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1.中華郵政</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8</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r w:rsidRPr="00F37108">
              <w:rPr>
                <w:spacing w:val="-20"/>
              </w:rPr>
              <w:t>76.95</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28.92</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8</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2</w:t>
            </w:r>
            <w:r w:rsidRPr="00F37108">
              <w:rPr>
                <w:spacing w:val="-20"/>
              </w:rPr>
              <w:t>76.95</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28.92</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2</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9</w:t>
            </w:r>
            <w:r w:rsidRPr="00F37108">
              <w:rPr>
                <w:spacing w:val="-20"/>
              </w:rPr>
              <w:t>9.13</w:t>
            </w:r>
          </w:p>
        </w:tc>
      </w:tr>
      <w:tr w:rsidR="005B7137" w:rsidRPr="00F37108" w:rsidTr="007668ED">
        <w:tc>
          <w:tcPr>
            <w:tcW w:w="1119" w:type="dxa"/>
            <w:tcBorders>
              <w:top w:val="single" w:sz="4" w:space="0" w:color="auto"/>
              <w:left w:val="single" w:sz="12" w:space="0" w:color="auto"/>
              <w:bottom w:val="single" w:sz="4"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2.港務公司</w:t>
            </w:r>
          </w:p>
        </w:tc>
        <w:tc>
          <w:tcPr>
            <w:tcW w:w="504"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966"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9</w:t>
            </w:r>
            <w:r w:rsidRPr="00F37108">
              <w:rPr>
                <w:spacing w:val="-20"/>
              </w:rPr>
              <w:t>5.98</w:t>
            </w:r>
          </w:p>
        </w:tc>
        <w:tc>
          <w:tcPr>
            <w:tcW w:w="60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6</w:t>
            </w:r>
          </w:p>
        </w:tc>
        <w:tc>
          <w:tcPr>
            <w:tcW w:w="910" w:type="dxa"/>
            <w:tcBorders>
              <w:top w:val="single" w:sz="4" w:space="0" w:color="auto"/>
              <w:left w:val="single" w:sz="4" w:space="0" w:color="auto"/>
              <w:bottom w:val="single" w:sz="4"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6.07</w:t>
            </w:r>
          </w:p>
        </w:tc>
        <w:tc>
          <w:tcPr>
            <w:tcW w:w="490" w:type="dxa"/>
            <w:tcBorders>
              <w:top w:val="single" w:sz="4" w:space="0" w:color="auto"/>
              <w:left w:val="doub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0</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9</w:t>
            </w:r>
            <w:r w:rsidRPr="00F37108">
              <w:rPr>
                <w:spacing w:val="-20"/>
              </w:rPr>
              <w:t>5.98</w:t>
            </w:r>
          </w:p>
        </w:tc>
        <w:tc>
          <w:tcPr>
            <w:tcW w:w="643"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6</w:t>
            </w:r>
          </w:p>
        </w:tc>
        <w:tc>
          <w:tcPr>
            <w:tcW w:w="910" w:type="dxa"/>
            <w:tcBorders>
              <w:top w:val="single" w:sz="4" w:space="0" w:color="auto"/>
              <w:left w:val="single" w:sz="4" w:space="0" w:color="auto"/>
              <w:bottom w:val="single" w:sz="4"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3</w:t>
            </w:r>
            <w:r w:rsidRPr="00F37108">
              <w:rPr>
                <w:spacing w:val="-20"/>
              </w:rPr>
              <w:t>6.57</w:t>
            </w:r>
          </w:p>
        </w:tc>
        <w:tc>
          <w:tcPr>
            <w:tcW w:w="588" w:type="dxa"/>
            <w:tcBorders>
              <w:top w:val="single" w:sz="4" w:space="0" w:color="auto"/>
              <w:left w:val="single" w:sz="4" w:space="0" w:color="auto"/>
              <w:bottom w:val="single" w:sz="4"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3</w:t>
            </w:r>
          </w:p>
        </w:tc>
        <w:tc>
          <w:tcPr>
            <w:tcW w:w="868" w:type="dxa"/>
            <w:tcBorders>
              <w:top w:val="single" w:sz="4" w:space="0" w:color="auto"/>
              <w:left w:val="single" w:sz="4" w:space="0" w:color="auto"/>
              <w:bottom w:val="single" w:sz="4"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7</w:t>
            </w:r>
            <w:r w:rsidRPr="00F37108">
              <w:rPr>
                <w:spacing w:val="-20"/>
              </w:rPr>
              <w:t>.55</w:t>
            </w:r>
          </w:p>
        </w:tc>
      </w:tr>
      <w:tr w:rsidR="005B7137" w:rsidRPr="00F37108" w:rsidTr="007668ED">
        <w:tc>
          <w:tcPr>
            <w:tcW w:w="1119" w:type="dxa"/>
            <w:tcBorders>
              <w:top w:val="single" w:sz="4" w:space="0" w:color="auto"/>
              <w:left w:val="single" w:sz="12" w:space="0" w:color="auto"/>
              <w:bottom w:val="single" w:sz="12" w:space="0" w:color="auto"/>
              <w:right w:val="single" w:sz="4" w:space="0" w:color="auto"/>
            </w:tcBorders>
            <w:shd w:val="clear" w:color="auto" w:fill="FFFFFF"/>
            <w:vAlign w:val="center"/>
          </w:tcPr>
          <w:p w:rsidR="005B7137" w:rsidRPr="00F37108" w:rsidRDefault="005B7137" w:rsidP="007668ED">
            <w:pPr>
              <w:pStyle w:val="142"/>
              <w:rPr>
                <w:spacing w:val="-20"/>
              </w:rPr>
            </w:pPr>
            <w:r w:rsidRPr="00F37108">
              <w:rPr>
                <w:rFonts w:hint="eastAsia"/>
                <w:spacing w:val="-20"/>
              </w:rPr>
              <w:t>3.桃機公司</w:t>
            </w:r>
          </w:p>
        </w:tc>
        <w:tc>
          <w:tcPr>
            <w:tcW w:w="504"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p>
        </w:tc>
        <w:tc>
          <w:tcPr>
            <w:tcW w:w="966"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73.20</w:t>
            </w:r>
          </w:p>
        </w:tc>
        <w:tc>
          <w:tcPr>
            <w:tcW w:w="602"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w:t>
            </w:r>
          </w:p>
        </w:tc>
        <w:tc>
          <w:tcPr>
            <w:tcW w:w="910" w:type="dxa"/>
            <w:tcBorders>
              <w:top w:val="single" w:sz="4" w:space="0" w:color="auto"/>
              <w:left w:val="single" w:sz="4" w:space="0" w:color="auto"/>
              <w:bottom w:val="single" w:sz="12" w:space="0" w:color="auto"/>
              <w:right w:val="doub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w:t>
            </w:r>
          </w:p>
        </w:tc>
        <w:tc>
          <w:tcPr>
            <w:tcW w:w="490" w:type="dxa"/>
            <w:tcBorders>
              <w:top w:val="single" w:sz="4" w:space="0" w:color="auto"/>
              <w:left w:val="doub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4</w:t>
            </w:r>
          </w:p>
        </w:tc>
        <w:tc>
          <w:tcPr>
            <w:tcW w:w="882"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1</w:t>
            </w:r>
            <w:r w:rsidRPr="00F37108">
              <w:rPr>
                <w:spacing w:val="-20"/>
              </w:rPr>
              <w:t>71.03</w:t>
            </w:r>
          </w:p>
        </w:tc>
        <w:tc>
          <w:tcPr>
            <w:tcW w:w="643"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rFonts w:hint="eastAsia"/>
                <w:spacing w:val="-20"/>
              </w:rPr>
              <w:t>-</w:t>
            </w:r>
          </w:p>
        </w:tc>
        <w:tc>
          <w:tcPr>
            <w:tcW w:w="910" w:type="dxa"/>
            <w:tcBorders>
              <w:top w:val="single" w:sz="4" w:space="0" w:color="auto"/>
              <w:left w:val="single" w:sz="4" w:space="0" w:color="auto"/>
              <w:bottom w:val="single" w:sz="12" w:space="0" w:color="auto"/>
              <w:right w:val="single" w:sz="4" w:space="0" w:color="auto"/>
            </w:tcBorders>
            <w:shd w:val="clear" w:color="auto" w:fill="FFFFFF"/>
            <w:vAlign w:val="center"/>
          </w:tcPr>
          <w:p w:rsidR="005B7137" w:rsidRPr="00F37108" w:rsidRDefault="005B7137" w:rsidP="007668ED">
            <w:pPr>
              <w:pStyle w:val="142"/>
              <w:jc w:val="right"/>
              <w:rPr>
                <w:spacing w:val="-20"/>
              </w:rPr>
            </w:pPr>
            <w:r w:rsidRPr="00F37108">
              <w:rPr>
                <w:spacing w:val="-20"/>
              </w:rPr>
              <w:t>-</w:t>
            </w:r>
          </w:p>
        </w:tc>
        <w:tc>
          <w:tcPr>
            <w:tcW w:w="588" w:type="dxa"/>
            <w:tcBorders>
              <w:top w:val="single" w:sz="4" w:space="0" w:color="auto"/>
              <w:left w:val="single" w:sz="4" w:space="0" w:color="auto"/>
              <w:bottom w:val="single" w:sz="12" w:space="0" w:color="auto"/>
              <w:right w:val="single" w:sz="4"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c>
          <w:tcPr>
            <w:tcW w:w="868" w:type="dxa"/>
            <w:tcBorders>
              <w:top w:val="single" w:sz="4" w:space="0" w:color="auto"/>
              <w:left w:val="single" w:sz="4" w:space="0" w:color="auto"/>
              <w:bottom w:val="single" w:sz="12" w:space="0" w:color="auto"/>
              <w:right w:val="single" w:sz="12" w:space="0" w:color="auto"/>
            </w:tcBorders>
            <w:shd w:val="clear" w:color="auto" w:fill="FFFFFF"/>
          </w:tcPr>
          <w:p w:rsidR="005B7137" w:rsidRPr="00F37108" w:rsidRDefault="005B7137" w:rsidP="007668ED">
            <w:pPr>
              <w:pStyle w:val="142"/>
              <w:jc w:val="right"/>
              <w:rPr>
                <w:spacing w:val="-20"/>
              </w:rPr>
            </w:pPr>
            <w:r w:rsidRPr="00F37108">
              <w:rPr>
                <w:rFonts w:hint="eastAsia"/>
                <w:spacing w:val="-20"/>
              </w:rPr>
              <w:t>-</w:t>
            </w:r>
          </w:p>
        </w:tc>
      </w:tr>
    </w:tbl>
    <w:p w:rsidR="005B7137" w:rsidRDefault="005B7137" w:rsidP="007668ED">
      <w:pPr>
        <w:pStyle w:val="142"/>
        <w:ind w:leftChars="-19" w:left="1094" w:hangingChars="472" w:hanging="1148"/>
      </w:pPr>
      <w:r>
        <w:rPr>
          <w:rFonts w:hint="eastAsia"/>
        </w:rPr>
        <w:t>說    明：112年度調查之90項包含：110年度以前完成(加入營運)而至111年度止尚未回收投資計80項及112年度新增營運考核者10項；113年度調查之94項包含：111年度以前完成(加入營運)而至112年度止尚未回收投資計90項及113年度新增營運考核者4項；</w:t>
      </w:r>
    </w:p>
    <w:p w:rsidR="005B7137" w:rsidRDefault="005B7137" w:rsidP="007668ED">
      <w:pPr>
        <w:pStyle w:val="142"/>
        <w:ind w:leftChars="-19" w:left="1094" w:hangingChars="472" w:hanging="1148"/>
      </w:pPr>
      <w:r>
        <w:rPr>
          <w:rFonts w:hint="eastAsia"/>
        </w:rPr>
        <w:t>資料來源：審計部112及113年度中央政府總決算附屬單位決算及綜計表審核報告(營業部分)「國營事業購建固定資產計畫完成後經濟效益之查核」。</w:t>
      </w:r>
    </w:p>
    <w:p w:rsidR="005B7137" w:rsidRPr="00F37108" w:rsidRDefault="005B7137" w:rsidP="007668ED">
      <w:pPr>
        <w:pStyle w:val="a5"/>
        <w:ind w:left="849" w:hanging="283"/>
        <w:rPr>
          <w:b/>
          <w:bCs/>
        </w:rPr>
      </w:pPr>
      <w:r w:rsidRPr="00F37108">
        <w:rPr>
          <w:rFonts w:hint="eastAsia"/>
          <w:b/>
          <w:bCs/>
        </w:rPr>
        <w:t>(</w:t>
      </w:r>
      <w:r>
        <w:rPr>
          <w:rFonts w:hint="eastAsia"/>
          <w:b/>
          <w:bCs/>
        </w:rPr>
        <w:t>四</w:t>
      </w:r>
      <w:r w:rsidRPr="00F37108">
        <w:rPr>
          <w:rFonts w:hint="eastAsia"/>
          <w:b/>
          <w:bCs/>
        </w:rPr>
        <w:t>)為提高國營事業之經營績效，允宜檢討加強國營事業重大購建固定資產建設計畫完工後運用成效之追蹤控管，並定期對外資訊揭露</w:t>
      </w:r>
    </w:p>
    <w:p w:rsidR="005B7137" w:rsidRDefault="005B7137" w:rsidP="007668ED">
      <w:pPr>
        <w:pStyle w:val="21"/>
        <w:ind w:left="850" w:firstLine="566"/>
      </w:pPr>
      <w:r>
        <w:rPr>
          <w:rFonts w:hint="eastAsia"/>
        </w:rPr>
        <w:t>詢據經濟部及交通部所屬國營事業對於已完成之購建固定資產計畫，後續相關預期目標達成之控管追蹤作業，多表示依</w:t>
      </w:r>
      <w:r>
        <w:rPr>
          <w:rFonts w:hint="eastAsia"/>
        </w:rPr>
        <w:lastRenderedPageBreak/>
        <w:t>內部控制規定，定期辦理差異原因分析提出改善報告，並依「附屬單位預算執行要點」第38點規定</w:t>
      </w:r>
      <w:r>
        <w:rPr>
          <w:rStyle w:val="af4"/>
        </w:rPr>
        <w:footnoteReference w:id="1"/>
      </w:r>
      <w:r>
        <w:rPr>
          <w:rFonts w:hint="eastAsia"/>
        </w:rPr>
        <w:t>略以</w:t>
      </w:r>
      <w:r>
        <w:rPr>
          <w:rFonts w:hAnsi="標楷體" w:hint="eastAsia"/>
        </w:rPr>
        <w:t>，</w:t>
      </w:r>
      <w:r>
        <w:rPr>
          <w:rFonts w:hint="eastAsia"/>
        </w:rPr>
        <w:t>對以往年度完成且未達成原訂效益目標之專案計畫購建固定資產，檢討其產能利用與實際效益情形，並與原定目標比較分析差異原因及提出改進措施，提報所屬主管機關</w:t>
      </w:r>
      <w:r>
        <w:rPr>
          <w:rFonts w:hAnsi="標楷體" w:hint="eastAsia"/>
        </w:rPr>
        <w:t>。</w:t>
      </w:r>
      <w:r>
        <w:rPr>
          <w:rFonts w:hint="eastAsia"/>
        </w:rPr>
        <w:t>鑑於近年國營事業購建固定資產計畫金額龐鉅，允宜檢討加強計畫完成後運用成效之追蹤，並研謀建立定期對外資訊公開機制，以利外界監督，對於久未達成預期目標之計畫亦應評估多元化運用之可能性，俾以提高國營事業購建固定資產之投資效益。</w:t>
      </w:r>
    </w:p>
    <w:p w:rsidR="005B7137" w:rsidRDefault="005B7137" w:rsidP="007668ED">
      <w:pPr>
        <w:ind w:left="566" w:firstLine="566"/>
      </w:pPr>
      <w:r>
        <w:rPr>
          <w:rFonts w:hint="eastAsia"/>
        </w:rPr>
        <w:t>綜上，隨近年國營事業購建固定資產計畫增加，113年底國營事業「不動產、廠房及設備」已達4兆2,800.33億元，惟部分事業資產運用效益卻呈下降，且依審計部近2年度</w:t>
      </w:r>
      <w:r>
        <w:rPr>
          <w:rFonts w:hAnsi="標楷體" w:hint="eastAsia"/>
        </w:rPr>
        <w:t>「</w:t>
      </w:r>
      <w:r>
        <w:rPr>
          <w:rFonts w:hint="eastAsia"/>
        </w:rPr>
        <w:t>國營事業購建固定資產計畫完成後經濟效益之查核</w:t>
      </w:r>
      <w:r>
        <w:rPr>
          <w:rFonts w:hAnsi="標楷體" w:hint="eastAsia"/>
        </w:rPr>
        <w:t>」</w:t>
      </w:r>
      <w:r>
        <w:rPr>
          <w:rFonts w:hint="eastAsia"/>
        </w:rPr>
        <w:t>，逾半尚未回收投資計畫未達預期年度目標值，各國營事業對固定資產購建計畫完成後預期目標達成度之追蹤及相關運用效益之改善提升等，亟待重視並強化控管，俾以提高國營事業資本支出之投資績效。</w:t>
      </w:r>
    </w:p>
    <w:p w:rsidR="005B7137" w:rsidRPr="0036079D" w:rsidRDefault="005B7137" w:rsidP="007668ED">
      <w:pPr>
        <w:pStyle w:val="ab"/>
      </w:pPr>
      <w:r>
        <w:rPr>
          <w:rFonts w:hint="eastAsia"/>
        </w:rPr>
        <w:t>（分機：1928 施岑佩）</w:t>
      </w:r>
    </w:p>
    <w:sectPr w:rsidR="005B7137" w:rsidRPr="0036079D"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9F6770">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5B7137" w:rsidRPr="00F15EEC" w:rsidRDefault="005B7137" w:rsidP="007668ED">
      <w:pPr>
        <w:pStyle w:val="142"/>
        <w:ind w:left="139" w:hangingChars="57" w:hanging="139"/>
        <w:jc w:val="both"/>
      </w:pPr>
      <w:r>
        <w:rPr>
          <w:rStyle w:val="af4"/>
        </w:rPr>
        <w:footnoteRef/>
      </w:r>
      <w:r w:rsidRPr="00F15EEC">
        <w:rPr>
          <w:rFonts w:hint="eastAsia"/>
        </w:rPr>
        <w:t>「附屬單位預算執行要點」第38點規定：「業權基金每年應對以往年度完成且未達成原訂效益目標之專案計畫購建固定資產，檢討其產能利用與實際效益情形，並與原定目標比較分析差異原因及提出改進措施，於年度終了後3個月內陳報主管機關依其所屬分別核轉主計機關（單位）、該管審計機關及財政機關（單位）備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9F6770"/>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4E4BC77-F140-4A12-ACC2-3F3E98977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0BA88-4283-4A5F-992C-AFB0353D1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741</Words>
  <Characters>4230</Characters>
  <Application>Microsoft Office Word</Application>
  <DocSecurity>0</DocSecurity>
  <Lines>35</Lines>
  <Paragraphs>9</Paragraphs>
  <ScaleCrop>false</ScaleCrop>
  <Company>HOME</Company>
  <LinksUpToDate>false</LinksUpToDate>
  <CharactersWithSpaces>4962</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