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5B7137" w:rsidRPr="00E04F94" w:rsidRDefault="005B7137" w:rsidP="007668ED">
      <w:pPr>
        <w:pStyle w:val="14"/>
        <w:ind w:left="567" w:hanging="567"/>
      </w:pPr>
      <w:bookmarkStart w:id="2" w:name="_Toc174349444"/>
      <w:bookmarkStart w:id="3" w:name="_Toc208942798"/>
      <w:bookmarkEnd w:id="0"/>
      <w:r>
        <w:rPr>
          <w:rFonts w:hint="eastAsia"/>
        </w:rPr>
        <w:t>二四</w:t>
      </w:r>
      <w:r w:rsidRPr="00E04F94">
        <w:rPr>
          <w:rFonts w:hint="eastAsia"/>
        </w:rPr>
        <w:t>、</w:t>
      </w:r>
      <w:bookmarkEnd w:id="2"/>
      <w:r w:rsidRPr="00C57DFE">
        <w:rPr>
          <w:rFonts w:hint="eastAsia"/>
        </w:rPr>
        <w:t>近年公股銀行</w:t>
      </w:r>
      <w:r>
        <w:rPr>
          <w:rFonts w:hint="eastAsia"/>
        </w:rPr>
        <w:t>之財富管理業務資產管理規模增幅低於民營銀行，且</w:t>
      </w:r>
      <w:r w:rsidRPr="00C57DFE">
        <w:rPr>
          <w:rFonts w:hint="eastAsia"/>
        </w:rPr>
        <w:t>手續費淨收益對獲利</w:t>
      </w:r>
      <w:r>
        <w:rPr>
          <w:rFonts w:hint="eastAsia"/>
        </w:rPr>
        <w:t>之</w:t>
      </w:r>
      <w:r w:rsidRPr="00C57DFE">
        <w:rPr>
          <w:rFonts w:hint="eastAsia"/>
        </w:rPr>
        <w:t>貢獻度亦</w:t>
      </w:r>
      <w:r>
        <w:rPr>
          <w:rFonts w:hint="eastAsia"/>
        </w:rPr>
        <w:t>相對較低，並有理專、行員挪用款項之情事，允宜持續精進，俾提升</w:t>
      </w:r>
      <w:r w:rsidRPr="00C57DFE">
        <w:rPr>
          <w:rFonts w:hint="eastAsia"/>
        </w:rPr>
        <w:t>競爭力</w:t>
      </w:r>
      <w:bookmarkEnd w:id="3"/>
    </w:p>
    <w:p w:rsidR="005B7137" w:rsidRDefault="005B7137" w:rsidP="007668ED">
      <w:pPr>
        <w:ind w:left="566" w:firstLine="566"/>
      </w:pPr>
      <w:r>
        <w:rPr>
          <w:rFonts w:hint="eastAsia"/>
        </w:rPr>
        <w:t>公股銀行</w:t>
      </w:r>
      <w:r w:rsidRPr="009467D9">
        <w:rPr>
          <w:rFonts w:hint="eastAsia"/>
        </w:rPr>
        <w:t>近年</w:t>
      </w:r>
      <w:r>
        <w:rPr>
          <w:rFonts w:hint="eastAsia"/>
        </w:rPr>
        <w:t>積極</w:t>
      </w:r>
      <w:r w:rsidRPr="006A5218">
        <w:t>提升金融</w:t>
      </w:r>
      <w:r>
        <w:rPr>
          <w:rFonts w:hint="eastAsia"/>
        </w:rPr>
        <w:t>機構財富管理業務競爭力，110至113年該項業務整體資產管理規模雖穩定</w:t>
      </w:r>
      <w:r w:rsidRPr="00F66DBB">
        <w:rPr>
          <w:rFonts w:hint="eastAsia"/>
        </w:rPr>
        <w:t>成長，惟增幅</w:t>
      </w:r>
      <w:r>
        <w:rPr>
          <w:rFonts w:hint="eastAsia"/>
        </w:rPr>
        <w:t>低於民營銀行，且其</w:t>
      </w:r>
      <w:r w:rsidRPr="00F66DBB">
        <w:rPr>
          <w:rFonts w:hint="eastAsia"/>
        </w:rPr>
        <w:t>手續費淨收益</w:t>
      </w:r>
      <w:r>
        <w:rPr>
          <w:rFonts w:hint="eastAsia"/>
        </w:rPr>
        <w:t>雖多</w:t>
      </w:r>
      <w:r w:rsidRPr="00F66DBB">
        <w:rPr>
          <w:rFonts w:hint="eastAsia"/>
        </w:rPr>
        <w:t>呈</w:t>
      </w:r>
      <w:r>
        <w:rPr>
          <w:rFonts w:hint="eastAsia"/>
        </w:rPr>
        <w:t>概增</w:t>
      </w:r>
      <w:r w:rsidRPr="00F66DBB">
        <w:rPr>
          <w:rFonts w:hint="eastAsia"/>
        </w:rPr>
        <w:t>，</w:t>
      </w:r>
      <w:r>
        <w:rPr>
          <w:rFonts w:hint="eastAsia"/>
        </w:rPr>
        <w:t>然與權益及資產總額相當民營銀行</w:t>
      </w:r>
      <w:r>
        <w:rPr>
          <w:rStyle w:val="af4"/>
        </w:rPr>
        <w:footnoteReference w:id="1"/>
      </w:r>
      <w:r>
        <w:rPr>
          <w:rFonts w:hint="eastAsia"/>
        </w:rPr>
        <w:t>相較，獲利貢獻度仍相對較低，且部分銀行尚發生</w:t>
      </w:r>
      <w:r w:rsidRPr="00404B2C">
        <w:rPr>
          <w:rFonts w:hint="eastAsia"/>
        </w:rPr>
        <w:t>理專或行員挪用款項等情事</w:t>
      </w:r>
      <w:r>
        <w:rPr>
          <w:rFonts w:hint="eastAsia"/>
        </w:rPr>
        <w:t>。茲說明</w:t>
      </w:r>
      <w:r w:rsidRPr="00E04F94">
        <w:rPr>
          <w:rFonts w:hint="eastAsia"/>
        </w:rPr>
        <w:t>如下：</w:t>
      </w:r>
      <w:r>
        <w:t xml:space="preserve"> </w:t>
      </w:r>
    </w:p>
    <w:p w:rsidR="005B7137" w:rsidRPr="00E04F94" w:rsidRDefault="005B7137" w:rsidP="007668ED">
      <w:pPr>
        <w:pStyle w:val="a5"/>
        <w:ind w:left="849" w:hanging="283"/>
        <w:rPr>
          <w:b/>
        </w:rPr>
      </w:pPr>
      <w:r w:rsidRPr="00E04F94">
        <w:rPr>
          <w:rFonts w:hint="eastAsia"/>
          <w:b/>
        </w:rPr>
        <w:t>(一)</w:t>
      </w:r>
      <w:r w:rsidRPr="009467D9">
        <w:rPr>
          <w:rFonts w:hint="eastAsia"/>
          <w:b/>
        </w:rPr>
        <w:t>為提升金融機構財富管理業務之競爭力，政府相關部會陸續推動多項政策</w:t>
      </w:r>
    </w:p>
    <w:p w:rsidR="005B7137" w:rsidRDefault="005B7137" w:rsidP="007668ED">
      <w:pPr>
        <w:pStyle w:val="123"/>
        <w:ind w:left="1133" w:hanging="283"/>
      </w:pPr>
      <w:r w:rsidRPr="00715B45">
        <w:rPr>
          <w:rFonts w:hint="eastAsia"/>
          <w:b/>
        </w:rPr>
        <w:t>1.</w:t>
      </w:r>
      <w:r>
        <w:rPr>
          <w:rFonts w:hint="eastAsia"/>
          <w:b/>
        </w:rPr>
        <w:t>為提升金融機構</w:t>
      </w:r>
      <w:r w:rsidRPr="001F35FA">
        <w:rPr>
          <w:rFonts w:hint="eastAsia"/>
          <w:b/>
        </w:rPr>
        <w:t>財富管理業務之</w:t>
      </w:r>
      <w:r>
        <w:rPr>
          <w:rFonts w:hint="eastAsia"/>
          <w:b/>
        </w:rPr>
        <w:t>競爭力並發展壯大臺灣金融市場，</w:t>
      </w:r>
      <w:r w:rsidRPr="00715B45">
        <w:rPr>
          <w:rFonts w:hint="eastAsia"/>
          <w:b/>
        </w:rPr>
        <w:t>金管會陸續推動多項政</w:t>
      </w:r>
      <w:r w:rsidRPr="00CE4380">
        <w:rPr>
          <w:rFonts w:hint="eastAsia"/>
          <w:b/>
        </w:rPr>
        <w:t>策</w:t>
      </w:r>
      <w:r w:rsidRPr="00CE4380">
        <w:rPr>
          <w:rFonts w:hint="eastAsia"/>
        </w:rPr>
        <w:t>：金管會於107年推動之「金融發展行動方案」中</w:t>
      </w:r>
      <w:r>
        <w:rPr>
          <w:rFonts w:hint="eastAsia"/>
        </w:rPr>
        <w:t>即</w:t>
      </w:r>
      <w:r w:rsidRPr="00CE4380">
        <w:rPr>
          <w:rFonts w:hint="eastAsia"/>
        </w:rPr>
        <w:t>提出建構國際理財平臺之目標，並於108年底推出「財富管理新方案」</w:t>
      </w:r>
      <w:r>
        <w:rPr>
          <w:rFonts w:hint="eastAsia"/>
        </w:rPr>
        <w:t>，規劃透過開放多元之金融商品及服務、培植財富管理人才等策略，以擴大我國財富管理業務規模及提升國際競爭力，該會業於109年8月7日發布銀行辦理高資產客戶適用之金融商品及服務管理辦法</w:t>
      </w:r>
      <w:r>
        <w:rPr>
          <w:rStyle w:val="af4"/>
        </w:rPr>
        <w:footnoteReference w:id="2"/>
      </w:r>
      <w:r>
        <w:rPr>
          <w:rFonts w:hint="eastAsia"/>
        </w:rPr>
        <w:t>，放寬適格銀行可對高資產客戶提供之金融商品及服務(以下簡稱高資產業務)；復為引導國內外資金投資臺灣，逐步發展壯大臺灣金融市場，該會於113年9月發布5大重點計畫及16</w:t>
      </w:r>
      <w:r w:rsidRPr="004A04EE">
        <w:rPr>
          <w:rFonts w:hint="eastAsia"/>
        </w:rPr>
        <w:t>項推動策略(詳表1</w:t>
      </w:r>
      <w:r w:rsidRPr="004A04EE">
        <w:t>)</w:t>
      </w:r>
      <w:r w:rsidRPr="004A04EE">
        <w:rPr>
          <w:rFonts w:hint="eastAsia"/>
        </w:rPr>
        <w:t>，規劃在「留財與引資並重」、「投資臺灣</w:t>
      </w:r>
      <w:r w:rsidRPr="004A04EE">
        <w:rPr>
          <w:rFonts w:hint="eastAsia"/>
          <w:spacing w:val="2"/>
        </w:rPr>
        <w:t>支持產業發展」2大方向下，打造具有臺灣特色之資產管理</w:t>
      </w:r>
      <w:r w:rsidRPr="004A04EE">
        <w:rPr>
          <w:rFonts w:hint="eastAsia"/>
          <w:spacing w:val="2"/>
        </w:rPr>
        <w:lastRenderedPageBreak/>
        <w:t>中</w:t>
      </w:r>
      <w:r>
        <w:rPr>
          <w:rFonts w:hint="eastAsia"/>
        </w:rPr>
        <w:t>心</w:t>
      </w:r>
      <w:r>
        <w:rPr>
          <w:rStyle w:val="af4"/>
          <w:rFonts w:hAnsi="標楷體"/>
        </w:rPr>
        <w:footnoteReference w:id="3"/>
      </w:r>
      <w:r>
        <w:rPr>
          <w:rFonts w:hint="eastAsia"/>
        </w:rPr>
        <w:t>。</w:t>
      </w:r>
    </w:p>
    <w:p w:rsidR="005B7137" w:rsidRDefault="005B7137" w:rsidP="007668ED">
      <w:pPr>
        <w:pStyle w:val="123"/>
        <w:ind w:leftChars="0" w:left="142" w:rightChars="-300" w:right="-850" w:hangingChars="50" w:hanging="142"/>
        <w:rPr>
          <w:sz w:val="24"/>
          <w:szCs w:val="24"/>
        </w:rPr>
      </w:pPr>
      <w:r w:rsidRPr="00E04F94">
        <w:rPr>
          <w:rFonts w:hint="eastAsia"/>
          <w:b/>
        </w:rPr>
        <w:t>表</w:t>
      </w:r>
      <w:r>
        <w:rPr>
          <w:rFonts w:hint="eastAsia"/>
          <w:b/>
        </w:rPr>
        <w:t>1  金管會推動</w:t>
      </w:r>
      <w:r w:rsidRPr="000E5167">
        <w:rPr>
          <w:rFonts w:hint="eastAsia"/>
          <w:b/>
        </w:rPr>
        <w:t>亞洲資產管理中心政策</w:t>
      </w:r>
      <w:r>
        <w:rPr>
          <w:rFonts w:hint="eastAsia"/>
          <w:b/>
        </w:rPr>
        <w:t>之規劃表</w:t>
      </w:r>
    </w:p>
    <w:tbl>
      <w:tblPr>
        <w:tblW w:w="8931"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410"/>
        <w:gridCol w:w="6521"/>
      </w:tblGrid>
      <w:tr w:rsidR="005B7137" w:rsidRPr="00E04F94" w:rsidTr="007668ED">
        <w:trPr>
          <w:trHeight w:val="20"/>
          <w:tblHeader/>
        </w:trPr>
        <w:tc>
          <w:tcPr>
            <w:tcW w:w="2410" w:type="dxa"/>
            <w:shd w:val="clear" w:color="auto" w:fill="auto"/>
            <w:vAlign w:val="center"/>
          </w:tcPr>
          <w:p w:rsidR="005B7137" w:rsidRPr="000E5167" w:rsidRDefault="005B7137" w:rsidP="007668ED">
            <w:pPr>
              <w:pStyle w:val="142"/>
              <w:jc w:val="center"/>
              <w:rPr>
                <w:b/>
              </w:rPr>
            </w:pPr>
            <w:r w:rsidRPr="000E5167">
              <w:rPr>
                <w:rFonts w:hint="eastAsia"/>
                <w:b/>
              </w:rPr>
              <w:t>計畫</w:t>
            </w:r>
          </w:p>
        </w:tc>
        <w:tc>
          <w:tcPr>
            <w:tcW w:w="6521" w:type="dxa"/>
            <w:vAlign w:val="center"/>
          </w:tcPr>
          <w:p w:rsidR="005B7137" w:rsidRPr="000E5167" w:rsidRDefault="005B7137" w:rsidP="007668ED">
            <w:pPr>
              <w:pStyle w:val="142"/>
              <w:jc w:val="center"/>
              <w:rPr>
                <w:b/>
              </w:rPr>
            </w:pPr>
            <w:r w:rsidRPr="000E5167">
              <w:rPr>
                <w:rFonts w:hint="eastAsia"/>
                <w:b/>
              </w:rPr>
              <w:t>策略</w:t>
            </w:r>
          </w:p>
        </w:tc>
      </w:tr>
      <w:tr w:rsidR="005B7137" w:rsidRPr="00E04F94" w:rsidTr="007668ED">
        <w:trPr>
          <w:trHeight w:val="20"/>
        </w:trPr>
        <w:tc>
          <w:tcPr>
            <w:tcW w:w="2410" w:type="dxa"/>
            <w:shd w:val="clear" w:color="auto" w:fill="auto"/>
            <w:vAlign w:val="center"/>
          </w:tcPr>
          <w:p w:rsidR="005B7137" w:rsidRPr="00485271" w:rsidRDefault="005B7137" w:rsidP="007668ED">
            <w:pPr>
              <w:pStyle w:val="142"/>
              <w:jc w:val="center"/>
            </w:pPr>
            <w:r>
              <w:rPr>
                <w:rFonts w:hint="eastAsia"/>
              </w:rPr>
              <w:t>壯大資產管理計畫</w:t>
            </w:r>
          </w:p>
        </w:tc>
        <w:tc>
          <w:tcPr>
            <w:tcW w:w="6521" w:type="dxa"/>
            <w:vAlign w:val="center"/>
          </w:tcPr>
          <w:p w:rsidR="005B7137" w:rsidRPr="00485271" w:rsidRDefault="005B7137" w:rsidP="007668ED">
            <w:pPr>
              <w:pStyle w:val="142"/>
              <w:jc w:val="both"/>
            </w:pPr>
            <w:r>
              <w:rPr>
                <w:rFonts w:hint="eastAsia"/>
              </w:rPr>
              <w:t>壯大本國資產管理</w:t>
            </w:r>
            <w:r w:rsidRPr="000E5167">
              <w:rPr>
                <w:rFonts w:hint="eastAsia"/>
              </w:rPr>
              <w:t>業</w:t>
            </w:r>
            <w:r>
              <w:rPr>
                <w:rFonts w:hint="eastAsia"/>
              </w:rPr>
              <w:t>、</w:t>
            </w:r>
            <w:r w:rsidRPr="000E5167">
              <w:rPr>
                <w:rFonts w:hint="eastAsia"/>
              </w:rPr>
              <w:t>吸引外國資產管理業投資</w:t>
            </w:r>
            <w:r>
              <w:rPr>
                <w:rFonts w:hint="eastAsia"/>
              </w:rPr>
              <w:t>、</w:t>
            </w:r>
            <w:r w:rsidRPr="000E5167">
              <w:rPr>
                <w:rFonts w:hint="eastAsia"/>
              </w:rPr>
              <w:t>建置具地方特色資產管理專區</w:t>
            </w:r>
          </w:p>
        </w:tc>
      </w:tr>
      <w:tr w:rsidR="005B7137" w:rsidRPr="00E04F94" w:rsidTr="007668ED">
        <w:trPr>
          <w:trHeight w:val="20"/>
        </w:trPr>
        <w:tc>
          <w:tcPr>
            <w:tcW w:w="2410" w:type="dxa"/>
            <w:shd w:val="clear" w:color="auto" w:fill="auto"/>
            <w:vAlign w:val="center"/>
          </w:tcPr>
          <w:p w:rsidR="005B7137" w:rsidRPr="00485271" w:rsidRDefault="005B7137" w:rsidP="007668ED">
            <w:pPr>
              <w:pStyle w:val="142"/>
              <w:jc w:val="center"/>
            </w:pPr>
            <w:r w:rsidRPr="000E5167">
              <w:rPr>
                <w:rFonts w:hint="eastAsia"/>
              </w:rPr>
              <w:t>普惠永續融合計畫</w:t>
            </w:r>
          </w:p>
        </w:tc>
        <w:tc>
          <w:tcPr>
            <w:tcW w:w="6521" w:type="dxa"/>
            <w:vAlign w:val="center"/>
          </w:tcPr>
          <w:p w:rsidR="005B7137" w:rsidRPr="00485271" w:rsidRDefault="005B7137" w:rsidP="007668ED">
            <w:pPr>
              <w:pStyle w:val="142"/>
              <w:jc w:val="both"/>
            </w:pPr>
            <w:r w:rsidRPr="000E5167">
              <w:rPr>
                <w:rFonts w:hint="eastAsia"/>
              </w:rPr>
              <w:t>推動TISA計畫及全民資產管理教育</w:t>
            </w:r>
            <w:r>
              <w:rPr>
                <w:rFonts w:hint="eastAsia"/>
              </w:rPr>
              <w:t>、</w:t>
            </w:r>
            <w:r w:rsidRPr="000E5167">
              <w:rPr>
                <w:rFonts w:hint="eastAsia"/>
              </w:rPr>
              <w:t>永續綠色金融商品推動</w:t>
            </w:r>
            <w:r>
              <w:rPr>
                <w:rFonts w:hint="eastAsia"/>
              </w:rPr>
              <w:t>、</w:t>
            </w:r>
            <w:r>
              <w:t>資產管理人才培訓</w:t>
            </w:r>
          </w:p>
        </w:tc>
      </w:tr>
      <w:tr w:rsidR="005B7137" w:rsidRPr="00E04F94" w:rsidTr="007668ED">
        <w:trPr>
          <w:trHeight w:val="20"/>
        </w:trPr>
        <w:tc>
          <w:tcPr>
            <w:tcW w:w="2410" w:type="dxa"/>
            <w:shd w:val="clear" w:color="auto" w:fill="auto"/>
            <w:vAlign w:val="center"/>
          </w:tcPr>
          <w:p w:rsidR="005B7137" w:rsidRPr="00485271" w:rsidRDefault="005B7137" w:rsidP="007668ED">
            <w:pPr>
              <w:pStyle w:val="142"/>
              <w:jc w:val="center"/>
            </w:pPr>
            <w:r w:rsidRPr="000E5167">
              <w:rPr>
                <w:rFonts w:hint="eastAsia"/>
              </w:rPr>
              <w:t>財富管理促進計畫</w:t>
            </w:r>
          </w:p>
        </w:tc>
        <w:tc>
          <w:tcPr>
            <w:tcW w:w="6521" w:type="dxa"/>
            <w:vAlign w:val="center"/>
          </w:tcPr>
          <w:p w:rsidR="005B7137" w:rsidRPr="00485271" w:rsidRDefault="005B7137" w:rsidP="007668ED">
            <w:pPr>
              <w:pStyle w:val="142"/>
              <w:jc w:val="both"/>
            </w:pPr>
            <w:r w:rsidRPr="000E5167">
              <w:rPr>
                <w:rFonts w:hint="eastAsia"/>
              </w:rPr>
              <w:t>加速推動私人銀行業務</w:t>
            </w:r>
            <w:r>
              <w:rPr>
                <w:rFonts w:hint="eastAsia"/>
              </w:rPr>
              <w:t>、</w:t>
            </w:r>
            <w:r w:rsidRPr="000E5167">
              <w:rPr>
                <w:rFonts w:hint="eastAsia"/>
              </w:rPr>
              <w:t>推動家族辦公室功能機構</w:t>
            </w:r>
            <w:r>
              <w:rPr>
                <w:rFonts w:hint="eastAsia"/>
              </w:rPr>
              <w:t>、</w:t>
            </w:r>
            <w:r w:rsidRPr="000E5167">
              <w:rPr>
                <w:rFonts w:hint="eastAsia"/>
              </w:rPr>
              <w:t>增進OBU功能深化財富管理業務</w:t>
            </w:r>
          </w:p>
        </w:tc>
      </w:tr>
      <w:tr w:rsidR="005B7137" w:rsidRPr="00E04F94" w:rsidTr="007668ED">
        <w:trPr>
          <w:trHeight w:val="20"/>
        </w:trPr>
        <w:tc>
          <w:tcPr>
            <w:tcW w:w="2410" w:type="dxa"/>
            <w:shd w:val="clear" w:color="auto" w:fill="auto"/>
            <w:vAlign w:val="center"/>
          </w:tcPr>
          <w:p w:rsidR="005B7137" w:rsidRPr="00485271" w:rsidRDefault="005B7137" w:rsidP="007668ED">
            <w:pPr>
              <w:pStyle w:val="142"/>
              <w:jc w:val="center"/>
            </w:pPr>
            <w:r w:rsidRPr="000E5167">
              <w:rPr>
                <w:rFonts w:hint="eastAsia"/>
              </w:rPr>
              <w:t>資金投入公建計畫</w:t>
            </w:r>
          </w:p>
        </w:tc>
        <w:tc>
          <w:tcPr>
            <w:tcW w:w="6521" w:type="dxa"/>
            <w:vAlign w:val="center"/>
          </w:tcPr>
          <w:p w:rsidR="005B7137" w:rsidRPr="00485271" w:rsidRDefault="005B7137" w:rsidP="007668ED">
            <w:pPr>
              <w:pStyle w:val="142"/>
              <w:jc w:val="both"/>
            </w:pPr>
            <w:r w:rsidRPr="000E5167">
              <w:rPr>
                <w:rFonts w:hint="eastAsia"/>
              </w:rPr>
              <w:t>公建與商品開發規劃專案</w:t>
            </w:r>
            <w:r>
              <w:rPr>
                <w:rFonts w:hint="eastAsia"/>
              </w:rPr>
              <w:t>、</w:t>
            </w:r>
            <w:r w:rsidRPr="000E5167">
              <w:rPr>
                <w:rFonts w:hint="eastAsia"/>
              </w:rPr>
              <w:t>推動公建與高齡社會投資</w:t>
            </w:r>
            <w:r>
              <w:rPr>
                <w:rFonts w:hint="eastAsia"/>
              </w:rPr>
              <w:t>、</w:t>
            </w:r>
            <w:r w:rsidRPr="000E5167">
              <w:rPr>
                <w:rFonts w:hint="eastAsia"/>
              </w:rPr>
              <w:t>推動策略性投資項目</w:t>
            </w:r>
          </w:p>
        </w:tc>
      </w:tr>
      <w:tr w:rsidR="005B7137" w:rsidRPr="00E04F94" w:rsidTr="007668ED">
        <w:trPr>
          <w:trHeight w:val="20"/>
        </w:trPr>
        <w:tc>
          <w:tcPr>
            <w:tcW w:w="2410" w:type="dxa"/>
            <w:shd w:val="clear" w:color="auto" w:fill="auto"/>
            <w:vAlign w:val="center"/>
          </w:tcPr>
          <w:p w:rsidR="005B7137" w:rsidRPr="00485271" w:rsidRDefault="005B7137" w:rsidP="007668ED">
            <w:pPr>
              <w:pStyle w:val="142"/>
              <w:jc w:val="center"/>
            </w:pPr>
            <w:r w:rsidRPr="000E5167">
              <w:rPr>
                <w:rFonts w:hint="eastAsia"/>
              </w:rPr>
              <w:t>擴大投資臺灣計畫</w:t>
            </w:r>
          </w:p>
        </w:tc>
        <w:tc>
          <w:tcPr>
            <w:tcW w:w="6521" w:type="dxa"/>
            <w:vAlign w:val="center"/>
          </w:tcPr>
          <w:p w:rsidR="005B7137" w:rsidRPr="00485271" w:rsidRDefault="005B7137" w:rsidP="007668ED">
            <w:pPr>
              <w:pStyle w:val="142"/>
              <w:jc w:val="both"/>
            </w:pPr>
            <w:r w:rsidRPr="000E5167">
              <w:rPr>
                <w:rFonts w:hint="eastAsia"/>
              </w:rPr>
              <w:t>REIT 推動專案</w:t>
            </w:r>
            <w:r>
              <w:rPr>
                <w:rFonts w:hint="eastAsia"/>
              </w:rPr>
              <w:t>、</w:t>
            </w:r>
            <w:r w:rsidRPr="000E5167">
              <w:rPr>
                <w:rFonts w:hint="eastAsia"/>
              </w:rPr>
              <w:t>擴大投資創投與新創</w:t>
            </w:r>
            <w:r>
              <w:rPr>
                <w:rFonts w:hint="eastAsia"/>
              </w:rPr>
              <w:t>、資本市場壯大計畫、</w:t>
            </w:r>
            <w:r w:rsidRPr="000E5167">
              <w:rPr>
                <w:rFonts w:hint="eastAsia"/>
              </w:rPr>
              <w:t>資本市場國際合作</w:t>
            </w:r>
          </w:p>
        </w:tc>
      </w:tr>
    </w:tbl>
    <w:p w:rsidR="005B7137" w:rsidRDefault="005B7137" w:rsidP="007668ED">
      <w:pPr>
        <w:pStyle w:val="142"/>
        <w:ind w:leftChars="-28" w:left="1137" w:rightChars="-150" w:right="-425" w:hangingChars="500" w:hanging="1216"/>
        <w:jc w:val="both"/>
      </w:pPr>
      <w:r w:rsidRPr="00E04F94">
        <w:rPr>
          <w:rFonts w:hint="eastAsia"/>
        </w:rPr>
        <w:t>資料來源：</w:t>
      </w:r>
      <w:r w:rsidRPr="00E04F94">
        <w:rPr>
          <w:rFonts w:hAnsi="標楷體" w:hint="eastAsia"/>
        </w:rPr>
        <w:t>113年</w:t>
      </w:r>
      <w:r>
        <w:rPr>
          <w:rFonts w:hAnsi="標楷體" w:hint="eastAsia"/>
        </w:rPr>
        <w:t>10</w:t>
      </w:r>
      <w:r w:rsidRPr="00E04F94">
        <w:rPr>
          <w:rFonts w:hAnsi="標楷體" w:hint="eastAsia"/>
        </w:rPr>
        <w:t>月</w:t>
      </w:r>
      <w:r>
        <w:rPr>
          <w:rFonts w:hAnsi="標楷體" w:hint="eastAsia"/>
        </w:rPr>
        <w:t>24</w:t>
      </w:r>
      <w:r w:rsidRPr="00E04F94">
        <w:rPr>
          <w:rFonts w:hAnsi="標楷體" w:hint="eastAsia"/>
        </w:rPr>
        <w:t>日金管會於本院財委會「</w:t>
      </w:r>
      <w:r w:rsidRPr="009D748D">
        <w:rPr>
          <w:rFonts w:hAnsi="標楷體" w:hint="eastAsia"/>
        </w:rPr>
        <w:t>政府推動臺灣成為亞洲資產管理中心之具體作為暨如何協助金融科技及新創產業籌資現況與未來發展</w:t>
      </w:r>
      <w:r w:rsidRPr="00E04F94">
        <w:rPr>
          <w:rFonts w:hAnsi="標楷體" w:hint="eastAsia"/>
        </w:rPr>
        <w:t>」專題報告之書面資料</w:t>
      </w:r>
      <w:r>
        <w:rPr>
          <w:rFonts w:hint="eastAsia"/>
        </w:rPr>
        <w:t>，本中心彙製。</w:t>
      </w:r>
    </w:p>
    <w:p w:rsidR="005B7137" w:rsidRDefault="005B7137" w:rsidP="007668ED">
      <w:pPr>
        <w:pStyle w:val="123"/>
        <w:ind w:left="1133" w:hanging="283"/>
      </w:pPr>
      <w:r w:rsidRPr="003151F4">
        <w:rPr>
          <w:rFonts w:hint="eastAsia"/>
          <w:b/>
        </w:rPr>
        <w:t>2.財政部</w:t>
      </w:r>
      <w:r>
        <w:rPr>
          <w:rFonts w:hint="eastAsia"/>
          <w:b/>
        </w:rPr>
        <w:t>：</w:t>
      </w:r>
      <w:r>
        <w:rPr>
          <w:rFonts w:hint="eastAsia"/>
        </w:rPr>
        <w:t>據財政部國庫署提供資料，該部業於109年11月函請各公股金融事業於風險有效控管下，逐步建立高階資產財富管理業務所需之專業人才、技術及商品開發等能力，並於113年起實施之「金控雙引擎、銀行雙翅膀」方案2.0中，指定公股銀行次翅膀之關鍵業務為個金及財管，期強化各公股銀行於次翅膀業務之競爭優勢，提升獲利貢獻度。詢據該部表示，兆豐國際商業銀行(以下簡稱兆豐銀)、第一商業銀行(以下簡稱一銀)、合作金庫商業銀行(以下簡稱合庫)及華南商業銀行(以下簡稱華銀)皆已陸續獲金管會核</w:t>
      </w:r>
      <w:r w:rsidRPr="005D4C77">
        <w:rPr>
          <w:rFonts w:hint="eastAsia"/>
        </w:rPr>
        <w:t>准並開辦高資產業務</w:t>
      </w:r>
      <w:r w:rsidRPr="00CE4380">
        <w:rPr>
          <w:rFonts w:hint="eastAsia"/>
        </w:rPr>
        <w:t>(詳表</w:t>
      </w:r>
      <w:r>
        <w:rPr>
          <w:rFonts w:hint="eastAsia"/>
        </w:rPr>
        <w:t>2</w:t>
      </w:r>
      <w:r w:rsidRPr="00CE4380">
        <w:t>)</w:t>
      </w:r>
      <w:r w:rsidRPr="007F4DB6">
        <w:rPr>
          <w:rFonts w:hint="eastAsia"/>
        </w:rPr>
        <w:t>。</w:t>
      </w:r>
    </w:p>
    <w:p w:rsidR="005B7137" w:rsidRDefault="005B7137" w:rsidP="007668ED">
      <w:pPr>
        <w:pStyle w:val="123"/>
        <w:ind w:leftChars="-50" w:left="0" w:rightChars="-300" w:right="-850" w:hangingChars="50" w:hanging="142"/>
        <w:rPr>
          <w:sz w:val="24"/>
          <w:szCs w:val="24"/>
        </w:rPr>
      </w:pPr>
      <w:r w:rsidRPr="00E04F94">
        <w:rPr>
          <w:rFonts w:hint="eastAsia"/>
          <w:b/>
        </w:rPr>
        <w:t>表</w:t>
      </w:r>
      <w:r>
        <w:rPr>
          <w:rFonts w:hint="eastAsia"/>
          <w:b/>
        </w:rPr>
        <w:t>2  截至113年底已獲核准並開辦高資產業務之公股銀行概況表</w:t>
      </w:r>
    </w:p>
    <w:tbl>
      <w:tblPr>
        <w:tblW w:w="9214"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977"/>
        <w:gridCol w:w="3261"/>
        <w:gridCol w:w="2976"/>
      </w:tblGrid>
      <w:tr w:rsidR="005B7137" w:rsidRPr="00E04F94" w:rsidTr="007668ED">
        <w:trPr>
          <w:trHeight w:val="20"/>
          <w:tblHeader/>
        </w:trPr>
        <w:tc>
          <w:tcPr>
            <w:tcW w:w="2977" w:type="dxa"/>
            <w:tcBorders>
              <w:top w:val="single" w:sz="12" w:space="0" w:color="auto"/>
              <w:bottom w:val="single" w:sz="6" w:space="0" w:color="auto"/>
              <w:tl2br w:val="single" w:sz="6" w:space="0" w:color="auto"/>
            </w:tcBorders>
            <w:shd w:val="clear" w:color="auto" w:fill="auto"/>
            <w:vAlign w:val="center"/>
          </w:tcPr>
          <w:p w:rsidR="005B7137" w:rsidRPr="00F77317" w:rsidRDefault="005B7137" w:rsidP="007668ED">
            <w:pPr>
              <w:pStyle w:val="142"/>
              <w:ind w:left="566" w:hanging="566"/>
              <w:rPr>
                <w:b/>
              </w:rPr>
            </w:pPr>
            <w:r w:rsidRPr="00F77317">
              <w:rPr>
                <w:rFonts w:hint="eastAsia"/>
                <w:b/>
              </w:rPr>
              <w:t xml:space="preserve">       </w:t>
            </w:r>
            <w:r>
              <w:rPr>
                <w:rFonts w:hint="eastAsia"/>
                <w:b/>
              </w:rPr>
              <w:t xml:space="preserve">     </w:t>
            </w:r>
            <w:r w:rsidRPr="00F77317">
              <w:rPr>
                <w:rFonts w:hint="eastAsia"/>
                <w:b/>
              </w:rPr>
              <w:t xml:space="preserve">  </w:t>
            </w:r>
            <w:r>
              <w:rPr>
                <w:rFonts w:hint="eastAsia"/>
                <w:b/>
              </w:rPr>
              <w:t xml:space="preserve">  日期</w:t>
            </w:r>
          </w:p>
          <w:p w:rsidR="005B7137" w:rsidRPr="00F77317" w:rsidRDefault="005B7137" w:rsidP="007668ED">
            <w:pPr>
              <w:pStyle w:val="142"/>
              <w:ind w:left="566" w:hanging="566"/>
              <w:rPr>
                <w:b/>
              </w:rPr>
            </w:pPr>
            <w:r w:rsidRPr="0052531C">
              <w:rPr>
                <w:rFonts w:hint="eastAsia"/>
                <w:b/>
              </w:rPr>
              <w:t>銀行別</w:t>
            </w:r>
          </w:p>
        </w:tc>
        <w:tc>
          <w:tcPr>
            <w:tcW w:w="3261" w:type="dxa"/>
            <w:vAlign w:val="center"/>
          </w:tcPr>
          <w:p w:rsidR="005B7137" w:rsidRPr="00F77317" w:rsidRDefault="005B7137" w:rsidP="007668ED">
            <w:pPr>
              <w:pStyle w:val="142"/>
              <w:ind w:left="566" w:hanging="566"/>
              <w:jc w:val="center"/>
              <w:rPr>
                <w:b/>
              </w:rPr>
            </w:pPr>
            <w:r>
              <w:rPr>
                <w:rFonts w:hint="eastAsia"/>
                <w:b/>
              </w:rPr>
              <w:t>核准日</w:t>
            </w:r>
          </w:p>
        </w:tc>
        <w:tc>
          <w:tcPr>
            <w:tcW w:w="2976" w:type="dxa"/>
            <w:vAlign w:val="center"/>
          </w:tcPr>
          <w:p w:rsidR="005B7137" w:rsidRPr="005E40A8" w:rsidRDefault="005B7137" w:rsidP="007668ED">
            <w:pPr>
              <w:pStyle w:val="142"/>
              <w:ind w:left="566" w:hanging="566"/>
              <w:jc w:val="center"/>
              <w:rPr>
                <w:b/>
              </w:rPr>
            </w:pPr>
            <w:r>
              <w:rPr>
                <w:rFonts w:hint="eastAsia"/>
                <w:b/>
              </w:rPr>
              <w:t>正式開辦日</w:t>
            </w:r>
          </w:p>
        </w:tc>
      </w:tr>
      <w:tr w:rsidR="005B7137" w:rsidRPr="00E04F94" w:rsidTr="007668ED">
        <w:trPr>
          <w:trHeight w:val="20"/>
        </w:trPr>
        <w:tc>
          <w:tcPr>
            <w:tcW w:w="2977" w:type="dxa"/>
            <w:shd w:val="clear" w:color="auto" w:fill="auto"/>
            <w:vAlign w:val="center"/>
          </w:tcPr>
          <w:p w:rsidR="005B7137" w:rsidRPr="00485271" w:rsidRDefault="005B7137" w:rsidP="007668ED">
            <w:pPr>
              <w:pStyle w:val="142"/>
              <w:jc w:val="both"/>
            </w:pPr>
            <w:r w:rsidRPr="00485271">
              <w:rPr>
                <w:rFonts w:hint="eastAsia"/>
              </w:rPr>
              <w:t>兆豐國際商業銀行</w:t>
            </w:r>
          </w:p>
        </w:tc>
        <w:tc>
          <w:tcPr>
            <w:tcW w:w="3261" w:type="dxa"/>
            <w:vAlign w:val="center"/>
          </w:tcPr>
          <w:p w:rsidR="005B7137" w:rsidRPr="00485271" w:rsidRDefault="005B7137" w:rsidP="007668ED">
            <w:pPr>
              <w:pStyle w:val="142"/>
              <w:jc w:val="center"/>
            </w:pPr>
            <w:r>
              <w:rPr>
                <w:rFonts w:hint="eastAsia"/>
              </w:rPr>
              <w:t>10</w:t>
            </w:r>
            <w:r>
              <w:t>9</w:t>
            </w:r>
            <w:r>
              <w:rPr>
                <w:rFonts w:hint="eastAsia"/>
              </w:rPr>
              <w:t>年12月</w:t>
            </w:r>
            <w:r w:rsidRPr="00485271">
              <w:rPr>
                <w:rFonts w:hint="eastAsia"/>
              </w:rPr>
              <w:t>31</w:t>
            </w:r>
            <w:r>
              <w:rPr>
                <w:rFonts w:hint="eastAsia"/>
              </w:rPr>
              <w:t>日</w:t>
            </w:r>
          </w:p>
        </w:tc>
        <w:tc>
          <w:tcPr>
            <w:tcW w:w="2976" w:type="dxa"/>
            <w:vAlign w:val="center"/>
          </w:tcPr>
          <w:p w:rsidR="005B7137" w:rsidRPr="00485271" w:rsidRDefault="005B7137" w:rsidP="007668ED">
            <w:pPr>
              <w:pStyle w:val="142"/>
              <w:jc w:val="center"/>
            </w:pPr>
            <w:r w:rsidRPr="00485271">
              <w:rPr>
                <w:rFonts w:hint="eastAsia"/>
              </w:rPr>
              <w:t>110</w:t>
            </w:r>
            <w:r>
              <w:rPr>
                <w:rFonts w:hint="eastAsia"/>
              </w:rPr>
              <w:t>年</w:t>
            </w:r>
            <w:r w:rsidRPr="00485271">
              <w:rPr>
                <w:rFonts w:hint="eastAsia"/>
              </w:rPr>
              <w:t>4</w:t>
            </w:r>
            <w:r>
              <w:rPr>
                <w:rFonts w:hint="eastAsia"/>
              </w:rPr>
              <w:t>月</w:t>
            </w:r>
            <w:r w:rsidRPr="00485271">
              <w:rPr>
                <w:rFonts w:hint="eastAsia"/>
              </w:rPr>
              <w:t>26</w:t>
            </w:r>
            <w:r>
              <w:rPr>
                <w:rFonts w:hint="eastAsia"/>
              </w:rPr>
              <w:t>日</w:t>
            </w:r>
          </w:p>
        </w:tc>
      </w:tr>
      <w:tr w:rsidR="005B7137" w:rsidRPr="00E04F94" w:rsidTr="007668ED">
        <w:trPr>
          <w:trHeight w:val="20"/>
        </w:trPr>
        <w:tc>
          <w:tcPr>
            <w:tcW w:w="2977" w:type="dxa"/>
            <w:shd w:val="clear" w:color="auto" w:fill="auto"/>
            <w:vAlign w:val="center"/>
          </w:tcPr>
          <w:p w:rsidR="005B7137" w:rsidRPr="00485271" w:rsidRDefault="005B7137" w:rsidP="007668ED">
            <w:pPr>
              <w:pStyle w:val="142"/>
              <w:jc w:val="both"/>
            </w:pPr>
            <w:r w:rsidRPr="00485271">
              <w:rPr>
                <w:rFonts w:hint="eastAsia"/>
              </w:rPr>
              <w:t>第一商業銀行</w:t>
            </w:r>
          </w:p>
        </w:tc>
        <w:tc>
          <w:tcPr>
            <w:tcW w:w="3261" w:type="dxa"/>
            <w:vAlign w:val="center"/>
          </w:tcPr>
          <w:p w:rsidR="005B7137" w:rsidRPr="00485271" w:rsidRDefault="005B7137" w:rsidP="007668ED">
            <w:pPr>
              <w:pStyle w:val="142"/>
              <w:jc w:val="center"/>
            </w:pPr>
            <w:r w:rsidRPr="00485271">
              <w:rPr>
                <w:rFonts w:hint="eastAsia"/>
              </w:rPr>
              <w:t>110</w:t>
            </w:r>
            <w:r>
              <w:rPr>
                <w:rFonts w:hint="eastAsia"/>
              </w:rPr>
              <w:t>年</w:t>
            </w:r>
            <w:r w:rsidRPr="00485271">
              <w:rPr>
                <w:rFonts w:hint="eastAsia"/>
              </w:rPr>
              <w:t>5</w:t>
            </w:r>
            <w:r>
              <w:rPr>
                <w:rFonts w:hint="eastAsia"/>
              </w:rPr>
              <w:t>月</w:t>
            </w:r>
            <w:r w:rsidRPr="00485271">
              <w:rPr>
                <w:rFonts w:hint="eastAsia"/>
              </w:rPr>
              <w:t>18</w:t>
            </w:r>
            <w:r>
              <w:rPr>
                <w:rFonts w:hint="eastAsia"/>
              </w:rPr>
              <w:t>日</w:t>
            </w:r>
          </w:p>
        </w:tc>
        <w:tc>
          <w:tcPr>
            <w:tcW w:w="2976" w:type="dxa"/>
            <w:vAlign w:val="center"/>
          </w:tcPr>
          <w:p w:rsidR="005B7137" w:rsidRPr="00485271" w:rsidRDefault="005B7137" w:rsidP="007668ED">
            <w:pPr>
              <w:pStyle w:val="142"/>
              <w:jc w:val="center"/>
            </w:pPr>
            <w:r w:rsidRPr="00485271">
              <w:rPr>
                <w:rFonts w:hint="eastAsia"/>
              </w:rPr>
              <w:t>110</w:t>
            </w:r>
            <w:r>
              <w:rPr>
                <w:rFonts w:hint="eastAsia"/>
              </w:rPr>
              <w:t>年</w:t>
            </w:r>
            <w:r w:rsidRPr="00485271">
              <w:rPr>
                <w:rFonts w:hint="eastAsia"/>
              </w:rPr>
              <w:t>9</w:t>
            </w:r>
            <w:r>
              <w:rPr>
                <w:rFonts w:hint="eastAsia"/>
              </w:rPr>
              <w:t>月</w:t>
            </w:r>
            <w:r w:rsidRPr="00485271">
              <w:rPr>
                <w:rFonts w:hint="eastAsia"/>
              </w:rPr>
              <w:t>14</w:t>
            </w:r>
            <w:r>
              <w:rPr>
                <w:rFonts w:hint="eastAsia"/>
              </w:rPr>
              <w:t>日</w:t>
            </w:r>
          </w:p>
        </w:tc>
      </w:tr>
      <w:tr w:rsidR="005B7137" w:rsidRPr="00E04F94" w:rsidTr="007668ED">
        <w:trPr>
          <w:trHeight w:val="20"/>
        </w:trPr>
        <w:tc>
          <w:tcPr>
            <w:tcW w:w="2977" w:type="dxa"/>
            <w:shd w:val="clear" w:color="auto" w:fill="auto"/>
            <w:vAlign w:val="center"/>
          </w:tcPr>
          <w:p w:rsidR="005B7137" w:rsidRPr="00485271" w:rsidRDefault="005B7137" w:rsidP="007668ED">
            <w:pPr>
              <w:pStyle w:val="142"/>
              <w:jc w:val="both"/>
            </w:pPr>
            <w:r w:rsidRPr="00485271">
              <w:rPr>
                <w:rFonts w:hint="eastAsia"/>
              </w:rPr>
              <w:t>合作金庫商業銀行</w:t>
            </w:r>
          </w:p>
        </w:tc>
        <w:tc>
          <w:tcPr>
            <w:tcW w:w="3261" w:type="dxa"/>
            <w:vAlign w:val="center"/>
          </w:tcPr>
          <w:p w:rsidR="005B7137" w:rsidRPr="00485271" w:rsidRDefault="005B7137" w:rsidP="007668ED">
            <w:pPr>
              <w:pStyle w:val="142"/>
              <w:jc w:val="center"/>
            </w:pPr>
            <w:r w:rsidRPr="00485271">
              <w:rPr>
                <w:rFonts w:hint="eastAsia"/>
              </w:rPr>
              <w:t>110</w:t>
            </w:r>
            <w:r>
              <w:rPr>
                <w:rFonts w:hint="eastAsia"/>
              </w:rPr>
              <w:t>年</w:t>
            </w:r>
            <w:r w:rsidRPr="00485271">
              <w:rPr>
                <w:rFonts w:hint="eastAsia"/>
              </w:rPr>
              <w:t>5</w:t>
            </w:r>
            <w:r>
              <w:rPr>
                <w:rFonts w:hint="eastAsia"/>
              </w:rPr>
              <w:t>月</w:t>
            </w:r>
            <w:r w:rsidRPr="00485271">
              <w:rPr>
                <w:rFonts w:hint="eastAsia"/>
              </w:rPr>
              <w:t>18</w:t>
            </w:r>
            <w:r>
              <w:rPr>
                <w:rFonts w:hint="eastAsia"/>
              </w:rPr>
              <w:t>日</w:t>
            </w:r>
          </w:p>
        </w:tc>
        <w:tc>
          <w:tcPr>
            <w:tcW w:w="2976" w:type="dxa"/>
            <w:vAlign w:val="center"/>
          </w:tcPr>
          <w:p w:rsidR="005B7137" w:rsidRPr="00485271" w:rsidRDefault="005B7137" w:rsidP="007668ED">
            <w:pPr>
              <w:pStyle w:val="142"/>
              <w:jc w:val="center"/>
            </w:pPr>
            <w:r w:rsidRPr="00485271">
              <w:rPr>
                <w:rFonts w:hint="eastAsia"/>
              </w:rPr>
              <w:t>110</w:t>
            </w:r>
            <w:r>
              <w:rPr>
                <w:rFonts w:hint="eastAsia"/>
              </w:rPr>
              <w:t>年</w:t>
            </w:r>
            <w:r w:rsidRPr="00485271">
              <w:rPr>
                <w:rFonts w:hint="eastAsia"/>
              </w:rPr>
              <w:t>11</w:t>
            </w:r>
            <w:r>
              <w:rPr>
                <w:rFonts w:hint="eastAsia"/>
              </w:rPr>
              <w:t>月</w:t>
            </w:r>
            <w:r w:rsidRPr="00485271">
              <w:rPr>
                <w:rFonts w:hint="eastAsia"/>
              </w:rPr>
              <w:t>15</w:t>
            </w:r>
            <w:r>
              <w:rPr>
                <w:rFonts w:hint="eastAsia"/>
              </w:rPr>
              <w:t>日</w:t>
            </w:r>
          </w:p>
        </w:tc>
      </w:tr>
      <w:tr w:rsidR="005B7137" w:rsidRPr="00E04F94" w:rsidTr="007668ED">
        <w:trPr>
          <w:trHeight w:val="20"/>
        </w:trPr>
        <w:tc>
          <w:tcPr>
            <w:tcW w:w="2977" w:type="dxa"/>
            <w:shd w:val="clear" w:color="auto" w:fill="auto"/>
            <w:vAlign w:val="center"/>
          </w:tcPr>
          <w:p w:rsidR="005B7137" w:rsidRPr="00485271" w:rsidRDefault="005B7137" w:rsidP="007668ED">
            <w:pPr>
              <w:pStyle w:val="142"/>
              <w:jc w:val="both"/>
            </w:pPr>
            <w:r w:rsidRPr="00485271">
              <w:rPr>
                <w:rFonts w:hint="eastAsia"/>
              </w:rPr>
              <w:lastRenderedPageBreak/>
              <w:t>華南商業銀行</w:t>
            </w:r>
          </w:p>
        </w:tc>
        <w:tc>
          <w:tcPr>
            <w:tcW w:w="3261" w:type="dxa"/>
            <w:vAlign w:val="center"/>
          </w:tcPr>
          <w:p w:rsidR="005B7137" w:rsidRPr="00485271" w:rsidRDefault="005B7137" w:rsidP="007668ED">
            <w:pPr>
              <w:pStyle w:val="142"/>
              <w:jc w:val="center"/>
            </w:pPr>
            <w:r w:rsidRPr="00485271">
              <w:rPr>
                <w:rFonts w:hint="eastAsia"/>
              </w:rPr>
              <w:t>112</w:t>
            </w:r>
            <w:r>
              <w:rPr>
                <w:rFonts w:hint="eastAsia"/>
              </w:rPr>
              <w:t>年</w:t>
            </w:r>
            <w:r w:rsidRPr="00485271">
              <w:rPr>
                <w:rFonts w:hint="eastAsia"/>
              </w:rPr>
              <w:t>10</w:t>
            </w:r>
            <w:r>
              <w:rPr>
                <w:rFonts w:hint="eastAsia"/>
              </w:rPr>
              <w:t>月</w:t>
            </w:r>
            <w:r w:rsidRPr="00485271">
              <w:rPr>
                <w:rFonts w:hint="eastAsia"/>
              </w:rPr>
              <w:t>20</w:t>
            </w:r>
            <w:r>
              <w:rPr>
                <w:rFonts w:hint="eastAsia"/>
              </w:rPr>
              <w:t>日</w:t>
            </w:r>
          </w:p>
        </w:tc>
        <w:tc>
          <w:tcPr>
            <w:tcW w:w="2976" w:type="dxa"/>
            <w:vAlign w:val="center"/>
          </w:tcPr>
          <w:p w:rsidR="005B7137" w:rsidRDefault="005B7137" w:rsidP="007668ED">
            <w:pPr>
              <w:pStyle w:val="142"/>
              <w:jc w:val="center"/>
            </w:pPr>
            <w:r w:rsidRPr="00485271">
              <w:rPr>
                <w:rFonts w:hint="eastAsia"/>
              </w:rPr>
              <w:t>113</w:t>
            </w:r>
            <w:r>
              <w:rPr>
                <w:rFonts w:hint="eastAsia"/>
              </w:rPr>
              <w:t>年</w:t>
            </w:r>
            <w:r w:rsidRPr="00485271">
              <w:rPr>
                <w:rFonts w:hint="eastAsia"/>
              </w:rPr>
              <w:t>3</w:t>
            </w:r>
            <w:r>
              <w:rPr>
                <w:rFonts w:hint="eastAsia"/>
              </w:rPr>
              <w:t>月</w:t>
            </w:r>
            <w:r w:rsidRPr="00485271">
              <w:rPr>
                <w:rFonts w:hint="eastAsia"/>
              </w:rPr>
              <w:t>26</w:t>
            </w:r>
            <w:r>
              <w:rPr>
                <w:rFonts w:hint="eastAsia"/>
              </w:rPr>
              <w:t>日</w:t>
            </w:r>
          </w:p>
        </w:tc>
      </w:tr>
    </w:tbl>
    <w:p w:rsidR="005B7137" w:rsidRDefault="005B7137" w:rsidP="007668ED">
      <w:pPr>
        <w:pStyle w:val="142"/>
        <w:ind w:leftChars="-28" w:left="1137" w:rightChars="-200" w:right="-566" w:hangingChars="500" w:hanging="1216"/>
      </w:pPr>
      <w:r w:rsidRPr="00E04F94">
        <w:rPr>
          <w:rFonts w:hint="eastAsia"/>
        </w:rPr>
        <w:t>資料來源：</w:t>
      </w:r>
      <w:r>
        <w:rPr>
          <w:rFonts w:hint="eastAsia"/>
        </w:rPr>
        <w:t>財政部國庫署，本中心彙製。</w:t>
      </w:r>
    </w:p>
    <w:p w:rsidR="005B7137" w:rsidRPr="009810ED" w:rsidRDefault="005B7137" w:rsidP="007668ED">
      <w:pPr>
        <w:pStyle w:val="a5"/>
        <w:ind w:left="849" w:hanging="283"/>
        <w:rPr>
          <w:b/>
        </w:rPr>
      </w:pPr>
      <w:r w:rsidRPr="009810ED">
        <w:rPr>
          <w:rFonts w:hint="eastAsia"/>
          <w:b/>
        </w:rPr>
        <w:t>(二)</w:t>
      </w:r>
      <w:r>
        <w:rPr>
          <w:rFonts w:hint="eastAsia"/>
          <w:b/>
        </w:rPr>
        <w:t>近年公股銀行</w:t>
      </w:r>
      <w:r w:rsidRPr="002A2DDB">
        <w:rPr>
          <w:rFonts w:hint="eastAsia"/>
          <w:b/>
        </w:rPr>
        <w:t>管理高資產客戶資產之規模</w:t>
      </w:r>
      <w:r>
        <w:rPr>
          <w:rFonts w:hint="eastAsia"/>
          <w:b/>
        </w:rPr>
        <w:t>占整體</w:t>
      </w:r>
      <w:r w:rsidRPr="00EC407A">
        <w:rPr>
          <w:rFonts w:hint="eastAsia"/>
          <w:b/>
        </w:rPr>
        <w:t>比</w:t>
      </w:r>
      <w:r>
        <w:rPr>
          <w:rFonts w:hint="eastAsia"/>
          <w:b/>
        </w:rPr>
        <w:t>率</w:t>
      </w:r>
      <w:r w:rsidRPr="00EC407A">
        <w:rPr>
          <w:rFonts w:hint="eastAsia"/>
          <w:b/>
        </w:rPr>
        <w:t>幾逾</w:t>
      </w:r>
      <w:r>
        <w:rPr>
          <w:rFonts w:hint="eastAsia"/>
          <w:b/>
        </w:rPr>
        <w:t>五</w:t>
      </w:r>
      <w:r w:rsidRPr="00092205">
        <w:rPr>
          <w:rFonts w:hint="eastAsia"/>
          <w:b/>
        </w:rPr>
        <w:t>成</w:t>
      </w:r>
      <w:r>
        <w:rPr>
          <w:rFonts w:hint="eastAsia"/>
          <w:b/>
        </w:rPr>
        <w:t>，且其辦理金錢信託及店頭結構型商品等財富管理業務之資產管理規模亦逐年增加，惟增幅仍低於民營銀行</w:t>
      </w:r>
    </w:p>
    <w:p w:rsidR="005B7137" w:rsidRPr="004D2E78" w:rsidRDefault="005B7137" w:rsidP="007668ED">
      <w:pPr>
        <w:pStyle w:val="123"/>
        <w:ind w:left="1133" w:hanging="283"/>
      </w:pPr>
      <w:r w:rsidRPr="00092205">
        <w:rPr>
          <w:rFonts w:hint="eastAsia"/>
          <w:b/>
        </w:rPr>
        <w:t>1.公股銀行</w:t>
      </w:r>
      <w:r>
        <w:rPr>
          <w:rFonts w:hint="eastAsia"/>
          <w:b/>
        </w:rPr>
        <w:t>對</w:t>
      </w:r>
      <w:r w:rsidRPr="00092205">
        <w:rPr>
          <w:rFonts w:hint="eastAsia"/>
          <w:b/>
        </w:rPr>
        <w:t>高資產業</w:t>
      </w:r>
      <w:r w:rsidRPr="00EC407A">
        <w:rPr>
          <w:rFonts w:hint="eastAsia"/>
          <w:b/>
        </w:rPr>
        <w:t>務之資產管理規模於111至11</w:t>
      </w:r>
      <w:r>
        <w:rPr>
          <w:rFonts w:hint="eastAsia"/>
          <w:b/>
        </w:rPr>
        <w:t>3</w:t>
      </w:r>
      <w:r w:rsidRPr="00EC407A">
        <w:rPr>
          <w:rFonts w:hint="eastAsia"/>
          <w:b/>
        </w:rPr>
        <w:t>年間占比</w:t>
      </w:r>
      <w:r>
        <w:rPr>
          <w:rFonts w:hint="eastAsia"/>
          <w:b/>
        </w:rPr>
        <w:t>皆</w:t>
      </w:r>
      <w:r w:rsidRPr="00EC407A">
        <w:rPr>
          <w:rFonts w:hint="eastAsia"/>
          <w:b/>
        </w:rPr>
        <w:t>逾</w:t>
      </w:r>
      <w:r>
        <w:rPr>
          <w:rFonts w:hint="eastAsia"/>
          <w:b/>
        </w:rPr>
        <w:t>五</w:t>
      </w:r>
      <w:r w:rsidRPr="00092205">
        <w:rPr>
          <w:rFonts w:hint="eastAsia"/>
          <w:b/>
        </w:rPr>
        <w:t>成：</w:t>
      </w:r>
      <w:r>
        <w:rPr>
          <w:rFonts w:hint="eastAsia"/>
        </w:rPr>
        <w:t>觀諸近年銀行辦理</w:t>
      </w:r>
      <w:r w:rsidRPr="002C5DF0">
        <w:rPr>
          <w:rFonts w:hint="eastAsia"/>
        </w:rPr>
        <w:t>高資產業務</w:t>
      </w:r>
      <w:r>
        <w:rPr>
          <w:rFonts w:hint="eastAsia"/>
        </w:rPr>
        <w:t>情形，金管會自109年底已陸續核准適格銀行開辦是項業務，據該會提供資料</w:t>
      </w:r>
      <w:r w:rsidRPr="004D2E78">
        <w:rPr>
          <w:rFonts w:hint="eastAsia"/>
        </w:rPr>
        <w:t>，截至11</w:t>
      </w:r>
      <w:r w:rsidRPr="004D2E78">
        <w:t>3</w:t>
      </w:r>
      <w:r w:rsidRPr="004D2E78">
        <w:rPr>
          <w:rFonts w:hint="eastAsia"/>
        </w:rPr>
        <w:t>年底止，共計核准12家銀行辦理高資產業務，於110至113年間，是項業務之資產管理規模逐年增加，其中公股銀行所管理之資產規模自111年起占整體比率皆逾五成(詳表3</w:t>
      </w:r>
      <w:r w:rsidRPr="004D2E78">
        <w:t>)</w:t>
      </w:r>
      <w:r w:rsidRPr="004D2E78">
        <w:rPr>
          <w:rFonts w:hint="eastAsia"/>
        </w:rPr>
        <w:t>。</w:t>
      </w:r>
    </w:p>
    <w:p w:rsidR="005B7137" w:rsidRDefault="005B7137" w:rsidP="007668ED">
      <w:pPr>
        <w:pStyle w:val="142"/>
        <w:spacing w:before="240"/>
        <w:ind w:leftChars="-50" w:left="-142" w:rightChars="-38" w:right="-108"/>
        <w:rPr>
          <w:b/>
          <w:bCs/>
          <w:snapToGrid/>
          <w:sz w:val="28"/>
        </w:rPr>
      </w:pPr>
      <w:r w:rsidRPr="003E7BD8">
        <w:rPr>
          <w:rFonts w:hint="eastAsia"/>
          <w:b/>
          <w:bCs/>
          <w:snapToGrid/>
          <w:sz w:val="28"/>
        </w:rPr>
        <w:t>表3  110至113年底銀行辦理高資產業務之資產管理規模一覽表</w:t>
      </w:r>
    </w:p>
    <w:p w:rsidR="005B7137" w:rsidRPr="00A46A86" w:rsidRDefault="005B7137" w:rsidP="007668ED">
      <w:pPr>
        <w:pStyle w:val="142"/>
        <w:ind w:leftChars="-50" w:left="-142" w:rightChars="-150" w:right="-425"/>
        <w:rPr>
          <w:szCs w:val="24"/>
        </w:rPr>
      </w:pPr>
      <w:r>
        <w:rPr>
          <w:rFonts w:hint="eastAsia"/>
          <w:b/>
          <w:bCs/>
          <w:sz w:val="28"/>
        </w:rPr>
        <w:t xml:space="preserve">                                               </w:t>
      </w:r>
      <w:r w:rsidRPr="00A46A86">
        <w:rPr>
          <w:rFonts w:hint="eastAsia"/>
          <w:szCs w:val="24"/>
        </w:rPr>
        <w:t>單位：新臺幣億元；%</w:t>
      </w:r>
    </w:p>
    <w:tbl>
      <w:tblPr>
        <w:tblW w:w="8931"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710"/>
        <w:gridCol w:w="2409"/>
        <w:gridCol w:w="1453"/>
        <w:gridCol w:w="1453"/>
        <w:gridCol w:w="1453"/>
        <w:gridCol w:w="1453"/>
      </w:tblGrid>
      <w:tr w:rsidR="005B7137" w:rsidRPr="00E04F94" w:rsidTr="007668ED">
        <w:trPr>
          <w:trHeight w:val="20"/>
          <w:tblHeader/>
        </w:trPr>
        <w:tc>
          <w:tcPr>
            <w:tcW w:w="3119" w:type="dxa"/>
            <w:gridSpan w:val="2"/>
            <w:tcBorders>
              <w:top w:val="single" w:sz="12" w:space="0" w:color="auto"/>
              <w:bottom w:val="single" w:sz="6" w:space="0" w:color="auto"/>
              <w:tl2br w:val="single" w:sz="6" w:space="0" w:color="auto"/>
            </w:tcBorders>
            <w:shd w:val="clear" w:color="auto" w:fill="auto"/>
            <w:vAlign w:val="center"/>
          </w:tcPr>
          <w:p w:rsidR="005B7137" w:rsidRPr="00F77317" w:rsidRDefault="005B7137" w:rsidP="007668ED">
            <w:pPr>
              <w:pStyle w:val="142"/>
              <w:ind w:left="566" w:hanging="566"/>
              <w:rPr>
                <w:b/>
              </w:rPr>
            </w:pPr>
            <w:r w:rsidRPr="00F77317">
              <w:rPr>
                <w:rFonts w:hint="eastAsia"/>
                <w:b/>
              </w:rPr>
              <w:t xml:space="preserve">      </w:t>
            </w:r>
            <w:r>
              <w:rPr>
                <w:rFonts w:hint="eastAsia"/>
                <w:b/>
              </w:rPr>
              <w:t xml:space="preserve">      </w:t>
            </w:r>
            <w:r w:rsidRPr="00F77317">
              <w:rPr>
                <w:rFonts w:hint="eastAsia"/>
                <w:b/>
              </w:rPr>
              <w:t xml:space="preserve">   </w:t>
            </w:r>
            <w:r>
              <w:rPr>
                <w:rFonts w:hint="eastAsia"/>
                <w:b/>
              </w:rPr>
              <w:t xml:space="preserve">     年底</w:t>
            </w:r>
          </w:p>
          <w:p w:rsidR="005B7137" w:rsidRPr="00F77317" w:rsidRDefault="005B7137" w:rsidP="007668ED">
            <w:pPr>
              <w:pStyle w:val="142"/>
              <w:ind w:left="566" w:hanging="566"/>
              <w:rPr>
                <w:b/>
              </w:rPr>
            </w:pPr>
            <w:r w:rsidRPr="0052531C">
              <w:rPr>
                <w:rFonts w:hint="eastAsia"/>
                <w:b/>
              </w:rPr>
              <w:t>銀行別</w:t>
            </w:r>
          </w:p>
        </w:tc>
        <w:tc>
          <w:tcPr>
            <w:tcW w:w="1453" w:type="dxa"/>
            <w:vAlign w:val="center"/>
          </w:tcPr>
          <w:p w:rsidR="005B7137" w:rsidRPr="00F77317" w:rsidRDefault="005B7137" w:rsidP="007668ED">
            <w:pPr>
              <w:pStyle w:val="142"/>
              <w:ind w:left="566" w:hanging="566"/>
              <w:jc w:val="center"/>
              <w:rPr>
                <w:b/>
              </w:rPr>
            </w:pPr>
            <w:r w:rsidRPr="00F77317">
              <w:rPr>
                <w:rFonts w:hint="eastAsia"/>
                <w:b/>
              </w:rPr>
              <w:t>110年</w:t>
            </w:r>
          </w:p>
        </w:tc>
        <w:tc>
          <w:tcPr>
            <w:tcW w:w="1453" w:type="dxa"/>
            <w:vAlign w:val="center"/>
          </w:tcPr>
          <w:p w:rsidR="005B7137" w:rsidRPr="00F77317" w:rsidRDefault="005B7137" w:rsidP="007668ED">
            <w:pPr>
              <w:pStyle w:val="142"/>
              <w:ind w:left="566" w:hanging="566"/>
              <w:jc w:val="center"/>
              <w:rPr>
                <w:b/>
              </w:rPr>
            </w:pPr>
            <w:r w:rsidRPr="00F77317">
              <w:rPr>
                <w:rFonts w:hint="eastAsia"/>
                <w:b/>
              </w:rPr>
              <w:t>111年</w:t>
            </w:r>
          </w:p>
        </w:tc>
        <w:tc>
          <w:tcPr>
            <w:tcW w:w="1453" w:type="dxa"/>
            <w:vAlign w:val="center"/>
          </w:tcPr>
          <w:p w:rsidR="005B7137" w:rsidRPr="00F77317" w:rsidRDefault="005B7137" w:rsidP="007668ED">
            <w:pPr>
              <w:pStyle w:val="142"/>
              <w:ind w:left="566" w:hanging="566"/>
              <w:jc w:val="center"/>
              <w:rPr>
                <w:b/>
              </w:rPr>
            </w:pPr>
            <w:r w:rsidRPr="00F77317">
              <w:rPr>
                <w:rFonts w:hint="eastAsia"/>
                <w:b/>
              </w:rPr>
              <w:t>112年</w:t>
            </w:r>
          </w:p>
        </w:tc>
        <w:tc>
          <w:tcPr>
            <w:tcW w:w="1453" w:type="dxa"/>
            <w:vAlign w:val="center"/>
          </w:tcPr>
          <w:p w:rsidR="005B7137" w:rsidRPr="00F77317" w:rsidRDefault="005B7137" w:rsidP="007668ED">
            <w:pPr>
              <w:pStyle w:val="142"/>
              <w:ind w:left="566" w:hanging="566"/>
              <w:jc w:val="center"/>
              <w:rPr>
                <w:b/>
              </w:rPr>
            </w:pPr>
            <w:r w:rsidRPr="00F77317">
              <w:rPr>
                <w:rFonts w:hint="eastAsia"/>
                <w:b/>
              </w:rPr>
              <w:t>113年</w:t>
            </w:r>
          </w:p>
        </w:tc>
      </w:tr>
      <w:tr w:rsidR="005B7137" w:rsidRPr="00E04F94" w:rsidTr="007668ED">
        <w:trPr>
          <w:trHeight w:val="20"/>
        </w:trPr>
        <w:tc>
          <w:tcPr>
            <w:tcW w:w="710" w:type="dxa"/>
            <w:vMerge w:val="restart"/>
            <w:shd w:val="clear" w:color="auto" w:fill="auto"/>
            <w:vAlign w:val="center"/>
          </w:tcPr>
          <w:p w:rsidR="005B7137" w:rsidRPr="00831C52" w:rsidRDefault="005B7137" w:rsidP="007668ED">
            <w:pPr>
              <w:pStyle w:val="142"/>
            </w:pPr>
            <w:r w:rsidRPr="00831C52">
              <w:rPr>
                <w:rFonts w:hint="eastAsia"/>
              </w:rPr>
              <w:t>公股銀行</w:t>
            </w:r>
          </w:p>
        </w:tc>
        <w:tc>
          <w:tcPr>
            <w:tcW w:w="2409" w:type="dxa"/>
            <w:shd w:val="clear" w:color="auto" w:fill="auto"/>
            <w:vAlign w:val="center"/>
          </w:tcPr>
          <w:p w:rsidR="005B7137" w:rsidRPr="00831C52" w:rsidRDefault="005B7137" w:rsidP="007668ED">
            <w:pPr>
              <w:pStyle w:val="142"/>
            </w:pPr>
            <w:r w:rsidRPr="00831C52">
              <w:rPr>
                <w:rFonts w:hint="eastAsia"/>
              </w:rPr>
              <w:t>合計數(</w:t>
            </w:r>
            <w:r w:rsidRPr="00831C52">
              <w:t>A)</w:t>
            </w:r>
          </w:p>
        </w:tc>
        <w:tc>
          <w:tcPr>
            <w:tcW w:w="1453" w:type="dxa"/>
            <w:vAlign w:val="center"/>
          </w:tcPr>
          <w:p w:rsidR="005B7137" w:rsidRPr="00B6111A" w:rsidRDefault="005B7137" w:rsidP="007668ED">
            <w:pPr>
              <w:pStyle w:val="142"/>
              <w:jc w:val="right"/>
            </w:pPr>
            <w:r w:rsidRPr="00B6111A">
              <w:t>561</w:t>
            </w:r>
          </w:p>
        </w:tc>
        <w:tc>
          <w:tcPr>
            <w:tcW w:w="1453" w:type="dxa"/>
            <w:vAlign w:val="center"/>
          </w:tcPr>
          <w:p w:rsidR="005B7137" w:rsidRPr="00B6111A" w:rsidRDefault="005B7137" w:rsidP="007668ED">
            <w:pPr>
              <w:pStyle w:val="142"/>
              <w:jc w:val="right"/>
            </w:pPr>
            <w:r w:rsidRPr="00B6111A">
              <w:t>2,428</w:t>
            </w:r>
          </w:p>
        </w:tc>
        <w:tc>
          <w:tcPr>
            <w:tcW w:w="1453" w:type="dxa"/>
            <w:vAlign w:val="center"/>
          </w:tcPr>
          <w:p w:rsidR="005B7137" w:rsidRPr="00B6111A" w:rsidRDefault="005B7137" w:rsidP="007668ED">
            <w:pPr>
              <w:pStyle w:val="142"/>
              <w:jc w:val="right"/>
            </w:pPr>
            <w:r w:rsidRPr="00B6111A">
              <w:t>4,583</w:t>
            </w:r>
          </w:p>
        </w:tc>
        <w:tc>
          <w:tcPr>
            <w:tcW w:w="1453" w:type="dxa"/>
            <w:vAlign w:val="center"/>
          </w:tcPr>
          <w:p w:rsidR="005B7137" w:rsidRPr="00B6111A" w:rsidRDefault="005B7137" w:rsidP="007668ED">
            <w:pPr>
              <w:pStyle w:val="142"/>
              <w:jc w:val="right"/>
            </w:pPr>
            <w:r w:rsidRPr="00B6111A">
              <w:t>7,275</w:t>
            </w:r>
          </w:p>
        </w:tc>
      </w:tr>
      <w:tr w:rsidR="005B7137" w:rsidRPr="00E04F94" w:rsidTr="007668ED">
        <w:trPr>
          <w:trHeight w:val="20"/>
        </w:trPr>
        <w:tc>
          <w:tcPr>
            <w:tcW w:w="710" w:type="dxa"/>
            <w:vMerge/>
            <w:shd w:val="clear" w:color="auto" w:fill="auto"/>
            <w:vAlign w:val="center"/>
          </w:tcPr>
          <w:p w:rsidR="005B7137" w:rsidRPr="00831C52" w:rsidRDefault="005B7137" w:rsidP="007668ED">
            <w:pPr>
              <w:pStyle w:val="142"/>
            </w:pPr>
          </w:p>
        </w:tc>
        <w:tc>
          <w:tcPr>
            <w:tcW w:w="2409" w:type="dxa"/>
            <w:shd w:val="clear" w:color="auto" w:fill="auto"/>
            <w:vAlign w:val="center"/>
          </w:tcPr>
          <w:p w:rsidR="005B7137" w:rsidRPr="00831C52" w:rsidRDefault="005B7137" w:rsidP="007668ED">
            <w:pPr>
              <w:pStyle w:val="142"/>
            </w:pPr>
            <w:r w:rsidRPr="00831C52">
              <w:rPr>
                <w:rFonts w:hint="eastAsia"/>
              </w:rPr>
              <w:t>占比(</w:t>
            </w:r>
            <w:r w:rsidRPr="00831C52">
              <w:t>A)/(C)</w:t>
            </w:r>
            <w:r w:rsidRPr="00CA4087">
              <w:rPr>
                <w:rFonts w:hint="eastAsia"/>
              </w:rPr>
              <w:t>×</w:t>
            </w:r>
            <w:r>
              <w:rPr>
                <w:rFonts w:hint="eastAsia"/>
              </w:rPr>
              <w:t>100%</w:t>
            </w:r>
          </w:p>
        </w:tc>
        <w:tc>
          <w:tcPr>
            <w:tcW w:w="1453" w:type="dxa"/>
            <w:vAlign w:val="center"/>
          </w:tcPr>
          <w:p w:rsidR="005B7137" w:rsidRPr="00B6111A" w:rsidRDefault="005B7137" w:rsidP="007668ED">
            <w:pPr>
              <w:pStyle w:val="142"/>
              <w:jc w:val="right"/>
            </w:pPr>
            <w:r w:rsidRPr="00B6111A">
              <w:t>27.01</w:t>
            </w:r>
          </w:p>
        </w:tc>
        <w:tc>
          <w:tcPr>
            <w:tcW w:w="1453" w:type="dxa"/>
            <w:vAlign w:val="center"/>
          </w:tcPr>
          <w:p w:rsidR="005B7137" w:rsidRPr="00B6111A" w:rsidRDefault="005B7137" w:rsidP="007668ED">
            <w:pPr>
              <w:pStyle w:val="142"/>
              <w:jc w:val="right"/>
            </w:pPr>
            <w:r w:rsidRPr="00B6111A">
              <w:t>53.21</w:t>
            </w:r>
          </w:p>
        </w:tc>
        <w:tc>
          <w:tcPr>
            <w:tcW w:w="1453" w:type="dxa"/>
            <w:vAlign w:val="center"/>
          </w:tcPr>
          <w:p w:rsidR="005B7137" w:rsidRPr="00B6111A" w:rsidRDefault="005B7137" w:rsidP="007668ED">
            <w:pPr>
              <w:pStyle w:val="142"/>
              <w:jc w:val="right"/>
            </w:pPr>
            <w:r w:rsidRPr="00B6111A">
              <w:t>53.47</w:t>
            </w:r>
          </w:p>
        </w:tc>
        <w:tc>
          <w:tcPr>
            <w:tcW w:w="1453" w:type="dxa"/>
            <w:vAlign w:val="center"/>
          </w:tcPr>
          <w:p w:rsidR="005B7137" w:rsidRPr="00B6111A" w:rsidRDefault="005B7137" w:rsidP="007668ED">
            <w:pPr>
              <w:pStyle w:val="142"/>
              <w:jc w:val="right"/>
            </w:pPr>
            <w:r w:rsidRPr="00B6111A">
              <w:t>51.61</w:t>
            </w:r>
          </w:p>
        </w:tc>
      </w:tr>
      <w:tr w:rsidR="005B7137" w:rsidRPr="00E04F94" w:rsidTr="007668ED">
        <w:trPr>
          <w:trHeight w:val="20"/>
        </w:trPr>
        <w:tc>
          <w:tcPr>
            <w:tcW w:w="710" w:type="dxa"/>
            <w:vMerge w:val="restart"/>
            <w:shd w:val="clear" w:color="auto" w:fill="auto"/>
            <w:vAlign w:val="center"/>
          </w:tcPr>
          <w:p w:rsidR="005B7137" w:rsidRPr="00831C52" w:rsidRDefault="005B7137" w:rsidP="007668ED">
            <w:pPr>
              <w:pStyle w:val="142"/>
            </w:pPr>
            <w:r w:rsidRPr="00831C52">
              <w:rPr>
                <w:rFonts w:hint="eastAsia"/>
              </w:rPr>
              <w:t>民營銀行</w:t>
            </w:r>
          </w:p>
        </w:tc>
        <w:tc>
          <w:tcPr>
            <w:tcW w:w="2409" w:type="dxa"/>
            <w:shd w:val="clear" w:color="auto" w:fill="auto"/>
            <w:vAlign w:val="center"/>
          </w:tcPr>
          <w:p w:rsidR="005B7137" w:rsidRPr="00831C52" w:rsidRDefault="005B7137" w:rsidP="007668ED">
            <w:pPr>
              <w:pStyle w:val="142"/>
            </w:pPr>
            <w:r w:rsidRPr="00831C52">
              <w:rPr>
                <w:rFonts w:hint="eastAsia"/>
              </w:rPr>
              <w:t>合計數(</w:t>
            </w:r>
            <w:r w:rsidRPr="00831C52">
              <w:t>B)</w:t>
            </w:r>
          </w:p>
        </w:tc>
        <w:tc>
          <w:tcPr>
            <w:tcW w:w="1453" w:type="dxa"/>
            <w:vAlign w:val="center"/>
          </w:tcPr>
          <w:p w:rsidR="005B7137" w:rsidRPr="00B6111A" w:rsidRDefault="005B7137" w:rsidP="007668ED">
            <w:pPr>
              <w:pStyle w:val="142"/>
              <w:jc w:val="right"/>
            </w:pPr>
            <w:r w:rsidRPr="00B6111A">
              <w:t xml:space="preserve">1,516 </w:t>
            </w:r>
          </w:p>
        </w:tc>
        <w:tc>
          <w:tcPr>
            <w:tcW w:w="1453" w:type="dxa"/>
            <w:vAlign w:val="center"/>
          </w:tcPr>
          <w:p w:rsidR="005B7137" w:rsidRPr="00B6111A" w:rsidRDefault="005B7137" w:rsidP="007668ED">
            <w:pPr>
              <w:pStyle w:val="142"/>
              <w:jc w:val="right"/>
            </w:pPr>
            <w:r w:rsidRPr="00B6111A">
              <w:t xml:space="preserve">2,135 </w:t>
            </w:r>
          </w:p>
        </w:tc>
        <w:tc>
          <w:tcPr>
            <w:tcW w:w="1453" w:type="dxa"/>
            <w:vAlign w:val="center"/>
          </w:tcPr>
          <w:p w:rsidR="005B7137" w:rsidRPr="00B6111A" w:rsidRDefault="005B7137" w:rsidP="007668ED">
            <w:pPr>
              <w:pStyle w:val="142"/>
              <w:jc w:val="right"/>
            </w:pPr>
            <w:r w:rsidRPr="00B6111A">
              <w:t xml:space="preserve">3,988 </w:t>
            </w:r>
          </w:p>
        </w:tc>
        <w:tc>
          <w:tcPr>
            <w:tcW w:w="1453" w:type="dxa"/>
            <w:vAlign w:val="center"/>
          </w:tcPr>
          <w:p w:rsidR="005B7137" w:rsidRPr="00B6111A" w:rsidRDefault="005B7137" w:rsidP="007668ED">
            <w:pPr>
              <w:pStyle w:val="142"/>
              <w:jc w:val="right"/>
            </w:pPr>
            <w:r w:rsidRPr="00B6111A">
              <w:t xml:space="preserve">6,820 </w:t>
            </w:r>
          </w:p>
        </w:tc>
      </w:tr>
      <w:tr w:rsidR="005B7137" w:rsidRPr="00E04F94" w:rsidTr="007668ED">
        <w:trPr>
          <w:trHeight w:val="20"/>
        </w:trPr>
        <w:tc>
          <w:tcPr>
            <w:tcW w:w="710" w:type="dxa"/>
            <w:vMerge/>
            <w:shd w:val="clear" w:color="auto" w:fill="auto"/>
            <w:vAlign w:val="center"/>
          </w:tcPr>
          <w:p w:rsidR="005B7137" w:rsidRPr="00831C52" w:rsidRDefault="005B7137" w:rsidP="007668ED">
            <w:pPr>
              <w:pStyle w:val="142"/>
            </w:pPr>
          </w:p>
        </w:tc>
        <w:tc>
          <w:tcPr>
            <w:tcW w:w="2409" w:type="dxa"/>
            <w:shd w:val="clear" w:color="auto" w:fill="auto"/>
            <w:vAlign w:val="center"/>
          </w:tcPr>
          <w:p w:rsidR="005B7137" w:rsidRPr="00831C52" w:rsidRDefault="005B7137" w:rsidP="007668ED">
            <w:pPr>
              <w:pStyle w:val="142"/>
            </w:pPr>
            <w:r w:rsidRPr="00831C52">
              <w:rPr>
                <w:rFonts w:hint="eastAsia"/>
              </w:rPr>
              <w:t>占比(</w:t>
            </w:r>
            <w:r w:rsidRPr="00831C52">
              <w:t>B)/(C)</w:t>
            </w:r>
            <w:r w:rsidRPr="00CA4087">
              <w:rPr>
                <w:rFonts w:hint="eastAsia"/>
              </w:rPr>
              <w:t>×</w:t>
            </w:r>
            <w:r>
              <w:rPr>
                <w:rFonts w:hint="eastAsia"/>
              </w:rPr>
              <w:t>100%</w:t>
            </w:r>
          </w:p>
        </w:tc>
        <w:tc>
          <w:tcPr>
            <w:tcW w:w="1453" w:type="dxa"/>
            <w:vAlign w:val="center"/>
          </w:tcPr>
          <w:p w:rsidR="005B7137" w:rsidRPr="00B6111A" w:rsidRDefault="005B7137" w:rsidP="007668ED">
            <w:pPr>
              <w:pStyle w:val="142"/>
              <w:jc w:val="right"/>
            </w:pPr>
            <w:r w:rsidRPr="00B6111A">
              <w:t>72.99</w:t>
            </w:r>
          </w:p>
        </w:tc>
        <w:tc>
          <w:tcPr>
            <w:tcW w:w="1453" w:type="dxa"/>
            <w:vAlign w:val="center"/>
          </w:tcPr>
          <w:p w:rsidR="005B7137" w:rsidRPr="00B6111A" w:rsidRDefault="005B7137" w:rsidP="007668ED">
            <w:pPr>
              <w:pStyle w:val="142"/>
              <w:jc w:val="right"/>
            </w:pPr>
            <w:r w:rsidRPr="00B6111A">
              <w:t>46.79</w:t>
            </w:r>
          </w:p>
        </w:tc>
        <w:tc>
          <w:tcPr>
            <w:tcW w:w="1453" w:type="dxa"/>
            <w:vAlign w:val="center"/>
          </w:tcPr>
          <w:p w:rsidR="005B7137" w:rsidRPr="00B6111A" w:rsidRDefault="005B7137" w:rsidP="007668ED">
            <w:pPr>
              <w:pStyle w:val="142"/>
              <w:jc w:val="right"/>
            </w:pPr>
            <w:r w:rsidRPr="00B6111A">
              <w:t>46.53</w:t>
            </w:r>
          </w:p>
        </w:tc>
        <w:tc>
          <w:tcPr>
            <w:tcW w:w="1453" w:type="dxa"/>
            <w:vAlign w:val="center"/>
          </w:tcPr>
          <w:p w:rsidR="005B7137" w:rsidRPr="00B6111A" w:rsidRDefault="005B7137" w:rsidP="007668ED">
            <w:pPr>
              <w:pStyle w:val="142"/>
              <w:jc w:val="right"/>
            </w:pPr>
            <w:r w:rsidRPr="00B6111A">
              <w:t>48.39</w:t>
            </w:r>
          </w:p>
        </w:tc>
      </w:tr>
      <w:tr w:rsidR="005B7137" w:rsidRPr="00E04F94" w:rsidTr="007668ED">
        <w:trPr>
          <w:trHeight w:val="20"/>
        </w:trPr>
        <w:tc>
          <w:tcPr>
            <w:tcW w:w="3119" w:type="dxa"/>
            <w:gridSpan w:val="2"/>
            <w:shd w:val="clear" w:color="auto" w:fill="auto"/>
            <w:vAlign w:val="center"/>
          </w:tcPr>
          <w:p w:rsidR="005B7137" w:rsidRPr="00831C52" w:rsidRDefault="005B7137" w:rsidP="007668ED">
            <w:pPr>
              <w:pStyle w:val="142"/>
            </w:pPr>
            <w:r w:rsidRPr="00831C52">
              <w:rPr>
                <w:rFonts w:hint="eastAsia"/>
              </w:rPr>
              <w:t>銀行業總計(</w:t>
            </w:r>
            <w:r w:rsidRPr="00831C52">
              <w:t>C)=(A)+(B)</w:t>
            </w:r>
          </w:p>
        </w:tc>
        <w:tc>
          <w:tcPr>
            <w:tcW w:w="1453" w:type="dxa"/>
            <w:vAlign w:val="center"/>
          </w:tcPr>
          <w:p w:rsidR="005B7137" w:rsidRPr="00241815" w:rsidRDefault="005B7137" w:rsidP="007668ED">
            <w:pPr>
              <w:pStyle w:val="142"/>
              <w:jc w:val="right"/>
            </w:pPr>
            <w:r w:rsidRPr="00241815">
              <w:t xml:space="preserve">2,077 </w:t>
            </w:r>
          </w:p>
        </w:tc>
        <w:tc>
          <w:tcPr>
            <w:tcW w:w="1453" w:type="dxa"/>
            <w:vAlign w:val="center"/>
          </w:tcPr>
          <w:p w:rsidR="005B7137" w:rsidRPr="00241815" w:rsidRDefault="005B7137" w:rsidP="007668ED">
            <w:pPr>
              <w:pStyle w:val="142"/>
              <w:jc w:val="right"/>
            </w:pPr>
            <w:r w:rsidRPr="00241815">
              <w:t xml:space="preserve">4,563 </w:t>
            </w:r>
          </w:p>
        </w:tc>
        <w:tc>
          <w:tcPr>
            <w:tcW w:w="1453" w:type="dxa"/>
            <w:vAlign w:val="center"/>
          </w:tcPr>
          <w:p w:rsidR="005B7137" w:rsidRPr="00241815" w:rsidRDefault="005B7137" w:rsidP="007668ED">
            <w:pPr>
              <w:pStyle w:val="142"/>
              <w:jc w:val="right"/>
            </w:pPr>
            <w:r w:rsidRPr="00241815">
              <w:t xml:space="preserve">8,571 </w:t>
            </w:r>
          </w:p>
        </w:tc>
        <w:tc>
          <w:tcPr>
            <w:tcW w:w="1453" w:type="dxa"/>
            <w:vAlign w:val="center"/>
          </w:tcPr>
          <w:p w:rsidR="005B7137" w:rsidRPr="00241815" w:rsidRDefault="005B7137" w:rsidP="007668ED">
            <w:pPr>
              <w:pStyle w:val="142"/>
              <w:jc w:val="right"/>
            </w:pPr>
            <w:r w:rsidRPr="00241815">
              <w:t xml:space="preserve">14,095 </w:t>
            </w:r>
          </w:p>
        </w:tc>
      </w:tr>
    </w:tbl>
    <w:p w:rsidR="005B7137" w:rsidRDefault="005B7137" w:rsidP="007668ED">
      <w:pPr>
        <w:pStyle w:val="142"/>
        <w:ind w:leftChars="-50" w:left="1025" w:rightChars="-150" w:right="-425" w:hangingChars="480" w:hanging="1167"/>
      </w:pPr>
      <w:r>
        <w:rPr>
          <w:rFonts w:hint="eastAsia"/>
        </w:rPr>
        <w:t>說    明：據金管會提供資料，本表</w:t>
      </w:r>
      <w:r w:rsidRPr="00EC407A">
        <w:rPr>
          <w:rFonts w:hint="eastAsia"/>
        </w:rPr>
        <w:t>資產管理規模係指銀行依銀行辦理高資產客戶適用之金融商品及服務管理辦法</w:t>
      </w:r>
      <w:r>
        <w:rPr>
          <w:rFonts w:hint="eastAsia"/>
        </w:rPr>
        <w:t>，</w:t>
      </w:r>
      <w:r w:rsidRPr="00EC407A">
        <w:rPr>
          <w:rFonts w:hint="eastAsia"/>
        </w:rPr>
        <w:t>管理高資產客戶資產之規模。</w:t>
      </w:r>
    </w:p>
    <w:p w:rsidR="005B7137" w:rsidRDefault="005B7137" w:rsidP="007668ED">
      <w:pPr>
        <w:pStyle w:val="142"/>
        <w:ind w:leftChars="-50" w:left="1025" w:rightChars="-150" w:right="-425" w:hangingChars="480" w:hanging="1167"/>
      </w:pPr>
      <w:r w:rsidRPr="00E04F94">
        <w:rPr>
          <w:rFonts w:hint="eastAsia"/>
        </w:rPr>
        <w:t>資料來源：</w:t>
      </w:r>
      <w:r>
        <w:rPr>
          <w:rFonts w:hint="eastAsia"/>
        </w:rPr>
        <w:t>金管會，本中心彙製。</w:t>
      </w:r>
    </w:p>
    <w:p w:rsidR="005B7137" w:rsidRDefault="005B7137" w:rsidP="007668ED">
      <w:pPr>
        <w:pStyle w:val="123"/>
        <w:ind w:left="1133" w:hanging="283"/>
      </w:pPr>
      <w:r w:rsidRPr="00532ECE">
        <w:rPr>
          <w:rFonts w:hint="eastAsia"/>
          <w:b/>
        </w:rPr>
        <w:t>2</w:t>
      </w:r>
      <w:r w:rsidRPr="00532ECE">
        <w:rPr>
          <w:b/>
        </w:rPr>
        <w:t>.</w:t>
      </w:r>
      <w:r w:rsidRPr="00532ECE">
        <w:rPr>
          <w:rFonts w:hint="eastAsia"/>
          <w:b/>
        </w:rPr>
        <w:t>整體公股銀行辦理</w:t>
      </w:r>
      <w:r w:rsidRPr="007913AD">
        <w:rPr>
          <w:rFonts w:hint="eastAsia"/>
          <w:b/>
        </w:rPr>
        <w:t>金錢信託及店頭結構型商品等</w:t>
      </w:r>
      <w:r w:rsidRPr="00532ECE">
        <w:rPr>
          <w:rFonts w:hint="eastAsia"/>
          <w:b/>
        </w:rPr>
        <w:t>財富管理業務之資產</w:t>
      </w:r>
      <w:r>
        <w:rPr>
          <w:rFonts w:hint="eastAsia"/>
          <w:b/>
        </w:rPr>
        <w:t>管理</w:t>
      </w:r>
      <w:r w:rsidRPr="00532ECE">
        <w:rPr>
          <w:rFonts w:hint="eastAsia"/>
          <w:b/>
        </w:rPr>
        <w:t>規模</w:t>
      </w:r>
      <w:r>
        <w:rPr>
          <w:rFonts w:hint="eastAsia"/>
          <w:b/>
        </w:rPr>
        <w:t>，於108至113年底間逐年穩定</w:t>
      </w:r>
      <w:r w:rsidRPr="00532ECE">
        <w:rPr>
          <w:rFonts w:hint="eastAsia"/>
          <w:b/>
        </w:rPr>
        <w:t>成長，惟增幅</w:t>
      </w:r>
      <w:r>
        <w:rPr>
          <w:rFonts w:hint="eastAsia"/>
          <w:b/>
        </w:rPr>
        <w:t>低於</w:t>
      </w:r>
      <w:r w:rsidRPr="00532ECE">
        <w:rPr>
          <w:rFonts w:hint="eastAsia"/>
          <w:b/>
        </w:rPr>
        <w:t>民營銀行：</w:t>
      </w:r>
      <w:r w:rsidRPr="002B14BE">
        <w:rPr>
          <w:rFonts w:hint="eastAsia"/>
        </w:rPr>
        <w:t>檢</w:t>
      </w:r>
      <w:r>
        <w:rPr>
          <w:rFonts w:hint="eastAsia"/>
        </w:rPr>
        <w:t>視公股銀行辦理金錢信託(不含證投信、期信基金保管)及店頭結構型商品等財富管理業務之概況，於108至113年底間，</w:t>
      </w:r>
      <w:r w:rsidRPr="00F77317">
        <w:rPr>
          <w:rFonts w:hint="eastAsia"/>
        </w:rPr>
        <w:t>合庫</w:t>
      </w:r>
      <w:r>
        <w:rPr>
          <w:rFonts w:hint="eastAsia"/>
        </w:rPr>
        <w:t>、</w:t>
      </w:r>
      <w:r w:rsidRPr="00F77317">
        <w:rPr>
          <w:rFonts w:hint="eastAsia"/>
        </w:rPr>
        <w:t>一銀</w:t>
      </w:r>
      <w:r>
        <w:rPr>
          <w:rFonts w:hint="eastAsia"/>
        </w:rPr>
        <w:t>、華銀及</w:t>
      </w:r>
      <w:r w:rsidRPr="00F77317">
        <w:rPr>
          <w:rFonts w:hint="eastAsia"/>
        </w:rPr>
        <w:t>兆豐</w:t>
      </w:r>
      <w:r>
        <w:rPr>
          <w:rFonts w:hint="eastAsia"/>
        </w:rPr>
        <w:t>銀所管理之資產規模皆逐年成長，餘4家公股銀行於上開期間之資產管理規模雖略有增減，亦呈概增趨勢，惟整體公股銀行之</w:t>
      </w:r>
      <w:r>
        <w:rPr>
          <w:rFonts w:hint="eastAsia"/>
        </w:rPr>
        <w:lastRenderedPageBreak/>
        <w:t>成長幅度較同期間民營銀行之增幅為低，致其占整體銀行業之比率呈逐年下降態勢(詳表4)。</w:t>
      </w:r>
    </w:p>
    <w:p w:rsidR="005B7137" w:rsidRDefault="005B7137" w:rsidP="007668ED">
      <w:pPr>
        <w:pStyle w:val="142"/>
        <w:spacing w:before="240"/>
        <w:ind w:leftChars="-100" w:left="-283" w:rightChars="-100" w:right="-283"/>
        <w:rPr>
          <w:b/>
        </w:rPr>
      </w:pPr>
      <w:r w:rsidRPr="002D55AD">
        <w:rPr>
          <w:rFonts w:hint="eastAsia"/>
          <w:b/>
          <w:bCs/>
          <w:snapToGrid/>
          <w:sz w:val="28"/>
        </w:rPr>
        <w:t>表</w:t>
      </w:r>
      <w:r>
        <w:rPr>
          <w:rFonts w:hint="eastAsia"/>
          <w:b/>
          <w:bCs/>
          <w:snapToGrid/>
          <w:sz w:val="28"/>
        </w:rPr>
        <w:t>4</w:t>
      </w:r>
      <w:r w:rsidRPr="002D55AD">
        <w:rPr>
          <w:rFonts w:hint="eastAsia"/>
          <w:b/>
          <w:bCs/>
          <w:snapToGrid/>
          <w:sz w:val="28"/>
        </w:rPr>
        <w:t xml:space="preserve">  近年銀行業辦理財富管理業務之資產管理規模概況表 </w:t>
      </w:r>
    </w:p>
    <w:p w:rsidR="005B7137" w:rsidRPr="00A46A86" w:rsidRDefault="005B7137" w:rsidP="007668ED">
      <w:pPr>
        <w:pStyle w:val="142"/>
        <w:ind w:leftChars="-50" w:left="-142" w:rightChars="-150" w:right="-425"/>
        <w:rPr>
          <w:szCs w:val="24"/>
        </w:rPr>
      </w:pPr>
      <w:r>
        <w:rPr>
          <w:rFonts w:hint="eastAsia"/>
          <w:szCs w:val="24"/>
        </w:rPr>
        <w:t xml:space="preserve">                                                     </w:t>
      </w:r>
      <w:r w:rsidRPr="00A46A86">
        <w:rPr>
          <w:rFonts w:hint="eastAsia"/>
          <w:szCs w:val="24"/>
        </w:rPr>
        <w:t>單位：新臺幣億元；%</w:t>
      </w:r>
    </w:p>
    <w:tbl>
      <w:tblPr>
        <w:tblW w:w="8789"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426"/>
        <w:gridCol w:w="2126"/>
        <w:gridCol w:w="1039"/>
        <w:gridCol w:w="1040"/>
        <w:gridCol w:w="1039"/>
        <w:gridCol w:w="1040"/>
        <w:gridCol w:w="1039"/>
        <w:gridCol w:w="1040"/>
      </w:tblGrid>
      <w:tr w:rsidR="005B7137" w:rsidRPr="00E04F94" w:rsidTr="007668ED">
        <w:trPr>
          <w:trHeight w:val="283"/>
          <w:tblHeader/>
        </w:trPr>
        <w:tc>
          <w:tcPr>
            <w:tcW w:w="2552" w:type="dxa"/>
            <w:gridSpan w:val="2"/>
            <w:tcBorders>
              <w:top w:val="single" w:sz="12" w:space="0" w:color="auto"/>
              <w:bottom w:val="single" w:sz="6" w:space="0" w:color="auto"/>
              <w:tl2br w:val="single" w:sz="6" w:space="0" w:color="auto"/>
            </w:tcBorders>
            <w:shd w:val="clear" w:color="auto" w:fill="auto"/>
            <w:vAlign w:val="center"/>
          </w:tcPr>
          <w:p w:rsidR="005B7137" w:rsidRPr="00F77317" w:rsidRDefault="005B7137" w:rsidP="007668ED">
            <w:pPr>
              <w:pStyle w:val="142"/>
              <w:rPr>
                <w:b/>
              </w:rPr>
            </w:pPr>
            <w:r w:rsidRPr="00F77317">
              <w:rPr>
                <w:rFonts w:hint="eastAsia"/>
                <w:b/>
              </w:rPr>
              <w:t xml:space="preserve">          </w:t>
            </w:r>
            <w:r>
              <w:rPr>
                <w:rFonts w:hint="eastAsia"/>
                <w:b/>
              </w:rPr>
              <w:t xml:space="preserve">   </w:t>
            </w:r>
            <w:r w:rsidRPr="00F77317">
              <w:rPr>
                <w:rFonts w:hint="eastAsia"/>
                <w:b/>
              </w:rPr>
              <w:t xml:space="preserve"> 年</w:t>
            </w:r>
            <w:r>
              <w:rPr>
                <w:rFonts w:hint="eastAsia"/>
                <w:b/>
              </w:rPr>
              <w:t>底</w:t>
            </w:r>
          </w:p>
          <w:p w:rsidR="005B7137" w:rsidRPr="00F77317" w:rsidRDefault="005B7137" w:rsidP="007668ED">
            <w:pPr>
              <w:pStyle w:val="142"/>
              <w:rPr>
                <w:b/>
              </w:rPr>
            </w:pPr>
            <w:r w:rsidRPr="0052531C">
              <w:rPr>
                <w:rFonts w:hint="eastAsia"/>
                <w:b/>
              </w:rPr>
              <w:t>銀行別</w:t>
            </w:r>
          </w:p>
        </w:tc>
        <w:tc>
          <w:tcPr>
            <w:tcW w:w="1039" w:type="dxa"/>
            <w:shd w:val="clear" w:color="auto" w:fill="auto"/>
            <w:vAlign w:val="center"/>
          </w:tcPr>
          <w:p w:rsidR="005B7137" w:rsidRPr="00F77317" w:rsidRDefault="005B7137" w:rsidP="007668ED">
            <w:pPr>
              <w:pStyle w:val="142"/>
              <w:jc w:val="center"/>
              <w:rPr>
                <w:b/>
              </w:rPr>
            </w:pPr>
            <w:r w:rsidRPr="00F77317">
              <w:rPr>
                <w:rFonts w:hint="eastAsia"/>
                <w:b/>
              </w:rPr>
              <w:t>108年</w:t>
            </w:r>
          </w:p>
        </w:tc>
        <w:tc>
          <w:tcPr>
            <w:tcW w:w="1040" w:type="dxa"/>
            <w:vAlign w:val="center"/>
          </w:tcPr>
          <w:p w:rsidR="005B7137" w:rsidRPr="00F77317" w:rsidRDefault="005B7137" w:rsidP="007668ED">
            <w:pPr>
              <w:pStyle w:val="142"/>
              <w:jc w:val="center"/>
              <w:rPr>
                <w:b/>
              </w:rPr>
            </w:pPr>
            <w:r w:rsidRPr="00F77317">
              <w:rPr>
                <w:rFonts w:hint="eastAsia"/>
                <w:b/>
              </w:rPr>
              <w:t>109年</w:t>
            </w:r>
          </w:p>
        </w:tc>
        <w:tc>
          <w:tcPr>
            <w:tcW w:w="1039" w:type="dxa"/>
            <w:vAlign w:val="center"/>
          </w:tcPr>
          <w:p w:rsidR="005B7137" w:rsidRPr="00F77317" w:rsidRDefault="005B7137" w:rsidP="007668ED">
            <w:pPr>
              <w:pStyle w:val="142"/>
              <w:jc w:val="center"/>
              <w:rPr>
                <w:b/>
              </w:rPr>
            </w:pPr>
            <w:r w:rsidRPr="00F77317">
              <w:rPr>
                <w:rFonts w:hint="eastAsia"/>
                <w:b/>
              </w:rPr>
              <w:t>110年</w:t>
            </w:r>
          </w:p>
        </w:tc>
        <w:tc>
          <w:tcPr>
            <w:tcW w:w="1040" w:type="dxa"/>
            <w:vAlign w:val="center"/>
          </w:tcPr>
          <w:p w:rsidR="005B7137" w:rsidRPr="00F77317" w:rsidRDefault="005B7137" w:rsidP="007668ED">
            <w:pPr>
              <w:pStyle w:val="142"/>
              <w:jc w:val="center"/>
              <w:rPr>
                <w:b/>
              </w:rPr>
            </w:pPr>
            <w:r w:rsidRPr="00F77317">
              <w:rPr>
                <w:rFonts w:hint="eastAsia"/>
                <w:b/>
              </w:rPr>
              <w:t>111年</w:t>
            </w:r>
          </w:p>
        </w:tc>
        <w:tc>
          <w:tcPr>
            <w:tcW w:w="1039" w:type="dxa"/>
            <w:vAlign w:val="center"/>
          </w:tcPr>
          <w:p w:rsidR="005B7137" w:rsidRPr="00F77317" w:rsidRDefault="005B7137" w:rsidP="007668ED">
            <w:pPr>
              <w:pStyle w:val="142"/>
              <w:jc w:val="center"/>
              <w:rPr>
                <w:b/>
              </w:rPr>
            </w:pPr>
            <w:r w:rsidRPr="00F77317">
              <w:rPr>
                <w:rFonts w:hint="eastAsia"/>
                <w:b/>
              </w:rPr>
              <w:t>112年</w:t>
            </w:r>
          </w:p>
        </w:tc>
        <w:tc>
          <w:tcPr>
            <w:tcW w:w="1040" w:type="dxa"/>
            <w:vAlign w:val="center"/>
          </w:tcPr>
          <w:p w:rsidR="005B7137" w:rsidRPr="00F77317" w:rsidRDefault="005B7137" w:rsidP="007668ED">
            <w:pPr>
              <w:pStyle w:val="142"/>
              <w:jc w:val="center"/>
              <w:rPr>
                <w:b/>
              </w:rPr>
            </w:pPr>
            <w:r w:rsidRPr="00F77317">
              <w:rPr>
                <w:rFonts w:hint="eastAsia"/>
                <w:b/>
              </w:rPr>
              <w:t>113年</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臺灣銀行</w:t>
            </w:r>
          </w:p>
        </w:tc>
        <w:tc>
          <w:tcPr>
            <w:tcW w:w="1039" w:type="dxa"/>
            <w:shd w:val="clear" w:color="auto" w:fill="auto"/>
            <w:vAlign w:val="center"/>
          </w:tcPr>
          <w:p w:rsidR="005B7137" w:rsidRPr="0052114B" w:rsidRDefault="005B7137" w:rsidP="007668ED">
            <w:pPr>
              <w:pStyle w:val="142"/>
              <w:jc w:val="right"/>
            </w:pPr>
            <w:r w:rsidRPr="0052114B">
              <w:t xml:space="preserve">664 </w:t>
            </w:r>
          </w:p>
        </w:tc>
        <w:tc>
          <w:tcPr>
            <w:tcW w:w="1040" w:type="dxa"/>
            <w:vAlign w:val="center"/>
          </w:tcPr>
          <w:p w:rsidR="005B7137" w:rsidRPr="0052114B" w:rsidRDefault="005B7137" w:rsidP="007668ED">
            <w:pPr>
              <w:pStyle w:val="142"/>
              <w:jc w:val="right"/>
            </w:pPr>
            <w:r w:rsidRPr="0052114B">
              <w:t xml:space="preserve">619 </w:t>
            </w:r>
          </w:p>
        </w:tc>
        <w:tc>
          <w:tcPr>
            <w:tcW w:w="1039" w:type="dxa"/>
            <w:vAlign w:val="center"/>
          </w:tcPr>
          <w:p w:rsidR="005B7137" w:rsidRPr="0052114B" w:rsidRDefault="005B7137" w:rsidP="007668ED">
            <w:pPr>
              <w:pStyle w:val="142"/>
              <w:jc w:val="right"/>
            </w:pPr>
            <w:r w:rsidRPr="0052114B">
              <w:t xml:space="preserve">586 </w:t>
            </w:r>
          </w:p>
        </w:tc>
        <w:tc>
          <w:tcPr>
            <w:tcW w:w="1040" w:type="dxa"/>
            <w:vAlign w:val="center"/>
          </w:tcPr>
          <w:p w:rsidR="005B7137" w:rsidRPr="0052114B" w:rsidRDefault="005B7137" w:rsidP="007668ED">
            <w:pPr>
              <w:pStyle w:val="142"/>
              <w:jc w:val="right"/>
            </w:pPr>
            <w:r w:rsidRPr="0052114B">
              <w:t xml:space="preserve">567 </w:t>
            </w:r>
          </w:p>
        </w:tc>
        <w:tc>
          <w:tcPr>
            <w:tcW w:w="1039" w:type="dxa"/>
            <w:vAlign w:val="center"/>
          </w:tcPr>
          <w:p w:rsidR="005B7137" w:rsidRPr="0052114B" w:rsidRDefault="005B7137" w:rsidP="007668ED">
            <w:pPr>
              <w:pStyle w:val="142"/>
              <w:jc w:val="right"/>
            </w:pPr>
            <w:r w:rsidRPr="0052114B">
              <w:t xml:space="preserve">645 </w:t>
            </w:r>
          </w:p>
        </w:tc>
        <w:tc>
          <w:tcPr>
            <w:tcW w:w="1040" w:type="dxa"/>
            <w:vAlign w:val="center"/>
          </w:tcPr>
          <w:p w:rsidR="005B7137" w:rsidRPr="0052114B" w:rsidRDefault="005B7137" w:rsidP="007668ED">
            <w:pPr>
              <w:pStyle w:val="142"/>
              <w:jc w:val="right"/>
            </w:pPr>
            <w:r w:rsidRPr="0052114B">
              <w:t xml:space="preserve">744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臺灣土地銀行</w:t>
            </w:r>
          </w:p>
        </w:tc>
        <w:tc>
          <w:tcPr>
            <w:tcW w:w="1039" w:type="dxa"/>
            <w:shd w:val="clear" w:color="auto" w:fill="auto"/>
            <w:vAlign w:val="center"/>
          </w:tcPr>
          <w:p w:rsidR="005B7137" w:rsidRPr="0052114B" w:rsidRDefault="005B7137" w:rsidP="007668ED">
            <w:pPr>
              <w:pStyle w:val="142"/>
              <w:jc w:val="right"/>
            </w:pPr>
            <w:r w:rsidRPr="0052114B">
              <w:t xml:space="preserve">565 </w:t>
            </w:r>
          </w:p>
        </w:tc>
        <w:tc>
          <w:tcPr>
            <w:tcW w:w="1040" w:type="dxa"/>
            <w:vAlign w:val="center"/>
          </w:tcPr>
          <w:p w:rsidR="005B7137" w:rsidRPr="0052114B" w:rsidRDefault="005B7137" w:rsidP="007668ED">
            <w:pPr>
              <w:pStyle w:val="142"/>
              <w:jc w:val="right"/>
            </w:pPr>
            <w:r w:rsidRPr="0052114B">
              <w:t xml:space="preserve">573 </w:t>
            </w:r>
          </w:p>
        </w:tc>
        <w:tc>
          <w:tcPr>
            <w:tcW w:w="1039" w:type="dxa"/>
            <w:vAlign w:val="center"/>
          </w:tcPr>
          <w:p w:rsidR="005B7137" w:rsidRPr="0052114B" w:rsidRDefault="005B7137" w:rsidP="007668ED">
            <w:pPr>
              <w:pStyle w:val="142"/>
              <w:jc w:val="right"/>
            </w:pPr>
            <w:r w:rsidRPr="0052114B">
              <w:t xml:space="preserve">621 </w:t>
            </w:r>
          </w:p>
        </w:tc>
        <w:tc>
          <w:tcPr>
            <w:tcW w:w="1040" w:type="dxa"/>
            <w:vAlign w:val="center"/>
          </w:tcPr>
          <w:p w:rsidR="005B7137" w:rsidRPr="0052114B" w:rsidRDefault="005B7137" w:rsidP="007668ED">
            <w:pPr>
              <w:pStyle w:val="142"/>
              <w:jc w:val="right"/>
            </w:pPr>
            <w:r w:rsidRPr="0052114B">
              <w:t xml:space="preserve">602 </w:t>
            </w:r>
          </w:p>
        </w:tc>
        <w:tc>
          <w:tcPr>
            <w:tcW w:w="1039" w:type="dxa"/>
            <w:vAlign w:val="center"/>
          </w:tcPr>
          <w:p w:rsidR="005B7137" w:rsidRPr="0052114B" w:rsidRDefault="005B7137" w:rsidP="007668ED">
            <w:pPr>
              <w:pStyle w:val="142"/>
              <w:jc w:val="right"/>
            </w:pPr>
            <w:r w:rsidRPr="0052114B">
              <w:t xml:space="preserve">612 </w:t>
            </w:r>
          </w:p>
        </w:tc>
        <w:tc>
          <w:tcPr>
            <w:tcW w:w="1040" w:type="dxa"/>
            <w:vAlign w:val="center"/>
          </w:tcPr>
          <w:p w:rsidR="005B7137" w:rsidRPr="0052114B" w:rsidRDefault="005B7137" w:rsidP="007668ED">
            <w:pPr>
              <w:pStyle w:val="142"/>
              <w:jc w:val="right"/>
            </w:pPr>
            <w:r w:rsidRPr="0052114B">
              <w:t xml:space="preserve">609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合作金庫商業銀行</w:t>
            </w:r>
          </w:p>
        </w:tc>
        <w:tc>
          <w:tcPr>
            <w:tcW w:w="1039" w:type="dxa"/>
            <w:shd w:val="clear" w:color="auto" w:fill="auto"/>
            <w:vAlign w:val="center"/>
          </w:tcPr>
          <w:p w:rsidR="005B7137" w:rsidRPr="0052114B" w:rsidRDefault="005B7137" w:rsidP="007668ED">
            <w:pPr>
              <w:pStyle w:val="142"/>
              <w:jc w:val="right"/>
            </w:pPr>
            <w:r w:rsidRPr="0052114B">
              <w:t xml:space="preserve">1,838 </w:t>
            </w:r>
          </w:p>
        </w:tc>
        <w:tc>
          <w:tcPr>
            <w:tcW w:w="1040" w:type="dxa"/>
            <w:vAlign w:val="center"/>
          </w:tcPr>
          <w:p w:rsidR="005B7137" w:rsidRPr="0052114B" w:rsidRDefault="005B7137" w:rsidP="007668ED">
            <w:pPr>
              <w:pStyle w:val="142"/>
              <w:jc w:val="right"/>
            </w:pPr>
            <w:r w:rsidRPr="0052114B">
              <w:t xml:space="preserve">1,867 </w:t>
            </w:r>
          </w:p>
        </w:tc>
        <w:tc>
          <w:tcPr>
            <w:tcW w:w="1039" w:type="dxa"/>
            <w:vAlign w:val="center"/>
          </w:tcPr>
          <w:p w:rsidR="005B7137" w:rsidRPr="0052114B" w:rsidRDefault="005B7137" w:rsidP="007668ED">
            <w:pPr>
              <w:pStyle w:val="142"/>
              <w:jc w:val="right"/>
            </w:pPr>
            <w:r w:rsidRPr="0052114B">
              <w:t xml:space="preserve">2,042 </w:t>
            </w:r>
          </w:p>
        </w:tc>
        <w:tc>
          <w:tcPr>
            <w:tcW w:w="1040" w:type="dxa"/>
            <w:vAlign w:val="center"/>
          </w:tcPr>
          <w:p w:rsidR="005B7137" w:rsidRPr="0052114B" w:rsidRDefault="005B7137" w:rsidP="007668ED">
            <w:pPr>
              <w:pStyle w:val="142"/>
              <w:jc w:val="right"/>
            </w:pPr>
            <w:r w:rsidRPr="0052114B">
              <w:t xml:space="preserve">2,246 </w:t>
            </w:r>
          </w:p>
        </w:tc>
        <w:tc>
          <w:tcPr>
            <w:tcW w:w="1039" w:type="dxa"/>
            <w:vAlign w:val="center"/>
          </w:tcPr>
          <w:p w:rsidR="005B7137" w:rsidRPr="0052114B" w:rsidRDefault="005B7137" w:rsidP="007668ED">
            <w:pPr>
              <w:pStyle w:val="142"/>
              <w:jc w:val="right"/>
            </w:pPr>
            <w:r w:rsidRPr="0052114B">
              <w:t xml:space="preserve">2,435 </w:t>
            </w:r>
          </w:p>
        </w:tc>
        <w:tc>
          <w:tcPr>
            <w:tcW w:w="1040" w:type="dxa"/>
            <w:vAlign w:val="center"/>
          </w:tcPr>
          <w:p w:rsidR="005B7137" w:rsidRPr="0052114B" w:rsidRDefault="005B7137" w:rsidP="007668ED">
            <w:pPr>
              <w:pStyle w:val="142"/>
              <w:jc w:val="right"/>
            </w:pPr>
            <w:r w:rsidRPr="0052114B">
              <w:t xml:space="preserve">2,823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第一商業銀行</w:t>
            </w:r>
          </w:p>
        </w:tc>
        <w:tc>
          <w:tcPr>
            <w:tcW w:w="1039" w:type="dxa"/>
            <w:shd w:val="clear" w:color="auto" w:fill="auto"/>
            <w:vAlign w:val="center"/>
          </w:tcPr>
          <w:p w:rsidR="005B7137" w:rsidRPr="0052114B" w:rsidRDefault="005B7137" w:rsidP="007668ED">
            <w:pPr>
              <w:pStyle w:val="142"/>
              <w:jc w:val="right"/>
            </w:pPr>
            <w:r w:rsidRPr="0052114B">
              <w:t xml:space="preserve">2,760 </w:t>
            </w:r>
          </w:p>
        </w:tc>
        <w:tc>
          <w:tcPr>
            <w:tcW w:w="1040" w:type="dxa"/>
            <w:vAlign w:val="center"/>
          </w:tcPr>
          <w:p w:rsidR="005B7137" w:rsidRPr="0052114B" w:rsidRDefault="005B7137" w:rsidP="007668ED">
            <w:pPr>
              <w:pStyle w:val="142"/>
              <w:jc w:val="right"/>
            </w:pPr>
            <w:r w:rsidRPr="0052114B">
              <w:t xml:space="preserve">2,796 </w:t>
            </w:r>
          </w:p>
        </w:tc>
        <w:tc>
          <w:tcPr>
            <w:tcW w:w="1039" w:type="dxa"/>
            <w:vAlign w:val="center"/>
          </w:tcPr>
          <w:p w:rsidR="005B7137" w:rsidRPr="0052114B" w:rsidRDefault="005B7137" w:rsidP="007668ED">
            <w:pPr>
              <w:pStyle w:val="142"/>
              <w:jc w:val="right"/>
            </w:pPr>
            <w:r w:rsidRPr="0052114B">
              <w:t xml:space="preserve">2,946 </w:t>
            </w:r>
          </w:p>
        </w:tc>
        <w:tc>
          <w:tcPr>
            <w:tcW w:w="1040" w:type="dxa"/>
            <w:vAlign w:val="center"/>
          </w:tcPr>
          <w:p w:rsidR="005B7137" w:rsidRPr="0052114B" w:rsidRDefault="005B7137" w:rsidP="007668ED">
            <w:pPr>
              <w:pStyle w:val="142"/>
              <w:jc w:val="right"/>
            </w:pPr>
            <w:r w:rsidRPr="0052114B">
              <w:t xml:space="preserve">3,541 </w:t>
            </w:r>
          </w:p>
        </w:tc>
        <w:tc>
          <w:tcPr>
            <w:tcW w:w="1039" w:type="dxa"/>
            <w:vAlign w:val="center"/>
          </w:tcPr>
          <w:p w:rsidR="005B7137" w:rsidRPr="0052114B" w:rsidRDefault="005B7137" w:rsidP="007668ED">
            <w:pPr>
              <w:pStyle w:val="142"/>
              <w:jc w:val="right"/>
            </w:pPr>
            <w:r w:rsidRPr="0052114B">
              <w:t xml:space="preserve">3,814 </w:t>
            </w:r>
          </w:p>
        </w:tc>
        <w:tc>
          <w:tcPr>
            <w:tcW w:w="1040" w:type="dxa"/>
            <w:vAlign w:val="center"/>
          </w:tcPr>
          <w:p w:rsidR="005B7137" w:rsidRPr="0052114B" w:rsidRDefault="005B7137" w:rsidP="007668ED">
            <w:pPr>
              <w:pStyle w:val="142"/>
              <w:jc w:val="right"/>
            </w:pPr>
            <w:r w:rsidRPr="0052114B">
              <w:t xml:space="preserve">4,272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華南商業銀行</w:t>
            </w:r>
          </w:p>
        </w:tc>
        <w:tc>
          <w:tcPr>
            <w:tcW w:w="1039" w:type="dxa"/>
            <w:shd w:val="clear" w:color="auto" w:fill="auto"/>
            <w:vAlign w:val="center"/>
          </w:tcPr>
          <w:p w:rsidR="005B7137" w:rsidRPr="0052114B" w:rsidRDefault="005B7137" w:rsidP="007668ED">
            <w:pPr>
              <w:pStyle w:val="142"/>
              <w:jc w:val="right"/>
            </w:pPr>
            <w:r w:rsidRPr="0052114B">
              <w:t xml:space="preserve">2,013 </w:t>
            </w:r>
          </w:p>
        </w:tc>
        <w:tc>
          <w:tcPr>
            <w:tcW w:w="1040" w:type="dxa"/>
            <w:vAlign w:val="center"/>
          </w:tcPr>
          <w:p w:rsidR="005B7137" w:rsidRPr="0052114B" w:rsidRDefault="005B7137" w:rsidP="007668ED">
            <w:pPr>
              <w:pStyle w:val="142"/>
              <w:jc w:val="right"/>
            </w:pPr>
            <w:r w:rsidRPr="0052114B">
              <w:t xml:space="preserve">2,080 </w:t>
            </w:r>
          </w:p>
        </w:tc>
        <w:tc>
          <w:tcPr>
            <w:tcW w:w="1039" w:type="dxa"/>
            <w:vAlign w:val="center"/>
          </w:tcPr>
          <w:p w:rsidR="005B7137" w:rsidRPr="0052114B" w:rsidRDefault="005B7137" w:rsidP="007668ED">
            <w:pPr>
              <w:pStyle w:val="142"/>
              <w:jc w:val="right"/>
            </w:pPr>
            <w:r w:rsidRPr="0052114B">
              <w:t xml:space="preserve">2,107 </w:t>
            </w:r>
          </w:p>
        </w:tc>
        <w:tc>
          <w:tcPr>
            <w:tcW w:w="1040" w:type="dxa"/>
            <w:vAlign w:val="center"/>
          </w:tcPr>
          <w:p w:rsidR="005B7137" w:rsidRPr="0052114B" w:rsidRDefault="005B7137" w:rsidP="007668ED">
            <w:pPr>
              <w:pStyle w:val="142"/>
              <w:jc w:val="right"/>
            </w:pPr>
            <w:r w:rsidRPr="0052114B">
              <w:t xml:space="preserve">2,289 </w:t>
            </w:r>
          </w:p>
        </w:tc>
        <w:tc>
          <w:tcPr>
            <w:tcW w:w="1039" w:type="dxa"/>
            <w:vAlign w:val="center"/>
          </w:tcPr>
          <w:p w:rsidR="005B7137" w:rsidRPr="0052114B" w:rsidRDefault="005B7137" w:rsidP="007668ED">
            <w:pPr>
              <w:pStyle w:val="142"/>
              <w:jc w:val="right"/>
            </w:pPr>
            <w:r w:rsidRPr="0052114B">
              <w:t xml:space="preserve">2,519 </w:t>
            </w:r>
          </w:p>
        </w:tc>
        <w:tc>
          <w:tcPr>
            <w:tcW w:w="1040" w:type="dxa"/>
            <w:vAlign w:val="center"/>
          </w:tcPr>
          <w:p w:rsidR="005B7137" w:rsidRPr="0052114B" w:rsidRDefault="005B7137" w:rsidP="007668ED">
            <w:pPr>
              <w:pStyle w:val="142"/>
              <w:jc w:val="right"/>
            </w:pPr>
            <w:r w:rsidRPr="0052114B">
              <w:t xml:space="preserve">2,557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彰化商業銀行</w:t>
            </w:r>
          </w:p>
        </w:tc>
        <w:tc>
          <w:tcPr>
            <w:tcW w:w="1039" w:type="dxa"/>
            <w:shd w:val="clear" w:color="auto" w:fill="auto"/>
            <w:vAlign w:val="center"/>
          </w:tcPr>
          <w:p w:rsidR="005B7137" w:rsidRPr="0052114B" w:rsidRDefault="005B7137" w:rsidP="007668ED">
            <w:pPr>
              <w:pStyle w:val="142"/>
              <w:jc w:val="right"/>
            </w:pPr>
            <w:r w:rsidRPr="0052114B">
              <w:t xml:space="preserve">867 </w:t>
            </w:r>
          </w:p>
        </w:tc>
        <w:tc>
          <w:tcPr>
            <w:tcW w:w="1040" w:type="dxa"/>
            <w:vAlign w:val="center"/>
          </w:tcPr>
          <w:p w:rsidR="005B7137" w:rsidRPr="0052114B" w:rsidRDefault="005B7137" w:rsidP="007668ED">
            <w:pPr>
              <w:pStyle w:val="142"/>
              <w:jc w:val="right"/>
            </w:pPr>
            <w:r w:rsidRPr="0052114B">
              <w:t xml:space="preserve">809 </w:t>
            </w:r>
          </w:p>
        </w:tc>
        <w:tc>
          <w:tcPr>
            <w:tcW w:w="1039" w:type="dxa"/>
            <w:vAlign w:val="center"/>
          </w:tcPr>
          <w:p w:rsidR="005B7137" w:rsidRPr="0052114B" w:rsidRDefault="005B7137" w:rsidP="007668ED">
            <w:pPr>
              <w:pStyle w:val="142"/>
              <w:jc w:val="right"/>
            </w:pPr>
            <w:r w:rsidRPr="0052114B">
              <w:t xml:space="preserve">836 </w:t>
            </w:r>
          </w:p>
        </w:tc>
        <w:tc>
          <w:tcPr>
            <w:tcW w:w="1040" w:type="dxa"/>
            <w:vAlign w:val="center"/>
          </w:tcPr>
          <w:p w:rsidR="005B7137" w:rsidRPr="0052114B" w:rsidRDefault="005B7137" w:rsidP="007668ED">
            <w:pPr>
              <w:pStyle w:val="142"/>
              <w:jc w:val="right"/>
            </w:pPr>
            <w:r w:rsidRPr="0052114B">
              <w:t xml:space="preserve">782 </w:t>
            </w:r>
          </w:p>
        </w:tc>
        <w:tc>
          <w:tcPr>
            <w:tcW w:w="1039" w:type="dxa"/>
            <w:vAlign w:val="center"/>
          </w:tcPr>
          <w:p w:rsidR="005B7137" w:rsidRPr="0052114B" w:rsidRDefault="005B7137" w:rsidP="007668ED">
            <w:pPr>
              <w:pStyle w:val="142"/>
              <w:jc w:val="right"/>
            </w:pPr>
            <w:r w:rsidRPr="0052114B">
              <w:t xml:space="preserve">917 </w:t>
            </w:r>
          </w:p>
        </w:tc>
        <w:tc>
          <w:tcPr>
            <w:tcW w:w="1040" w:type="dxa"/>
            <w:vAlign w:val="center"/>
          </w:tcPr>
          <w:p w:rsidR="005B7137" w:rsidRPr="0052114B" w:rsidRDefault="005B7137" w:rsidP="007668ED">
            <w:pPr>
              <w:pStyle w:val="142"/>
              <w:jc w:val="right"/>
            </w:pPr>
            <w:r w:rsidRPr="0052114B">
              <w:t xml:space="preserve">1,180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兆豐國際商業銀行</w:t>
            </w:r>
          </w:p>
        </w:tc>
        <w:tc>
          <w:tcPr>
            <w:tcW w:w="1039" w:type="dxa"/>
            <w:shd w:val="clear" w:color="auto" w:fill="auto"/>
            <w:vAlign w:val="center"/>
          </w:tcPr>
          <w:p w:rsidR="005B7137" w:rsidRPr="0052114B" w:rsidRDefault="005B7137" w:rsidP="007668ED">
            <w:pPr>
              <w:pStyle w:val="142"/>
              <w:jc w:val="right"/>
            </w:pPr>
            <w:r w:rsidRPr="0052114B">
              <w:t xml:space="preserve">3,515 </w:t>
            </w:r>
          </w:p>
        </w:tc>
        <w:tc>
          <w:tcPr>
            <w:tcW w:w="1040" w:type="dxa"/>
            <w:vAlign w:val="center"/>
          </w:tcPr>
          <w:p w:rsidR="005B7137" w:rsidRPr="0052114B" w:rsidRDefault="005B7137" w:rsidP="007668ED">
            <w:pPr>
              <w:pStyle w:val="142"/>
              <w:jc w:val="right"/>
            </w:pPr>
            <w:r w:rsidRPr="0052114B">
              <w:t xml:space="preserve">3,579 </w:t>
            </w:r>
          </w:p>
        </w:tc>
        <w:tc>
          <w:tcPr>
            <w:tcW w:w="1039" w:type="dxa"/>
            <w:vAlign w:val="center"/>
          </w:tcPr>
          <w:p w:rsidR="005B7137" w:rsidRPr="0052114B" w:rsidRDefault="005B7137" w:rsidP="007668ED">
            <w:pPr>
              <w:pStyle w:val="142"/>
              <w:jc w:val="right"/>
            </w:pPr>
            <w:r w:rsidRPr="0052114B">
              <w:t xml:space="preserve">3,675 </w:t>
            </w:r>
          </w:p>
        </w:tc>
        <w:tc>
          <w:tcPr>
            <w:tcW w:w="1040" w:type="dxa"/>
            <w:vAlign w:val="center"/>
          </w:tcPr>
          <w:p w:rsidR="005B7137" w:rsidRPr="0052114B" w:rsidRDefault="005B7137" w:rsidP="007668ED">
            <w:pPr>
              <w:pStyle w:val="142"/>
              <w:jc w:val="right"/>
            </w:pPr>
            <w:r w:rsidRPr="0052114B">
              <w:t xml:space="preserve">3,923 </w:t>
            </w:r>
          </w:p>
        </w:tc>
        <w:tc>
          <w:tcPr>
            <w:tcW w:w="1039" w:type="dxa"/>
            <w:vAlign w:val="center"/>
          </w:tcPr>
          <w:p w:rsidR="005B7137" w:rsidRPr="0052114B" w:rsidRDefault="005B7137" w:rsidP="007668ED">
            <w:pPr>
              <w:pStyle w:val="142"/>
              <w:jc w:val="right"/>
            </w:pPr>
            <w:r w:rsidRPr="0052114B">
              <w:t xml:space="preserve">4,067 </w:t>
            </w:r>
          </w:p>
        </w:tc>
        <w:tc>
          <w:tcPr>
            <w:tcW w:w="1040" w:type="dxa"/>
            <w:vAlign w:val="center"/>
          </w:tcPr>
          <w:p w:rsidR="005B7137" w:rsidRPr="0052114B" w:rsidRDefault="005B7137" w:rsidP="007668ED">
            <w:pPr>
              <w:pStyle w:val="142"/>
              <w:jc w:val="right"/>
            </w:pPr>
            <w:r w:rsidRPr="0052114B">
              <w:t xml:space="preserve">4,315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臺灣中小企業銀行</w:t>
            </w:r>
          </w:p>
        </w:tc>
        <w:tc>
          <w:tcPr>
            <w:tcW w:w="1039" w:type="dxa"/>
            <w:shd w:val="clear" w:color="auto" w:fill="auto"/>
            <w:vAlign w:val="center"/>
          </w:tcPr>
          <w:p w:rsidR="005B7137" w:rsidRPr="0052114B" w:rsidRDefault="005B7137" w:rsidP="007668ED">
            <w:pPr>
              <w:pStyle w:val="142"/>
              <w:jc w:val="right"/>
            </w:pPr>
            <w:r w:rsidRPr="0052114B">
              <w:t xml:space="preserve">552 </w:t>
            </w:r>
          </w:p>
        </w:tc>
        <w:tc>
          <w:tcPr>
            <w:tcW w:w="1040" w:type="dxa"/>
            <w:vAlign w:val="center"/>
          </w:tcPr>
          <w:p w:rsidR="005B7137" w:rsidRPr="0052114B" w:rsidRDefault="005B7137" w:rsidP="007668ED">
            <w:pPr>
              <w:pStyle w:val="142"/>
              <w:jc w:val="right"/>
            </w:pPr>
            <w:r w:rsidRPr="0052114B">
              <w:t xml:space="preserve">621 </w:t>
            </w:r>
          </w:p>
        </w:tc>
        <w:tc>
          <w:tcPr>
            <w:tcW w:w="1039" w:type="dxa"/>
            <w:vAlign w:val="center"/>
          </w:tcPr>
          <w:p w:rsidR="005B7137" w:rsidRPr="0052114B" w:rsidRDefault="005B7137" w:rsidP="007668ED">
            <w:pPr>
              <w:pStyle w:val="142"/>
              <w:jc w:val="right"/>
            </w:pPr>
            <w:r w:rsidRPr="0052114B">
              <w:t xml:space="preserve">740 </w:t>
            </w:r>
          </w:p>
        </w:tc>
        <w:tc>
          <w:tcPr>
            <w:tcW w:w="1040" w:type="dxa"/>
            <w:vAlign w:val="center"/>
          </w:tcPr>
          <w:p w:rsidR="005B7137" w:rsidRPr="0052114B" w:rsidRDefault="005B7137" w:rsidP="007668ED">
            <w:pPr>
              <w:pStyle w:val="142"/>
              <w:jc w:val="right"/>
            </w:pPr>
            <w:r w:rsidRPr="0052114B">
              <w:t xml:space="preserve">769 </w:t>
            </w:r>
          </w:p>
        </w:tc>
        <w:tc>
          <w:tcPr>
            <w:tcW w:w="1039" w:type="dxa"/>
            <w:vAlign w:val="center"/>
          </w:tcPr>
          <w:p w:rsidR="005B7137" w:rsidRPr="0052114B" w:rsidRDefault="005B7137" w:rsidP="007668ED">
            <w:pPr>
              <w:pStyle w:val="142"/>
              <w:jc w:val="right"/>
            </w:pPr>
            <w:r w:rsidRPr="0052114B">
              <w:t xml:space="preserve">758 </w:t>
            </w:r>
          </w:p>
        </w:tc>
        <w:tc>
          <w:tcPr>
            <w:tcW w:w="1040" w:type="dxa"/>
            <w:vAlign w:val="center"/>
          </w:tcPr>
          <w:p w:rsidR="005B7137" w:rsidRPr="0052114B" w:rsidRDefault="005B7137" w:rsidP="007668ED">
            <w:pPr>
              <w:pStyle w:val="142"/>
              <w:jc w:val="right"/>
            </w:pPr>
            <w:r w:rsidRPr="0052114B">
              <w:t xml:space="preserve">772 </w:t>
            </w:r>
          </w:p>
        </w:tc>
      </w:tr>
      <w:tr w:rsidR="005B7137" w:rsidRPr="00E04F94" w:rsidTr="007668ED">
        <w:trPr>
          <w:trHeight w:val="283"/>
        </w:trPr>
        <w:tc>
          <w:tcPr>
            <w:tcW w:w="426" w:type="dxa"/>
            <w:vMerge w:val="restart"/>
            <w:shd w:val="clear" w:color="auto" w:fill="auto"/>
            <w:vAlign w:val="center"/>
          </w:tcPr>
          <w:p w:rsidR="005B7137" w:rsidRPr="00633FEC" w:rsidRDefault="005B7137" w:rsidP="007668ED">
            <w:pPr>
              <w:pStyle w:val="142"/>
              <w:jc w:val="center"/>
              <w:rPr>
                <w:b/>
              </w:rPr>
            </w:pPr>
            <w:r w:rsidRPr="00633FEC">
              <w:rPr>
                <w:rFonts w:hint="eastAsia"/>
                <w:b/>
              </w:rPr>
              <w:t>公股銀行</w:t>
            </w:r>
          </w:p>
        </w:tc>
        <w:tc>
          <w:tcPr>
            <w:tcW w:w="2126" w:type="dxa"/>
            <w:shd w:val="clear" w:color="auto" w:fill="auto"/>
            <w:vAlign w:val="center"/>
          </w:tcPr>
          <w:p w:rsidR="005B7137" w:rsidRPr="00633FEC" w:rsidRDefault="005B7137" w:rsidP="007668ED">
            <w:pPr>
              <w:pStyle w:val="142"/>
              <w:rPr>
                <w:b/>
              </w:rPr>
            </w:pPr>
            <w:r w:rsidRPr="00633FEC">
              <w:rPr>
                <w:rFonts w:hint="eastAsia"/>
                <w:b/>
              </w:rPr>
              <w:t>合計數(</w:t>
            </w:r>
            <w:r w:rsidRPr="00633FEC">
              <w:rPr>
                <w:b/>
              </w:rPr>
              <w:t>A)</w:t>
            </w:r>
          </w:p>
        </w:tc>
        <w:tc>
          <w:tcPr>
            <w:tcW w:w="1039" w:type="dxa"/>
            <w:shd w:val="clear" w:color="auto" w:fill="auto"/>
            <w:vAlign w:val="center"/>
          </w:tcPr>
          <w:p w:rsidR="005B7137" w:rsidRPr="00633FEC" w:rsidRDefault="005B7137" w:rsidP="007668ED">
            <w:pPr>
              <w:pStyle w:val="142"/>
              <w:jc w:val="right"/>
              <w:rPr>
                <w:b/>
              </w:rPr>
            </w:pPr>
            <w:r w:rsidRPr="00633FEC">
              <w:rPr>
                <w:b/>
              </w:rPr>
              <w:t xml:space="preserve">12,774 </w:t>
            </w:r>
          </w:p>
        </w:tc>
        <w:tc>
          <w:tcPr>
            <w:tcW w:w="1040" w:type="dxa"/>
            <w:vAlign w:val="center"/>
          </w:tcPr>
          <w:p w:rsidR="005B7137" w:rsidRPr="00633FEC" w:rsidRDefault="005B7137" w:rsidP="007668ED">
            <w:pPr>
              <w:pStyle w:val="142"/>
              <w:jc w:val="right"/>
              <w:rPr>
                <w:b/>
              </w:rPr>
            </w:pPr>
            <w:r w:rsidRPr="00633FEC">
              <w:rPr>
                <w:b/>
              </w:rPr>
              <w:t xml:space="preserve">12,944 </w:t>
            </w:r>
          </w:p>
        </w:tc>
        <w:tc>
          <w:tcPr>
            <w:tcW w:w="1039" w:type="dxa"/>
            <w:vAlign w:val="center"/>
          </w:tcPr>
          <w:p w:rsidR="005B7137" w:rsidRPr="00633FEC" w:rsidRDefault="005B7137" w:rsidP="007668ED">
            <w:pPr>
              <w:pStyle w:val="142"/>
              <w:jc w:val="right"/>
              <w:rPr>
                <w:b/>
              </w:rPr>
            </w:pPr>
            <w:r w:rsidRPr="00633FEC">
              <w:rPr>
                <w:b/>
              </w:rPr>
              <w:t xml:space="preserve">13,552 </w:t>
            </w:r>
          </w:p>
        </w:tc>
        <w:tc>
          <w:tcPr>
            <w:tcW w:w="1040" w:type="dxa"/>
            <w:vAlign w:val="center"/>
          </w:tcPr>
          <w:p w:rsidR="005B7137" w:rsidRPr="00633FEC" w:rsidRDefault="005B7137" w:rsidP="007668ED">
            <w:pPr>
              <w:pStyle w:val="142"/>
              <w:jc w:val="right"/>
              <w:rPr>
                <w:b/>
              </w:rPr>
            </w:pPr>
            <w:r w:rsidRPr="00633FEC">
              <w:rPr>
                <w:b/>
              </w:rPr>
              <w:t xml:space="preserve">14,719 </w:t>
            </w:r>
          </w:p>
        </w:tc>
        <w:tc>
          <w:tcPr>
            <w:tcW w:w="1039" w:type="dxa"/>
            <w:vAlign w:val="center"/>
          </w:tcPr>
          <w:p w:rsidR="005B7137" w:rsidRPr="00633FEC" w:rsidRDefault="005B7137" w:rsidP="007668ED">
            <w:pPr>
              <w:pStyle w:val="142"/>
              <w:jc w:val="right"/>
              <w:rPr>
                <w:b/>
              </w:rPr>
            </w:pPr>
            <w:r w:rsidRPr="00633FEC">
              <w:rPr>
                <w:b/>
              </w:rPr>
              <w:t xml:space="preserve">15,766 </w:t>
            </w:r>
          </w:p>
        </w:tc>
        <w:tc>
          <w:tcPr>
            <w:tcW w:w="1040" w:type="dxa"/>
            <w:vAlign w:val="center"/>
          </w:tcPr>
          <w:p w:rsidR="005B7137" w:rsidRPr="00633FEC" w:rsidRDefault="005B7137" w:rsidP="007668ED">
            <w:pPr>
              <w:pStyle w:val="142"/>
              <w:jc w:val="right"/>
              <w:rPr>
                <w:b/>
              </w:rPr>
            </w:pPr>
            <w:r w:rsidRPr="00633FEC">
              <w:rPr>
                <w:b/>
              </w:rPr>
              <w:t xml:space="preserve">17,272 </w:t>
            </w:r>
          </w:p>
        </w:tc>
      </w:tr>
      <w:tr w:rsidR="005B7137" w:rsidRPr="00E04F94" w:rsidTr="007668ED">
        <w:trPr>
          <w:trHeight w:val="283"/>
        </w:trPr>
        <w:tc>
          <w:tcPr>
            <w:tcW w:w="426" w:type="dxa"/>
            <w:vMerge/>
            <w:shd w:val="clear" w:color="auto" w:fill="auto"/>
            <w:vAlign w:val="center"/>
          </w:tcPr>
          <w:p w:rsidR="005B7137" w:rsidRPr="00633FEC" w:rsidRDefault="005B7137" w:rsidP="007668ED">
            <w:pPr>
              <w:pStyle w:val="142"/>
              <w:jc w:val="center"/>
              <w:rPr>
                <w:b/>
              </w:rPr>
            </w:pPr>
          </w:p>
        </w:tc>
        <w:tc>
          <w:tcPr>
            <w:tcW w:w="2126" w:type="dxa"/>
            <w:shd w:val="clear" w:color="auto" w:fill="auto"/>
            <w:vAlign w:val="center"/>
          </w:tcPr>
          <w:p w:rsidR="005B7137" w:rsidRPr="00633FEC" w:rsidRDefault="005B7137" w:rsidP="007668ED">
            <w:pPr>
              <w:pStyle w:val="142"/>
              <w:rPr>
                <w:b/>
              </w:rPr>
            </w:pPr>
            <w:r>
              <w:rPr>
                <w:rFonts w:hint="eastAsia"/>
                <w:b/>
              </w:rPr>
              <w:t>較上一年度成長(減少)比率</w:t>
            </w:r>
          </w:p>
        </w:tc>
        <w:tc>
          <w:tcPr>
            <w:tcW w:w="1039" w:type="dxa"/>
            <w:shd w:val="clear" w:color="auto" w:fill="auto"/>
            <w:vAlign w:val="center"/>
          </w:tcPr>
          <w:p w:rsidR="005B7137" w:rsidRPr="00633FEC" w:rsidRDefault="005B7137" w:rsidP="007668ED">
            <w:pPr>
              <w:pStyle w:val="142"/>
              <w:jc w:val="right"/>
              <w:rPr>
                <w:b/>
              </w:rPr>
            </w:pPr>
            <w:r>
              <w:rPr>
                <w:rFonts w:hint="eastAsia"/>
                <w:b/>
              </w:rPr>
              <w:t>-</w:t>
            </w:r>
          </w:p>
        </w:tc>
        <w:tc>
          <w:tcPr>
            <w:tcW w:w="1040" w:type="dxa"/>
            <w:vAlign w:val="center"/>
          </w:tcPr>
          <w:p w:rsidR="005B7137" w:rsidRPr="00D653B6" w:rsidRDefault="005B7137" w:rsidP="007668ED">
            <w:pPr>
              <w:pStyle w:val="142"/>
              <w:jc w:val="right"/>
              <w:rPr>
                <w:b/>
              </w:rPr>
            </w:pPr>
            <w:r w:rsidRPr="00D653B6">
              <w:rPr>
                <w:b/>
              </w:rPr>
              <w:t>1.33</w:t>
            </w:r>
          </w:p>
        </w:tc>
        <w:tc>
          <w:tcPr>
            <w:tcW w:w="1039" w:type="dxa"/>
            <w:vAlign w:val="center"/>
          </w:tcPr>
          <w:p w:rsidR="005B7137" w:rsidRPr="00D653B6" w:rsidRDefault="005B7137" w:rsidP="007668ED">
            <w:pPr>
              <w:pStyle w:val="142"/>
              <w:jc w:val="right"/>
              <w:rPr>
                <w:b/>
              </w:rPr>
            </w:pPr>
            <w:r w:rsidRPr="00D653B6">
              <w:rPr>
                <w:b/>
              </w:rPr>
              <w:t>4.70</w:t>
            </w:r>
          </w:p>
        </w:tc>
        <w:tc>
          <w:tcPr>
            <w:tcW w:w="1040" w:type="dxa"/>
            <w:vAlign w:val="center"/>
          </w:tcPr>
          <w:p w:rsidR="005B7137" w:rsidRPr="00D653B6" w:rsidRDefault="005B7137" w:rsidP="007668ED">
            <w:pPr>
              <w:pStyle w:val="142"/>
              <w:jc w:val="right"/>
              <w:rPr>
                <w:b/>
              </w:rPr>
            </w:pPr>
            <w:r w:rsidRPr="00D653B6">
              <w:rPr>
                <w:b/>
              </w:rPr>
              <w:t>8.62</w:t>
            </w:r>
          </w:p>
        </w:tc>
        <w:tc>
          <w:tcPr>
            <w:tcW w:w="1039" w:type="dxa"/>
            <w:vAlign w:val="center"/>
          </w:tcPr>
          <w:p w:rsidR="005B7137" w:rsidRPr="00D653B6" w:rsidRDefault="005B7137" w:rsidP="007668ED">
            <w:pPr>
              <w:pStyle w:val="142"/>
              <w:jc w:val="right"/>
              <w:rPr>
                <w:b/>
              </w:rPr>
            </w:pPr>
            <w:r w:rsidRPr="00D653B6">
              <w:rPr>
                <w:b/>
              </w:rPr>
              <w:t>7.12</w:t>
            </w:r>
          </w:p>
        </w:tc>
        <w:tc>
          <w:tcPr>
            <w:tcW w:w="1040" w:type="dxa"/>
            <w:vAlign w:val="center"/>
          </w:tcPr>
          <w:p w:rsidR="005B7137" w:rsidRPr="00D653B6" w:rsidRDefault="005B7137" w:rsidP="007668ED">
            <w:pPr>
              <w:pStyle w:val="142"/>
              <w:jc w:val="right"/>
              <w:rPr>
                <w:b/>
              </w:rPr>
            </w:pPr>
            <w:r w:rsidRPr="00D653B6">
              <w:rPr>
                <w:b/>
              </w:rPr>
              <w:t>9.55</w:t>
            </w:r>
          </w:p>
        </w:tc>
      </w:tr>
      <w:tr w:rsidR="005B7137" w:rsidRPr="00E04F94" w:rsidTr="007668ED">
        <w:trPr>
          <w:trHeight w:val="283"/>
        </w:trPr>
        <w:tc>
          <w:tcPr>
            <w:tcW w:w="426" w:type="dxa"/>
            <w:vMerge/>
            <w:shd w:val="clear" w:color="auto" w:fill="auto"/>
            <w:vAlign w:val="center"/>
          </w:tcPr>
          <w:p w:rsidR="005B7137" w:rsidRPr="00633FEC" w:rsidRDefault="005B7137" w:rsidP="007668ED">
            <w:pPr>
              <w:pStyle w:val="142"/>
              <w:jc w:val="center"/>
              <w:rPr>
                <w:b/>
              </w:rPr>
            </w:pPr>
          </w:p>
        </w:tc>
        <w:tc>
          <w:tcPr>
            <w:tcW w:w="2126" w:type="dxa"/>
            <w:shd w:val="clear" w:color="auto" w:fill="auto"/>
            <w:vAlign w:val="center"/>
          </w:tcPr>
          <w:p w:rsidR="005B7137" w:rsidRPr="005E730C" w:rsidRDefault="005B7137" w:rsidP="007668ED">
            <w:pPr>
              <w:pStyle w:val="142"/>
              <w:rPr>
                <w:b/>
              </w:rPr>
            </w:pPr>
            <w:r w:rsidRPr="005E730C">
              <w:rPr>
                <w:rFonts w:hint="eastAsia"/>
                <w:b/>
              </w:rPr>
              <w:t>占比(</w:t>
            </w:r>
            <w:r w:rsidRPr="005E730C">
              <w:rPr>
                <w:b/>
              </w:rPr>
              <w:t>A)/(C)</w:t>
            </w:r>
            <w:r w:rsidRPr="005E730C">
              <w:rPr>
                <w:rFonts w:hint="eastAsia"/>
                <w:b/>
              </w:rPr>
              <w:t>×100%</w:t>
            </w:r>
          </w:p>
        </w:tc>
        <w:tc>
          <w:tcPr>
            <w:tcW w:w="1039" w:type="dxa"/>
            <w:shd w:val="clear" w:color="auto" w:fill="auto"/>
            <w:vAlign w:val="center"/>
          </w:tcPr>
          <w:p w:rsidR="005B7137" w:rsidRPr="00633FEC" w:rsidRDefault="005B7137" w:rsidP="007668ED">
            <w:pPr>
              <w:pStyle w:val="142"/>
              <w:jc w:val="right"/>
              <w:rPr>
                <w:b/>
              </w:rPr>
            </w:pPr>
            <w:r w:rsidRPr="00633FEC">
              <w:rPr>
                <w:b/>
              </w:rPr>
              <w:t>25.90</w:t>
            </w:r>
          </w:p>
        </w:tc>
        <w:tc>
          <w:tcPr>
            <w:tcW w:w="1040" w:type="dxa"/>
            <w:vAlign w:val="center"/>
          </w:tcPr>
          <w:p w:rsidR="005B7137" w:rsidRPr="00D653B6" w:rsidRDefault="005B7137" w:rsidP="007668ED">
            <w:pPr>
              <w:pStyle w:val="142"/>
              <w:jc w:val="right"/>
              <w:rPr>
                <w:b/>
              </w:rPr>
            </w:pPr>
            <w:r w:rsidRPr="00D653B6">
              <w:rPr>
                <w:b/>
              </w:rPr>
              <w:t>25.69</w:t>
            </w:r>
          </w:p>
        </w:tc>
        <w:tc>
          <w:tcPr>
            <w:tcW w:w="1039" w:type="dxa"/>
            <w:vAlign w:val="center"/>
          </w:tcPr>
          <w:p w:rsidR="005B7137" w:rsidRPr="00D653B6" w:rsidRDefault="005B7137" w:rsidP="007668ED">
            <w:pPr>
              <w:pStyle w:val="142"/>
              <w:jc w:val="right"/>
              <w:rPr>
                <w:b/>
              </w:rPr>
            </w:pPr>
            <w:r w:rsidRPr="00D653B6">
              <w:rPr>
                <w:b/>
              </w:rPr>
              <w:t>25.05</w:t>
            </w:r>
          </w:p>
        </w:tc>
        <w:tc>
          <w:tcPr>
            <w:tcW w:w="1040" w:type="dxa"/>
            <w:vAlign w:val="center"/>
          </w:tcPr>
          <w:p w:rsidR="005B7137" w:rsidRPr="00D653B6" w:rsidRDefault="005B7137" w:rsidP="007668ED">
            <w:pPr>
              <w:pStyle w:val="142"/>
              <w:jc w:val="right"/>
              <w:rPr>
                <w:b/>
              </w:rPr>
            </w:pPr>
            <w:r w:rsidRPr="00D653B6">
              <w:rPr>
                <w:b/>
              </w:rPr>
              <w:t>23.78</w:t>
            </w:r>
          </w:p>
        </w:tc>
        <w:tc>
          <w:tcPr>
            <w:tcW w:w="1039" w:type="dxa"/>
            <w:vAlign w:val="center"/>
          </w:tcPr>
          <w:p w:rsidR="005B7137" w:rsidRPr="00D653B6" w:rsidRDefault="005B7137" w:rsidP="007668ED">
            <w:pPr>
              <w:pStyle w:val="142"/>
              <w:jc w:val="right"/>
              <w:rPr>
                <w:b/>
              </w:rPr>
            </w:pPr>
            <w:r w:rsidRPr="00D653B6">
              <w:rPr>
                <w:b/>
              </w:rPr>
              <w:t>22.92</w:t>
            </w:r>
          </w:p>
        </w:tc>
        <w:tc>
          <w:tcPr>
            <w:tcW w:w="1040" w:type="dxa"/>
            <w:vAlign w:val="center"/>
          </w:tcPr>
          <w:p w:rsidR="005B7137" w:rsidRPr="00D653B6" w:rsidRDefault="005B7137" w:rsidP="007668ED">
            <w:pPr>
              <w:pStyle w:val="142"/>
              <w:jc w:val="right"/>
              <w:rPr>
                <w:b/>
              </w:rPr>
            </w:pPr>
            <w:r w:rsidRPr="00D653B6">
              <w:rPr>
                <w:b/>
              </w:rPr>
              <w:t>21.59</w:t>
            </w:r>
          </w:p>
        </w:tc>
      </w:tr>
      <w:tr w:rsidR="005B7137" w:rsidRPr="00E04F94" w:rsidTr="007668ED">
        <w:trPr>
          <w:trHeight w:val="283"/>
        </w:trPr>
        <w:tc>
          <w:tcPr>
            <w:tcW w:w="426" w:type="dxa"/>
            <w:vMerge w:val="restart"/>
            <w:shd w:val="clear" w:color="auto" w:fill="auto"/>
            <w:vAlign w:val="center"/>
          </w:tcPr>
          <w:p w:rsidR="005B7137" w:rsidRPr="00633FEC" w:rsidRDefault="005B7137" w:rsidP="007668ED">
            <w:pPr>
              <w:pStyle w:val="142"/>
              <w:jc w:val="center"/>
            </w:pPr>
            <w:r w:rsidRPr="00831C52">
              <w:rPr>
                <w:rFonts w:hint="eastAsia"/>
                <w:b/>
              </w:rPr>
              <w:t>民營銀行</w:t>
            </w:r>
          </w:p>
        </w:tc>
        <w:tc>
          <w:tcPr>
            <w:tcW w:w="2126" w:type="dxa"/>
            <w:shd w:val="clear" w:color="auto" w:fill="auto"/>
            <w:vAlign w:val="center"/>
          </w:tcPr>
          <w:p w:rsidR="005B7137" w:rsidRPr="00633FEC" w:rsidRDefault="005B7137" w:rsidP="007668ED">
            <w:pPr>
              <w:pStyle w:val="142"/>
              <w:rPr>
                <w:b/>
              </w:rPr>
            </w:pPr>
            <w:r w:rsidRPr="00633FEC">
              <w:rPr>
                <w:rFonts w:hint="eastAsia"/>
                <w:b/>
              </w:rPr>
              <w:t>合計數(</w:t>
            </w:r>
            <w:r w:rsidRPr="00633FEC">
              <w:rPr>
                <w:b/>
              </w:rPr>
              <w:t>B)</w:t>
            </w:r>
          </w:p>
        </w:tc>
        <w:tc>
          <w:tcPr>
            <w:tcW w:w="1039" w:type="dxa"/>
            <w:shd w:val="clear" w:color="auto" w:fill="auto"/>
            <w:vAlign w:val="center"/>
          </w:tcPr>
          <w:p w:rsidR="005B7137" w:rsidRPr="00633FEC" w:rsidRDefault="005B7137" w:rsidP="007668ED">
            <w:pPr>
              <w:pStyle w:val="142"/>
              <w:jc w:val="right"/>
              <w:rPr>
                <w:b/>
              </w:rPr>
            </w:pPr>
            <w:r w:rsidRPr="00633FEC">
              <w:rPr>
                <w:b/>
              </w:rPr>
              <w:t xml:space="preserve">36,537 </w:t>
            </w:r>
          </w:p>
        </w:tc>
        <w:tc>
          <w:tcPr>
            <w:tcW w:w="1040" w:type="dxa"/>
            <w:vAlign w:val="center"/>
          </w:tcPr>
          <w:p w:rsidR="005B7137" w:rsidRPr="00D653B6" w:rsidRDefault="005B7137" w:rsidP="007668ED">
            <w:pPr>
              <w:pStyle w:val="142"/>
              <w:jc w:val="right"/>
              <w:rPr>
                <w:b/>
              </w:rPr>
            </w:pPr>
            <w:r w:rsidRPr="00D653B6">
              <w:rPr>
                <w:b/>
              </w:rPr>
              <w:t xml:space="preserve">37,442 </w:t>
            </w:r>
          </w:p>
        </w:tc>
        <w:tc>
          <w:tcPr>
            <w:tcW w:w="1039" w:type="dxa"/>
            <w:vAlign w:val="center"/>
          </w:tcPr>
          <w:p w:rsidR="005B7137" w:rsidRPr="00D653B6" w:rsidRDefault="005B7137" w:rsidP="007668ED">
            <w:pPr>
              <w:pStyle w:val="142"/>
              <w:jc w:val="right"/>
              <w:rPr>
                <w:b/>
              </w:rPr>
            </w:pPr>
            <w:r w:rsidRPr="00D653B6">
              <w:rPr>
                <w:b/>
              </w:rPr>
              <w:t xml:space="preserve">40,554 </w:t>
            </w:r>
          </w:p>
        </w:tc>
        <w:tc>
          <w:tcPr>
            <w:tcW w:w="1040" w:type="dxa"/>
            <w:vAlign w:val="center"/>
          </w:tcPr>
          <w:p w:rsidR="005B7137" w:rsidRPr="00D653B6" w:rsidRDefault="005B7137" w:rsidP="007668ED">
            <w:pPr>
              <w:pStyle w:val="142"/>
              <w:jc w:val="right"/>
              <w:rPr>
                <w:b/>
              </w:rPr>
            </w:pPr>
            <w:r w:rsidRPr="00D653B6">
              <w:rPr>
                <w:b/>
              </w:rPr>
              <w:t xml:space="preserve">47,171 </w:t>
            </w:r>
          </w:p>
        </w:tc>
        <w:tc>
          <w:tcPr>
            <w:tcW w:w="1039" w:type="dxa"/>
            <w:vAlign w:val="center"/>
          </w:tcPr>
          <w:p w:rsidR="005B7137" w:rsidRPr="00D653B6" w:rsidRDefault="005B7137" w:rsidP="007668ED">
            <w:pPr>
              <w:pStyle w:val="142"/>
              <w:jc w:val="right"/>
              <w:rPr>
                <w:b/>
              </w:rPr>
            </w:pPr>
            <w:r w:rsidRPr="00D653B6">
              <w:rPr>
                <w:b/>
              </w:rPr>
              <w:t xml:space="preserve">53,009 </w:t>
            </w:r>
          </w:p>
        </w:tc>
        <w:tc>
          <w:tcPr>
            <w:tcW w:w="1040" w:type="dxa"/>
            <w:vAlign w:val="center"/>
          </w:tcPr>
          <w:p w:rsidR="005B7137" w:rsidRPr="00D653B6" w:rsidRDefault="005B7137" w:rsidP="007668ED">
            <w:pPr>
              <w:pStyle w:val="142"/>
              <w:jc w:val="right"/>
              <w:rPr>
                <w:b/>
              </w:rPr>
            </w:pPr>
            <w:r w:rsidRPr="00D653B6">
              <w:rPr>
                <w:b/>
              </w:rPr>
              <w:t>62,72</w:t>
            </w:r>
            <w:r>
              <w:rPr>
                <w:rFonts w:hint="eastAsia"/>
                <w:b/>
              </w:rPr>
              <w:t>9</w:t>
            </w:r>
            <w:r w:rsidRPr="00D653B6">
              <w:rPr>
                <w:b/>
              </w:rPr>
              <w:t xml:space="preserve"> </w:t>
            </w:r>
          </w:p>
        </w:tc>
      </w:tr>
      <w:tr w:rsidR="005B7137" w:rsidRPr="00E04F94" w:rsidTr="007668ED">
        <w:trPr>
          <w:trHeight w:val="283"/>
        </w:trPr>
        <w:tc>
          <w:tcPr>
            <w:tcW w:w="426" w:type="dxa"/>
            <w:vMerge/>
            <w:shd w:val="clear" w:color="auto" w:fill="auto"/>
            <w:vAlign w:val="center"/>
          </w:tcPr>
          <w:p w:rsidR="005B7137" w:rsidRPr="00831C52" w:rsidRDefault="005B7137" w:rsidP="007668ED">
            <w:pPr>
              <w:pStyle w:val="142"/>
              <w:rPr>
                <w:b/>
              </w:rPr>
            </w:pPr>
          </w:p>
        </w:tc>
        <w:tc>
          <w:tcPr>
            <w:tcW w:w="2126" w:type="dxa"/>
            <w:shd w:val="clear" w:color="auto" w:fill="auto"/>
            <w:vAlign w:val="center"/>
          </w:tcPr>
          <w:p w:rsidR="005B7137" w:rsidRPr="00633FEC" w:rsidRDefault="005B7137" w:rsidP="007668ED">
            <w:pPr>
              <w:pStyle w:val="142"/>
              <w:rPr>
                <w:b/>
              </w:rPr>
            </w:pPr>
            <w:r>
              <w:rPr>
                <w:rFonts w:hint="eastAsia"/>
                <w:b/>
              </w:rPr>
              <w:t>較上一年度成長(減少)比率</w:t>
            </w:r>
          </w:p>
        </w:tc>
        <w:tc>
          <w:tcPr>
            <w:tcW w:w="1039" w:type="dxa"/>
            <w:shd w:val="clear" w:color="auto" w:fill="auto"/>
            <w:vAlign w:val="center"/>
          </w:tcPr>
          <w:p w:rsidR="005B7137" w:rsidRPr="00633FEC" w:rsidRDefault="005B7137" w:rsidP="007668ED">
            <w:pPr>
              <w:pStyle w:val="142"/>
              <w:jc w:val="right"/>
              <w:rPr>
                <w:b/>
              </w:rPr>
            </w:pPr>
            <w:r>
              <w:rPr>
                <w:rFonts w:hint="eastAsia"/>
                <w:b/>
              </w:rPr>
              <w:t>-</w:t>
            </w:r>
          </w:p>
        </w:tc>
        <w:tc>
          <w:tcPr>
            <w:tcW w:w="1040" w:type="dxa"/>
            <w:vAlign w:val="center"/>
          </w:tcPr>
          <w:p w:rsidR="005B7137" w:rsidRPr="00D653B6" w:rsidRDefault="005B7137" w:rsidP="007668ED">
            <w:pPr>
              <w:pStyle w:val="142"/>
              <w:jc w:val="right"/>
              <w:rPr>
                <w:b/>
              </w:rPr>
            </w:pPr>
            <w:r w:rsidRPr="00D653B6">
              <w:rPr>
                <w:b/>
              </w:rPr>
              <w:t>2.48</w:t>
            </w:r>
          </w:p>
        </w:tc>
        <w:tc>
          <w:tcPr>
            <w:tcW w:w="1039" w:type="dxa"/>
            <w:vAlign w:val="center"/>
          </w:tcPr>
          <w:p w:rsidR="005B7137" w:rsidRPr="00D653B6" w:rsidRDefault="005B7137" w:rsidP="007668ED">
            <w:pPr>
              <w:pStyle w:val="142"/>
              <w:jc w:val="right"/>
              <w:rPr>
                <w:b/>
              </w:rPr>
            </w:pPr>
            <w:r w:rsidRPr="00D653B6">
              <w:rPr>
                <w:b/>
              </w:rPr>
              <w:t>8.31</w:t>
            </w:r>
          </w:p>
        </w:tc>
        <w:tc>
          <w:tcPr>
            <w:tcW w:w="1040" w:type="dxa"/>
            <w:vAlign w:val="center"/>
          </w:tcPr>
          <w:p w:rsidR="005B7137" w:rsidRPr="00D653B6" w:rsidRDefault="005B7137" w:rsidP="007668ED">
            <w:pPr>
              <w:pStyle w:val="142"/>
              <w:jc w:val="right"/>
              <w:rPr>
                <w:b/>
              </w:rPr>
            </w:pPr>
            <w:r w:rsidRPr="00D653B6">
              <w:rPr>
                <w:b/>
              </w:rPr>
              <w:t>16.31</w:t>
            </w:r>
          </w:p>
        </w:tc>
        <w:tc>
          <w:tcPr>
            <w:tcW w:w="1039" w:type="dxa"/>
            <w:vAlign w:val="center"/>
          </w:tcPr>
          <w:p w:rsidR="005B7137" w:rsidRPr="00D653B6" w:rsidRDefault="005B7137" w:rsidP="007668ED">
            <w:pPr>
              <w:pStyle w:val="142"/>
              <w:jc w:val="right"/>
              <w:rPr>
                <w:b/>
              </w:rPr>
            </w:pPr>
            <w:r w:rsidRPr="00D653B6">
              <w:rPr>
                <w:b/>
              </w:rPr>
              <w:t>12.38</w:t>
            </w:r>
          </w:p>
        </w:tc>
        <w:tc>
          <w:tcPr>
            <w:tcW w:w="1040" w:type="dxa"/>
            <w:vAlign w:val="center"/>
          </w:tcPr>
          <w:p w:rsidR="005B7137" w:rsidRPr="00D653B6" w:rsidRDefault="005B7137" w:rsidP="007668ED">
            <w:pPr>
              <w:pStyle w:val="142"/>
              <w:jc w:val="right"/>
              <w:rPr>
                <w:b/>
              </w:rPr>
            </w:pPr>
            <w:r w:rsidRPr="00D653B6">
              <w:rPr>
                <w:b/>
              </w:rPr>
              <w:t>18.34</w:t>
            </w:r>
          </w:p>
        </w:tc>
      </w:tr>
      <w:tr w:rsidR="005B7137" w:rsidRPr="00E04F94" w:rsidTr="007668ED">
        <w:trPr>
          <w:trHeight w:val="283"/>
        </w:trPr>
        <w:tc>
          <w:tcPr>
            <w:tcW w:w="426" w:type="dxa"/>
            <w:vMerge/>
            <w:shd w:val="clear" w:color="auto" w:fill="auto"/>
            <w:vAlign w:val="center"/>
          </w:tcPr>
          <w:p w:rsidR="005B7137" w:rsidRPr="00633FEC" w:rsidRDefault="005B7137" w:rsidP="007668ED">
            <w:pPr>
              <w:pStyle w:val="142"/>
              <w:rPr>
                <w:b/>
              </w:rPr>
            </w:pPr>
          </w:p>
        </w:tc>
        <w:tc>
          <w:tcPr>
            <w:tcW w:w="2126" w:type="dxa"/>
            <w:shd w:val="clear" w:color="auto" w:fill="auto"/>
            <w:vAlign w:val="center"/>
          </w:tcPr>
          <w:p w:rsidR="005B7137" w:rsidRPr="00633FEC" w:rsidRDefault="005B7137" w:rsidP="007668ED">
            <w:pPr>
              <w:pStyle w:val="142"/>
              <w:rPr>
                <w:b/>
              </w:rPr>
            </w:pPr>
            <w:r w:rsidRPr="00633FEC">
              <w:rPr>
                <w:rFonts w:hint="eastAsia"/>
                <w:b/>
              </w:rPr>
              <w:t>占比(</w:t>
            </w:r>
            <w:r w:rsidRPr="00633FEC">
              <w:rPr>
                <w:b/>
              </w:rPr>
              <w:t>B)/(C)</w:t>
            </w:r>
            <w:r w:rsidRPr="005E730C">
              <w:rPr>
                <w:rFonts w:hint="eastAsia"/>
                <w:b/>
              </w:rPr>
              <w:t>×100%</w:t>
            </w:r>
          </w:p>
        </w:tc>
        <w:tc>
          <w:tcPr>
            <w:tcW w:w="1039" w:type="dxa"/>
            <w:shd w:val="clear" w:color="auto" w:fill="auto"/>
            <w:vAlign w:val="center"/>
          </w:tcPr>
          <w:p w:rsidR="005B7137" w:rsidRPr="00633FEC" w:rsidRDefault="005B7137" w:rsidP="007668ED">
            <w:pPr>
              <w:pStyle w:val="142"/>
              <w:jc w:val="right"/>
              <w:rPr>
                <w:b/>
              </w:rPr>
            </w:pPr>
            <w:r w:rsidRPr="00633FEC">
              <w:rPr>
                <w:b/>
              </w:rPr>
              <w:t>74.10</w:t>
            </w:r>
          </w:p>
        </w:tc>
        <w:tc>
          <w:tcPr>
            <w:tcW w:w="1040" w:type="dxa"/>
            <w:vAlign w:val="center"/>
          </w:tcPr>
          <w:p w:rsidR="005B7137" w:rsidRPr="00633FEC" w:rsidRDefault="005B7137" w:rsidP="007668ED">
            <w:pPr>
              <w:pStyle w:val="142"/>
              <w:jc w:val="right"/>
              <w:rPr>
                <w:b/>
              </w:rPr>
            </w:pPr>
            <w:r w:rsidRPr="00633FEC">
              <w:rPr>
                <w:b/>
              </w:rPr>
              <w:t>74.31</w:t>
            </w:r>
          </w:p>
        </w:tc>
        <w:tc>
          <w:tcPr>
            <w:tcW w:w="1039" w:type="dxa"/>
            <w:vAlign w:val="center"/>
          </w:tcPr>
          <w:p w:rsidR="005B7137" w:rsidRPr="00633FEC" w:rsidRDefault="005B7137" w:rsidP="007668ED">
            <w:pPr>
              <w:pStyle w:val="142"/>
              <w:jc w:val="right"/>
              <w:rPr>
                <w:b/>
              </w:rPr>
            </w:pPr>
            <w:r w:rsidRPr="00633FEC">
              <w:rPr>
                <w:b/>
              </w:rPr>
              <w:t>74.95</w:t>
            </w:r>
          </w:p>
        </w:tc>
        <w:tc>
          <w:tcPr>
            <w:tcW w:w="1040" w:type="dxa"/>
            <w:vAlign w:val="center"/>
          </w:tcPr>
          <w:p w:rsidR="005B7137" w:rsidRPr="00633FEC" w:rsidRDefault="005B7137" w:rsidP="007668ED">
            <w:pPr>
              <w:pStyle w:val="142"/>
              <w:jc w:val="right"/>
              <w:rPr>
                <w:b/>
              </w:rPr>
            </w:pPr>
            <w:r w:rsidRPr="00633FEC">
              <w:rPr>
                <w:b/>
              </w:rPr>
              <w:t>76.22</w:t>
            </w:r>
          </w:p>
        </w:tc>
        <w:tc>
          <w:tcPr>
            <w:tcW w:w="1039" w:type="dxa"/>
            <w:vAlign w:val="center"/>
          </w:tcPr>
          <w:p w:rsidR="005B7137" w:rsidRPr="00633FEC" w:rsidRDefault="005B7137" w:rsidP="007668ED">
            <w:pPr>
              <w:pStyle w:val="142"/>
              <w:jc w:val="right"/>
              <w:rPr>
                <w:b/>
              </w:rPr>
            </w:pPr>
            <w:r w:rsidRPr="00633FEC">
              <w:rPr>
                <w:b/>
              </w:rPr>
              <w:t>77.08</w:t>
            </w:r>
          </w:p>
        </w:tc>
        <w:tc>
          <w:tcPr>
            <w:tcW w:w="1040" w:type="dxa"/>
            <w:vAlign w:val="center"/>
          </w:tcPr>
          <w:p w:rsidR="005B7137" w:rsidRPr="00633FEC" w:rsidRDefault="005B7137" w:rsidP="007668ED">
            <w:pPr>
              <w:pStyle w:val="142"/>
              <w:jc w:val="right"/>
              <w:rPr>
                <w:b/>
              </w:rPr>
            </w:pPr>
            <w:r w:rsidRPr="00633FEC">
              <w:rPr>
                <w:b/>
              </w:rPr>
              <w:t>78.41</w:t>
            </w:r>
          </w:p>
        </w:tc>
      </w:tr>
      <w:tr w:rsidR="005B7137" w:rsidRPr="00E04F94" w:rsidTr="007668ED">
        <w:trPr>
          <w:trHeight w:val="283"/>
        </w:trPr>
        <w:tc>
          <w:tcPr>
            <w:tcW w:w="2552" w:type="dxa"/>
            <w:gridSpan w:val="2"/>
            <w:shd w:val="clear" w:color="auto" w:fill="auto"/>
            <w:vAlign w:val="center"/>
          </w:tcPr>
          <w:p w:rsidR="005B7137" w:rsidRPr="00633FEC" w:rsidRDefault="005B7137" w:rsidP="007668ED">
            <w:pPr>
              <w:pStyle w:val="142"/>
              <w:rPr>
                <w:b/>
              </w:rPr>
            </w:pPr>
            <w:r w:rsidRPr="00633FEC">
              <w:rPr>
                <w:rFonts w:hint="eastAsia"/>
                <w:b/>
              </w:rPr>
              <w:t>銀行業總計</w:t>
            </w:r>
          </w:p>
          <w:p w:rsidR="005B7137" w:rsidRPr="00633FEC" w:rsidRDefault="005B7137" w:rsidP="007668ED">
            <w:pPr>
              <w:pStyle w:val="142"/>
              <w:rPr>
                <w:b/>
              </w:rPr>
            </w:pPr>
            <w:r w:rsidRPr="00633FEC">
              <w:rPr>
                <w:rFonts w:hint="eastAsia"/>
                <w:b/>
              </w:rPr>
              <w:t>(</w:t>
            </w:r>
            <w:r w:rsidRPr="00633FEC">
              <w:rPr>
                <w:b/>
              </w:rPr>
              <w:t>C)=(A)+(B)</w:t>
            </w:r>
          </w:p>
        </w:tc>
        <w:tc>
          <w:tcPr>
            <w:tcW w:w="1039" w:type="dxa"/>
            <w:shd w:val="clear" w:color="auto" w:fill="auto"/>
            <w:vAlign w:val="center"/>
          </w:tcPr>
          <w:p w:rsidR="005B7137" w:rsidRPr="00633FEC" w:rsidRDefault="005B7137" w:rsidP="007668ED">
            <w:pPr>
              <w:pStyle w:val="142"/>
              <w:jc w:val="right"/>
              <w:rPr>
                <w:b/>
              </w:rPr>
            </w:pPr>
            <w:r w:rsidRPr="00633FEC">
              <w:rPr>
                <w:b/>
              </w:rPr>
              <w:t xml:space="preserve">49,311 </w:t>
            </w:r>
          </w:p>
        </w:tc>
        <w:tc>
          <w:tcPr>
            <w:tcW w:w="1040" w:type="dxa"/>
            <w:vAlign w:val="center"/>
          </w:tcPr>
          <w:p w:rsidR="005B7137" w:rsidRPr="00633FEC" w:rsidRDefault="005B7137" w:rsidP="007668ED">
            <w:pPr>
              <w:pStyle w:val="142"/>
              <w:jc w:val="right"/>
              <w:rPr>
                <w:b/>
              </w:rPr>
            </w:pPr>
            <w:r w:rsidRPr="00633FEC">
              <w:rPr>
                <w:b/>
              </w:rPr>
              <w:t xml:space="preserve">50,386 </w:t>
            </w:r>
          </w:p>
        </w:tc>
        <w:tc>
          <w:tcPr>
            <w:tcW w:w="1039" w:type="dxa"/>
            <w:vAlign w:val="center"/>
          </w:tcPr>
          <w:p w:rsidR="005B7137" w:rsidRPr="00633FEC" w:rsidRDefault="005B7137" w:rsidP="007668ED">
            <w:pPr>
              <w:pStyle w:val="142"/>
              <w:jc w:val="right"/>
              <w:rPr>
                <w:b/>
              </w:rPr>
            </w:pPr>
            <w:r w:rsidRPr="00633FEC">
              <w:rPr>
                <w:b/>
              </w:rPr>
              <w:t xml:space="preserve">54,106 </w:t>
            </w:r>
          </w:p>
        </w:tc>
        <w:tc>
          <w:tcPr>
            <w:tcW w:w="1040" w:type="dxa"/>
            <w:vAlign w:val="center"/>
          </w:tcPr>
          <w:p w:rsidR="005B7137" w:rsidRPr="00633FEC" w:rsidRDefault="005B7137" w:rsidP="007668ED">
            <w:pPr>
              <w:pStyle w:val="142"/>
              <w:jc w:val="right"/>
              <w:rPr>
                <w:b/>
              </w:rPr>
            </w:pPr>
            <w:r w:rsidRPr="00633FEC">
              <w:rPr>
                <w:b/>
              </w:rPr>
              <w:t xml:space="preserve">61,890 </w:t>
            </w:r>
          </w:p>
        </w:tc>
        <w:tc>
          <w:tcPr>
            <w:tcW w:w="1039" w:type="dxa"/>
            <w:vAlign w:val="center"/>
          </w:tcPr>
          <w:p w:rsidR="005B7137" w:rsidRPr="00633FEC" w:rsidRDefault="005B7137" w:rsidP="007668ED">
            <w:pPr>
              <w:pStyle w:val="142"/>
              <w:jc w:val="right"/>
              <w:rPr>
                <w:b/>
              </w:rPr>
            </w:pPr>
            <w:r w:rsidRPr="00633FEC">
              <w:rPr>
                <w:b/>
              </w:rPr>
              <w:t xml:space="preserve">68,775 </w:t>
            </w:r>
          </w:p>
        </w:tc>
        <w:tc>
          <w:tcPr>
            <w:tcW w:w="1040" w:type="dxa"/>
            <w:vAlign w:val="center"/>
          </w:tcPr>
          <w:p w:rsidR="005B7137" w:rsidRPr="00633FEC" w:rsidRDefault="005B7137" w:rsidP="007668ED">
            <w:pPr>
              <w:pStyle w:val="142"/>
              <w:jc w:val="right"/>
              <w:rPr>
                <w:b/>
              </w:rPr>
            </w:pPr>
            <w:r w:rsidRPr="00633FEC">
              <w:rPr>
                <w:b/>
              </w:rPr>
              <w:t>80,00</w:t>
            </w:r>
            <w:r>
              <w:rPr>
                <w:rFonts w:hint="eastAsia"/>
                <w:b/>
              </w:rPr>
              <w:t>1</w:t>
            </w:r>
            <w:r w:rsidRPr="00633FEC">
              <w:rPr>
                <w:b/>
              </w:rPr>
              <w:t xml:space="preserve"> </w:t>
            </w:r>
          </w:p>
        </w:tc>
      </w:tr>
    </w:tbl>
    <w:p w:rsidR="005B7137" w:rsidRDefault="005B7137" w:rsidP="007668ED">
      <w:pPr>
        <w:pStyle w:val="142"/>
        <w:ind w:leftChars="-122" w:left="851" w:rightChars="-50" w:right="-142" w:hangingChars="492" w:hanging="1197"/>
      </w:pPr>
      <w:r>
        <w:rPr>
          <w:rFonts w:hint="eastAsia"/>
        </w:rPr>
        <w:t>說    明：據金管會提供資料，有關銀行業辦理財富管理業務之資產管理規模統計範圍包含</w:t>
      </w:r>
      <w:r w:rsidRPr="001C5DCB">
        <w:rPr>
          <w:rFonts w:hint="eastAsia"/>
        </w:rPr>
        <w:t>金錢信託</w:t>
      </w:r>
      <w:r>
        <w:rPr>
          <w:rFonts w:hint="eastAsia"/>
        </w:rPr>
        <w:t>資產</w:t>
      </w:r>
      <w:r w:rsidRPr="001C5DCB">
        <w:rPr>
          <w:rFonts w:hint="eastAsia"/>
        </w:rPr>
        <w:t>(不含證投信、期信基金保管)</w:t>
      </w:r>
      <w:r>
        <w:rPr>
          <w:rFonts w:hint="eastAsia"/>
        </w:rPr>
        <w:t>，加計辦理</w:t>
      </w:r>
      <w:r w:rsidRPr="001C5DCB">
        <w:rPr>
          <w:rFonts w:hint="eastAsia"/>
        </w:rPr>
        <w:t>店頭結構型商品</w:t>
      </w:r>
      <w:r>
        <w:rPr>
          <w:rFonts w:hint="eastAsia"/>
        </w:rPr>
        <w:t>業務</w:t>
      </w:r>
      <w:r w:rsidRPr="001C5DCB">
        <w:rPr>
          <w:rFonts w:hint="eastAsia"/>
        </w:rPr>
        <w:t>之流通餘額。</w:t>
      </w:r>
    </w:p>
    <w:p w:rsidR="005B7137" w:rsidRPr="00E04F94" w:rsidRDefault="005B7137" w:rsidP="007668ED">
      <w:pPr>
        <w:pStyle w:val="142"/>
        <w:ind w:leftChars="-122" w:left="851" w:rightChars="-50" w:right="-142" w:hangingChars="492" w:hanging="1197"/>
      </w:pPr>
      <w:r w:rsidRPr="00E04F94">
        <w:rPr>
          <w:rFonts w:hint="eastAsia"/>
        </w:rPr>
        <w:t>資料來源：</w:t>
      </w:r>
      <w:r>
        <w:rPr>
          <w:rFonts w:hint="eastAsia"/>
        </w:rPr>
        <w:t>銀行業總計部分</w:t>
      </w:r>
      <w:r w:rsidRPr="00EF6D35">
        <w:rPr>
          <w:rFonts w:hint="eastAsia"/>
        </w:rPr>
        <w:t>為銀行局，</w:t>
      </w:r>
      <w:r>
        <w:rPr>
          <w:rFonts w:hint="eastAsia"/>
        </w:rPr>
        <w:t>而</w:t>
      </w:r>
      <w:r w:rsidRPr="00EF6D35">
        <w:rPr>
          <w:rFonts w:hint="eastAsia"/>
        </w:rPr>
        <w:t>公股銀行部分為財政部國庫署，</w:t>
      </w:r>
      <w:r>
        <w:rPr>
          <w:rFonts w:hint="eastAsia"/>
        </w:rPr>
        <w:t>據該署提供資料，中國輸出入銀行未有該項業務，爰民營銀行部分</w:t>
      </w:r>
      <w:r w:rsidRPr="00EF6D35">
        <w:rPr>
          <w:rFonts w:hint="eastAsia"/>
        </w:rPr>
        <w:t>係以上述資料為基礎</w:t>
      </w:r>
      <w:r>
        <w:rPr>
          <w:rFonts w:hint="eastAsia"/>
        </w:rPr>
        <w:t>相減</w:t>
      </w:r>
      <w:r w:rsidRPr="00EF6D35">
        <w:rPr>
          <w:rFonts w:hint="eastAsia"/>
        </w:rPr>
        <w:t>計算而得；本中心彙製。</w:t>
      </w:r>
    </w:p>
    <w:p w:rsidR="005B7137" w:rsidRPr="00825077" w:rsidRDefault="005B7137" w:rsidP="007668ED">
      <w:pPr>
        <w:pStyle w:val="a5"/>
        <w:ind w:left="849" w:hanging="283"/>
        <w:rPr>
          <w:b/>
        </w:rPr>
      </w:pPr>
      <w:r w:rsidRPr="00825077">
        <w:rPr>
          <w:rFonts w:hint="eastAsia"/>
          <w:b/>
        </w:rPr>
        <w:t>(三)多數公股銀行110至113年度財富管理業務手續費淨收益概呈增加，惟與權益及資產總額相當之民營銀行相比，其獲利貢獻度相對較低</w:t>
      </w:r>
    </w:p>
    <w:p w:rsidR="005B7137" w:rsidRDefault="005B7137" w:rsidP="007668ED">
      <w:pPr>
        <w:pStyle w:val="21"/>
        <w:ind w:left="850" w:firstLine="566"/>
      </w:pPr>
      <w:r>
        <w:rPr>
          <w:rFonts w:hint="eastAsia"/>
        </w:rPr>
        <w:t>就公股銀行110至113年度財富管理業務手續費淨收益以觀，臺灣中小企業銀行(以下簡稱臺灣企銀)呈逐年穩定成長，而其餘7家公股銀行111年度雖較110年度減少，然自112或113年度起，皆已陸續反轉攀升，除臺灣銀行外，6家公股銀行113年度財富管理業務手續費淨收益皆已高於110年度。復就該</w:t>
      </w:r>
      <w:r>
        <w:rPr>
          <w:rFonts w:hint="eastAsia"/>
        </w:rPr>
        <w:lastRenderedPageBreak/>
        <w:t>項收益占淨收益之比率分析財富管理業務對各銀行獲利之貢獻度，於110至113年度間，公股銀行介於1.06%至13.55%間，惟同期間權益及資產總額相當之4家民營銀行則介於13.62%至23.03%間，公股銀行相對較低(詳表5及表6</w:t>
      </w:r>
      <w:r>
        <w:t>)</w:t>
      </w:r>
      <w:r>
        <w:rPr>
          <w:rFonts w:hint="eastAsia"/>
        </w:rPr>
        <w:t>。</w:t>
      </w:r>
    </w:p>
    <w:p w:rsidR="005B7137" w:rsidRDefault="005B7137" w:rsidP="007668ED">
      <w:pPr>
        <w:pStyle w:val="123"/>
        <w:ind w:leftChars="-100" w:left="-141" w:rightChars="-300" w:right="-850" w:hangingChars="50" w:hanging="142"/>
        <w:rPr>
          <w:b/>
        </w:rPr>
      </w:pPr>
      <w:r w:rsidRPr="00E04F94">
        <w:rPr>
          <w:rFonts w:hint="eastAsia"/>
          <w:b/>
        </w:rPr>
        <w:t>表</w:t>
      </w:r>
      <w:r>
        <w:rPr>
          <w:rFonts w:hint="eastAsia"/>
          <w:b/>
        </w:rPr>
        <w:t>5  部分本國銀行110至113年度財富管理業務手續費淨收益一覽表</w:t>
      </w:r>
    </w:p>
    <w:p w:rsidR="005B7137" w:rsidRPr="00A46A86" w:rsidRDefault="005B7137" w:rsidP="007668ED">
      <w:pPr>
        <w:pStyle w:val="142"/>
        <w:ind w:leftChars="-50" w:left="-142" w:rightChars="-150" w:right="-425"/>
        <w:rPr>
          <w:szCs w:val="24"/>
        </w:rPr>
      </w:pPr>
      <w:r>
        <w:rPr>
          <w:rFonts w:hint="eastAsia"/>
          <w:b/>
        </w:rPr>
        <w:t xml:space="preserve">                                                     </w:t>
      </w:r>
      <w:r w:rsidRPr="00A46A86">
        <w:rPr>
          <w:rFonts w:hint="eastAsia"/>
          <w:szCs w:val="24"/>
        </w:rPr>
        <w:t>單位：新臺幣百萬元；%</w:t>
      </w:r>
    </w:p>
    <w:tbl>
      <w:tblPr>
        <w:tblW w:w="9073"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57" w:type="dxa"/>
          <w:right w:w="57" w:type="dxa"/>
        </w:tblCellMar>
        <w:tblLook w:val="04A0" w:firstRow="1" w:lastRow="0" w:firstColumn="1" w:lastColumn="0" w:noHBand="0" w:noVBand="1"/>
      </w:tblPr>
      <w:tblGrid>
        <w:gridCol w:w="993"/>
        <w:gridCol w:w="1985"/>
        <w:gridCol w:w="1523"/>
        <w:gridCol w:w="1524"/>
        <w:gridCol w:w="1524"/>
        <w:gridCol w:w="1524"/>
      </w:tblGrid>
      <w:tr w:rsidR="005B7137" w:rsidRPr="00D756C4" w:rsidTr="007668ED">
        <w:trPr>
          <w:trHeight w:val="227"/>
          <w:tblHeader/>
        </w:trPr>
        <w:tc>
          <w:tcPr>
            <w:tcW w:w="2978" w:type="dxa"/>
            <w:gridSpan w:val="2"/>
            <w:tcBorders>
              <w:top w:val="single" w:sz="12" w:space="0" w:color="auto"/>
              <w:bottom w:val="single" w:sz="6" w:space="0" w:color="auto"/>
              <w:tl2br w:val="single" w:sz="6" w:space="0" w:color="auto"/>
            </w:tcBorders>
            <w:shd w:val="clear" w:color="auto" w:fill="FFFFFF"/>
            <w:vAlign w:val="center"/>
          </w:tcPr>
          <w:p w:rsidR="005B7137" w:rsidRPr="00D756C4" w:rsidRDefault="005B7137" w:rsidP="007668ED">
            <w:pPr>
              <w:pStyle w:val="142"/>
              <w:ind w:left="566" w:hanging="566"/>
              <w:jc w:val="both"/>
              <w:rPr>
                <w:b/>
                <w:sz w:val="23"/>
                <w:szCs w:val="23"/>
              </w:rPr>
            </w:pPr>
            <w:r w:rsidRPr="00D756C4">
              <w:rPr>
                <w:rFonts w:hint="eastAsia"/>
                <w:b/>
                <w:sz w:val="23"/>
                <w:szCs w:val="23"/>
              </w:rPr>
              <w:t xml:space="preserve">                </w:t>
            </w:r>
            <w:r>
              <w:rPr>
                <w:rFonts w:hint="eastAsia"/>
                <w:b/>
                <w:sz w:val="23"/>
                <w:szCs w:val="23"/>
              </w:rPr>
              <w:t xml:space="preserve">   </w:t>
            </w:r>
            <w:r w:rsidRPr="00D756C4">
              <w:rPr>
                <w:rFonts w:hint="eastAsia"/>
                <w:b/>
                <w:sz w:val="23"/>
                <w:szCs w:val="23"/>
              </w:rPr>
              <w:t>年</w:t>
            </w:r>
            <w:r>
              <w:rPr>
                <w:rFonts w:hint="eastAsia"/>
                <w:b/>
                <w:sz w:val="23"/>
                <w:szCs w:val="23"/>
              </w:rPr>
              <w:t>度</w:t>
            </w:r>
          </w:p>
          <w:p w:rsidR="005B7137" w:rsidRPr="00D756C4" w:rsidRDefault="005B7137" w:rsidP="007668ED">
            <w:pPr>
              <w:pStyle w:val="142"/>
              <w:ind w:left="566" w:hanging="566"/>
              <w:rPr>
                <w:b/>
                <w:sz w:val="23"/>
                <w:szCs w:val="23"/>
              </w:rPr>
            </w:pPr>
            <w:r w:rsidRPr="00D756C4">
              <w:rPr>
                <w:rFonts w:hint="eastAsia"/>
                <w:b/>
                <w:sz w:val="23"/>
                <w:szCs w:val="23"/>
              </w:rPr>
              <w:t>銀行別及項目</w:t>
            </w:r>
          </w:p>
        </w:tc>
        <w:tc>
          <w:tcPr>
            <w:tcW w:w="1523" w:type="dxa"/>
            <w:tcBorders>
              <w:top w:val="single" w:sz="12" w:space="0" w:color="auto"/>
              <w:bottom w:val="single" w:sz="6" w:space="0" w:color="auto"/>
            </w:tcBorders>
            <w:shd w:val="clear" w:color="auto" w:fill="FFFFFF"/>
            <w:vAlign w:val="center"/>
          </w:tcPr>
          <w:p w:rsidR="005B7137" w:rsidRPr="00D756C4" w:rsidRDefault="005B7137" w:rsidP="007668ED">
            <w:pPr>
              <w:pStyle w:val="142"/>
              <w:ind w:left="566" w:hanging="566"/>
              <w:jc w:val="center"/>
              <w:rPr>
                <w:b/>
                <w:sz w:val="23"/>
                <w:szCs w:val="23"/>
              </w:rPr>
            </w:pPr>
            <w:r w:rsidRPr="00D756C4">
              <w:rPr>
                <w:rFonts w:hint="eastAsia"/>
                <w:b/>
                <w:sz w:val="23"/>
                <w:szCs w:val="23"/>
              </w:rPr>
              <w:t>1</w:t>
            </w:r>
            <w:r w:rsidRPr="00D756C4">
              <w:rPr>
                <w:b/>
                <w:sz w:val="23"/>
                <w:szCs w:val="23"/>
              </w:rPr>
              <w:t>10</w:t>
            </w:r>
            <w:r w:rsidRPr="00D756C4">
              <w:rPr>
                <w:rFonts w:hint="eastAsia"/>
                <w:b/>
                <w:sz w:val="23"/>
                <w:szCs w:val="23"/>
              </w:rPr>
              <w:t>年度</w:t>
            </w:r>
          </w:p>
        </w:tc>
        <w:tc>
          <w:tcPr>
            <w:tcW w:w="1524" w:type="dxa"/>
            <w:tcBorders>
              <w:top w:val="single" w:sz="12" w:space="0" w:color="auto"/>
              <w:bottom w:val="single" w:sz="6" w:space="0" w:color="auto"/>
            </w:tcBorders>
            <w:shd w:val="clear" w:color="auto" w:fill="FFFFFF"/>
            <w:vAlign w:val="center"/>
          </w:tcPr>
          <w:p w:rsidR="005B7137" w:rsidRPr="00D756C4" w:rsidRDefault="005B7137" w:rsidP="007668ED">
            <w:pPr>
              <w:pStyle w:val="142"/>
              <w:ind w:left="566" w:hanging="566"/>
              <w:jc w:val="center"/>
              <w:rPr>
                <w:b/>
                <w:sz w:val="23"/>
                <w:szCs w:val="23"/>
              </w:rPr>
            </w:pPr>
            <w:r w:rsidRPr="00D756C4">
              <w:rPr>
                <w:rFonts w:hint="eastAsia"/>
                <w:b/>
                <w:sz w:val="23"/>
                <w:szCs w:val="23"/>
              </w:rPr>
              <w:t>1</w:t>
            </w:r>
            <w:r w:rsidRPr="00D756C4">
              <w:rPr>
                <w:b/>
                <w:sz w:val="23"/>
                <w:szCs w:val="23"/>
              </w:rPr>
              <w:t>1</w:t>
            </w:r>
            <w:r w:rsidRPr="00D756C4">
              <w:rPr>
                <w:rFonts w:hint="eastAsia"/>
                <w:b/>
                <w:sz w:val="23"/>
                <w:szCs w:val="23"/>
              </w:rPr>
              <w:t>1年度</w:t>
            </w:r>
          </w:p>
        </w:tc>
        <w:tc>
          <w:tcPr>
            <w:tcW w:w="1524" w:type="dxa"/>
            <w:tcBorders>
              <w:top w:val="single" w:sz="12" w:space="0" w:color="auto"/>
              <w:bottom w:val="single" w:sz="6" w:space="0" w:color="auto"/>
            </w:tcBorders>
            <w:shd w:val="clear" w:color="auto" w:fill="FFFFFF"/>
            <w:vAlign w:val="center"/>
          </w:tcPr>
          <w:p w:rsidR="005B7137" w:rsidRPr="00D756C4" w:rsidRDefault="005B7137" w:rsidP="007668ED">
            <w:pPr>
              <w:pStyle w:val="142"/>
              <w:ind w:left="566" w:hanging="566"/>
              <w:jc w:val="center"/>
              <w:rPr>
                <w:b/>
                <w:sz w:val="23"/>
                <w:szCs w:val="23"/>
              </w:rPr>
            </w:pPr>
            <w:r w:rsidRPr="00D756C4">
              <w:rPr>
                <w:rFonts w:hint="eastAsia"/>
                <w:b/>
                <w:sz w:val="23"/>
                <w:szCs w:val="23"/>
              </w:rPr>
              <w:t>1</w:t>
            </w:r>
            <w:r w:rsidRPr="00D756C4">
              <w:rPr>
                <w:b/>
                <w:sz w:val="23"/>
                <w:szCs w:val="23"/>
              </w:rPr>
              <w:t>1</w:t>
            </w:r>
            <w:r w:rsidRPr="00D756C4">
              <w:rPr>
                <w:rFonts w:hint="eastAsia"/>
                <w:b/>
                <w:sz w:val="23"/>
                <w:szCs w:val="23"/>
              </w:rPr>
              <w:t>2年度</w:t>
            </w:r>
          </w:p>
        </w:tc>
        <w:tc>
          <w:tcPr>
            <w:tcW w:w="1524" w:type="dxa"/>
            <w:tcBorders>
              <w:top w:val="single" w:sz="12" w:space="0" w:color="auto"/>
              <w:bottom w:val="single" w:sz="6" w:space="0" w:color="auto"/>
            </w:tcBorders>
            <w:shd w:val="clear" w:color="auto" w:fill="FFFFFF"/>
            <w:vAlign w:val="center"/>
          </w:tcPr>
          <w:p w:rsidR="005B7137" w:rsidRPr="00D756C4" w:rsidRDefault="005B7137" w:rsidP="007668ED">
            <w:pPr>
              <w:pStyle w:val="142"/>
              <w:ind w:left="566" w:hanging="566"/>
              <w:jc w:val="center"/>
              <w:rPr>
                <w:b/>
                <w:sz w:val="23"/>
                <w:szCs w:val="23"/>
              </w:rPr>
            </w:pPr>
            <w:r w:rsidRPr="00D756C4">
              <w:rPr>
                <w:rFonts w:hint="eastAsia"/>
                <w:b/>
                <w:sz w:val="23"/>
                <w:szCs w:val="23"/>
              </w:rPr>
              <w:t>1</w:t>
            </w:r>
            <w:r w:rsidRPr="00D756C4">
              <w:rPr>
                <w:b/>
                <w:sz w:val="23"/>
                <w:szCs w:val="23"/>
              </w:rPr>
              <w:t>1</w:t>
            </w:r>
            <w:r w:rsidRPr="00D756C4">
              <w:rPr>
                <w:rFonts w:hint="eastAsia"/>
                <w:b/>
                <w:sz w:val="23"/>
                <w:szCs w:val="23"/>
              </w:rPr>
              <w:t>3年度</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Default="005B7137" w:rsidP="007668ED">
            <w:pPr>
              <w:pStyle w:val="142"/>
              <w:jc w:val="center"/>
              <w:rPr>
                <w:sz w:val="23"/>
                <w:szCs w:val="23"/>
              </w:rPr>
            </w:pPr>
            <w:r w:rsidRPr="00D756C4">
              <w:rPr>
                <w:rFonts w:hint="eastAsia"/>
                <w:sz w:val="23"/>
                <w:szCs w:val="23"/>
              </w:rPr>
              <w:t>臺灣</w:t>
            </w:r>
          </w:p>
          <w:p w:rsidR="005B7137" w:rsidRPr="00D756C4" w:rsidRDefault="005B7137" w:rsidP="007668ED">
            <w:pPr>
              <w:pStyle w:val="142"/>
              <w:jc w:val="center"/>
              <w:rPr>
                <w:sz w:val="23"/>
                <w:szCs w:val="23"/>
              </w:rPr>
            </w:pPr>
            <w:r w:rsidRPr="00D756C4">
              <w:rPr>
                <w:rFonts w:hint="eastAsia"/>
                <w:sz w:val="23"/>
                <w:szCs w:val="23"/>
              </w:rPr>
              <w:t>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1,111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679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594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951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38,933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42,701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55,789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61,084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2.85</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1.59</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1.06</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1.56</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臺灣土地銀行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490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474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419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610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31,751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33,368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35,220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36,919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1.54</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1.42</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1.19</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1.65</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合作金庫商業銀行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3,444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2,938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3,900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5,457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48,869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48,826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54,245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57,434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7.05</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6.02</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7.19</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9.5</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第一商業銀行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4,373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4,252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5,099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7,282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46,862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54,484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58,720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62,930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9.33</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7.80</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8.68</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11.57</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華南商業銀行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5,353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4,675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5,478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7,721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41,259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46,538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51,826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56,982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12.97</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10.05</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10.57</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13.55</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彰化商業銀行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2,772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2,463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3,405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4,660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28,127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33,536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37,964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41,178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9.86</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7.34</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8.97</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11.32</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兆豐國際商業銀行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2,829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2,633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3,344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4,181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44,984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53,441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68,763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68,609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6.29</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4.93</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4.86</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6.09</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臺灣中小企業銀行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1,651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1,916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2,712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3,381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23,959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28,379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31,731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33,919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6.89</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6.75</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8.55</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9.97</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中國信託商業銀行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20,432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15,789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18,901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26,336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88,731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97,849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116,773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132,638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23.03</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16.14</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16.19</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19.86</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國泰世華商業銀行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11,783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10,595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11,344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15,963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61,210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71,277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83,308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103,602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19.25</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14.86</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13.62</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15.41</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台北富邦商業銀行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9,688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9,327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12,127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16,437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45,103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55,578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64,916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75,954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21.48</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16.78</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18.68</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21.64</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玉山商</w:t>
            </w:r>
            <w:r w:rsidRPr="00D756C4">
              <w:rPr>
                <w:rFonts w:hint="eastAsia"/>
                <w:sz w:val="23"/>
                <w:szCs w:val="23"/>
              </w:rPr>
              <w:lastRenderedPageBreak/>
              <w:t>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lastRenderedPageBreak/>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9,878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7,914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9,321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13,499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both"/>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51,005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50,196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60,483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69,908 </w:t>
            </w:r>
          </w:p>
        </w:tc>
      </w:tr>
      <w:tr w:rsidR="005B7137" w:rsidRPr="00D756C4" w:rsidTr="007668ED">
        <w:trPr>
          <w:trHeight w:val="227"/>
        </w:trPr>
        <w:tc>
          <w:tcPr>
            <w:tcW w:w="993" w:type="dxa"/>
            <w:vMerge/>
            <w:tcBorders>
              <w:top w:val="single" w:sz="6" w:space="0" w:color="auto"/>
              <w:bottom w:val="single" w:sz="12" w:space="0" w:color="auto"/>
            </w:tcBorders>
            <w:shd w:val="clear" w:color="auto" w:fill="FFFFFF"/>
            <w:vAlign w:val="center"/>
          </w:tcPr>
          <w:p w:rsidR="005B7137" w:rsidRPr="00D756C4" w:rsidRDefault="005B7137" w:rsidP="007668ED">
            <w:pPr>
              <w:pStyle w:val="142"/>
              <w:ind w:left="447" w:hanging="447"/>
              <w:jc w:val="both"/>
              <w:rPr>
                <w:sz w:val="23"/>
                <w:szCs w:val="23"/>
              </w:rPr>
            </w:pPr>
          </w:p>
        </w:tc>
        <w:tc>
          <w:tcPr>
            <w:tcW w:w="1985" w:type="dxa"/>
            <w:tcBorders>
              <w:top w:val="single" w:sz="6" w:space="0" w:color="auto"/>
              <w:bottom w:val="single" w:sz="12"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12"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19.37</w:t>
            </w:r>
          </w:p>
        </w:tc>
        <w:tc>
          <w:tcPr>
            <w:tcW w:w="1524" w:type="dxa"/>
            <w:tcBorders>
              <w:top w:val="single" w:sz="6" w:space="0" w:color="auto"/>
              <w:bottom w:val="single" w:sz="12"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15.77</w:t>
            </w:r>
          </w:p>
        </w:tc>
        <w:tc>
          <w:tcPr>
            <w:tcW w:w="1524" w:type="dxa"/>
            <w:tcBorders>
              <w:top w:val="single" w:sz="6" w:space="0" w:color="auto"/>
              <w:bottom w:val="single" w:sz="12"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15.41</w:t>
            </w:r>
          </w:p>
        </w:tc>
        <w:tc>
          <w:tcPr>
            <w:tcW w:w="1524" w:type="dxa"/>
            <w:tcBorders>
              <w:top w:val="single" w:sz="6" w:space="0" w:color="auto"/>
              <w:bottom w:val="single" w:sz="12"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19.31</w:t>
            </w:r>
          </w:p>
        </w:tc>
      </w:tr>
    </w:tbl>
    <w:p w:rsidR="005B7137" w:rsidRDefault="005B7137" w:rsidP="007668ED">
      <w:pPr>
        <w:pStyle w:val="142"/>
        <w:ind w:leftChars="-100" w:left="1055" w:rightChars="-100" w:right="-283" w:hangingChars="550" w:hanging="1338"/>
        <w:jc w:val="both"/>
        <w:rPr>
          <w:color w:val="FF0000"/>
        </w:rPr>
      </w:pPr>
      <w:r>
        <w:rPr>
          <w:rFonts w:hint="eastAsia"/>
        </w:rPr>
        <w:t>說    明：</w:t>
      </w:r>
      <w:r w:rsidRPr="003102A4">
        <w:rPr>
          <w:rFonts w:hint="eastAsia"/>
        </w:rPr>
        <w:t>1.表內有關公股銀行之「財富管理業務手續費淨收益」，除臺灣土地銀行外，各年度皆係以經查核之財報數字為基礎計算而得，而臺灣土地銀行</w:t>
      </w:r>
      <w:r>
        <w:rPr>
          <w:rFonts w:hint="eastAsia"/>
        </w:rPr>
        <w:t>係</w:t>
      </w:r>
      <w:r w:rsidRPr="003102A4">
        <w:rPr>
          <w:rFonts w:hint="eastAsia"/>
        </w:rPr>
        <w:t>以內部管理數據</w:t>
      </w:r>
      <w:r>
        <w:rPr>
          <w:rFonts w:hint="eastAsia"/>
        </w:rPr>
        <w:t>表達</w:t>
      </w:r>
      <w:r w:rsidRPr="003102A4">
        <w:rPr>
          <w:rFonts w:hint="eastAsia"/>
        </w:rPr>
        <w:t>財務管理業務之執行成果，其係以</w:t>
      </w:r>
      <w:r>
        <w:rPr>
          <w:rFonts w:hint="eastAsia"/>
        </w:rPr>
        <w:t>進件時點為統計基礎，並按各商品之手續費收入費</w:t>
      </w:r>
      <w:r w:rsidRPr="003102A4">
        <w:rPr>
          <w:rFonts w:hint="eastAsia"/>
        </w:rPr>
        <w:t>率計算而得。</w:t>
      </w:r>
    </w:p>
    <w:p w:rsidR="005B7137" w:rsidRPr="00557DD8" w:rsidRDefault="005B7137" w:rsidP="007668ED">
      <w:pPr>
        <w:pStyle w:val="142"/>
        <w:ind w:leftChars="-100" w:left="1055" w:rightChars="-100" w:right="-283" w:hangingChars="550" w:hanging="1338"/>
        <w:jc w:val="both"/>
      </w:pPr>
      <w:r>
        <w:rPr>
          <w:rFonts w:hint="eastAsia"/>
          <w:color w:val="FF0000"/>
        </w:rPr>
        <w:t xml:space="preserve">        </w:t>
      </w:r>
      <w:r w:rsidRPr="00557DD8">
        <w:rPr>
          <w:rFonts w:hint="eastAsia"/>
        </w:rPr>
        <w:t xml:space="preserve"> 2.</w:t>
      </w:r>
      <w:r>
        <w:rPr>
          <w:rFonts w:hint="eastAsia"/>
        </w:rPr>
        <w:t>表內</w:t>
      </w:r>
      <w:r w:rsidRPr="00557DD8">
        <w:rPr>
          <w:rFonts w:hint="eastAsia"/>
        </w:rPr>
        <w:t>有關玉山銀行之「財富管理手續費淨收益」係擷取</w:t>
      </w:r>
      <w:r>
        <w:rPr>
          <w:rFonts w:hint="eastAsia"/>
        </w:rPr>
        <w:t>自</w:t>
      </w:r>
      <w:r w:rsidRPr="00557DD8">
        <w:rPr>
          <w:rFonts w:hint="eastAsia"/>
        </w:rPr>
        <w:t>玉山金控法說會簡報，其</w:t>
      </w:r>
      <w:r>
        <w:rPr>
          <w:rFonts w:hint="eastAsia"/>
        </w:rPr>
        <w:t>雖</w:t>
      </w:r>
      <w:r w:rsidRPr="00557DD8">
        <w:rPr>
          <w:rFonts w:hint="eastAsia"/>
        </w:rPr>
        <w:t>係以金控整體表達，然該數值經核對與玉山銀行各年度年報中有關財富管理業務之手續費淨收益相當(</w:t>
      </w:r>
      <w:r>
        <w:rPr>
          <w:rFonts w:hint="eastAsia"/>
        </w:rPr>
        <w:t>年報</w:t>
      </w:r>
      <w:r w:rsidRPr="00557DD8">
        <w:rPr>
          <w:rFonts w:hint="eastAsia"/>
        </w:rPr>
        <w:t>係以</w:t>
      </w:r>
      <w:r>
        <w:rPr>
          <w:rFonts w:hint="eastAsia"/>
        </w:rPr>
        <w:t>新臺幣</w:t>
      </w:r>
      <w:r w:rsidRPr="00557DD8">
        <w:rPr>
          <w:rFonts w:hint="eastAsia"/>
        </w:rPr>
        <w:t>10億元</w:t>
      </w:r>
      <w:r>
        <w:rPr>
          <w:rFonts w:hint="eastAsia"/>
        </w:rPr>
        <w:t>為表達單位</w:t>
      </w:r>
      <w:r w:rsidRPr="00557DD8">
        <w:rPr>
          <w:rFonts w:hint="eastAsia"/>
        </w:rPr>
        <w:t>)，爰以該數據呈現該行於財務管理業務之執行成果。</w:t>
      </w:r>
    </w:p>
    <w:p w:rsidR="005B7137" w:rsidRDefault="005B7137" w:rsidP="007668ED">
      <w:pPr>
        <w:pStyle w:val="142"/>
        <w:ind w:leftChars="-100" w:left="933" w:rightChars="-100" w:right="-283" w:hangingChars="500" w:hanging="1216"/>
        <w:jc w:val="both"/>
      </w:pPr>
      <w:r w:rsidRPr="00E04F94">
        <w:rPr>
          <w:rFonts w:hint="eastAsia"/>
        </w:rPr>
        <w:t>資料來源：</w:t>
      </w:r>
      <w:r>
        <w:rPr>
          <w:rFonts w:hint="eastAsia"/>
        </w:rPr>
        <w:t>有關「財富管理手續費淨收益」部分，公股銀行係由財政部國庫署所提供，至中國信託商業銀行係查詢該行之財務報告，而其餘民營銀行則是查閱各年度法說會簡報之資訊，另有關「淨收益」部分則是查詢各家銀行公告之財務報告；本中心彙製。</w:t>
      </w:r>
    </w:p>
    <w:p w:rsidR="005B7137" w:rsidRDefault="005B7137" w:rsidP="007668ED">
      <w:pPr>
        <w:pStyle w:val="123"/>
        <w:ind w:leftChars="-100" w:left="-141" w:rightChars="-300" w:right="-850" w:hangingChars="50" w:hanging="142"/>
        <w:rPr>
          <w:b/>
        </w:rPr>
      </w:pPr>
      <w:r w:rsidRPr="00E04F94">
        <w:rPr>
          <w:rFonts w:hint="eastAsia"/>
          <w:b/>
        </w:rPr>
        <w:t>表</w:t>
      </w:r>
      <w:r>
        <w:rPr>
          <w:rFonts w:hint="eastAsia"/>
          <w:b/>
        </w:rPr>
        <w:t>6  截至113年底止淨值及資產總額皆排名前10名之本國銀行一覽表</w:t>
      </w:r>
    </w:p>
    <w:p w:rsidR="005B7137" w:rsidRDefault="005B7137" w:rsidP="007668ED">
      <w:pPr>
        <w:pStyle w:val="142"/>
        <w:ind w:leftChars="-50" w:left="-142" w:rightChars="-150" w:right="-425"/>
        <w:rPr>
          <w:szCs w:val="24"/>
        </w:rPr>
      </w:pPr>
      <w:r>
        <w:rPr>
          <w:rFonts w:hint="eastAsia"/>
          <w:b/>
        </w:rPr>
        <w:t xml:space="preserve">                                                       </w:t>
      </w:r>
      <w:r w:rsidRPr="003667E3">
        <w:rPr>
          <w:rFonts w:hint="eastAsia"/>
          <w:szCs w:val="24"/>
        </w:rPr>
        <w:t>單位：</w:t>
      </w:r>
      <w:r>
        <w:rPr>
          <w:rFonts w:hint="eastAsia"/>
          <w:szCs w:val="24"/>
        </w:rPr>
        <w:t>新臺幣百萬元</w:t>
      </w:r>
    </w:p>
    <w:tbl>
      <w:tblPr>
        <w:tblW w:w="9073"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446"/>
        <w:gridCol w:w="2091"/>
        <w:gridCol w:w="1151"/>
        <w:gridCol w:w="2109"/>
        <w:gridCol w:w="1276"/>
      </w:tblGrid>
      <w:tr w:rsidR="005B7137" w:rsidRPr="00E04F94" w:rsidTr="007668ED">
        <w:trPr>
          <w:trHeight w:val="20"/>
          <w:tblHeader/>
        </w:trPr>
        <w:tc>
          <w:tcPr>
            <w:tcW w:w="2446" w:type="dxa"/>
            <w:vMerge w:val="restart"/>
            <w:vAlign w:val="center"/>
          </w:tcPr>
          <w:p w:rsidR="005B7137" w:rsidRPr="0047105A" w:rsidRDefault="005B7137">
            <w:pPr>
              <w:pStyle w:val="142"/>
              <w:jc w:val="center"/>
              <w:rPr>
                <w:b/>
              </w:rPr>
            </w:pPr>
            <w:r>
              <w:rPr>
                <w:rFonts w:hint="eastAsia"/>
                <w:b/>
              </w:rPr>
              <w:t>銀行別</w:t>
            </w:r>
          </w:p>
        </w:tc>
        <w:tc>
          <w:tcPr>
            <w:tcW w:w="3242" w:type="dxa"/>
            <w:gridSpan w:val="2"/>
            <w:vAlign w:val="center"/>
          </w:tcPr>
          <w:p w:rsidR="005B7137" w:rsidRPr="0047105A" w:rsidRDefault="005B7137">
            <w:pPr>
              <w:pStyle w:val="142"/>
              <w:jc w:val="center"/>
              <w:rPr>
                <w:b/>
              </w:rPr>
            </w:pPr>
            <w:r>
              <w:rPr>
                <w:rFonts w:hint="eastAsia"/>
                <w:b/>
              </w:rPr>
              <w:t>淨值</w:t>
            </w:r>
          </w:p>
        </w:tc>
        <w:tc>
          <w:tcPr>
            <w:tcW w:w="3385" w:type="dxa"/>
            <w:gridSpan w:val="2"/>
            <w:vAlign w:val="center"/>
          </w:tcPr>
          <w:p w:rsidR="005B7137" w:rsidRPr="0047105A" w:rsidRDefault="005B7137">
            <w:pPr>
              <w:pStyle w:val="142"/>
              <w:jc w:val="center"/>
              <w:rPr>
                <w:b/>
              </w:rPr>
            </w:pPr>
            <w:r>
              <w:rPr>
                <w:rFonts w:hint="eastAsia"/>
                <w:b/>
              </w:rPr>
              <w:t>資產總額</w:t>
            </w:r>
          </w:p>
        </w:tc>
      </w:tr>
      <w:tr w:rsidR="005B7137" w:rsidRPr="00E04F94" w:rsidTr="007668ED">
        <w:trPr>
          <w:trHeight w:val="20"/>
          <w:tblHeader/>
        </w:trPr>
        <w:tc>
          <w:tcPr>
            <w:tcW w:w="2446" w:type="dxa"/>
            <w:vMerge/>
            <w:tcBorders>
              <w:bottom w:val="single" w:sz="6" w:space="0" w:color="auto"/>
            </w:tcBorders>
            <w:vAlign w:val="center"/>
          </w:tcPr>
          <w:p w:rsidR="005B7137" w:rsidRDefault="005B7137">
            <w:pPr>
              <w:pStyle w:val="142"/>
              <w:jc w:val="center"/>
              <w:rPr>
                <w:b/>
              </w:rPr>
            </w:pPr>
          </w:p>
        </w:tc>
        <w:tc>
          <w:tcPr>
            <w:tcW w:w="2091" w:type="dxa"/>
            <w:tcBorders>
              <w:bottom w:val="single" w:sz="6" w:space="0" w:color="auto"/>
            </w:tcBorders>
            <w:vAlign w:val="center"/>
          </w:tcPr>
          <w:p w:rsidR="005B7137" w:rsidRDefault="005B7137">
            <w:pPr>
              <w:pStyle w:val="142"/>
              <w:jc w:val="center"/>
              <w:rPr>
                <w:b/>
              </w:rPr>
            </w:pPr>
            <w:r>
              <w:rPr>
                <w:rFonts w:hint="eastAsia"/>
                <w:b/>
              </w:rPr>
              <w:t>金額</w:t>
            </w:r>
          </w:p>
        </w:tc>
        <w:tc>
          <w:tcPr>
            <w:tcW w:w="1151" w:type="dxa"/>
            <w:tcBorders>
              <w:bottom w:val="single" w:sz="6" w:space="0" w:color="auto"/>
            </w:tcBorders>
            <w:vAlign w:val="center"/>
          </w:tcPr>
          <w:p w:rsidR="005B7137" w:rsidRDefault="005B7137">
            <w:pPr>
              <w:pStyle w:val="142"/>
              <w:jc w:val="center"/>
              <w:rPr>
                <w:b/>
              </w:rPr>
            </w:pPr>
            <w:r>
              <w:rPr>
                <w:rFonts w:hint="eastAsia"/>
                <w:b/>
              </w:rPr>
              <w:t>排名</w:t>
            </w:r>
          </w:p>
        </w:tc>
        <w:tc>
          <w:tcPr>
            <w:tcW w:w="2109" w:type="dxa"/>
            <w:tcBorders>
              <w:bottom w:val="single" w:sz="6" w:space="0" w:color="auto"/>
            </w:tcBorders>
            <w:vAlign w:val="center"/>
          </w:tcPr>
          <w:p w:rsidR="005B7137" w:rsidRDefault="005B7137">
            <w:pPr>
              <w:pStyle w:val="142"/>
              <w:jc w:val="center"/>
              <w:rPr>
                <w:b/>
              </w:rPr>
            </w:pPr>
            <w:r>
              <w:rPr>
                <w:rFonts w:hint="eastAsia"/>
                <w:b/>
              </w:rPr>
              <w:t>金額</w:t>
            </w:r>
          </w:p>
        </w:tc>
        <w:tc>
          <w:tcPr>
            <w:tcW w:w="1276" w:type="dxa"/>
            <w:tcBorders>
              <w:bottom w:val="single" w:sz="6" w:space="0" w:color="auto"/>
            </w:tcBorders>
            <w:vAlign w:val="center"/>
          </w:tcPr>
          <w:p w:rsidR="005B7137" w:rsidRDefault="005B7137">
            <w:pPr>
              <w:pStyle w:val="142"/>
              <w:jc w:val="center"/>
              <w:rPr>
                <w:b/>
              </w:rPr>
            </w:pPr>
            <w:r>
              <w:rPr>
                <w:rFonts w:hint="eastAsia"/>
                <w:b/>
              </w:rPr>
              <w:t>排名</w:t>
            </w:r>
          </w:p>
        </w:tc>
      </w:tr>
      <w:tr w:rsidR="005B7137" w:rsidRPr="00E04F94" w:rsidTr="007668ED">
        <w:trPr>
          <w:trHeight w:val="20"/>
        </w:trPr>
        <w:tc>
          <w:tcPr>
            <w:tcW w:w="9073" w:type="dxa"/>
            <w:gridSpan w:val="5"/>
            <w:tcBorders>
              <w:top w:val="single" w:sz="6" w:space="0" w:color="auto"/>
              <w:bottom w:val="single" w:sz="6" w:space="0" w:color="auto"/>
            </w:tcBorders>
            <w:shd w:val="clear" w:color="auto" w:fill="FFFFFF"/>
            <w:vAlign w:val="center"/>
          </w:tcPr>
          <w:p w:rsidR="005B7137" w:rsidRPr="00D1582C" w:rsidRDefault="005B7137">
            <w:pPr>
              <w:pStyle w:val="142"/>
              <w:jc w:val="both"/>
              <w:rPr>
                <w:b/>
              </w:rPr>
            </w:pPr>
            <w:r w:rsidRPr="00D1582C">
              <w:rPr>
                <w:rFonts w:hint="eastAsia"/>
                <w:b/>
              </w:rPr>
              <w:t>公股銀行</w:t>
            </w:r>
          </w:p>
        </w:tc>
      </w:tr>
      <w:tr w:rsidR="005B7137" w:rsidRPr="00E04F94" w:rsidTr="007668ED">
        <w:trPr>
          <w:trHeight w:val="20"/>
        </w:trPr>
        <w:tc>
          <w:tcPr>
            <w:tcW w:w="2446" w:type="dxa"/>
            <w:tcBorders>
              <w:top w:val="single" w:sz="6" w:space="0" w:color="auto"/>
              <w:bottom w:val="single" w:sz="6" w:space="0" w:color="auto"/>
            </w:tcBorders>
            <w:shd w:val="clear" w:color="auto" w:fill="FFFFFF"/>
            <w:vAlign w:val="center"/>
          </w:tcPr>
          <w:p w:rsidR="005B7137" w:rsidRPr="005A21E2" w:rsidRDefault="005B7137" w:rsidP="007668ED">
            <w:pPr>
              <w:pStyle w:val="142"/>
            </w:pPr>
            <w:r w:rsidRPr="005A21E2">
              <w:rPr>
                <w:rFonts w:hint="eastAsia"/>
              </w:rPr>
              <w:t>臺灣銀行</w:t>
            </w:r>
          </w:p>
        </w:tc>
        <w:tc>
          <w:tcPr>
            <w:tcW w:w="209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493,235</w:t>
            </w:r>
          </w:p>
        </w:tc>
        <w:tc>
          <w:tcPr>
            <w:tcW w:w="115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1</w:t>
            </w:r>
          </w:p>
        </w:tc>
        <w:tc>
          <w:tcPr>
            <w:tcW w:w="2109"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6,583,680</w:t>
            </w:r>
          </w:p>
        </w:tc>
        <w:tc>
          <w:tcPr>
            <w:tcW w:w="1276"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1</w:t>
            </w:r>
          </w:p>
        </w:tc>
      </w:tr>
      <w:tr w:rsidR="005B7137" w:rsidRPr="00E04F94" w:rsidTr="007668ED">
        <w:trPr>
          <w:trHeight w:val="20"/>
        </w:trPr>
        <w:tc>
          <w:tcPr>
            <w:tcW w:w="2446" w:type="dxa"/>
            <w:tcBorders>
              <w:top w:val="single" w:sz="6" w:space="0" w:color="auto"/>
              <w:bottom w:val="single" w:sz="6" w:space="0" w:color="auto"/>
            </w:tcBorders>
            <w:shd w:val="clear" w:color="auto" w:fill="FFFFFF"/>
            <w:vAlign w:val="center"/>
          </w:tcPr>
          <w:p w:rsidR="005B7137" w:rsidRPr="005A21E2" w:rsidRDefault="005B7137" w:rsidP="007668ED">
            <w:pPr>
              <w:pStyle w:val="142"/>
            </w:pPr>
            <w:r w:rsidRPr="005A21E2">
              <w:rPr>
                <w:rFonts w:hint="eastAsia"/>
              </w:rPr>
              <w:t>兆豐國際商業銀行</w:t>
            </w:r>
          </w:p>
        </w:tc>
        <w:tc>
          <w:tcPr>
            <w:tcW w:w="209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342,392</w:t>
            </w:r>
          </w:p>
        </w:tc>
        <w:tc>
          <w:tcPr>
            <w:tcW w:w="115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3</w:t>
            </w:r>
          </w:p>
        </w:tc>
        <w:tc>
          <w:tcPr>
            <w:tcW w:w="2109"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4,166,596</w:t>
            </w:r>
          </w:p>
        </w:tc>
        <w:tc>
          <w:tcPr>
            <w:tcW w:w="1276"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7</w:t>
            </w:r>
          </w:p>
        </w:tc>
      </w:tr>
      <w:tr w:rsidR="005B7137" w:rsidRPr="00E04F94" w:rsidTr="007668ED">
        <w:trPr>
          <w:trHeight w:val="20"/>
        </w:trPr>
        <w:tc>
          <w:tcPr>
            <w:tcW w:w="2446" w:type="dxa"/>
            <w:tcBorders>
              <w:top w:val="single" w:sz="6" w:space="0" w:color="auto"/>
              <w:bottom w:val="single" w:sz="6" w:space="0" w:color="auto"/>
            </w:tcBorders>
            <w:shd w:val="clear" w:color="auto" w:fill="FFFFFF"/>
            <w:vAlign w:val="center"/>
          </w:tcPr>
          <w:p w:rsidR="005B7137" w:rsidRPr="005A21E2" w:rsidRDefault="005B7137" w:rsidP="007668ED">
            <w:pPr>
              <w:pStyle w:val="142"/>
            </w:pPr>
            <w:r w:rsidRPr="005A21E2">
              <w:rPr>
                <w:rFonts w:hint="eastAsia"/>
              </w:rPr>
              <w:t>合作金庫商業銀行</w:t>
            </w:r>
          </w:p>
        </w:tc>
        <w:tc>
          <w:tcPr>
            <w:tcW w:w="209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277,854</w:t>
            </w:r>
          </w:p>
        </w:tc>
        <w:tc>
          <w:tcPr>
            <w:tcW w:w="115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6</w:t>
            </w:r>
          </w:p>
        </w:tc>
        <w:tc>
          <w:tcPr>
            <w:tcW w:w="2109"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4,921,627</w:t>
            </w:r>
          </w:p>
        </w:tc>
        <w:tc>
          <w:tcPr>
            <w:tcW w:w="1276"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3</w:t>
            </w:r>
          </w:p>
        </w:tc>
      </w:tr>
      <w:tr w:rsidR="005B7137" w:rsidRPr="00E04F94" w:rsidTr="007668ED">
        <w:trPr>
          <w:trHeight w:val="20"/>
        </w:trPr>
        <w:tc>
          <w:tcPr>
            <w:tcW w:w="2446" w:type="dxa"/>
            <w:tcBorders>
              <w:top w:val="single" w:sz="6" w:space="0" w:color="auto"/>
              <w:bottom w:val="single" w:sz="6" w:space="0" w:color="auto"/>
            </w:tcBorders>
            <w:shd w:val="clear" w:color="auto" w:fill="FFFFFF"/>
            <w:vAlign w:val="center"/>
          </w:tcPr>
          <w:p w:rsidR="005B7137" w:rsidRPr="005A21E2" w:rsidRDefault="005B7137" w:rsidP="007668ED">
            <w:pPr>
              <w:pStyle w:val="142"/>
            </w:pPr>
            <w:r w:rsidRPr="005A21E2">
              <w:rPr>
                <w:rFonts w:hint="eastAsia"/>
              </w:rPr>
              <w:t>第一商業銀行</w:t>
            </w:r>
          </w:p>
        </w:tc>
        <w:tc>
          <w:tcPr>
            <w:tcW w:w="209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275,865</w:t>
            </w:r>
          </w:p>
        </w:tc>
        <w:tc>
          <w:tcPr>
            <w:tcW w:w="115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7</w:t>
            </w:r>
          </w:p>
        </w:tc>
        <w:tc>
          <w:tcPr>
            <w:tcW w:w="2109"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4,528,820</w:t>
            </w:r>
          </w:p>
        </w:tc>
        <w:tc>
          <w:tcPr>
            <w:tcW w:w="1276"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4</w:t>
            </w:r>
          </w:p>
        </w:tc>
      </w:tr>
      <w:tr w:rsidR="005B7137" w:rsidRPr="00E04F94" w:rsidTr="007668ED">
        <w:trPr>
          <w:trHeight w:val="20"/>
        </w:trPr>
        <w:tc>
          <w:tcPr>
            <w:tcW w:w="2446" w:type="dxa"/>
            <w:tcBorders>
              <w:top w:val="single" w:sz="6" w:space="0" w:color="auto"/>
              <w:bottom w:val="single" w:sz="6" w:space="0" w:color="auto"/>
            </w:tcBorders>
            <w:shd w:val="clear" w:color="auto" w:fill="FFFFFF"/>
            <w:vAlign w:val="center"/>
          </w:tcPr>
          <w:p w:rsidR="005B7137" w:rsidRPr="005A21E2" w:rsidRDefault="005B7137" w:rsidP="007668ED">
            <w:pPr>
              <w:pStyle w:val="142"/>
            </w:pPr>
            <w:r w:rsidRPr="005A21E2">
              <w:rPr>
                <w:rFonts w:hint="eastAsia"/>
              </w:rPr>
              <w:t>華南商業銀行</w:t>
            </w:r>
          </w:p>
        </w:tc>
        <w:tc>
          <w:tcPr>
            <w:tcW w:w="209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240,464</w:t>
            </w:r>
          </w:p>
        </w:tc>
        <w:tc>
          <w:tcPr>
            <w:tcW w:w="115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9</w:t>
            </w:r>
          </w:p>
        </w:tc>
        <w:tc>
          <w:tcPr>
            <w:tcW w:w="2109"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4,138,774</w:t>
            </w:r>
          </w:p>
        </w:tc>
        <w:tc>
          <w:tcPr>
            <w:tcW w:w="1276"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8</w:t>
            </w:r>
          </w:p>
        </w:tc>
      </w:tr>
      <w:tr w:rsidR="005B7137" w:rsidRPr="00E04F94" w:rsidTr="007668ED">
        <w:trPr>
          <w:trHeight w:val="20"/>
        </w:trPr>
        <w:tc>
          <w:tcPr>
            <w:tcW w:w="2446" w:type="dxa"/>
            <w:tcBorders>
              <w:top w:val="single" w:sz="6" w:space="0" w:color="auto"/>
              <w:bottom w:val="single" w:sz="6" w:space="0" w:color="auto"/>
            </w:tcBorders>
            <w:shd w:val="clear" w:color="auto" w:fill="FFFFFF"/>
            <w:vAlign w:val="center"/>
          </w:tcPr>
          <w:p w:rsidR="005B7137" w:rsidRPr="005A21E2" w:rsidRDefault="005B7137" w:rsidP="007668ED">
            <w:pPr>
              <w:pStyle w:val="142"/>
            </w:pPr>
            <w:r w:rsidRPr="005A21E2">
              <w:rPr>
                <w:rFonts w:hint="eastAsia"/>
              </w:rPr>
              <w:t>臺灣土地銀行</w:t>
            </w:r>
          </w:p>
        </w:tc>
        <w:tc>
          <w:tcPr>
            <w:tcW w:w="209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227,556</w:t>
            </w:r>
          </w:p>
        </w:tc>
        <w:tc>
          <w:tcPr>
            <w:tcW w:w="115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10</w:t>
            </w:r>
          </w:p>
        </w:tc>
        <w:tc>
          <w:tcPr>
            <w:tcW w:w="2109"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3,604,041</w:t>
            </w:r>
          </w:p>
        </w:tc>
        <w:tc>
          <w:tcPr>
            <w:tcW w:w="1276"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10</w:t>
            </w:r>
          </w:p>
        </w:tc>
      </w:tr>
      <w:tr w:rsidR="005B7137" w:rsidRPr="00E04F94" w:rsidTr="007668ED">
        <w:trPr>
          <w:trHeight w:val="20"/>
        </w:trPr>
        <w:tc>
          <w:tcPr>
            <w:tcW w:w="9073" w:type="dxa"/>
            <w:gridSpan w:val="5"/>
            <w:tcBorders>
              <w:top w:val="single" w:sz="6" w:space="0" w:color="auto"/>
              <w:bottom w:val="single" w:sz="6" w:space="0" w:color="auto"/>
            </w:tcBorders>
            <w:shd w:val="clear" w:color="auto" w:fill="FFFFFF"/>
            <w:vAlign w:val="center"/>
          </w:tcPr>
          <w:p w:rsidR="005B7137" w:rsidRPr="00D1582C" w:rsidRDefault="005B7137">
            <w:pPr>
              <w:pStyle w:val="142"/>
              <w:jc w:val="both"/>
              <w:rPr>
                <w:b/>
              </w:rPr>
            </w:pPr>
            <w:r w:rsidRPr="00D1582C">
              <w:rPr>
                <w:rFonts w:hint="eastAsia"/>
                <w:b/>
              </w:rPr>
              <w:t>民營銀行</w:t>
            </w:r>
          </w:p>
        </w:tc>
      </w:tr>
      <w:tr w:rsidR="005B7137" w:rsidRPr="00E04F94" w:rsidTr="007668ED">
        <w:trPr>
          <w:trHeight w:val="20"/>
        </w:trPr>
        <w:tc>
          <w:tcPr>
            <w:tcW w:w="2446" w:type="dxa"/>
            <w:tcBorders>
              <w:top w:val="single" w:sz="6" w:space="0" w:color="auto"/>
              <w:bottom w:val="single" w:sz="6" w:space="0" w:color="auto"/>
            </w:tcBorders>
            <w:vAlign w:val="center"/>
          </w:tcPr>
          <w:p w:rsidR="005B7137" w:rsidRPr="005A21E2" w:rsidRDefault="005B7137" w:rsidP="007668ED">
            <w:pPr>
              <w:pStyle w:val="142"/>
            </w:pPr>
            <w:r w:rsidRPr="0047105A">
              <w:rPr>
                <w:rFonts w:hint="eastAsia"/>
              </w:rPr>
              <w:t>中國信託商業銀行</w:t>
            </w:r>
          </w:p>
        </w:tc>
        <w:tc>
          <w:tcPr>
            <w:tcW w:w="2091" w:type="dxa"/>
            <w:tcBorders>
              <w:top w:val="single" w:sz="6" w:space="0" w:color="auto"/>
              <w:bottom w:val="single" w:sz="6" w:space="0" w:color="auto"/>
            </w:tcBorders>
            <w:vAlign w:val="center"/>
          </w:tcPr>
          <w:p w:rsidR="005B7137" w:rsidRPr="00557D60" w:rsidRDefault="005B7137" w:rsidP="007668ED">
            <w:pPr>
              <w:pStyle w:val="142"/>
              <w:jc w:val="right"/>
            </w:pPr>
            <w:r w:rsidRPr="00557D60">
              <w:t>393,863</w:t>
            </w:r>
          </w:p>
        </w:tc>
        <w:tc>
          <w:tcPr>
            <w:tcW w:w="1151" w:type="dxa"/>
            <w:tcBorders>
              <w:top w:val="single" w:sz="6" w:space="0" w:color="auto"/>
              <w:bottom w:val="single" w:sz="6" w:space="0" w:color="auto"/>
            </w:tcBorders>
            <w:vAlign w:val="center"/>
          </w:tcPr>
          <w:p w:rsidR="005B7137" w:rsidRPr="00557D60" w:rsidRDefault="005B7137" w:rsidP="007668ED">
            <w:pPr>
              <w:pStyle w:val="142"/>
              <w:jc w:val="right"/>
            </w:pPr>
            <w:r w:rsidRPr="00557D60">
              <w:t>2</w:t>
            </w:r>
          </w:p>
        </w:tc>
        <w:tc>
          <w:tcPr>
            <w:tcW w:w="2109" w:type="dxa"/>
            <w:tcBorders>
              <w:top w:val="single" w:sz="6" w:space="0" w:color="auto"/>
              <w:bottom w:val="single" w:sz="6" w:space="0" w:color="auto"/>
            </w:tcBorders>
            <w:vAlign w:val="center"/>
          </w:tcPr>
          <w:p w:rsidR="005B7137" w:rsidRPr="00557D60" w:rsidRDefault="005B7137" w:rsidP="007668ED">
            <w:pPr>
              <w:pStyle w:val="142"/>
              <w:jc w:val="right"/>
            </w:pPr>
            <w:r w:rsidRPr="00557D60">
              <w:t>5,457,404</w:t>
            </w:r>
          </w:p>
        </w:tc>
        <w:tc>
          <w:tcPr>
            <w:tcW w:w="1276" w:type="dxa"/>
            <w:tcBorders>
              <w:top w:val="single" w:sz="6" w:space="0" w:color="auto"/>
              <w:bottom w:val="single" w:sz="6" w:space="0" w:color="auto"/>
            </w:tcBorders>
            <w:vAlign w:val="center"/>
          </w:tcPr>
          <w:p w:rsidR="005B7137" w:rsidRPr="00557D60" w:rsidRDefault="005B7137" w:rsidP="007668ED">
            <w:pPr>
              <w:pStyle w:val="142"/>
              <w:jc w:val="right"/>
            </w:pPr>
            <w:r w:rsidRPr="00557D60">
              <w:t>2</w:t>
            </w:r>
          </w:p>
        </w:tc>
      </w:tr>
      <w:tr w:rsidR="005B7137" w:rsidRPr="00E04F94" w:rsidTr="007668ED">
        <w:trPr>
          <w:trHeight w:val="20"/>
        </w:trPr>
        <w:tc>
          <w:tcPr>
            <w:tcW w:w="2446" w:type="dxa"/>
            <w:tcBorders>
              <w:top w:val="single" w:sz="6" w:space="0" w:color="auto"/>
              <w:bottom w:val="single" w:sz="6" w:space="0" w:color="auto"/>
            </w:tcBorders>
            <w:vAlign w:val="center"/>
          </w:tcPr>
          <w:p w:rsidR="005B7137" w:rsidRPr="0047105A" w:rsidRDefault="005B7137" w:rsidP="007668ED">
            <w:pPr>
              <w:pStyle w:val="142"/>
            </w:pPr>
            <w:r w:rsidRPr="0047105A">
              <w:rPr>
                <w:rFonts w:hint="eastAsia"/>
              </w:rPr>
              <w:t>台北富邦商業銀行</w:t>
            </w:r>
          </w:p>
        </w:tc>
        <w:tc>
          <w:tcPr>
            <w:tcW w:w="2091" w:type="dxa"/>
            <w:tcBorders>
              <w:top w:val="single" w:sz="6" w:space="0" w:color="auto"/>
              <w:bottom w:val="single" w:sz="6" w:space="0" w:color="auto"/>
            </w:tcBorders>
            <w:vAlign w:val="center"/>
          </w:tcPr>
          <w:p w:rsidR="005B7137" w:rsidRPr="00557D60" w:rsidRDefault="005B7137" w:rsidP="007668ED">
            <w:pPr>
              <w:pStyle w:val="142"/>
              <w:jc w:val="right"/>
            </w:pPr>
            <w:r w:rsidRPr="00557D60">
              <w:t>298,369</w:t>
            </w:r>
          </w:p>
        </w:tc>
        <w:tc>
          <w:tcPr>
            <w:tcW w:w="1151" w:type="dxa"/>
            <w:tcBorders>
              <w:top w:val="single" w:sz="6" w:space="0" w:color="auto"/>
              <w:bottom w:val="single" w:sz="6" w:space="0" w:color="auto"/>
            </w:tcBorders>
            <w:vAlign w:val="center"/>
          </w:tcPr>
          <w:p w:rsidR="005B7137" w:rsidRPr="00557D60" w:rsidRDefault="005B7137" w:rsidP="007668ED">
            <w:pPr>
              <w:pStyle w:val="142"/>
              <w:jc w:val="right"/>
            </w:pPr>
            <w:r w:rsidRPr="00557D60">
              <w:t>4</w:t>
            </w:r>
          </w:p>
        </w:tc>
        <w:tc>
          <w:tcPr>
            <w:tcW w:w="2109" w:type="dxa"/>
            <w:tcBorders>
              <w:top w:val="single" w:sz="6" w:space="0" w:color="auto"/>
              <w:bottom w:val="single" w:sz="6" w:space="0" w:color="auto"/>
            </w:tcBorders>
            <w:vAlign w:val="center"/>
          </w:tcPr>
          <w:p w:rsidR="005B7137" w:rsidRPr="00557D60" w:rsidRDefault="005B7137" w:rsidP="007668ED">
            <w:pPr>
              <w:pStyle w:val="142"/>
              <w:jc w:val="right"/>
            </w:pPr>
            <w:r w:rsidRPr="00557D60">
              <w:t>4,167,903</w:t>
            </w:r>
          </w:p>
        </w:tc>
        <w:tc>
          <w:tcPr>
            <w:tcW w:w="1276" w:type="dxa"/>
            <w:tcBorders>
              <w:top w:val="single" w:sz="6" w:space="0" w:color="auto"/>
              <w:bottom w:val="single" w:sz="6" w:space="0" w:color="auto"/>
            </w:tcBorders>
            <w:vAlign w:val="center"/>
          </w:tcPr>
          <w:p w:rsidR="005B7137" w:rsidRPr="00557D60" w:rsidRDefault="005B7137" w:rsidP="007668ED">
            <w:pPr>
              <w:pStyle w:val="142"/>
              <w:jc w:val="right"/>
            </w:pPr>
            <w:r w:rsidRPr="00557D60">
              <w:t>6</w:t>
            </w:r>
          </w:p>
        </w:tc>
      </w:tr>
      <w:tr w:rsidR="005B7137" w:rsidRPr="00E04F94" w:rsidTr="007668ED">
        <w:trPr>
          <w:trHeight w:val="20"/>
        </w:trPr>
        <w:tc>
          <w:tcPr>
            <w:tcW w:w="2446" w:type="dxa"/>
            <w:tcBorders>
              <w:top w:val="single" w:sz="6" w:space="0" w:color="auto"/>
            </w:tcBorders>
            <w:vAlign w:val="center"/>
          </w:tcPr>
          <w:p w:rsidR="005B7137" w:rsidRPr="0047105A" w:rsidRDefault="005B7137" w:rsidP="007668ED">
            <w:pPr>
              <w:pStyle w:val="142"/>
            </w:pPr>
            <w:r w:rsidRPr="0047105A">
              <w:rPr>
                <w:rFonts w:hint="eastAsia"/>
              </w:rPr>
              <w:t>國泰世華商業銀行</w:t>
            </w:r>
          </w:p>
        </w:tc>
        <w:tc>
          <w:tcPr>
            <w:tcW w:w="2091" w:type="dxa"/>
            <w:tcBorders>
              <w:top w:val="single" w:sz="6" w:space="0" w:color="auto"/>
            </w:tcBorders>
            <w:vAlign w:val="center"/>
          </w:tcPr>
          <w:p w:rsidR="005B7137" w:rsidRPr="00557D60" w:rsidRDefault="005B7137" w:rsidP="007668ED">
            <w:pPr>
              <w:pStyle w:val="142"/>
              <w:jc w:val="right"/>
            </w:pPr>
            <w:r w:rsidRPr="00557D60">
              <w:t>295,390</w:t>
            </w:r>
          </w:p>
        </w:tc>
        <w:tc>
          <w:tcPr>
            <w:tcW w:w="1151" w:type="dxa"/>
            <w:tcBorders>
              <w:top w:val="single" w:sz="6" w:space="0" w:color="auto"/>
            </w:tcBorders>
            <w:vAlign w:val="center"/>
          </w:tcPr>
          <w:p w:rsidR="005B7137" w:rsidRPr="00557D60" w:rsidRDefault="005B7137" w:rsidP="007668ED">
            <w:pPr>
              <w:pStyle w:val="142"/>
              <w:jc w:val="right"/>
            </w:pPr>
            <w:r w:rsidRPr="00557D60">
              <w:t>5</w:t>
            </w:r>
          </w:p>
        </w:tc>
        <w:tc>
          <w:tcPr>
            <w:tcW w:w="2109" w:type="dxa"/>
            <w:tcBorders>
              <w:top w:val="single" w:sz="6" w:space="0" w:color="auto"/>
            </w:tcBorders>
            <w:vAlign w:val="center"/>
          </w:tcPr>
          <w:p w:rsidR="005B7137" w:rsidRPr="00557D60" w:rsidRDefault="005B7137" w:rsidP="007668ED">
            <w:pPr>
              <w:pStyle w:val="142"/>
              <w:jc w:val="right"/>
            </w:pPr>
            <w:r w:rsidRPr="00557D60">
              <w:t>4,386,011</w:t>
            </w:r>
          </w:p>
        </w:tc>
        <w:tc>
          <w:tcPr>
            <w:tcW w:w="1276" w:type="dxa"/>
            <w:tcBorders>
              <w:top w:val="single" w:sz="6" w:space="0" w:color="auto"/>
            </w:tcBorders>
            <w:vAlign w:val="center"/>
          </w:tcPr>
          <w:p w:rsidR="005B7137" w:rsidRPr="00557D60" w:rsidRDefault="005B7137" w:rsidP="007668ED">
            <w:pPr>
              <w:pStyle w:val="142"/>
              <w:jc w:val="right"/>
            </w:pPr>
            <w:r w:rsidRPr="00557D60">
              <w:t>5</w:t>
            </w:r>
          </w:p>
        </w:tc>
      </w:tr>
      <w:tr w:rsidR="005B7137" w:rsidRPr="00E04F94" w:rsidTr="007668ED">
        <w:trPr>
          <w:trHeight w:val="20"/>
        </w:trPr>
        <w:tc>
          <w:tcPr>
            <w:tcW w:w="2446" w:type="dxa"/>
            <w:tcBorders>
              <w:top w:val="single" w:sz="6" w:space="0" w:color="auto"/>
            </w:tcBorders>
            <w:vAlign w:val="center"/>
          </w:tcPr>
          <w:p w:rsidR="005B7137" w:rsidRPr="005A21E2" w:rsidRDefault="005B7137" w:rsidP="007668ED">
            <w:pPr>
              <w:pStyle w:val="142"/>
            </w:pPr>
            <w:r w:rsidRPr="00B31819">
              <w:rPr>
                <w:rFonts w:hint="eastAsia"/>
              </w:rPr>
              <w:t>玉山商業銀行</w:t>
            </w:r>
          </w:p>
        </w:tc>
        <w:tc>
          <w:tcPr>
            <w:tcW w:w="2091" w:type="dxa"/>
            <w:tcBorders>
              <w:top w:val="single" w:sz="6" w:space="0" w:color="auto"/>
            </w:tcBorders>
            <w:vAlign w:val="center"/>
          </w:tcPr>
          <w:p w:rsidR="005B7137" w:rsidRPr="00557D60" w:rsidRDefault="005B7137" w:rsidP="007668ED">
            <w:pPr>
              <w:pStyle w:val="142"/>
              <w:jc w:val="right"/>
            </w:pPr>
            <w:r w:rsidRPr="00557D60">
              <w:t>259,546</w:t>
            </w:r>
          </w:p>
        </w:tc>
        <w:tc>
          <w:tcPr>
            <w:tcW w:w="1151" w:type="dxa"/>
            <w:tcBorders>
              <w:top w:val="single" w:sz="6" w:space="0" w:color="auto"/>
            </w:tcBorders>
            <w:vAlign w:val="center"/>
          </w:tcPr>
          <w:p w:rsidR="005B7137" w:rsidRPr="00557D60" w:rsidRDefault="005B7137" w:rsidP="007668ED">
            <w:pPr>
              <w:pStyle w:val="142"/>
              <w:jc w:val="right"/>
            </w:pPr>
            <w:r w:rsidRPr="00557D60">
              <w:t>8</w:t>
            </w:r>
          </w:p>
        </w:tc>
        <w:tc>
          <w:tcPr>
            <w:tcW w:w="2109" w:type="dxa"/>
            <w:tcBorders>
              <w:top w:val="single" w:sz="6" w:space="0" w:color="auto"/>
            </w:tcBorders>
            <w:vAlign w:val="center"/>
          </w:tcPr>
          <w:p w:rsidR="005B7137" w:rsidRPr="00557D60" w:rsidRDefault="005B7137" w:rsidP="007668ED">
            <w:pPr>
              <w:pStyle w:val="142"/>
              <w:jc w:val="right"/>
            </w:pPr>
            <w:r w:rsidRPr="00557D60">
              <w:t>3,932,812</w:t>
            </w:r>
          </w:p>
        </w:tc>
        <w:tc>
          <w:tcPr>
            <w:tcW w:w="1276" w:type="dxa"/>
            <w:tcBorders>
              <w:top w:val="single" w:sz="6" w:space="0" w:color="auto"/>
            </w:tcBorders>
            <w:vAlign w:val="center"/>
          </w:tcPr>
          <w:p w:rsidR="005B7137" w:rsidRPr="00557D60" w:rsidRDefault="005B7137" w:rsidP="007668ED">
            <w:pPr>
              <w:pStyle w:val="142"/>
              <w:jc w:val="right"/>
            </w:pPr>
            <w:r w:rsidRPr="00557D60">
              <w:t>9</w:t>
            </w:r>
          </w:p>
        </w:tc>
      </w:tr>
    </w:tbl>
    <w:p w:rsidR="005B7137" w:rsidRDefault="005B7137" w:rsidP="007668ED">
      <w:pPr>
        <w:pStyle w:val="142"/>
        <w:ind w:leftChars="-101" w:left="808" w:rightChars="-100" w:right="-283" w:hangingChars="450" w:hanging="1094"/>
      </w:pPr>
      <w:r>
        <w:rPr>
          <w:rFonts w:hint="eastAsia"/>
        </w:rPr>
        <w:t>說    明：公股銀行中</w:t>
      </w:r>
      <w:r w:rsidRPr="0078281B">
        <w:rPr>
          <w:rFonts w:hint="eastAsia"/>
        </w:rPr>
        <w:t>彰化商業銀行</w:t>
      </w:r>
      <w:r>
        <w:rPr>
          <w:rFonts w:hint="eastAsia"/>
        </w:rPr>
        <w:t>之淨值排名為第12名，資產總額則為第11名，而臺灣企銀之淨值排名為第16名，資產總額則為第14名。</w:t>
      </w:r>
    </w:p>
    <w:p w:rsidR="005B7137" w:rsidRDefault="005B7137" w:rsidP="007668ED">
      <w:pPr>
        <w:pStyle w:val="142"/>
        <w:ind w:leftChars="-101" w:left="808" w:rightChars="-100" w:right="-283" w:hangingChars="450" w:hanging="1094"/>
        <w:rPr>
          <w:b/>
        </w:rPr>
      </w:pPr>
      <w:r w:rsidRPr="00E04F94">
        <w:rPr>
          <w:rFonts w:hint="eastAsia"/>
        </w:rPr>
        <w:t>資料來源：</w:t>
      </w:r>
      <w:r>
        <w:rPr>
          <w:rFonts w:hint="eastAsia"/>
        </w:rPr>
        <w:t>基本金融資料(113年第4季)，本中心彙製。</w:t>
      </w:r>
    </w:p>
    <w:p w:rsidR="005B7137" w:rsidRPr="005942ED" w:rsidRDefault="005B7137" w:rsidP="007668ED">
      <w:pPr>
        <w:pStyle w:val="a5"/>
        <w:ind w:left="849" w:hanging="283"/>
        <w:rPr>
          <w:b/>
        </w:rPr>
      </w:pPr>
      <w:r w:rsidRPr="005942ED">
        <w:rPr>
          <w:rFonts w:hint="eastAsia"/>
          <w:b/>
        </w:rPr>
        <w:t>(四)</w:t>
      </w:r>
      <w:r>
        <w:rPr>
          <w:rFonts w:hint="eastAsia"/>
          <w:b/>
        </w:rPr>
        <w:t>邇來</w:t>
      </w:r>
      <w:r w:rsidRPr="005942ED">
        <w:rPr>
          <w:rFonts w:hint="eastAsia"/>
          <w:b/>
        </w:rPr>
        <w:t>部分公股銀行</w:t>
      </w:r>
      <w:r>
        <w:rPr>
          <w:rFonts w:hint="eastAsia"/>
          <w:b/>
        </w:rPr>
        <w:t>因有</w:t>
      </w:r>
      <w:r w:rsidRPr="005942ED">
        <w:rPr>
          <w:rFonts w:hint="eastAsia"/>
          <w:b/>
        </w:rPr>
        <w:t>理專</w:t>
      </w:r>
      <w:r>
        <w:rPr>
          <w:rFonts w:hint="eastAsia"/>
          <w:b/>
        </w:rPr>
        <w:t>或行員</w:t>
      </w:r>
      <w:r w:rsidRPr="005942ED">
        <w:rPr>
          <w:rFonts w:hint="eastAsia"/>
          <w:b/>
        </w:rPr>
        <w:t>挪用款</w:t>
      </w:r>
      <w:r>
        <w:rPr>
          <w:rFonts w:hint="eastAsia"/>
          <w:b/>
        </w:rPr>
        <w:t>項</w:t>
      </w:r>
      <w:r w:rsidRPr="005942ED">
        <w:rPr>
          <w:rFonts w:hint="eastAsia"/>
          <w:b/>
        </w:rPr>
        <w:t>等情事</w:t>
      </w:r>
      <w:r>
        <w:rPr>
          <w:rFonts w:hint="eastAsia"/>
          <w:b/>
        </w:rPr>
        <w:t>，遭金管會裁罰，允宜檢討</w:t>
      </w:r>
    </w:p>
    <w:p w:rsidR="005B7137" w:rsidRDefault="005B7137" w:rsidP="007668ED">
      <w:pPr>
        <w:pStyle w:val="21"/>
        <w:ind w:left="850" w:firstLine="566"/>
      </w:pPr>
      <w:r>
        <w:rPr>
          <w:rFonts w:hint="eastAsia"/>
        </w:rPr>
        <w:t>檢視金管會公告111至113年裁罰案件，部分公股銀行曾發生理專挪用客戶款項或行員挪用公款，</w:t>
      </w:r>
      <w:r w:rsidRPr="0003462B">
        <w:rPr>
          <w:rFonts w:hint="eastAsia"/>
        </w:rPr>
        <w:t>經金管會核有未完善建立及未確實執行內部控制制度之情事，</w:t>
      </w:r>
      <w:r>
        <w:rPr>
          <w:rFonts w:hint="eastAsia"/>
        </w:rPr>
        <w:t>而遭核處糾正或罰鍰(詳表7</w:t>
      </w:r>
      <w:r>
        <w:t>)</w:t>
      </w:r>
      <w:r>
        <w:rPr>
          <w:rFonts w:hint="eastAsia"/>
        </w:rPr>
        <w:t>；詢據財政部表示，對於裁罰案件皆已</w:t>
      </w:r>
      <w:r w:rsidRPr="002D41A4">
        <w:rPr>
          <w:rFonts w:hint="eastAsia"/>
        </w:rPr>
        <w:t>要求所屬公股金</w:t>
      </w:r>
      <w:r w:rsidRPr="002D41A4">
        <w:rPr>
          <w:rFonts w:hint="eastAsia"/>
        </w:rPr>
        <w:lastRenderedPageBreak/>
        <w:t>融事業於通報時</w:t>
      </w:r>
      <w:r>
        <w:rPr>
          <w:rStyle w:val="af4"/>
        </w:rPr>
        <w:footnoteReference w:id="4"/>
      </w:r>
      <w:r w:rsidRPr="002D41A4">
        <w:rPr>
          <w:rFonts w:hint="eastAsia"/>
        </w:rPr>
        <w:t>同步檢附後續處置計</w:t>
      </w:r>
      <w:r w:rsidRPr="00320E66">
        <w:rPr>
          <w:rFonts w:hint="eastAsia"/>
        </w:rPr>
        <w:t>畫，並納入持續督導與強化改善措施，另</w:t>
      </w:r>
      <w:r>
        <w:rPr>
          <w:rFonts w:hint="eastAsia"/>
        </w:rPr>
        <w:t>該部</w:t>
      </w:r>
      <w:r w:rsidRPr="00320E66">
        <w:rPr>
          <w:rFonts w:hint="eastAsia"/>
        </w:rPr>
        <w:t>於績效評鑑考核</w:t>
      </w:r>
      <w:r>
        <w:rPr>
          <w:rFonts w:hint="eastAsia"/>
        </w:rPr>
        <w:t>亦</w:t>
      </w:r>
      <w:r w:rsidRPr="00320E66">
        <w:rPr>
          <w:rFonts w:hint="eastAsia"/>
        </w:rPr>
        <w:t>視個案情節輕</w:t>
      </w:r>
      <w:r w:rsidRPr="002D41A4">
        <w:rPr>
          <w:rFonts w:hint="eastAsia"/>
        </w:rPr>
        <w:t>重予以核扣總分，</w:t>
      </w:r>
      <w:r>
        <w:rPr>
          <w:rFonts w:hint="eastAsia"/>
        </w:rPr>
        <w:t>如</w:t>
      </w:r>
      <w:r w:rsidRPr="002D41A4">
        <w:rPr>
          <w:rFonts w:hint="eastAsia"/>
        </w:rPr>
        <w:t>屬共通性風險事項</w:t>
      </w:r>
      <w:r>
        <w:rPr>
          <w:rFonts w:hint="eastAsia"/>
        </w:rPr>
        <w:t>則於各項會議強化宣導</w:t>
      </w:r>
      <w:r w:rsidRPr="002D41A4">
        <w:rPr>
          <w:rFonts w:hint="eastAsia"/>
        </w:rPr>
        <w:t>。</w:t>
      </w:r>
      <w:r>
        <w:rPr>
          <w:rFonts w:hint="eastAsia"/>
        </w:rPr>
        <w:t>鑑於</w:t>
      </w:r>
      <w:r w:rsidRPr="007165AE">
        <w:rPr>
          <w:rFonts w:hint="eastAsia"/>
        </w:rPr>
        <w:t>銀行</w:t>
      </w:r>
      <w:r>
        <w:rPr>
          <w:rFonts w:hint="eastAsia"/>
        </w:rPr>
        <w:t>提供</w:t>
      </w:r>
      <w:r w:rsidRPr="007165AE">
        <w:rPr>
          <w:rFonts w:hint="eastAsia"/>
        </w:rPr>
        <w:t>存款或財</w:t>
      </w:r>
      <w:r>
        <w:rPr>
          <w:rFonts w:hint="eastAsia"/>
        </w:rPr>
        <w:t>富</w:t>
      </w:r>
      <w:r w:rsidRPr="007165AE">
        <w:rPr>
          <w:rFonts w:hint="eastAsia"/>
        </w:rPr>
        <w:t>管理等</w:t>
      </w:r>
      <w:r>
        <w:rPr>
          <w:rFonts w:hint="eastAsia"/>
        </w:rPr>
        <w:t>服務，</w:t>
      </w:r>
      <w:r w:rsidRPr="007165AE">
        <w:rPr>
          <w:rFonts w:hint="eastAsia"/>
        </w:rPr>
        <w:t>均</w:t>
      </w:r>
      <w:r>
        <w:rPr>
          <w:rFonts w:hint="eastAsia"/>
        </w:rPr>
        <w:t>係基於客戶之信任</w:t>
      </w:r>
      <w:r w:rsidRPr="007165AE">
        <w:rPr>
          <w:rFonts w:hint="eastAsia"/>
        </w:rPr>
        <w:t>，爰形塑重視誠信之企業文化</w:t>
      </w:r>
      <w:r>
        <w:rPr>
          <w:rFonts w:hint="eastAsia"/>
        </w:rPr>
        <w:t>，並</w:t>
      </w:r>
      <w:r w:rsidRPr="007165AE">
        <w:rPr>
          <w:rFonts w:hint="eastAsia"/>
        </w:rPr>
        <w:t>建立良好之內部控制</w:t>
      </w:r>
      <w:r>
        <w:rPr>
          <w:rFonts w:hint="eastAsia"/>
        </w:rPr>
        <w:t>，</w:t>
      </w:r>
      <w:r w:rsidRPr="007165AE">
        <w:rPr>
          <w:rFonts w:hint="eastAsia"/>
        </w:rPr>
        <w:t>有助於提升客戶對於銀行之信賴，進而帶動財富管理業務之發展，允宜持續督促各公股銀行重視誠信文化，並強化相關內控措施及執行效能。</w:t>
      </w:r>
    </w:p>
    <w:p w:rsidR="005B7137" w:rsidRPr="008C7DBF" w:rsidRDefault="005B7137" w:rsidP="007668ED">
      <w:pPr>
        <w:ind w:leftChars="-211" w:left="284" w:rightChars="-150" w:right="-425" w:firstLineChars="0" w:hanging="882"/>
      </w:pPr>
      <w:r>
        <w:rPr>
          <w:rFonts w:hAnsi="標楷體" w:hint="eastAsia"/>
          <w:b/>
          <w:color w:val="000000"/>
          <w:kern w:val="16"/>
        </w:rPr>
        <w:t>表7　公股銀行於111至113年間因</w:t>
      </w:r>
      <w:r w:rsidRPr="00AD180D">
        <w:rPr>
          <w:rFonts w:hAnsi="標楷體" w:hint="eastAsia"/>
          <w:b/>
          <w:color w:val="000000"/>
          <w:kern w:val="16"/>
        </w:rPr>
        <w:t>理專或行員挪用款項</w:t>
      </w:r>
      <w:r>
        <w:rPr>
          <w:rFonts w:hAnsi="標楷體" w:hint="eastAsia"/>
          <w:b/>
          <w:color w:val="000000"/>
          <w:kern w:val="16"/>
        </w:rPr>
        <w:t>等情事而遭金管會裁罰</w:t>
      </w:r>
      <w:r>
        <w:rPr>
          <w:rFonts w:hint="eastAsia"/>
          <w:b/>
        </w:rPr>
        <w:t>案件一覽表</w:t>
      </w:r>
    </w:p>
    <w:tbl>
      <w:tblPr>
        <w:tblW w:w="9782" w:type="dxa"/>
        <w:tblInd w:w="-5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6"/>
        <w:gridCol w:w="1134"/>
        <w:gridCol w:w="7088"/>
        <w:gridCol w:w="1134"/>
      </w:tblGrid>
      <w:tr w:rsidR="005B7137" w:rsidRPr="00626301" w:rsidTr="007668ED">
        <w:trPr>
          <w:trHeight w:val="449"/>
          <w:tblHeader/>
        </w:trPr>
        <w:tc>
          <w:tcPr>
            <w:tcW w:w="426" w:type="dxa"/>
            <w:shd w:val="clear" w:color="auto" w:fill="auto"/>
            <w:vAlign w:val="center"/>
          </w:tcPr>
          <w:p w:rsidR="005B7137" w:rsidRDefault="005B7137" w:rsidP="007668ED">
            <w:pPr>
              <w:pStyle w:val="142"/>
              <w:ind w:left="646" w:hanging="646"/>
              <w:jc w:val="center"/>
              <w:rPr>
                <w:b/>
              </w:rPr>
            </w:pPr>
            <w:r w:rsidRPr="00626301">
              <w:rPr>
                <w:rFonts w:hint="eastAsia"/>
                <w:b/>
              </w:rPr>
              <w:t>年</w:t>
            </w:r>
          </w:p>
          <w:p w:rsidR="005B7137" w:rsidRPr="00626301" w:rsidRDefault="005B7137" w:rsidP="007668ED">
            <w:pPr>
              <w:pStyle w:val="142"/>
              <w:ind w:left="646" w:hanging="646"/>
              <w:jc w:val="center"/>
              <w:rPr>
                <w:b/>
              </w:rPr>
            </w:pPr>
            <w:r w:rsidRPr="00626301">
              <w:rPr>
                <w:rFonts w:hint="eastAsia"/>
                <w:b/>
              </w:rPr>
              <w:t>度</w:t>
            </w:r>
          </w:p>
        </w:tc>
        <w:tc>
          <w:tcPr>
            <w:tcW w:w="1134" w:type="dxa"/>
            <w:vAlign w:val="center"/>
          </w:tcPr>
          <w:p w:rsidR="005B7137" w:rsidRPr="00626301" w:rsidRDefault="005B7137" w:rsidP="007668ED">
            <w:pPr>
              <w:pStyle w:val="142"/>
              <w:ind w:left="646" w:hanging="646"/>
              <w:jc w:val="center"/>
              <w:rPr>
                <w:b/>
              </w:rPr>
            </w:pPr>
            <w:r w:rsidRPr="0052531C">
              <w:rPr>
                <w:rFonts w:hint="eastAsia"/>
                <w:b/>
              </w:rPr>
              <w:t>銀行別</w:t>
            </w:r>
          </w:p>
        </w:tc>
        <w:tc>
          <w:tcPr>
            <w:tcW w:w="7088" w:type="dxa"/>
            <w:shd w:val="clear" w:color="auto" w:fill="auto"/>
            <w:vAlign w:val="center"/>
          </w:tcPr>
          <w:p w:rsidR="005B7137" w:rsidRPr="00626301" w:rsidRDefault="005B7137" w:rsidP="007668ED">
            <w:pPr>
              <w:pStyle w:val="142"/>
              <w:ind w:left="646" w:hanging="646"/>
              <w:jc w:val="center"/>
              <w:rPr>
                <w:b/>
              </w:rPr>
            </w:pPr>
            <w:r w:rsidRPr="00626301">
              <w:rPr>
                <w:rFonts w:hint="eastAsia"/>
                <w:b/>
              </w:rPr>
              <w:t>事由</w:t>
            </w:r>
          </w:p>
        </w:tc>
        <w:tc>
          <w:tcPr>
            <w:tcW w:w="1134" w:type="dxa"/>
            <w:shd w:val="clear" w:color="auto" w:fill="auto"/>
            <w:vAlign w:val="center"/>
          </w:tcPr>
          <w:p w:rsidR="005B7137" w:rsidRPr="003E07C3" w:rsidRDefault="005B7137" w:rsidP="007668ED">
            <w:pPr>
              <w:pStyle w:val="142"/>
              <w:ind w:left="646" w:hanging="646"/>
              <w:jc w:val="center"/>
              <w:rPr>
                <w:b/>
              </w:rPr>
            </w:pPr>
            <w:r w:rsidRPr="003E07C3">
              <w:rPr>
                <w:rFonts w:hint="eastAsia"/>
                <w:b/>
              </w:rPr>
              <w:t>裁罰結果</w:t>
            </w:r>
          </w:p>
        </w:tc>
      </w:tr>
      <w:tr w:rsidR="005B7137" w:rsidRPr="00626301" w:rsidTr="007668ED">
        <w:trPr>
          <w:trHeight w:val="523"/>
        </w:trPr>
        <w:tc>
          <w:tcPr>
            <w:tcW w:w="426" w:type="dxa"/>
            <w:vMerge w:val="restart"/>
            <w:shd w:val="clear" w:color="auto" w:fill="auto"/>
            <w:vAlign w:val="center"/>
          </w:tcPr>
          <w:p w:rsidR="005B7137" w:rsidRPr="00D86C95" w:rsidRDefault="005B7137" w:rsidP="007668ED">
            <w:pPr>
              <w:pStyle w:val="142"/>
              <w:jc w:val="center"/>
            </w:pPr>
            <w:r w:rsidRPr="00D86C95">
              <w:rPr>
                <w:rFonts w:hint="eastAsia"/>
              </w:rPr>
              <w:t>11</w:t>
            </w:r>
            <w:r>
              <w:t>1</w:t>
            </w:r>
            <w:r w:rsidRPr="00D86C95">
              <w:rPr>
                <w:rFonts w:hint="eastAsia"/>
              </w:rPr>
              <w:t>年</w:t>
            </w:r>
          </w:p>
        </w:tc>
        <w:tc>
          <w:tcPr>
            <w:tcW w:w="1134" w:type="dxa"/>
            <w:vAlign w:val="center"/>
          </w:tcPr>
          <w:p w:rsidR="005B7137" w:rsidRPr="00D86C95" w:rsidRDefault="005B7137" w:rsidP="007668ED">
            <w:pPr>
              <w:pStyle w:val="142"/>
            </w:pPr>
            <w:r w:rsidRPr="00EA230B">
              <w:rPr>
                <w:rFonts w:hint="eastAsia"/>
              </w:rPr>
              <w:t>兆豐國際商業銀行</w:t>
            </w:r>
          </w:p>
        </w:tc>
        <w:tc>
          <w:tcPr>
            <w:tcW w:w="7088" w:type="dxa"/>
            <w:shd w:val="clear" w:color="auto" w:fill="auto"/>
            <w:vAlign w:val="center"/>
          </w:tcPr>
          <w:p w:rsidR="005B7137" w:rsidRPr="00D86C95" w:rsidRDefault="005B7137" w:rsidP="007668ED">
            <w:pPr>
              <w:pStyle w:val="142"/>
            </w:pPr>
            <w:r w:rsidRPr="00EA230B">
              <w:rPr>
                <w:rFonts w:hint="eastAsia"/>
              </w:rPr>
              <w:t>前行員挪用</w:t>
            </w:r>
            <w:r>
              <w:rPr>
                <w:rFonts w:hint="eastAsia"/>
              </w:rPr>
              <w:t>A</w:t>
            </w:r>
            <w:r>
              <w:t>TM</w:t>
            </w:r>
            <w:r>
              <w:rPr>
                <w:rFonts w:hint="eastAsia"/>
              </w:rPr>
              <w:t>鈔箱現金及客戶存款所涉缺失</w:t>
            </w:r>
            <w:r w:rsidRPr="00EA230B">
              <w:rPr>
                <w:rFonts w:hint="eastAsia"/>
              </w:rPr>
              <w:t>，經核該行未完善建立及未確實執行內部控制制度，違反銀行法第45條之1第1項規定</w:t>
            </w:r>
          </w:p>
        </w:tc>
        <w:tc>
          <w:tcPr>
            <w:tcW w:w="1134" w:type="dxa"/>
            <w:shd w:val="clear" w:color="auto" w:fill="auto"/>
            <w:vAlign w:val="center"/>
          </w:tcPr>
          <w:p w:rsidR="005B7137" w:rsidRPr="00805084" w:rsidRDefault="005B7137" w:rsidP="007668ED">
            <w:pPr>
              <w:pStyle w:val="142"/>
            </w:pPr>
            <w:r w:rsidRPr="00805084">
              <w:rPr>
                <w:rFonts w:hint="eastAsia"/>
              </w:rPr>
              <w:t>核處400萬元罰鍰</w:t>
            </w:r>
          </w:p>
        </w:tc>
      </w:tr>
      <w:tr w:rsidR="005B7137" w:rsidRPr="00626301" w:rsidTr="007668ED">
        <w:trPr>
          <w:trHeight w:val="502"/>
        </w:trPr>
        <w:tc>
          <w:tcPr>
            <w:tcW w:w="426" w:type="dxa"/>
            <w:vMerge/>
            <w:shd w:val="clear" w:color="auto" w:fill="auto"/>
            <w:vAlign w:val="center"/>
          </w:tcPr>
          <w:p w:rsidR="005B7137" w:rsidRPr="00D86C95" w:rsidRDefault="005B7137" w:rsidP="007668ED">
            <w:pPr>
              <w:pStyle w:val="142"/>
              <w:jc w:val="center"/>
            </w:pPr>
          </w:p>
        </w:tc>
        <w:tc>
          <w:tcPr>
            <w:tcW w:w="1134" w:type="dxa"/>
            <w:vAlign w:val="center"/>
          </w:tcPr>
          <w:p w:rsidR="005B7137" w:rsidRPr="00D86C95" w:rsidRDefault="005B7137" w:rsidP="007668ED">
            <w:pPr>
              <w:pStyle w:val="142"/>
            </w:pPr>
            <w:r w:rsidRPr="00EA230B">
              <w:rPr>
                <w:rFonts w:hint="eastAsia"/>
              </w:rPr>
              <w:t>華南商業銀行</w:t>
            </w:r>
          </w:p>
        </w:tc>
        <w:tc>
          <w:tcPr>
            <w:tcW w:w="7088" w:type="dxa"/>
            <w:shd w:val="clear" w:color="auto" w:fill="auto"/>
            <w:vAlign w:val="center"/>
          </w:tcPr>
          <w:p w:rsidR="005B7137" w:rsidRPr="00D86C95" w:rsidRDefault="005B7137" w:rsidP="007668ED">
            <w:pPr>
              <w:pStyle w:val="142"/>
            </w:pPr>
            <w:r w:rsidRPr="00EA230B">
              <w:rPr>
                <w:rFonts w:hint="eastAsia"/>
              </w:rPr>
              <w:t>前行員挪用</w:t>
            </w:r>
            <w:r>
              <w:rPr>
                <w:rFonts w:hint="eastAsia"/>
              </w:rPr>
              <w:t>客戶存款及繳稅等</w:t>
            </w:r>
            <w:r w:rsidRPr="00EA230B">
              <w:rPr>
                <w:rFonts w:hint="eastAsia"/>
              </w:rPr>
              <w:t>款項</w:t>
            </w:r>
            <w:r>
              <w:rPr>
                <w:rFonts w:hint="eastAsia"/>
              </w:rPr>
              <w:t>所涉缺失</w:t>
            </w:r>
            <w:r w:rsidRPr="00EA230B">
              <w:rPr>
                <w:rFonts w:hint="eastAsia"/>
              </w:rPr>
              <w:t>，經核該行未完善建立及未確實執行內部控制制度，違反銀行法第45條之1第1項規定</w:t>
            </w:r>
          </w:p>
        </w:tc>
        <w:tc>
          <w:tcPr>
            <w:tcW w:w="1134" w:type="dxa"/>
            <w:shd w:val="clear" w:color="auto" w:fill="auto"/>
            <w:vAlign w:val="center"/>
          </w:tcPr>
          <w:p w:rsidR="005B7137" w:rsidRPr="00805084" w:rsidRDefault="005B7137" w:rsidP="007668ED">
            <w:pPr>
              <w:pStyle w:val="142"/>
            </w:pPr>
            <w:r w:rsidRPr="00805084">
              <w:rPr>
                <w:rFonts w:hint="eastAsia"/>
              </w:rPr>
              <w:t>核處400萬元罰鍰</w:t>
            </w:r>
          </w:p>
        </w:tc>
      </w:tr>
      <w:tr w:rsidR="005B7137" w:rsidRPr="00626301" w:rsidTr="007668ED">
        <w:trPr>
          <w:trHeight w:val="637"/>
        </w:trPr>
        <w:tc>
          <w:tcPr>
            <w:tcW w:w="426" w:type="dxa"/>
            <w:vMerge/>
            <w:shd w:val="clear" w:color="auto" w:fill="auto"/>
            <w:vAlign w:val="center"/>
          </w:tcPr>
          <w:p w:rsidR="005B7137" w:rsidRPr="00D86C95" w:rsidRDefault="005B7137" w:rsidP="007668ED">
            <w:pPr>
              <w:pStyle w:val="142"/>
              <w:jc w:val="center"/>
            </w:pPr>
          </w:p>
        </w:tc>
        <w:tc>
          <w:tcPr>
            <w:tcW w:w="1134" w:type="dxa"/>
            <w:vAlign w:val="center"/>
          </w:tcPr>
          <w:p w:rsidR="005B7137" w:rsidRPr="00D86C95" w:rsidRDefault="005B7137" w:rsidP="007668ED">
            <w:pPr>
              <w:pStyle w:val="142"/>
            </w:pPr>
            <w:r w:rsidRPr="00EA230B">
              <w:rPr>
                <w:rFonts w:hint="eastAsia"/>
              </w:rPr>
              <w:t>臺灣銀行</w:t>
            </w:r>
          </w:p>
        </w:tc>
        <w:tc>
          <w:tcPr>
            <w:tcW w:w="7088" w:type="dxa"/>
            <w:shd w:val="clear" w:color="auto" w:fill="auto"/>
            <w:vAlign w:val="center"/>
          </w:tcPr>
          <w:p w:rsidR="005B7137" w:rsidRPr="00D86C95" w:rsidRDefault="005B7137" w:rsidP="007668ED">
            <w:pPr>
              <w:pStyle w:val="142"/>
            </w:pPr>
            <w:r w:rsidRPr="00EA230B">
              <w:rPr>
                <w:rFonts w:hint="eastAsia"/>
              </w:rPr>
              <w:t>前理財專員挪用</w:t>
            </w:r>
            <w:r>
              <w:rPr>
                <w:rFonts w:hint="eastAsia"/>
              </w:rPr>
              <w:t>客戶</w:t>
            </w:r>
            <w:r w:rsidRPr="00EA230B">
              <w:rPr>
                <w:rFonts w:hint="eastAsia"/>
              </w:rPr>
              <w:t>款項</w:t>
            </w:r>
            <w:r>
              <w:rPr>
                <w:rFonts w:hint="eastAsia"/>
              </w:rPr>
              <w:t>所涉缺失</w:t>
            </w:r>
            <w:r w:rsidRPr="00EA230B">
              <w:rPr>
                <w:rFonts w:hint="eastAsia"/>
              </w:rPr>
              <w:t>，經核該行未完善建立及未確實執行內部控制制度，違反銀行法第45條之1第1項規定</w:t>
            </w:r>
          </w:p>
        </w:tc>
        <w:tc>
          <w:tcPr>
            <w:tcW w:w="1134" w:type="dxa"/>
            <w:shd w:val="clear" w:color="auto" w:fill="auto"/>
            <w:vAlign w:val="center"/>
          </w:tcPr>
          <w:p w:rsidR="005B7137" w:rsidRPr="00805084" w:rsidRDefault="005B7137" w:rsidP="007668ED">
            <w:pPr>
              <w:pStyle w:val="142"/>
            </w:pPr>
            <w:r w:rsidRPr="00805084">
              <w:rPr>
                <w:rFonts w:hint="eastAsia"/>
              </w:rPr>
              <w:t>核處1,400萬元罰鍰</w:t>
            </w:r>
          </w:p>
        </w:tc>
      </w:tr>
      <w:tr w:rsidR="005B7137" w:rsidRPr="00626301" w:rsidTr="007668ED">
        <w:trPr>
          <w:trHeight w:val="624"/>
        </w:trPr>
        <w:tc>
          <w:tcPr>
            <w:tcW w:w="426" w:type="dxa"/>
            <w:vMerge w:val="restart"/>
            <w:shd w:val="clear" w:color="auto" w:fill="auto"/>
            <w:vAlign w:val="center"/>
          </w:tcPr>
          <w:p w:rsidR="005B7137" w:rsidRPr="00D86C95" w:rsidRDefault="005B7137" w:rsidP="007668ED">
            <w:pPr>
              <w:pStyle w:val="142"/>
              <w:jc w:val="center"/>
            </w:pPr>
            <w:r>
              <w:rPr>
                <w:rFonts w:hint="eastAsia"/>
              </w:rPr>
              <w:t>112年</w:t>
            </w:r>
          </w:p>
        </w:tc>
        <w:tc>
          <w:tcPr>
            <w:tcW w:w="1134" w:type="dxa"/>
            <w:vAlign w:val="center"/>
          </w:tcPr>
          <w:p w:rsidR="005B7137" w:rsidRPr="00EA230B" w:rsidRDefault="005B7137" w:rsidP="007668ED">
            <w:pPr>
              <w:pStyle w:val="142"/>
            </w:pPr>
            <w:r w:rsidRPr="00EA230B">
              <w:rPr>
                <w:rFonts w:hint="eastAsia"/>
              </w:rPr>
              <w:t>臺灣中小企業銀行</w:t>
            </w:r>
          </w:p>
        </w:tc>
        <w:tc>
          <w:tcPr>
            <w:tcW w:w="7088" w:type="dxa"/>
            <w:shd w:val="clear" w:color="auto" w:fill="auto"/>
            <w:vAlign w:val="center"/>
          </w:tcPr>
          <w:p w:rsidR="005B7137" w:rsidRPr="00EA230B" w:rsidRDefault="005B7137" w:rsidP="007668ED">
            <w:pPr>
              <w:pStyle w:val="142"/>
            </w:pPr>
            <w:r w:rsidRPr="00EA230B">
              <w:rPr>
                <w:rFonts w:hint="eastAsia"/>
              </w:rPr>
              <w:t>營業部前行員挪用</w:t>
            </w:r>
            <w:r>
              <w:rPr>
                <w:rFonts w:hint="eastAsia"/>
              </w:rPr>
              <w:t>專戶</w:t>
            </w:r>
            <w:r w:rsidRPr="00EA230B">
              <w:rPr>
                <w:rFonts w:hint="eastAsia"/>
              </w:rPr>
              <w:t>手續費收入款項</w:t>
            </w:r>
            <w:r>
              <w:rPr>
                <w:rFonts w:hint="eastAsia"/>
              </w:rPr>
              <w:t>等所涉缺失，顯示該行相關內部作業程序及檢核機制未臻妥適</w:t>
            </w:r>
          </w:p>
        </w:tc>
        <w:tc>
          <w:tcPr>
            <w:tcW w:w="1134" w:type="dxa"/>
            <w:shd w:val="clear" w:color="auto" w:fill="auto"/>
            <w:vAlign w:val="center"/>
          </w:tcPr>
          <w:p w:rsidR="005B7137" w:rsidRPr="00805084" w:rsidRDefault="005B7137" w:rsidP="007668ED">
            <w:pPr>
              <w:pStyle w:val="142"/>
            </w:pPr>
            <w:r w:rsidRPr="00805084">
              <w:rPr>
                <w:rFonts w:hint="eastAsia"/>
              </w:rPr>
              <w:t>核處糾正</w:t>
            </w:r>
          </w:p>
        </w:tc>
      </w:tr>
      <w:tr w:rsidR="005B7137" w:rsidRPr="00626301" w:rsidTr="007668ED">
        <w:trPr>
          <w:trHeight w:val="574"/>
        </w:trPr>
        <w:tc>
          <w:tcPr>
            <w:tcW w:w="426" w:type="dxa"/>
            <w:vMerge/>
            <w:shd w:val="clear" w:color="auto" w:fill="auto"/>
            <w:vAlign w:val="center"/>
          </w:tcPr>
          <w:p w:rsidR="005B7137" w:rsidRDefault="005B7137" w:rsidP="007668ED">
            <w:pPr>
              <w:pStyle w:val="142"/>
              <w:jc w:val="center"/>
            </w:pPr>
          </w:p>
        </w:tc>
        <w:tc>
          <w:tcPr>
            <w:tcW w:w="1134" w:type="dxa"/>
            <w:vAlign w:val="center"/>
          </w:tcPr>
          <w:p w:rsidR="005B7137" w:rsidRPr="00EA230B" w:rsidRDefault="005B7137" w:rsidP="007668ED">
            <w:pPr>
              <w:pStyle w:val="142"/>
            </w:pPr>
            <w:r w:rsidRPr="00EA230B">
              <w:rPr>
                <w:rFonts w:hint="eastAsia"/>
              </w:rPr>
              <w:t>兆豐國際商業銀行</w:t>
            </w:r>
          </w:p>
        </w:tc>
        <w:tc>
          <w:tcPr>
            <w:tcW w:w="7088" w:type="dxa"/>
            <w:shd w:val="clear" w:color="auto" w:fill="auto"/>
            <w:vAlign w:val="center"/>
          </w:tcPr>
          <w:p w:rsidR="005B7137" w:rsidRPr="00EA230B" w:rsidRDefault="005B7137" w:rsidP="007668ED">
            <w:pPr>
              <w:pStyle w:val="142"/>
            </w:pPr>
            <w:r w:rsidRPr="00EA230B">
              <w:rPr>
                <w:rFonts w:hint="eastAsia"/>
              </w:rPr>
              <w:t>前行員挪用</w:t>
            </w:r>
            <w:r>
              <w:rPr>
                <w:rFonts w:hint="eastAsia"/>
              </w:rPr>
              <w:t>客戶</w:t>
            </w:r>
            <w:r w:rsidRPr="00EA230B">
              <w:rPr>
                <w:rFonts w:hint="eastAsia"/>
              </w:rPr>
              <w:t>款項</w:t>
            </w:r>
            <w:r>
              <w:rPr>
                <w:rFonts w:hint="eastAsia"/>
              </w:rPr>
              <w:t>所涉缺失</w:t>
            </w:r>
            <w:r w:rsidRPr="00EA230B">
              <w:rPr>
                <w:rFonts w:hint="eastAsia"/>
              </w:rPr>
              <w:t>，顯示該行內部管控措施未臻完善</w:t>
            </w:r>
          </w:p>
        </w:tc>
        <w:tc>
          <w:tcPr>
            <w:tcW w:w="1134" w:type="dxa"/>
            <w:shd w:val="clear" w:color="auto" w:fill="auto"/>
            <w:vAlign w:val="center"/>
          </w:tcPr>
          <w:p w:rsidR="005B7137" w:rsidRPr="00805084" w:rsidRDefault="005B7137" w:rsidP="007668ED">
            <w:pPr>
              <w:pStyle w:val="142"/>
            </w:pPr>
            <w:r w:rsidRPr="00805084">
              <w:rPr>
                <w:rFonts w:hint="eastAsia"/>
              </w:rPr>
              <w:t>核處糾正</w:t>
            </w:r>
          </w:p>
        </w:tc>
      </w:tr>
      <w:tr w:rsidR="005B7137" w:rsidRPr="00626301" w:rsidTr="007668ED">
        <w:trPr>
          <w:trHeight w:val="540"/>
        </w:trPr>
        <w:tc>
          <w:tcPr>
            <w:tcW w:w="426" w:type="dxa"/>
            <w:vMerge/>
            <w:shd w:val="clear" w:color="auto" w:fill="auto"/>
            <w:vAlign w:val="center"/>
          </w:tcPr>
          <w:p w:rsidR="005B7137" w:rsidRDefault="005B7137" w:rsidP="007668ED">
            <w:pPr>
              <w:pStyle w:val="142"/>
              <w:jc w:val="center"/>
            </w:pPr>
          </w:p>
        </w:tc>
        <w:tc>
          <w:tcPr>
            <w:tcW w:w="1134" w:type="dxa"/>
            <w:vMerge w:val="restart"/>
            <w:vAlign w:val="center"/>
          </w:tcPr>
          <w:p w:rsidR="005B7137" w:rsidRPr="00EA230B" w:rsidRDefault="005B7137" w:rsidP="007668ED">
            <w:pPr>
              <w:pStyle w:val="142"/>
            </w:pPr>
            <w:r w:rsidRPr="00EA230B">
              <w:rPr>
                <w:rFonts w:hint="eastAsia"/>
              </w:rPr>
              <w:t>臺灣土地銀行</w:t>
            </w:r>
          </w:p>
        </w:tc>
        <w:tc>
          <w:tcPr>
            <w:tcW w:w="7088" w:type="dxa"/>
            <w:shd w:val="clear" w:color="auto" w:fill="auto"/>
            <w:vAlign w:val="center"/>
          </w:tcPr>
          <w:p w:rsidR="005B7137" w:rsidRPr="00EA230B" w:rsidRDefault="005B7137" w:rsidP="007668ED">
            <w:pPr>
              <w:pStyle w:val="142"/>
            </w:pPr>
            <w:r w:rsidRPr="00EA230B">
              <w:t>前行員挪用公款</w:t>
            </w:r>
            <w:r>
              <w:rPr>
                <w:rFonts w:hint="eastAsia"/>
              </w:rPr>
              <w:t>所涉缺失，</w:t>
            </w:r>
            <w:r w:rsidRPr="00EA230B">
              <w:rPr>
                <w:rFonts w:hint="eastAsia"/>
              </w:rPr>
              <w:t>經核該行未完善建立及未確實執行內部控制制度，違反銀行法第45條之1第1項規定</w:t>
            </w:r>
          </w:p>
        </w:tc>
        <w:tc>
          <w:tcPr>
            <w:tcW w:w="1134" w:type="dxa"/>
            <w:shd w:val="clear" w:color="auto" w:fill="auto"/>
            <w:vAlign w:val="center"/>
          </w:tcPr>
          <w:p w:rsidR="005B7137" w:rsidRPr="00805084" w:rsidRDefault="005B7137" w:rsidP="007668ED">
            <w:pPr>
              <w:pStyle w:val="142"/>
            </w:pPr>
            <w:r w:rsidRPr="00805084">
              <w:rPr>
                <w:rFonts w:hint="eastAsia"/>
              </w:rPr>
              <w:t>核處200萬元罰鍰</w:t>
            </w:r>
          </w:p>
        </w:tc>
      </w:tr>
      <w:tr w:rsidR="005B7137" w:rsidRPr="00626301" w:rsidTr="007668ED">
        <w:trPr>
          <w:trHeight w:val="534"/>
        </w:trPr>
        <w:tc>
          <w:tcPr>
            <w:tcW w:w="426" w:type="dxa"/>
            <w:vMerge/>
            <w:shd w:val="clear" w:color="auto" w:fill="auto"/>
            <w:vAlign w:val="center"/>
          </w:tcPr>
          <w:p w:rsidR="005B7137" w:rsidRDefault="005B7137" w:rsidP="007668ED">
            <w:pPr>
              <w:pStyle w:val="142"/>
              <w:jc w:val="center"/>
            </w:pPr>
          </w:p>
        </w:tc>
        <w:tc>
          <w:tcPr>
            <w:tcW w:w="1134" w:type="dxa"/>
            <w:vMerge/>
            <w:vAlign w:val="center"/>
          </w:tcPr>
          <w:p w:rsidR="005B7137" w:rsidRPr="00EA230B" w:rsidRDefault="005B7137" w:rsidP="007668ED">
            <w:pPr>
              <w:pStyle w:val="142"/>
            </w:pPr>
          </w:p>
        </w:tc>
        <w:tc>
          <w:tcPr>
            <w:tcW w:w="7088" w:type="dxa"/>
            <w:shd w:val="clear" w:color="auto" w:fill="auto"/>
            <w:vAlign w:val="center"/>
          </w:tcPr>
          <w:p w:rsidR="005B7137" w:rsidRPr="00EA230B" w:rsidRDefault="005B7137" w:rsidP="007668ED">
            <w:pPr>
              <w:pStyle w:val="142"/>
            </w:pPr>
            <w:r w:rsidRPr="00EA230B">
              <w:t>前行員挪用公款</w:t>
            </w:r>
            <w:r>
              <w:rPr>
                <w:rFonts w:hint="eastAsia"/>
              </w:rPr>
              <w:t>所涉相關缺失，顯示該行對於櫃員現金箱之管控措施未</w:t>
            </w:r>
            <w:r w:rsidRPr="00EA230B">
              <w:rPr>
                <w:rFonts w:hint="eastAsia"/>
              </w:rPr>
              <w:t>臻完善</w:t>
            </w:r>
          </w:p>
        </w:tc>
        <w:tc>
          <w:tcPr>
            <w:tcW w:w="1134" w:type="dxa"/>
            <w:shd w:val="clear" w:color="auto" w:fill="auto"/>
            <w:vAlign w:val="center"/>
          </w:tcPr>
          <w:p w:rsidR="005B7137" w:rsidRPr="00805084" w:rsidRDefault="005B7137" w:rsidP="007668ED">
            <w:pPr>
              <w:pStyle w:val="142"/>
            </w:pPr>
            <w:r w:rsidRPr="00805084">
              <w:rPr>
                <w:rFonts w:hint="eastAsia"/>
              </w:rPr>
              <w:t>核處糾正</w:t>
            </w:r>
          </w:p>
        </w:tc>
      </w:tr>
      <w:tr w:rsidR="005B7137" w:rsidRPr="00626301" w:rsidTr="007668ED">
        <w:trPr>
          <w:trHeight w:val="386"/>
        </w:trPr>
        <w:tc>
          <w:tcPr>
            <w:tcW w:w="426" w:type="dxa"/>
            <w:shd w:val="clear" w:color="auto" w:fill="auto"/>
            <w:vAlign w:val="center"/>
          </w:tcPr>
          <w:p w:rsidR="005B7137" w:rsidRDefault="005B7137" w:rsidP="007668ED">
            <w:pPr>
              <w:pStyle w:val="142"/>
              <w:jc w:val="center"/>
            </w:pPr>
            <w:r>
              <w:rPr>
                <w:rFonts w:hint="eastAsia"/>
              </w:rPr>
              <w:t>113年</w:t>
            </w:r>
          </w:p>
        </w:tc>
        <w:tc>
          <w:tcPr>
            <w:tcW w:w="1134" w:type="dxa"/>
            <w:vAlign w:val="center"/>
          </w:tcPr>
          <w:p w:rsidR="005B7137" w:rsidRPr="00EA230B" w:rsidRDefault="005B7137" w:rsidP="007668ED">
            <w:pPr>
              <w:pStyle w:val="142"/>
            </w:pPr>
            <w:r w:rsidRPr="00EA230B">
              <w:rPr>
                <w:rFonts w:hint="eastAsia"/>
              </w:rPr>
              <w:t>彰化商業銀行</w:t>
            </w:r>
          </w:p>
        </w:tc>
        <w:tc>
          <w:tcPr>
            <w:tcW w:w="7088" w:type="dxa"/>
            <w:shd w:val="clear" w:color="auto" w:fill="auto"/>
            <w:vAlign w:val="center"/>
          </w:tcPr>
          <w:p w:rsidR="005B7137" w:rsidRPr="00EA230B" w:rsidRDefault="005B7137" w:rsidP="007668ED">
            <w:pPr>
              <w:pStyle w:val="142"/>
            </w:pPr>
            <w:r w:rsidRPr="00EA230B">
              <w:rPr>
                <w:rFonts w:hint="eastAsia"/>
              </w:rPr>
              <w:t>前行員挪用客戶款項</w:t>
            </w:r>
            <w:r>
              <w:rPr>
                <w:rFonts w:hint="eastAsia"/>
              </w:rPr>
              <w:t>案件所涉相關缺失，</w:t>
            </w:r>
            <w:r w:rsidRPr="00C3076E">
              <w:rPr>
                <w:rFonts w:hint="eastAsia"/>
              </w:rPr>
              <w:t>核有未落實執行磁條重建覆核機制及外出收付作業程序，以及未確實督導員工遵守行為守則</w:t>
            </w:r>
          </w:p>
        </w:tc>
        <w:tc>
          <w:tcPr>
            <w:tcW w:w="1134" w:type="dxa"/>
            <w:shd w:val="clear" w:color="auto" w:fill="auto"/>
            <w:vAlign w:val="center"/>
          </w:tcPr>
          <w:p w:rsidR="005B7137" w:rsidRPr="00805084" w:rsidRDefault="005B7137" w:rsidP="007668ED">
            <w:pPr>
              <w:pStyle w:val="142"/>
            </w:pPr>
            <w:r w:rsidRPr="00805084">
              <w:rPr>
                <w:rFonts w:hint="eastAsia"/>
              </w:rPr>
              <w:t>核處糾正</w:t>
            </w:r>
          </w:p>
        </w:tc>
      </w:tr>
    </w:tbl>
    <w:p w:rsidR="005B7137" w:rsidRPr="008E7B27" w:rsidRDefault="005B7137" w:rsidP="007668ED">
      <w:pPr>
        <w:pStyle w:val="142"/>
        <w:ind w:leftChars="-200" w:left="-566"/>
      </w:pPr>
      <w:r w:rsidRPr="00F83D8E">
        <w:rPr>
          <w:rFonts w:hint="eastAsia"/>
        </w:rPr>
        <w:t>資料來源：</w:t>
      </w:r>
      <w:r>
        <w:rPr>
          <w:rFonts w:hint="eastAsia"/>
        </w:rPr>
        <w:t>金管會及其網站公告資訊，本中心彙製</w:t>
      </w:r>
      <w:r w:rsidRPr="00F83D8E">
        <w:rPr>
          <w:rFonts w:hint="eastAsia"/>
        </w:rPr>
        <w:t>。</w:t>
      </w:r>
    </w:p>
    <w:p w:rsidR="005B7137" w:rsidRDefault="005B7137" w:rsidP="007668ED">
      <w:pPr>
        <w:ind w:left="566" w:firstLine="566"/>
      </w:pPr>
      <w:r>
        <w:rPr>
          <w:rFonts w:hint="eastAsia"/>
        </w:rPr>
        <w:t>綜上，</w:t>
      </w:r>
      <w:r w:rsidRPr="006E3104">
        <w:rPr>
          <w:rFonts w:hint="eastAsia"/>
        </w:rPr>
        <w:t>公股銀行</w:t>
      </w:r>
      <w:r>
        <w:rPr>
          <w:rFonts w:hint="eastAsia"/>
        </w:rPr>
        <w:t>110至113年度</w:t>
      </w:r>
      <w:r w:rsidRPr="006E3104">
        <w:rPr>
          <w:rFonts w:hint="eastAsia"/>
        </w:rPr>
        <w:t>辦理財富管理業務之資產管</w:t>
      </w:r>
      <w:r w:rsidRPr="006E3104">
        <w:rPr>
          <w:rFonts w:hint="eastAsia"/>
        </w:rPr>
        <w:lastRenderedPageBreak/>
        <w:t>理規模概呈增加，且相關手續費淨收益亦</w:t>
      </w:r>
      <w:r>
        <w:rPr>
          <w:rFonts w:hint="eastAsia"/>
        </w:rPr>
        <w:t>多</w:t>
      </w:r>
      <w:r w:rsidRPr="006E3104">
        <w:rPr>
          <w:rFonts w:hint="eastAsia"/>
        </w:rPr>
        <w:t>呈</w:t>
      </w:r>
      <w:r>
        <w:rPr>
          <w:rFonts w:hint="eastAsia"/>
        </w:rPr>
        <w:t>概增</w:t>
      </w:r>
      <w:r w:rsidRPr="006E3104">
        <w:rPr>
          <w:rFonts w:hint="eastAsia"/>
        </w:rPr>
        <w:t>態勢，惟與權益及資產總額相當之4</w:t>
      </w:r>
      <w:r>
        <w:rPr>
          <w:rFonts w:hint="eastAsia"/>
        </w:rPr>
        <w:t>家民營銀行比較，公股銀行整體</w:t>
      </w:r>
      <w:r w:rsidRPr="006E3104">
        <w:rPr>
          <w:rFonts w:hint="eastAsia"/>
        </w:rPr>
        <w:t>資產管理規模</w:t>
      </w:r>
      <w:r>
        <w:rPr>
          <w:rFonts w:hint="eastAsia"/>
        </w:rPr>
        <w:t>之</w:t>
      </w:r>
      <w:r w:rsidRPr="006E3104">
        <w:rPr>
          <w:rFonts w:hint="eastAsia"/>
        </w:rPr>
        <w:t>成長幅度及是項收益對獲利之貢獻度皆相對較低，且近年</w:t>
      </w:r>
      <w:r>
        <w:rPr>
          <w:rFonts w:hint="eastAsia"/>
        </w:rPr>
        <w:t>曾</w:t>
      </w:r>
      <w:r w:rsidRPr="006E3104">
        <w:rPr>
          <w:rFonts w:hint="eastAsia"/>
        </w:rPr>
        <w:t>發生理專或行員挪用</w:t>
      </w:r>
      <w:r>
        <w:rPr>
          <w:rFonts w:hint="eastAsia"/>
        </w:rPr>
        <w:t>公款</w:t>
      </w:r>
      <w:r w:rsidRPr="006E3104">
        <w:rPr>
          <w:rFonts w:hint="eastAsia"/>
        </w:rPr>
        <w:t>之情事，允宜督促業者於重</w:t>
      </w:r>
      <w:r>
        <w:rPr>
          <w:rFonts w:hint="eastAsia"/>
        </w:rPr>
        <w:t>視誠信文化之基礎下，持續精進財富管理業務之競爭力，俾利銀行正向發展及穩健經營。</w:t>
      </w:r>
    </w:p>
    <w:p w:rsidR="005B7137" w:rsidRDefault="005B7137" w:rsidP="007668ED">
      <w:pPr>
        <w:pStyle w:val="ab"/>
      </w:pPr>
      <w:r w:rsidRPr="00656F1D">
        <w:rPr>
          <w:rFonts w:hint="eastAsia"/>
        </w:rPr>
        <w:t>（分機：8660翁珮珊）</w:t>
      </w:r>
    </w:p>
    <w:sectPr w:rsidR="005B7137"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F74ED3">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5B7137" w:rsidRPr="0026041C" w:rsidRDefault="005B7137" w:rsidP="007668ED">
      <w:pPr>
        <w:pStyle w:val="142"/>
        <w:ind w:left="243" w:hangingChars="100" w:hanging="243"/>
      </w:pPr>
      <w:r>
        <w:rPr>
          <w:rStyle w:val="af4"/>
        </w:rPr>
        <w:footnoteRef/>
      </w:r>
      <w:r>
        <w:t xml:space="preserve"> </w:t>
      </w:r>
      <w:r w:rsidRPr="00A47EA1">
        <w:rPr>
          <w:rFonts w:hint="eastAsia"/>
        </w:rPr>
        <w:t>按銀行局公布資料，截至11</w:t>
      </w:r>
      <w:r>
        <w:rPr>
          <w:rFonts w:hint="eastAsia"/>
        </w:rPr>
        <w:t>3</w:t>
      </w:r>
      <w:r w:rsidRPr="00A47EA1">
        <w:rPr>
          <w:rFonts w:hint="eastAsia"/>
        </w:rPr>
        <w:t>年底，淨值及資產總額皆排名前10名之本國銀行中，有6家為公股銀行，</w:t>
      </w:r>
      <w:r>
        <w:rPr>
          <w:rFonts w:hint="eastAsia"/>
        </w:rPr>
        <w:t>餘</w:t>
      </w:r>
      <w:r w:rsidRPr="00A47EA1">
        <w:rPr>
          <w:rFonts w:hint="eastAsia"/>
        </w:rPr>
        <w:t>4家</w:t>
      </w:r>
      <w:r>
        <w:rPr>
          <w:rFonts w:hint="eastAsia"/>
        </w:rPr>
        <w:t>則係中國信託商業銀行、台北富邦商業銀行、國泰世華商業銀行及玉山商業銀行等民營銀行。</w:t>
      </w:r>
    </w:p>
  </w:footnote>
  <w:footnote w:id="2">
    <w:p w:rsidR="005B7137" w:rsidRDefault="005B7137" w:rsidP="007668ED">
      <w:pPr>
        <w:pStyle w:val="142"/>
        <w:ind w:left="243" w:hangingChars="100" w:hanging="243"/>
      </w:pPr>
      <w:r>
        <w:rPr>
          <w:rStyle w:val="af4"/>
        </w:rPr>
        <w:footnoteRef/>
      </w:r>
      <w:r>
        <w:t xml:space="preserve"> </w:t>
      </w:r>
      <w:r w:rsidRPr="00334192">
        <w:rPr>
          <w:rFonts w:hint="eastAsia"/>
        </w:rPr>
        <w:t>此處所述辦法非現行最新規範，金管會已陸續於1</w:t>
      </w:r>
      <w:r>
        <w:rPr>
          <w:rFonts w:hint="eastAsia"/>
        </w:rPr>
        <w:t>11</w:t>
      </w:r>
      <w:r w:rsidRPr="00334192">
        <w:rPr>
          <w:rFonts w:hint="eastAsia"/>
        </w:rPr>
        <w:t>年</w:t>
      </w:r>
      <w:r>
        <w:rPr>
          <w:rFonts w:hint="eastAsia"/>
        </w:rPr>
        <w:t>5</w:t>
      </w:r>
      <w:r w:rsidRPr="00334192">
        <w:rPr>
          <w:rFonts w:hint="eastAsia"/>
        </w:rPr>
        <w:t>月</w:t>
      </w:r>
      <w:r>
        <w:rPr>
          <w:rFonts w:hint="eastAsia"/>
        </w:rPr>
        <w:t>24</w:t>
      </w:r>
      <w:r w:rsidRPr="00334192">
        <w:rPr>
          <w:rFonts w:hint="eastAsia"/>
        </w:rPr>
        <w:t>日</w:t>
      </w:r>
      <w:r>
        <w:rPr>
          <w:rFonts w:hint="eastAsia"/>
        </w:rPr>
        <w:t>、112年12月12日</w:t>
      </w:r>
      <w:r w:rsidRPr="00334192">
        <w:rPr>
          <w:rFonts w:hint="eastAsia"/>
        </w:rPr>
        <w:t>及</w:t>
      </w:r>
      <w:r>
        <w:rPr>
          <w:rFonts w:hint="eastAsia"/>
        </w:rPr>
        <w:t>114</w:t>
      </w:r>
      <w:r w:rsidRPr="00334192">
        <w:rPr>
          <w:rFonts w:hint="eastAsia"/>
        </w:rPr>
        <w:t>年</w:t>
      </w:r>
      <w:r>
        <w:rPr>
          <w:rFonts w:hint="eastAsia"/>
        </w:rPr>
        <w:t>3</w:t>
      </w:r>
      <w:r w:rsidRPr="00334192">
        <w:rPr>
          <w:rFonts w:hint="eastAsia"/>
        </w:rPr>
        <w:t>月</w:t>
      </w:r>
      <w:r>
        <w:rPr>
          <w:rFonts w:hint="eastAsia"/>
        </w:rPr>
        <w:t>3</w:t>
      </w:r>
      <w:r w:rsidRPr="00334192">
        <w:rPr>
          <w:rFonts w:hint="eastAsia"/>
        </w:rPr>
        <w:t>日修正該辦法。</w:t>
      </w:r>
    </w:p>
  </w:footnote>
  <w:footnote w:id="3">
    <w:p w:rsidR="005B7137" w:rsidRDefault="005B7137" w:rsidP="007668ED">
      <w:pPr>
        <w:pStyle w:val="142"/>
        <w:ind w:left="243" w:hangingChars="100" w:hanging="243"/>
      </w:pPr>
      <w:r>
        <w:rPr>
          <w:rStyle w:val="af4"/>
        </w:rPr>
        <w:footnoteRef/>
      </w:r>
      <w:r>
        <w:t xml:space="preserve"> </w:t>
      </w:r>
      <w:r>
        <w:rPr>
          <w:rFonts w:hint="eastAsia"/>
        </w:rPr>
        <w:t>資料來源，「</w:t>
      </w:r>
      <w:r w:rsidRPr="002E71C6">
        <w:rPr>
          <w:rFonts w:hint="eastAsia"/>
        </w:rPr>
        <w:t>亞洲資產管理中心政策之推動成果</w:t>
      </w:r>
      <w:r>
        <w:rPr>
          <w:rFonts w:hint="eastAsia"/>
        </w:rPr>
        <w:t>」，金管會新聞稿，114年5月</w:t>
      </w:r>
      <w:r w:rsidRPr="002E71C6">
        <w:rPr>
          <w:rFonts w:hint="eastAsia"/>
        </w:rPr>
        <w:t>27日，</w:t>
      </w:r>
      <w:r w:rsidRPr="002E71C6">
        <w:t>https://www.fsc.gov.tw/ch/home.jsp?id=96&amp;parentpath=0,2(最後瀏覽日：114</w:t>
      </w:r>
      <w:r w:rsidRPr="002E71C6">
        <w:rPr>
          <w:rFonts w:hint="eastAsia"/>
        </w:rPr>
        <w:t>年</w:t>
      </w:r>
      <w:r>
        <w:rPr>
          <w:rFonts w:hint="eastAsia"/>
        </w:rPr>
        <w:t>9</w:t>
      </w:r>
      <w:r w:rsidRPr="002E71C6">
        <w:rPr>
          <w:rFonts w:hint="eastAsia"/>
        </w:rPr>
        <w:t>月</w:t>
      </w:r>
      <w:r>
        <w:rPr>
          <w:rFonts w:hint="eastAsia"/>
        </w:rPr>
        <w:t>3</w:t>
      </w:r>
      <w:r w:rsidRPr="002E71C6">
        <w:rPr>
          <w:rFonts w:hint="eastAsia"/>
        </w:rPr>
        <w:t>日)。</w:t>
      </w:r>
    </w:p>
  </w:footnote>
  <w:footnote w:id="4">
    <w:p w:rsidR="005B7137" w:rsidRPr="00E55B45" w:rsidRDefault="005B7137" w:rsidP="007668ED">
      <w:pPr>
        <w:pStyle w:val="142"/>
        <w:ind w:left="195" w:hangingChars="80" w:hanging="195"/>
        <w:jc w:val="both"/>
      </w:pPr>
      <w:r>
        <w:rPr>
          <w:rStyle w:val="af4"/>
        </w:rPr>
        <w:footnoteRef/>
      </w:r>
      <w:r>
        <w:t xml:space="preserve"> </w:t>
      </w:r>
      <w:r>
        <w:rPr>
          <w:rFonts w:hint="eastAsia"/>
        </w:rPr>
        <w:t>依「</w:t>
      </w:r>
      <w:r w:rsidRPr="00E55B45">
        <w:rPr>
          <w:rFonts w:hint="eastAsia"/>
        </w:rPr>
        <w:t>財政部派任公民營事業機構負責人經理人董監事管理要點</w:t>
      </w:r>
      <w:r>
        <w:rPr>
          <w:rFonts w:hint="eastAsia"/>
        </w:rPr>
        <w:t>」第12點第6款規定：「</w:t>
      </w:r>
      <w:r w:rsidRPr="00795ABB">
        <w:rPr>
          <w:rFonts w:hint="eastAsia"/>
          <w:u w:val="single"/>
        </w:rPr>
        <w:t>事業機構</w:t>
      </w:r>
      <w:r w:rsidRPr="00795ABB">
        <w:rPr>
          <w:rFonts w:hint="eastAsia"/>
        </w:rPr>
        <w:t>風險管控、法令遵循（含洗錢防制，以下同）、內部控制、內部稽核制度之重大缺失事項、有遭評等調降或</w:t>
      </w:r>
      <w:r w:rsidRPr="00795ABB">
        <w:rPr>
          <w:rFonts w:hint="eastAsia"/>
          <w:u w:val="single"/>
        </w:rPr>
        <w:t>有受國內外主管機關裁罰</w:t>
      </w:r>
      <w:r w:rsidRPr="00795ABB">
        <w:rPr>
          <w:rFonts w:hint="eastAsia"/>
        </w:rPr>
        <w:t>之虞情事，及其他可能對公司經營與公股權益有不利影響之重大事項，</w:t>
      </w:r>
      <w:r w:rsidRPr="00795ABB">
        <w:rPr>
          <w:rFonts w:hint="eastAsia"/>
          <w:u w:val="single"/>
        </w:rPr>
        <w:t>立即以書面報告向本部說明事件經過、處置情形及可能影響，並儘速提報董事會。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4ED3"/>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DE028E5-F35D-472A-9CD4-135589D66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A8E28-1681-461B-A4BD-94B610E82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143</Pages>
  <Words>1086</Words>
  <Characters>6195</Characters>
  <Application>Microsoft Office Word</Application>
  <DocSecurity>0</DocSecurity>
  <Lines>51</Lines>
  <Paragraphs>14</Paragraphs>
  <ScaleCrop>false</ScaleCrop>
  <Company>HOME</Company>
  <LinksUpToDate>false</LinksUpToDate>
  <CharactersWithSpaces>7267</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2025-09-22T06:52:00Z</dcterms:created>
  <dcterms:modified xsi:type="dcterms:W3CDTF">2025-09-22T06:52:00Z</dcterms:modified>
</cp:coreProperties>
</file>