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181357" w:rsidRDefault="00181357" w:rsidP="007668ED">
      <w:pPr>
        <w:pStyle w:val="14"/>
        <w:ind w:left="567" w:hanging="567"/>
      </w:pPr>
      <w:bookmarkStart w:id="2" w:name="_Toc107991513"/>
      <w:bookmarkStart w:id="3" w:name="_Toc208942799"/>
      <w:bookmarkEnd w:id="0"/>
      <w:r>
        <w:rPr>
          <w:rFonts w:hint="eastAsia"/>
          <w:color w:val="000000"/>
        </w:rPr>
        <w:t>二五</w:t>
      </w:r>
      <w:r w:rsidRPr="00F77AB4">
        <w:rPr>
          <w:rFonts w:hAnsi="標楷體" w:hint="eastAsia"/>
        </w:rPr>
        <w:t>、</w:t>
      </w:r>
      <w:bookmarkEnd w:id="2"/>
      <w:r>
        <w:rPr>
          <w:rFonts w:hint="eastAsia"/>
        </w:rPr>
        <w:t>面臨美國實施對等關稅及金融市場動盪等不確定因素，債務基金允宜密切關注市場利率走向，強化基金運作效能，以節省債息支出</w:t>
      </w:r>
      <w:bookmarkEnd w:id="3"/>
    </w:p>
    <w:p w:rsidR="00181357" w:rsidRDefault="00181357" w:rsidP="007668ED">
      <w:pPr>
        <w:ind w:left="566" w:firstLine="566"/>
      </w:pPr>
      <w:r w:rsidRPr="005F440C">
        <w:rPr>
          <w:rFonts w:hint="eastAsia"/>
        </w:rPr>
        <w:t>我國政府為加強債務管理功能與增進償債能力，於</w:t>
      </w:r>
      <w:r>
        <w:rPr>
          <w:rFonts w:hint="eastAsia"/>
        </w:rPr>
        <w:t>88</w:t>
      </w:r>
      <w:r w:rsidRPr="005F440C">
        <w:rPr>
          <w:rFonts w:hint="eastAsia"/>
        </w:rPr>
        <w:t>年下半年及</w:t>
      </w:r>
      <w:r>
        <w:rPr>
          <w:rFonts w:hint="eastAsia"/>
        </w:rPr>
        <w:t>89</w:t>
      </w:r>
      <w:r w:rsidRPr="005F440C">
        <w:rPr>
          <w:rFonts w:hint="eastAsia"/>
        </w:rPr>
        <w:t>年度依公共債務法第</w:t>
      </w:r>
      <w:r>
        <w:rPr>
          <w:rFonts w:hint="eastAsia"/>
        </w:rPr>
        <w:t>11</w:t>
      </w:r>
      <w:r w:rsidRPr="005F440C">
        <w:rPr>
          <w:rFonts w:hint="eastAsia"/>
        </w:rPr>
        <w:t>條</w:t>
      </w:r>
      <w:r>
        <w:rPr>
          <w:rFonts w:hint="eastAsia"/>
        </w:rPr>
        <w:t>第1項</w:t>
      </w:r>
      <w:r w:rsidRPr="005F440C">
        <w:rPr>
          <w:rFonts w:hint="eastAsia"/>
        </w:rPr>
        <w:t>規定設置中央政府債務基金</w:t>
      </w:r>
      <w:r>
        <w:rPr>
          <w:rFonts w:hint="eastAsia"/>
        </w:rPr>
        <w:t>(下稱債務基金)。經查：</w:t>
      </w:r>
    </w:p>
    <w:p w:rsidR="00181357" w:rsidRPr="00784FEC" w:rsidRDefault="00181357" w:rsidP="007668ED">
      <w:pPr>
        <w:pStyle w:val="a5"/>
        <w:ind w:left="849" w:hanging="283"/>
        <w:rPr>
          <w:b/>
        </w:rPr>
      </w:pPr>
      <w:r w:rsidRPr="00784FEC">
        <w:rPr>
          <w:rFonts w:hint="eastAsia"/>
          <w:b/>
        </w:rPr>
        <w:t>(一)</w:t>
      </w:r>
      <w:r w:rsidRPr="005F440C">
        <w:rPr>
          <w:rFonts w:hint="eastAsia"/>
          <w:b/>
        </w:rPr>
        <w:t>債務基金主要</w:t>
      </w:r>
      <w:r w:rsidRPr="00423A5C">
        <w:rPr>
          <w:rFonts w:hint="eastAsia"/>
          <w:b/>
        </w:rPr>
        <w:t>辦理償還到期債務、提前償還一部或全部之債務及轉換高利率債務為低利率債務等財務運作</w:t>
      </w:r>
    </w:p>
    <w:p w:rsidR="00181357" w:rsidRPr="00F17920" w:rsidRDefault="00181357" w:rsidP="007668ED">
      <w:pPr>
        <w:pStyle w:val="21"/>
        <w:ind w:left="850" w:firstLine="566"/>
      </w:pPr>
      <w:r w:rsidRPr="005F440C">
        <w:rPr>
          <w:rFonts w:hint="eastAsia"/>
        </w:rPr>
        <w:t>公共債務法第11條第1項</w:t>
      </w:r>
      <w:r>
        <w:rPr>
          <w:rFonts w:hint="eastAsia"/>
        </w:rPr>
        <w:t>規定：</w:t>
      </w:r>
      <w:r w:rsidRPr="005F440C">
        <w:rPr>
          <w:rFonts w:hint="eastAsia"/>
        </w:rPr>
        <w:t>「中央</w:t>
      </w:r>
      <w:r w:rsidRPr="0024797F">
        <w:rPr>
          <w:rFonts w:hAnsi="標楷體"/>
        </w:rPr>
        <w:t>…</w:t>
      </w:r>
      <w:r w:rsidRPr="0024797F">
        <w:rPr>
          <w:rFonts w:hAnsi="標楷體" w:hint="eastAsia"/>
        </w:rPr>
        <w:t>為</w:t>
      </w:r>
      <w:r w:rsidRPr="005F440C">
        <w:rPr>
          <w:rFonts w:hint="eastAsia"/>
        </w:rPr>
        <w:t>加強債務管理、提高財務運用效能，得設立債務基金籌措財源，辦理償還到期債務、提前償還一部或全部之債務及轉換高利率債務為低利率債務等財務運作之相關業務。」</w:t>
      </w:r>
      <w:r>
        <w:rPr>
          <w:rFonts w:hint="eastAsia"/>
        </w:rPr>
        <w:t>同法條第3項：「</w:t>
      </w:r>
      <w:r w:rsidRPr="0024797F">
        <w:rPr>
          <w:rFonts w:hint="eastAsia"/>
        </w:rPr>
        <w:t>債務基金為應債務還本或轉換需要，得在不增加原有債務之前提下，以發行公債、向金融機構舉借、</w:t>
      </w:r>
      <w:r w:rsidRPr="0024797F">
        <w:rPr>
          <w:rFonts w:hAnsi="標楷體"/>
        </w:rPr>
        <w:t>…</w:t>
      </w:r>
      <w:r w:rsidRPr="0024797F">
        <w:rPr>
          <w:rFonts w:hint="eastAsia"/>
        </w:rPr>
        <w:t>之方式，籌措資金配合運用。</w:t>
      </w:r>
      <w:r>
        <w:rPr>
          <w:rFonts w:hint="eastAsia"/>
        </w:rPr>
        <w:t>」準此</w:t>
      </w:r>
      <w:r w:rsidRPr="005F440C">
        <w:rPr>
          <w:rFonts w:hint="eastAsia"/>
        </w:rPr>
        <w:t>，</w:t>
      </w:r>
      <w:r>
        <w:rPr>
          <w:rFonts w:hint="eastAsia"/>
        </w:rPr>
        <w:t>債務</w:t>
      </w:r>
      <w:r w:rsidRPr="0024797F">
        <w:rPr>
          <w:rFonts w:hint="eastAsia"/>
        </w:rPr>
        <w:t>基金主要任務為在不增加政府原有債務餘額之前提下，籌措穩定適足財源，償還政府債務本金，並</w:t>
      </w:r>
      <w:r>
        <w:rPr>
          <w:rFonts w:hint="eastAsia"/>
        </w:rPr>
        <w:t>辦理付息作業，及</w:t>
      </w:r>
      <w:r w:rsidRPr="0024797F">
        <w:rPr>
          <w:rFonts w:hint="eastAsia"/>
        </w:rPr>
        <w:t>透過舉新債償還舊債之債務轉換，調整債務結構，使債務還本平滑化</w:t>
      </w:r>
      <w:r>
        <w:rPr>
          <w:rFonts w:hint="eastAsia"/>
        </w:rPr>
        <w:t>。</w:t>
      </w:r>
    </w:p>
    <w:p w:rsidR="00181357" w:rsidRDefault="00181357" w:rsidP="007668ED">
      <w:pPr>
        <w:pStyle w:val="a5"/>
        <w:ind w:left="849" w:hanging="283"/>
        <w:rPr>
          <w:b/>
        </w:rPr>
      </w:pPr>
      <w:r w:rsidRPr="00784FEC">
        <w:rPr>
          <w:rFonts w:hint="eastAsia"/>
          <w:b/>
        </w:rPr>
        <w:t>(</w:t>
      </w:r>
      <w:r>
        <w:rPr>
          <w:rFonts w:hint="eastAsia"/>
          <w:b/>
        </w:rPr>
        <w:t>二</w:t>
      </w:r>
      <w:r w:rsidRPr="00784FEC">
        <w:rPr>
          <w:rFonts w:hint="eastAsia"/>
          <w:b/>
        </w:rPr>
        <w:t>)</w:t>
      </w:r>
      <w:r>
        <w:rPr>
          <w:rFonts w:hint="eastAsia"/>
          <w:b/>
        </w:rPr>
        <w:t>債務餘額持續攀升，惟債務基金財務操作節省利息數卻概呈下降趨勢</w:t>
      </w:r>
    </w:p>
    <w:p w:rsidR="00181357" w:rsidRDefault="00181357" w:rsidP="007668ED">
      <w:pPr>
        <w:pStyle w:val="123"/>
        <w:ind w:left="1133" w:hanging="283"/>
      </w:pPr>
      <w:r>
        <w:rPr>
          <w:rFonts w:hint="eastAsia"/>
        </w:rPr>
        <w:t>1.依國庫署提供債務基金財務操作情形(詳表1)，</w:t>
      </w:r>
      <w:r w:rsidRPr="000F2A76">
        <w:rPr>
          <w:rFonts w:hint="eastAsia"/>
        </w:rPr>
        <w:t>在不增加債務餘額前提下，</w:t>
      </w:r>
      <w:r>
        <w:rPr>
          <w:rFonts w:hint="eastAsia"/>
        </w:rPr>
        <w:t>債務</w:t>
      </w:r>
      <w:r w:rsidRPr="000F2A76">
        <w:rPr>
          <w:rFonts w:hint="eastAsia"/>
        </w:rPr>
        <w:t>基金於</w:t>
      </w:r>
      <w:r>
        <w:rPr>
          <w:rFonts w:hint="eastAsia"/>
        </w:rPr>
        <w:t>88</w:t>
      </w:r>
      <w:r w:rsidRPr="000F2A76">
        <w:rPr>
          <w:rFonts w:hint="eastAsia"/>
        </w:rPr>
        <w:t>年下半年及</w:t>
      </w:r>
      <w:r>
        <w:rPr>
          <w:rFonts w:hint="eastAsia"/>
        </w:rPr>
        <w:t>89</w:t>
      </w:r>
      <w:r w:rsidRPr="000F2A76">
        <w:rPr>
          <w:rFonts w:hint="eastAsia"/>
        </w:rPr>
        <w:t>年度成立</w:t>
      </w:r>
      <w:r>
        <w:rPr>
          <w:rFonts w:hint="eastAsia"/>
        </w:rPr>
        <w:t>至1</w:t>
      </w:r>
      <w:r>
        <w:t>13</w:t>
      </w:r>
      <w:r>
        <w:rPr>
          <w:rFonts w:hint="eastAsia"/>
        </w:rPr>
        <w:t>年底，累計已償還到期債務1</w:t>
      </w:r>
      <w:r>
        <w:t>4</w:t>
      </w:r>
      <w:r>
        <w:rPr>
          <w:rFonts w:hint="eastAsia"/>
        </w:rPr>
        <w:t>兆4</w:t>
      </w:r>
      <w:r>
        <w:t>,503</w:t>
      </w:r>
      <w:r>
        <w:rPr>
          <w:rFonts w:hint="eastAsia"/>
        </w:rPr>
        <w:t>億元，提前償還未到期債務1兆</w:t>
      </w:r>
      <w:r>
        <w:t>4</w:t>
      </w:r>
      <w:r>
        <w:rPr>
          <w:rFonts w:hint="eastAsia"/>
        </w:rPr>
        <w:t>,</w:t>
      </w:r>
      <w:r>
        <w:t>722</w:t>
      </w:r>
      <w:r>
        <w:rPr>
          <w:rFonts w:hint="eastAsia"/>
        </w:rPr>
        <w:t>億元，合計</w:t>
      </w:r>
      <w:r w:rsidRPr="00796551">
        <w:rPr>
          <w:rFonts w:hint="eastAsia"/>
          <w:snapToGrid/>
        </w:rPr>
        <w:t>節省利息</w:t>
      </w:r>
      <w:r>
        <w:rPr>
          <w:rFonts w:hint="eastAsia"/>
          <w:snapToGrid/>
        </w:rPr>
        <w:t>數</w:t>
      </w:r>
      <w:r>
        <w:rPr>
          <w:rFonts w:hint="eastAsia"/>
        </w:rPr>
        <w:t>約2</w:t>
      </w:r>
      <w:r>
        <w:t>02.97</w:t>
      </w:r>
      <w:r>
        <w:rPr>
          <w:rFonts w:hint="eastAsia"/>
        </w:rPr>
        <w:t>億元；其中</w:t>
      </w:r>
      <w:r w:rsidRPr="000F2A76">
        <w:rPr>
          <w:rFonts w:hint="eastAsia"/>
        </w:rPr>
        <w:t>1</w:t>
      </w:r>
      <w:r>
        <w:rPr>
          <w:rFonts w:hint="eastAsia"/>
        </w:rPr>
        <w:t>1</w:t>
      </w:r>
      <w:r>
        <w:t>3</w:t>
      </w:r>
      <w:r w:rsidRPr="000F2A76">
        <w:rPr>
          <w:rFonts w:hint="eastAsia"/>
        </w:rPr>
        <w:t>年度</w:t>
      </w:r>
      <w:r>
        <w:rPr>
          <w:rFonts w:hint="eastAsia"/>
        </w:rPr>
        <w:t>債務</w:t>
      </w:r>
      <w:r w:rsidRPr="000F2A76">
        <w:rPr>
          <w:rFonts w:hint="eastAsia"/>
        </w:rPr>
        <w:t>基金舉新還舊</w:t>
      </w:r>
      <w:r>
        <w:rPr>
          <w:rFonts w:hint="eastAsia"/>
        </w:rPr>
        <w:t>數為7</w:t>
      </w:r>
      <w:r w:rsidRPr="000F2A76">
        <w:rPr>
          <w:rFonts w:hint="eastAsia"/>
        </w:rPr>
        <w:t>,</w:t>
      </w:r>
      <w:r>
        <w:t>050</w:t>
      </w:r>
      <w:r>
        <w:rPr>
          <w:rFonts w:hint="eastAsia"/>
        </w:rPr>
        <w:t>億元，併同執行總</w:t>
      </w:r>
      <w:r>
        <w:rPr>
          <w:rFonts w:hint="eastAsia"/>
        </w:rPr>
        <w:lastRenderedPageBreak/>
        <w:t>預算撥入</w:t>
      </w:r>
      <w:r w:rsidRPr="000F2A76">
        <w:rPr>
          <w:rFonts w:hint="eastAsia"/>
        </w:rPr>
        <w:t>還本</w:t>
      </w:r>
      <w:r>
        <w:rPr>
          <w:rFonts w:hint="eastAsia"/>
        </w:rPr>
        <w:t>數1</w:t>
      </w:r>
      <w:r>
        <w:t>,358</w:t>
      </w:r>
      <w:r w:rsidRPr="000F2A76">
        <w:rPr>
          <w:rFonts w:hint="eastAsia"/>
        </w:rPr>
        <w:t>億元，用以償還到期債務</w:t>
      </w:r>
      <w:r>
        <w:t>8</w:t>
      </w:r>
      <w:r w:rsidRPr="000F2A76">
        <w:rPr>
          <w:rFonts w:hint="eastAsia"/>
        </w:rPr>
        <w:t>,</w:t>
      </w:r>
      <w:r>
        <w:t>207</w:t>
      </w:r>
      <w:r w:rsidRPr="000F2A76">
        <w:rPr>
          <w:rFonts w:hint="eastAsia"/>
        </w:rPr>
        <w:t xml:space="preserve"> 億元</w:t>
      </w:r>
      <w:r>
        <w:rPr>
          <w:rFonts w:hint="eastAsia"/>
        </w:rPr>
        <w:t>及提前償還未到期債務2</w:t>
      </w:r>
      <w:r>
        <w:t>01</w:t>
      </w:r>
      <w:r>
        <w:rPr>
          <w:rFonts w:hint="eastAsia"/>
        </w:rPr>
        <w:t>億元。</w:t>
      </w:r>
    </w:p>
    <w:p w:rsidR="00181357" w:rsidRDefault="00181357" w:rsidP="007668ED">
      <w:pPr>
        <w:pStyle w:val="123"/>
        <w:ind w:left="1133" w:hanging="283"/>
      </w:pPr>
      <w:r>
        <w:rPr>
          <w:rFonts w:hint="eastAsia"/>
        </w:rPr>
        <w:t>2.同期間，債務未償餘額從88下半年及89年度之2.45兆元上升到11</w:t>
      </w:r>
      <w:r>
        <w:t>3</w:t>
      </w:r>
      <w:r>
        <w:rPr>
          <w:rFonts w:hint="eastAsia"/>
        </w:rPr>
        <w:t>年度之6</w:t>
      </w:r>
      <w:r>
        <w:t>.14</w:t>
      </w:r>
      <w:r>
        <w:rPr>
          <w:rFonts w:hint="eastAsia"/>
        </w:rPr>
        <w:t>兆元，25年來呈現攀升趨勢；惟債務基金財務操作</w:t>
      </w:r>
      <w:r w:rsidRPr="00796551">
        <w:rPr>
          <w:rFonts w:hint="eastAsia"/>
          <w:snapToGrid/>
        </w:rPr>
        <w:t>節省利息</w:t>
      </w:r>
      <w:r>
        <w:rPr>
          <w:rFonts w:hint="eastAsia"/>
          <w:snapToGrid/>
        </w:rPr>
        <w:t>數</w:t>
      </w:r>
      <w:r>
        <w:rPr>
          <w:rFonts w:hint="eastAsia"/>
        </w:rPr>
        <w:t>於91至93年度均逾40億元後，爾後年度呈大幅下降趨勢，94及95年度降至9.61億元及13.21億元，96至113年度間僅101年度</w:t>
      </w:r>
      <w:r w:rsidRPr="00796551">
        <w:rPr>
          <w:rFonts w:hint="eastAsia"/>
          <w:snapToGrid/>
        </w:rPr>
        <w:t>節省利息</w:t>
      </w:r>
      <w:r>
        <w:rPr>
          <w:rFonts w:hint="eastAsia"/>
          <w:snapToGrid/>
        </w:rPr>
        <w:t>數</w:t>
      </w:r>
      <w:r>
        <w:rPr>
          <w:rFonts w:hint="eastAsia"/>
        </w:rPr>
        <w:t>超過5億元，其餘年度介於0.23億元至4.85億元間；另近10年間每年</w:t>
      </w:r>
      <w:r w:rsidRPr="00796551">
        <w:rPr>
          <w:rFonts w:hint="eastAsia"/>
          <w:snapToGrid/>
        </w:rPr>
        <w:t>節省利息</w:t>
      </w:r>
      <w:r>
        <w:rPr>
          <w:rFonts w:hint="eastAsia"/>
          <w:snapToGrid/>
        </w:rPr>
        <w:t>數</w:t>
      </w:r>
      <w:r>
        <w:rPr>
          <w:rFonts w:hint="eastAsia"/>
        </w:rPr>
        <w:t>均未達4億元，113年度</w:t>
      </w:r>
      <w:r w:rsidRPr="00796551">
        <w:rPr>
          <w:rFonts w:hint="eastAsia"/>
          <w:snapToGrid/>
        </w:rPr>
        <w:t>節省利息</w:t>
      </w:r>
      <w:r>
        <w:rPr>
          <w:rFonts w:hint="eastAsia"/>
          <w:snapToGrid/>
        </w:rPr>
        <w:t>數僅1.91億元，創</w:t>
      </w:r>
      <w:r>
        <w:rPr>
          <w:rFonts w:hint="eastAsia"/>
        </w:rPr>
        <w:t>近3年(111至113年度)新低。</w:t>
      </w:r>
    </w:p>
    <w:p w:rsidR="00181357" w:rsidRDefault="00181357" w:rsidP="007668ED">
      <w:pPr>
        <w:widowControl/>
        <w:spacing w:line="400" w:lineRule="exact"/>
        <w:ind w:leftChars="176" w:left="1272" w:firstLineChars="0" w:hanging="774"/>
        <w:jc w:val="left"/>
        <w:rPr>
          <w:rFonts w:hAnsi="標楷體"/>
          <w:b/>
          <w:snapToGrid/>
          <w:kern w:val="0"/>
          <w:szCs w:val="20"/>
        </w:rPr>
      </w:pPr>
      <w:r w:rsidRPr="003422A1">
        <w:rPr>
          <w:rFonts w:hAnsi="標楷體"/>
          <w:b/>
          <w:snapToGrid/>
          <w:kern w:val="0"/>
          <w:szCs w:val="20"/>
        </w:rPr>
        <w:t>表</w:t>
      </w:r>
      <w:r>
        <w:rPr>
          <w:rFonts w:hAnsi="標楷體" w:hint="eastAsia"/>
          <w:b/>
          <w:snapToGrid/>
          <w:kern w:val="0"/>
          <w:szCs w:val="20"/>
        </w:rPr>
        <w:t xml:space="preserve">1 </w:t>
      </w:r>
      <w:r w:rsidRPr="00CF67A4">
        <w:rPr>
          <w:rFonts w:hAnsi="標楷體" w:hint="eastAsia"/>
          <w:b/>
          <w:snapToGrid/>
          <w:kern w:val="0"/>
          <w:szCs w:val="20"/>
        </w:rPr>
        <w:t>中央政府債務基金</w:t>
      </w:r>
      <w:r>
        <w:rPr>
          <w:rFonts w:hAnsi="標楷體" w:hint="eastAsia"/>
          <w:b/>
          <w:snapToGrid/>
          <w:kern w:val="0"/>
          <w:szCs w:val="20"/>
        </w:rPr>
        <w:t>歷年</w:t>
      </w:r>
      <w:r w:rsidRPr="00CF67A4">
        <w:rPr>
          <w:rFonts w:hAnsi="標楷體" w:hint="eastAsia"/>
          <w:b/>
          <w:snapToGrid/>
          <w:kern w:val="0"/>
          <w:szCs w:val="20"/>
        </w:rPr>
        <w:t>財務操作情形</w:t>
      </w:r>
      <w:r>
        <w:rPr>
          <w:rFonts w:hAnsi="標楷體" w:hint="eastAsia"/>
          <w:b/>
          <w:snapToGrid/>
          <w:kern w:val="0"/>
          <w:szCs w:val="20"/>
        </w:rPr>
        <w:t xml:space="preserve">       </w:t>
      </w:r>
      <w:r w:rsidRPr="00CF67A4">
        <w:rPr>
          <w:rFonts w:hAnsi="標楷體" w:hint="eastAsia"/>
          <w:snapToGrid/>
          <w:kern w:val="0"/>
          <w:sz w:val="24"/>
          <w:szCs w:val="24"/>
        </w:rPr>
        <w:t>單位：新臺幣億元</w:t>
      </w:r>
    </w:p>
    <w:tbl>
      <w:tblPr>
        <w:tblW w:w="7957" w:type="dxa"/>
        <w:tblInd w:w="5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45"/>
        <w:gridCol w:w="1133"/>
        <w:gridCol w:w="1030"/>
        <w:gridCol w:w="1133"/>
        <w:gridCol w:w="1390"/>
        <w:gridCol w:w="992"/>
        <w:gridCol w:w="1134"/>
      </w:tblGrid>
      <w:tr w:rsidR="00181357" w:rsidRPr="00D64634" w:rsidTr="007668ED">
        <w:trPr>
          <w:trHeight w:val="20"/>
          <w:tblHeader/>
        </w:trPr>
        <w:tc>
          <w:tcPr>
            <w:tcW w:w="1145" w:type="dxa"/>
            <w:shd w:val="clear" w:color="auto" w:fill="auto"/>
            <w:vAlign w:val="center"/>
            <w:hideMark/>
          </w:tcPr>
          <w:p w:rsidR="00181357" w:rsidRPr="00483BBC" w:rsidRDefault="00181357" w:rsidP="007668ED">
            <w:pPr>
              <w:pStyle w:val="142"/>
              <w:jc w:val="center"/>
              <w:rPr>
                <w:b/>
                <w:snapToGrid/>
              </w:rPr>
            </w:pPr>
            <w:r w:rsidRPr="00483BBC">
              <w:rPr>
                <w:rFonts w:hint="eastAsia"/>
                <w:b/>
                <w:snapToGrid/>
              </w:rPr>
              <w:t>年度</w:t>
            </w:r>
          </w:p>
        </w:tc>
        <w:tc>
          <w:tcPr>
            <w:tcW w:w="1133" w:type="dxa"/>
            <w:shd w:val="clear" w:color="auto" w:fill="auto"/>
            <w:vAlign w:val="center"/>
          </w:tcPr>
          <w:p w:rsidR="00181357" w:rsidRPr="00483BBC" w:rsidRDefault="00181357" w:rsidP="007668ED">
            <w:pPr>
              <w:pStyle w:val="142"/>
              <w:jc w:val="center"/>
              <w:rPr>
                <w:b/>
                <w:snapToGrid/>
              </w:rPr>
            </w:pPr>
            <w:r w:rsidRPr="00483BBC">
              <w:rPr>
                <w:rFonts w:hint="eastAsia"/>
                <w:b/>
                <w:snapToGrid/>
              </w:rPr>
              <w:t>總預算撥入還本數</w:t>
            </w:r>
          </w:p>
        </w:tc>
        <w:tc>
          <w:tcPr>
            <w:tcW w:w="1030" w:type="dxa"/>
            <w:shd w:val="clear" w:color="auto" w:fill="auto"/>
            <w:vAlign w:val="center"/>
          </w:tcPr>
          <w:p w:rsidR="00181357" w:rsidRPr="00483BBC" w:rsidRDefault="00181357" w:rsidP="007668ED">
            <w:pPr>
              <w:pStyle w:val="142"/>
              <w:jc w:val="center"/>
              <w:rPr>
                <w:b/>
                <w:snapToGrid/>
              </w:rPr>
            </w:pPr>
            <w:r w:rsidRPr="00483BBC">
              <w:rPr>
                <w:rFonts w:hint="eastAsia"/>
                <w:b/>
                <w:snapToGrid/>
              </w:rPr>
              <w:t>舉新還舊數</w:t>
            </w:r>
          </w:p>
        </w:tc>
        <w:tc>
          <w:tcPr>
            <w:tcW w:w="1133" w:type="dxa"/>
            <w:shd w:val="clear" w:color="auto" w:fill="auto"/>
            <w:vAlign w:val="center"/>
          </w:tcPr>
          <w:p w:rsidR="00181357" w:rsidRPr="00483BBC" w:rsidRDefault="00181357" w:rsidP="007668ED">
            <w:pPr>
              <w:pStyle w:val="142"/>
              <w:jc w:val="center"/>
              <w:rPr>
                <w:b/>
                <w:snapToGrid/>
              </w:rPr>
            </w:pPr>
            <w:r w:rsidRPr="00483BBC">
              <w:rPr>
                <w:rFonts w:hint="eastAsia"/>
                <w:b/>
                <w:snapToGrid/>
              </w:rPr>
              <w:t>償還到期債務數</w:t>
            </w:r>
          </w:p>
        </w:tc>
        <w:tc>
          <w:tcPr>
            <w:tcW w:w="1390" w:type="dxa"/>
            <w:shd w:val="clear" w:color="auto" w:fill="auto"/>
            <w:vAlign w:val="center"/>
          </w:tcPr>
          <w:p w:rsidR="00181357" w:rsidRPr="00483BBC" w:rsidRDefault="00181357" w:rsidP="007668ED">
            <w:pPr>
              <w:pStyle w:val="142"/>
              <w:jc w:val="center"/>
              <w:rPr>
                <w:b/>
                <w:snapToGrid/>
              </w:rPr>
            </w:pPr>
            <w:r w:rsidRPr="00483BBC">
              <w:rPr>
                <w:rFonts w:hint="eastAsia"/>
                <w:b/>
                <w:snapToGrid/>
              </w:rPr>
              <w:t>提前償還未到期債務數</w:t>
            </w:r>
          </w:p>
        </w:tc>
        <w:tc>
          <w:tcPr>
            <w:tcW w:w="992" w:type="dxa"/>
            <w:vAlign w:val="center"/>
          </w:tcPr>
          <w:p w:rsidR="00181357" w:rsidRPr="00483BBC" w:rsidRDefault="00181357" w:rsidP="007668ED">
            <w:pPr>
              <w:pStyle w:val="142"/>
              <w:jc w:val="center"/>
              <w:rPr>
                <w:b/>
                <w:snapToGrid/>
              </w:rPr>
            </w:pPr>
            <w:r w:rsidRPr="00483BBC">
              <w:rPr>
                <w:rFonts w:hint="eastAsia"/>
                <w:b/>
                <w:snapToGrid/>
              </w:rPr>
              <w:t>節省利息數</w:t>
            </w:r>
          </w:p>
        </w:tc>
        <w:tc>
          <w:tcPr>
            <w:tcW w:w="1134" w:type="dxa"/>
            <w:vAlign w:val="center"/>
          </w:tcPr>
          <w:p w:rsidR="00181357" w:rsidRPr="00483BBC" w:rsidRDefault="00181357" w:rsidP="007668ED">
            <w:pPr>
              <w:pStyle w:val="142"/>
              <w:jc w:val="center"/>
              <w:rPr>
                <w:b/>
                <w:snapToGrid/>
              </w:rPr>
            </w:pPr>
            <w:r w:rsidRPr="00483BBC">
              <w:rPr>
                <w:rFonts w:hint="eastAsia"/>
                <w:b/>
                <w:snapToGrid/>
              </w:rPr>
              <w:t>債務未償餘額</w:t>
            </w:r>
          </w:p>
        </w:tc>
      </w:tr>
      <w:tr w:rsidR="00181357" w:rsidRPr="00D64634" w:rsidTr="007668ED">
        <w:trPr>
          <w:trHeight w:val="20"/>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88下半及89</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00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00</w:t>
            </w:r>
          </w:p>
        </w:tc>
        <w:tc>
          <w:tcPr>
            <w:tcW w:w="1390" w:type="dxa"/>
            <w:shd w:val="clear" w:color="auto" w:fill="auto"/>
            <w:vAlign w:val="center"/>
          </w:tcPr>
          <w:p w:rsidR="00181357" w:rsidRPr="002673BA" w:rsidRDefault="00181357" w:rsidP="007668ED">
            <w:pPr>
              <w:pStyle w:val="142"/>
              <w:jc w:val="right"/>
              <w:rPr>
                <w:snapToGrid/>
              </w:rPr>
            </w:pPr>
            <w:r w:rsidRPr="002673BA">
              <w:rPr>
                <w:rFonts w:hint="eastAsia"/>
                <w:snapToGrid/>
              </w:rPr>
              <w:t>0</w:t>
            </w:r>
          </w:p>
        </w:tc>
        <w:tc>
          <w:tcPr>
            <w:tcW w:w="992" w:type="dxa"/>
            <w:vAlign w:val="center"/>
          </w:tcPr>
          <w:p w:rsidR="00181357" w:rsidRPr="002673BA" w:rsidRDefault="00181357" w:rsidP="007668ED">
            <w:pPr>
              <w:pStyle w:val="142"/>
              <w:jc w:val="right"/>
              <w:rPr>
                <w:snapToGrid/>
              </w:rPr>
            </w:pPr>
            <w:r w:rsidRPr="002673BA">
              <w:rPr>
                <w:rFonts w:hint="eastAsia"/>
                <w:snapToGrid/>
              </w:rPr>
              <w:t>0</w:t>
            </w:r>
          </w:p>
        </w:tc>
        <w:tc>
          <w:tcPr>
            <w:tcW w:w="1134"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4,505</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1,</w:t>
            </w:r>
            <w:r w:rsidRPr="002673BA">
              <w:rPr>
                <w:snapToGrid/>
              </w:rPr>
              <w:t>222</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1</w:t>
            </w:r>
            <w:r w:rsidRPr="002673BA">
              <w:rPr>
                <w:snapToGrid/>
              </w:rPr>
              <w:t>,000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2</w:t>
            </w:r>
            <w:r w:rsidRPr="002673BA">
              <w:rPr>
                <w:snapToGrid/>
              </w:rPr>
              <w:t>,222</w:t>
            </w:r>
          </w:p>
        </w:tc>
        <w:tc>
          <w:tcPr>
            <w:tcW w:w="1390" w:type="dxa"/>
            <w:shd w:val="clear" w:color="auto" w:fill="auto"/>
            <w:vAlign w:val="center"/>
          </w:tcPr>
          <w:p w:rsidR="00181357" w:rsidRPr="002673BA" w:rsidRDefault="00181357" w:rsidP="007668ED">
            <w:pPr>
              <w:pStyle w:val="142"/>
              <w:jc w:val="right"/>
              <w:rPr>
                <w:snapToGrid/>
              </w:rPr>
            </w:pPr>
            <w:r w:rsidRPr="002673BA">
              <w:rPr>
                <w:rFonts w:hint="eastAsia"/>
                <w:snapToGrid/>
              </w:rPr>
              <w:t>0</w:t>
            </w:r>
          </w:p>
        </w:tc>
        <w:tc>
          <w:tcPr>
            <w:tcW w:w="992" w:type="dxa"/>
            <w:vAlign w:val="center"/>
          </w:tcPr>
          <w:p w:rsidR="00181357" w:rsidRPr="002673BA" w:rsidRDefault="00181357" w:rsidP="007668ED">
            <w:pPr>
              <w:pStyle w:val="142"/>
              <w:jc w:val="right"/>
              <w:rPr>
                <w:snapToGrid/>
              </w:rPr>
            </w:pPr>
            <w:r w:rsidRPr="002673BA">
              <w:rPr>
                <w:rFonts w:hint="eastAsia"/>
                <w:snapToGrid/>
              </w:rPr>
              <w:t>0</w:t>
            </w:r>
          </w:p>
        </w:tc>
        <w:tc>
          <w:tcPr>
            <w:tcW w:w="1134"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7,593</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91</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54</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,750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2</w:t>
            </w:r>
            <w:r w:rsidRPr="002673BA">
              <w:rPr>
                <w:snapToGrid/>
              </w:rPr>
              <w:t>,513</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1,791</w:t>
            </w:r>
          </w:p>
        </w:tc>
        <w:tc>
          <w:tcPr>
            <w:tcW w:w="992" w:type="dxa"/>
            <w:vAlign w:val="center"/>
          </w:tcPr>
          <w:p w:rsidR="00181357" w:rsidRPr="002673BA" w:rsidRDefault="00181357" w:rsidP="007668ED">
            <w:pPr>
              <w:pStyle w:val="142"/>
              <w:jc w:val="right"/>
              <w:rPr>
                <w:snapToGrid/>
              </w:rPr>
            </w:pPr>
            <w:r w:rsidRPr="002673BA">
              <w:rPr>
                <w:snapToGrid/>
              </w:rPr>
              <w:t>48.53</w:t>
            </w:r>
          </w:p>
        </w:tc>
        <w:tc>
          <w:tcPr>
            <w:tcW w:w="1134"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8,494</w:t>
            </w:r>
          </w:p>
        </w:tc>
      </w:tr>
      <w:tr w:rsidR="00181357" w:rsidRPr="00D64634"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92</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65</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,375</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2</w:t>
            </w:r>
            <w:r w:rsidRPr="002673BA">
              <w:rPr>
                <w:snapToGrid/>
              </w:rPr>
              <w:t>,147</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1,693</w:t>
            </w:r>
          </w:p>
        </w:tc>
        <w:tc>
          <w:tcPr>
            <w:tcW w:w="992" w:type="dxa"/>
            <w:vAlign w:val="center"/>
          </w:tcPr>
          <w:p w:rsidR="00181357" w:rsidRPr="002673BA" w:rsidRDefault="00181357" w:rsidP="007668ED">
            <w:pPr>
              <w:pStyle w:val="142"/>
              <w:jc w:val="right"/>
              <w:rPr>
                <w:snapToGrid/>
              </w:rPr>
            </w:pPr>
            <w:r w:rsidRPr="002673BA">
              <w:rPr>
                <w:rFonts w:hint="eastAsia"/>
                <w:snapToGrid/>
              </w:rPr>
              <w:t>4</w:t>
            </w:r>
            <w:r w:rsidRPr="002673BA">
              <w:rPr>
                <w:snapToGrid/>
              </w:rPr>
              <w:t>5.77</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1,247</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93</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61</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,720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,084</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2,197</w:t>
            </w:r>
          </w:p>
        </w:tc>
        <w:tc>
          <w:tcPr>
            <w:tcW w:w="992" w:type="dxa"/>
            <w:vAlign w:val="center"/>
          </w:tcPr>
          <w:p w:rsidR="00181357" w:rsidRPr="002673BA" w:rsidRDefault="00181357" w:rsidP="007668ED">
            <w:pPr>
              <w:pStyle w:val="142"/>
              <w:jc w:val="right"/>
              <w:rPr>
                <w:snapToGrid/>
              </w:rPr>
            </w:pPr>
            <w:r w:rsidRPr="002673BA">
              <w:rPr>
                <w:rFonts w:hint="eastAsia"/>
                <w:snapToGrid/>
              </w:rPr>
              <w:t>4</w:t>
            </w:r>
            <w:r w:rsidRPr="002673BA">
              <w:rPr>
                <w:snapToGrid/>
              </w:rPr>
              <w:t>0.17</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3,621</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94</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41</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,420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,459</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601</w:t>
            </w:r>
          </w:p>
        </w:tc>
        <w:tc>
          <w:tcPr>
            <w:tcW w:w="992" w:type="dxa"/>
            <w:vAlign w:val="center"/>
          </w:tcPr>
          <w:p w:rsidR="00181357" w:rsidRPr="002673BA" w:rsidRDefault="00181357" w:rsidP="007668ED">
            <w:pPr>
              <w:pStyle w:val="142"/>
              <w:jc w:val="right"/>
              <w:rPr>
                <w:snapToGrid/>
              </w:rPr>
            </w:pPr>
            <w:r w:rsidRPr="002673BA">
              <w:rPr>
                <w:rFonts w:hint="eastAsia"/>
                <w:snapToGrid/>
              </w:rPr>
              <w:t>9</w:t>
            </w:r>
            <w:r w:rsidRPr="002673BA">
              <w:rPr>
                <w:snapToGrid/>
              </w:rPr>
              <w:t>.61</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5,496</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95</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50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,600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,983</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1,267</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3.21</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6,226</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96</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,563</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,673</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950</w:t>
            </w:r>
          </w:p>
        </w:tc>
        <w:tc>
          <w:tcPr>
            <w:tcW w:w="992" w:type="dxa"/>
            <w:vAlign w:val="center"/>
          </w:tcPr>
          <w:p w:rsidR="00181357" w:rsidRPr="002673BA" w:rsidRDefault="00181357" w:rsidP="007668ED">
            <w:pPr>
              <w:pStyle w:val="142"/>
              <w:jc w:val="right"/>
              <w:rPr>
                <w:snapToGrid/>
              </w:rPr>
            </w:pPr>
            <w:r w:rsidRPr="002673BA">
              <w:rPr>
                <w:rFonts w:hint="eastAsia"/>
                <w:snapToGrid/>
              </w:rPr>
              <w:t>4</w:t>
            </w:r>
            <w:r w:rsidRPr="002673BA">
              <w:rPr>
                <w:snapToGrid/>
              </w:rPr>
              <w:t>.85</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7,182</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97</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50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,782</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4,932</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500</w:t>
            </w:r>
          </w:p>
        </w:tc>
        <w:tc>
          <w:tcPr>
            <w:tcW w:w="992"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.56</w:t>
            </w:r>
          </w:p>
        </w:tc>
        <w:tc>
          <w:tcPr>
            <w:tcW w:w="1134"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7,781</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98</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50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4</w:t>
            </w:r>
            <w:r w:rsidRPr="002673BA">
              <w:rPr>
                <w:snapToGrid/>
              </w:rPr>
              <w:t>,500</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5,130</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20</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.35</w:t>
            </w:r>
          </w:p>
        </w:tc>
        <w:tc>
          <w:tcPr>
            <w:tcW w:w="1134" w:type="dxa"/>
            <w:vAlign w:val="center"/>
          </w:tcPr>
          <w:p w:rsidR="00181357" w:rsidRPr="002673BA" w:rsidRDefault="00181357" w:rsidP="007668ED">
            <w:pPr>
              <w:pStyle w:val="142"/>
              <w:jc w:val="right"/>
              <w:rPr>
                <w:snapToGrid/>
              </w:rPr>
            </w:pPr>
            <w:r w:rsidRPr="002673BA">
              <w:rPr>
                <w:rFonts w:hint="eastAsia"/>
                <w:snapToGrid/>
              </w:rPr>
              <w:t>4</w:t>
            </w:r>
            <w:r w:rsidRPr="002673BA">
              <w:rPr>
                <w:snapToGrid/>
              </w:rPr>
              <w:t>1,263</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99</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60</w:t>
            </w:r>
          </w:p>
        </w:tc>
        <w:tc>
          <w:tcPr>
            <w:tcW w:w="1030" w:type="dxa"/>
            <w:shd w:val="clear" w:color="auto" w:fill="auto"/>
            <w:vAlign w:val="center"/>
          </w:tcPr>
          <w:p w:rsidR="00181357" w:rsidRPr="002673BA" w:rsidRDefault="00181357" w:rsidP="007668ED">
            <w:pPr>
              <w:pStyle w:val="142"/>
              <w:jc w:val="right"/>
              <w:rPr>
                <w:snapToGrid/>
              </w:rPr>
            </w:pPr>
            <w:r w:rsidRPr="002673BA">
              <w:rPr>
                <w:snapToGrid/>
              </w:rPr>
              <w:t>5,804</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5,744</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720</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.80</w:t>
            </w:r>
          </w:p>
        </w:tc>
        <w:tc>
          <w:tcPr>
            <w:tcW w:w="1134" w:type="dxa"/>
            <w:vAlign w:val="center"/>
          </w:tcPr>
          <w:p w:rsidR="00181357" w:rsidRPr="002673BA" w:rsidRDefault="00181357" w:rsidP="007668ED">
            <w:pPr>
              <w:pStyle w:val="142"/>
              <w:jc w:val="right"/>
              <w:rPr>
                <w:snapToGrid/>
              </w:rPr>
            </w:pPr>
            <w:r>
              <w:rPr>
                <w:rFonts w:hint="eastAsia"/>
                <w:snapToGrid/>
              </w:rPr>
              <w:t>4</w:t>
            </w:r>
            <w:r>
              <w:rPr>
                <w:snapToGrid/>
              </w:rPr>
              <w:t>5,364</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100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60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,730</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6,790</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600</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.99</w:t>
            </w:r>
          </w:p>
        </w:tc>
        <w:tc>
          <w:tcPr>
            <w:tcW w:w="1134" w:type="dxa"/>
            <w:vAlign w:val="center"/>
          </w:tcPr>
          <w:p w:rsidR="00181357" w:rsidRPr="002673BA" w:rsidRDefault="00181357" w:rsidP="007668ED">
            <w:pPr>
              <w:pStyle w:val="142"/>
              <w:jc w:val="right"/>
              <w:rPr>
                <w:snapToGrid/>
              </w:rPr>
            </w:pPr>
            <w:r w:rsidRPr="00DD6B34">
              <w:rPr>
                <w:rFonts w:hint="eastAsia"/>
                <w:snapToGrid/>
                <w:color w:val="000000"/>
              </w:rPr>
              <w:t>4</w:t>
            </w:r>
            <w:r w:rsidRPr="00DD6B34">
              <w:rPr>
                <w:snapToGrid/>
                <w:color w:val="000000"/>
              </w:rPr>
              <w:t>7,506</w:t>
            </w:r>
          </w:p>
        </w:tc>
      </w:tr>
      <w:tr w:rsidR="00181357" w:rsidRPr="00D64634"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101</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9</w:t>
            </w:r>
            <w:r w:rsidRPr="002673BA">
              <w:rPr>
                <w:snapToGrid/>
              </w:rPr>
              <w:t>40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,167</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7,567</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540</w:t>
            </w:r>
          </w:p>
        </w:tc>
        <w:tc>
          <w:tcPr>
            <w:tcW w:w="992" w:type="dxa"/>
            <w:vAlign w:val="center"/>
          </w:tcPr>
          <w:p w:rsidR="00181357" w:rsidRPr="002673BA" w:rsidRDefault="00181357" w:rsidP="007668ED">
            <w:pPr>
              <w:pStyle w:val="142"/>
              <w:jc w:val="right"/>
              <w:rPr>
                <w:snapToGrid/>
              </w:rPr>
            </w:pPr>
            <w:r w:rsidRPr="002673BA">
              <w:rPr>
                <w:rFonts w:hint="eastAsia"/>
                <w:snapToGrid/>
              </w:rPr>
              <w:t>6</w:t>
            </w:r>
            <w:r w:rsidRPr="002673BA">
              <w:rPr>
                <w:snapToGrid/>
              </w:rPr>
              <w:t>.23</w:t>
            </w:r>
          </w:p>
        </w:tc>
        <w:tc>
          <w:tcPr>
            <w:tcW w:w="1134" w:type="dxa"/>
            <w:vAlign w:val="center"/>
          </w:tcPr>
          <w:p w:rsidR="00181357" w:rsidRPr="002673BA" w:rsidRDefault="00181357" w:rsidP="007668ED">
            <w:pPr>
              <w:pStyle w:val="142"/>
              <w:jc w:val="right"/>
              <w:rPr>
                <w:snapToGrid/>
              </w:rPr>
            </w:pPr>
            <w:r w:rsidRPr="00DD6B34">
              <w:rPr>
                <w:rFonts w:hint="eastAsia"/>
                <w:snapToGrid/>
                <w:color w:val="000000"/>
              </w:rPr>
              <w:t>4</w:t>
            </w:r>
            <w:r w:rsidRPr="00DD6B34">
              <w:rPr>
                <w:snapToGrid/>
                <w:color w:val="000000"/>
              </w:rPr>
              <w:t>9,963</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102</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70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,148</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7,880</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40</w:t>
            </w:r>
          </w:p>
        </w:tc>
        <w:tc>
          <w:tcPr>
            <w:tcW w:w="992"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.72</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1,463</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103</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40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8</w:t>
            </w:r>
            <w:r w:rsidRPr="002673BA">
              <w:rPr>
                <w:snapToGrid/>
              </w:rPr>
              <w:t>,750</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9,046</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344</w:t>
            </w:r>
          </w:p>
        </w:tc>
        <w:tc>
          <w:tcPr>
            <w:tcW w:w="992"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.45</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2,756</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104</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60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9</w:t>
            </w:r>
            <w:r w:rsidRPr="002673BA">
              <w:rPr>
                <w:snapToGrid/>
              </w:rPr>
              <w:t>,619</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9,569</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710</w:t>
            </w:r>
          </w:p>
        </w:tc>
        <w:tc>
          <w:tcPr>
            <w:tcW w:w="992"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.73</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2,964</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105</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30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8</w:t>
            </w:r>
            <w:r w:rsidRPr="002673BA">
              <w:rPr>
                <w:snapToGrid/>
              </w:rPr>
              <w:t>,540</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8,496</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774</w:t>
            </w:r>
          </w:p>
        </w:tc>
        <w:tc>
          <w:tcPr>
            <w:tcW w:w="992"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.17</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3,393</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106</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43</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,287</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6,745</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284</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.99</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3,530</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107</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92</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,996</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6,378</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410</w:t>
            </w:r>
          </w:p>
        </w:tc>
        <w:tc>
          <w:tcPr>
            <w:tcW w:w="992" w:type="dxa"/>
            <w:vAlign w:val="center"/>
          </w:tcPr>
          <w:p w:rsidR="00181357" w:rsidRPr="002673BA" w:rsidRDefault="00181357" w:rsidP="007668ED">
            <w:pPr>
              <w:pStyle w:val="142"/>
              <w:jc w:val="right"/>
              <w:rPr>
                <w:snapToGrid/>
              </w:rPr>
            </w:pPr>
            <w:r w:rsidRPr="002673BA">
              <w:rPr>
                <w:rFonts w:hint="eastAsia"/>
                <w:snapToGrid/>
              </w:rPr>
              <w:t>2</w:t>
            </w:r>
            <w:r w:rsidRPr="002673BA">
              <w:rPr>
                <w:snapToGrid/>
              </w:rPr>
              <w:t>.45</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3,73</w:t>
            </w:r>
            <w:r>
              <w:rPr>
                <w:rFonts w:hint="eastAsia"/>
                <w:snapToGrid/>
              </w:rPr>
              <w:t>5</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108</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8</w:t>
            </w:r>
            <w:r w:rsidRPr="002673BA">
              <w:rPr>
                <w:snapToGrid/>
              </w:rPr>
              <w:t>85</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,200</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7,035</w:t>
            </w:r>
          </w:p>
        </w:tc>
        <w:tc>
          <w:tcPr>
            <w:tcW w:w="1390" w:type="dxa"/>
            <w:shd w:val="clear" w:color="auto" w:fill="auto"/>
            <w:vAlign w:val="center"/>
          </w:tcPr>
          <w:p w:rsidR="00181357" w:rsidRPr="002673BA" w:rsidRDefault="00181357" w:rsidP="007668ED">
            <w:pPr>
              <w:pStyle w:val="142"/>
              <w:jc w:val="right"/>
              <w:rPr>
                <w:snapToGrid/>
              </w:rPr>
            </w:pPr>
            <w:r w:rsidRPr="002673BA">
              <w:rPr>
                <w:snapToGrid/>
              </w:rPr>
              <w:t>50</w:t>
            </w:r>
          </w:p>
        </w:tc>
        <w:tc>
          <w:tcPr>
            <w:tcW w:w="992" w:type="dxa"/>
            <w:vAlign w:val="center"/>
          </w:tcPr>
          <w:p w:rsidR="00181357" w:rsidRPr="002673BA" w:rsidRDefault="00181357" w:rsidP="007668ED">
            <w:pPr>
              <w:pStyle w:val="142"/>
              <w:jc w:val="right"/>
              <w:rPr>
                <w:snapToGrid/>
              </w:rPr>
            </w:pPr>
            <w:r w:rsidRPr="002673BA">
              <w:rPr>
                <w:rFonts w:hint="eastAsia"/>
                <w:snapToGrid/>
              </w:rPr>
              <w:t>0</w:t>
            </w:r>
            <w:r w:rsidRPr="002673BA">
              <w:rPr>
                <w:snapToGrid/>
              </w:rPr>
              <w:t>.23</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3,274</w:t>
            </w:r>
          </w:p>
        </w:tc>
      </w:tr>
      <w:tr w:rsidR="00181357" w:rsidRPr="00223F22" w:rsidTr="007668ED">
        <w:trPr>
          <w:trHeight w:val="312"/>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109</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8</w:t>
            </w:r>
            <w:r w:rsidRPr="002673BA">
              <w:rPr>
                <w:snapToGrid/>
              </w:rPr>
              <w:t>50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,563</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6,413</w:t>
            </w:r>
          </w:p>
        </w:tc>
        <w:tc>
          <w:tcPr>
            <w:tcW w:w="1390" w:type="dxa"/>
            <w:shd w:val="clear" w:color="auto" w:fill="auto"/>
            <w:vAlign w:val="center"/>
          </w:tcPr>
          <w:p w:rsidR="00181357" w:rsidRPr="002673BA" w:rsidRDefault="00181357" w:rsidP="007668ED">
            <w:pPr>
              <w:pStyle w:val="142"/>
              <w:jc w:val="right"/>
              <w:rPr>
                <w:snapToGrid/>
              </w:rPr>
            </w:pPr>
            <w:r w:rsidRPr="002673BA">
              <w:rPr>
                <w:rFonts w:hint="eastAsia"/>
                <w:snapToGrid/>
              </w:rPr>
              <w:t>0</w:t>
            </w:r>
          </w:p>
        </w:tc>
        <w:tc>
          <w:tcPr>
            <w:tcW w:w="992" w:type="dxa"/>
            <w:vAlign w:val="center"/>
          </w:tcPr>
          <w:p w:rsidR="00181357" w:rsidRPr="002673BA" w:rsidRDefault="00181357" w:rsidP="007668ED">
            <w:pPr>
              <w:pStyle w:val="142"/>
              <w:jc w:val="right"/>
              <w:rPr>
                <w:snapToGrid/>
              </w:rPr>
            </w:pPr>
            <w:r w:rsidRPr="002673BA">
              <w:rPr>
                <w:rFonts w:hint="eastAsia"/>
                <w:snapToGrid/>
              </w:rPr>
              <w:t>0</w:t>
            </w:r>
            <w:r w:rsidRPr="002673BA">
              <w:rPr>
                <w:snapToGrid/>
              </w:rPr>
              <w:t>.67</w:t>
            </w:r>
          </w:p>
          <w:p w:rsidR="00181357" w:rsidRPr="00926EBC" w:rsidRDefault="00181357" w:rsidP="007668ED">
            <w:pPr>
              <w:pStyle w:val="142"/>
              <w:jc w:val="right"/>
              <w:rPr>
                <w:snapToGrid/>
                <w:sz w:val="20"/>
                <w:szCs w:val="20"/>
              </w:rPr>
            </w:pPr>
            <w:r w:rsidRPr="00926EBC">
              <w:rPr>
                <w:rFonts w:hint="eastAsia"/>
                <w:snapToGrid/>
                <w:sz w:val="20"/>
                <w:szCs w:val="20"/>
              </w:rPr>
              <w:t>(說明</w:t>
            </w:r>
            <w:r>
              <w:rPr>
                <w:rFonts w:hint="eastAsia"/>
                <w:snapToGrid/>
                <w:sz w:val="20"/>
                <w:szCs w:val="20"/>
              </w:rPr>
              <w:t>2</w:t>
            </w:r>
            <w:r w:rsidRPr="00926EBC">
              <w:rPr>
                <w:rFonts w:hint="eastAsia"/>
                <w:snapToGrid/>
                <w:sz w:val="20"/>
                <w:szCs w:val="20"/>
              </w:rPr>
              <w:t>)</w:t>
            </w:r>
          </w:p>
        </w:tc>
        <w:tc>
          <w:tcPr>
            <w:tcW w:w="1134" w:type="dxa"/>
            <w:vAlign w:val="center"/>
          </w:tcPr>
          <w:p w:rsidR="00181357" w:rsidRPr="002673BA" w:rsidRDefault="00181357" w:rsidP="007668ED">
            <w:pPr>
              <w:pStyle w:val="142"/>
              <w:jc w:val="right"/>
              <w:rPr>
                <w:snapToGrid/>
              </w:rPr>
            </w:pPr>
            <w:r>
              <w:rPr>
                <w:rFonts w:hint="eastAsia"/>
                <w:snapToGrid/>
              </w:rPr>
              <w:t>5</w:t>
            </w:r>
            <w:r>
              <w:rPr>
                <w:snapToGrid/>
              </w:rPr>
              <w:t>5,</w:t>
            </w:r>
            <w:r>
              <w:rPr>
                <w:rFonts w:hint="eastAsia"/>
                <w:snapToGrid/>
              </w:rPr>
              <w:t>359</w:t>
            </w:r>
          </w:p>
        </w:tc>
      </w:tr>
      <w:tr w:rsidR="00181357" w:rsidRPr="00223F22" w:rsidTr="007668ED">
        <w:trPr>
          <w:trHeight w:val="283"/>
        </w:trPr>
        <w:tc>
          <w:tcPr>
            <w:tcW w:w="1145" w:type="dxa"/>
            <w:shd w:val="clear" w:color="auto" w:fill="auto"/>
            <w:vAlign w:val="center"/>
            <w:hideMark/>
          </w:tcPr>
          <w:p w:rsidR="00181357" w:rsidRPr="002673BA" w:rsidRDefault="00181357" w:rsidP="007668ED">
            <w:pPr>
              <w:pStyle w:val="142"/>
              <w:jc w:val="center"/>
              <w:rPr>
                <w:snapToGrid/>
              </w:rPr>
            </w:pPr>
            <w:r w:rsidRPr="002673BA">
              <w:rPr>
                <w:rFonts w:hint="eastAsia"/>
                <w:snapToGrid/>
              </w:rPr>
              <w:t>110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1</w:t>
            </w:r>
            <w:r w:rsidRPr="002673BA">
              <w:rPr>
                <w:snapToGrid/>
              </w:rPr>
              <w:t>,200</w:t>
            </w:r>
          </w:p>
        </w:tc>
        <w:tc>
          <w:tcPr>
            <w:tcW w:w="1030" w:type="dxa"/>
            <w:shd w:val="clear" w:color="auto" w:fill="auto"/>
            <w:vAlign w:val="center"/>
          </w:tcPr>
          <w:p w:rsidR="00181357" w:rsidRPr="002673BA" w:rsidRDefault="00181357" w:rsidP="007668ED">
            <w:pPr>
              <w:pStyle w:val="142"/>
              <w:jc w:val="right"/>
              <w:rPr>
                <w:snapToGrid/>
              </w:rPr>
            </w:pPr>
            <w:r w:rsidRPr="002673BA">
              <w:rPr>
                <w:snapToGrid/>
              </w:rPr>
              <w:t>6,953</w:t>
            </w:r>
          </w:p>
        </w:tc>
        <w:tc>
          <w:tcPr>
            <w:tcW w:w="1133" w:type="dxa"/>
            <w:shd w:val="clear" w:color="auto" w:fill="auto"/>
            <w:vAlign w:val="center"/>
          </w:tcPr>
          <w:p w:rsidR="00181357" w:rsidRPr="002673BA" w:rsidRDefault="00181357" w:rsidP="007668ED">
            <w:pPr>
              <w:pStyle w:val="142"/>
              <w:jc w:val="right"/>
              <w:rPr>
                <w:snapToGrid/>
              </w:rPr>
            </w:pPr>
            <w:r w:rsidRPr="002673BA">
              <w:rPr>
                <w:snapToGrid/>
              </w:rPr>
              <w:t>7,803</w:t>
            </w:r>
          </w:p>
        </w:tc>
        <w:tc>
          <w:tcPr>
            <w:tcW w:w="1390" w:type="dxa"/>
            <w:shd w:val="clear" w:color="auto" w:fill="auto"/>
            <w:vAlign w:val="center"/>
          </w:tcPr>
          <w:p w:rsidR="00181357" w:rsidRPr="002673BA" w:rsidRDefault="00181357" w:rsidP="007668ED">
            <w:pPr>
              <w:pStyle w:val="142"/>
              <w:jc w:val="right"/>
              <w:rPr>
                <w:snapToGrid/>
              </w:rPr>
            </w:pPr>
            <w:r w:rsidRPr="002673BA">
              <w:rPr>
                <w:rFonts w:hint="eastAsia"/>
                <w:snapToGrid/>
              </w:rPr>
              <w:t>3</w:t>
            </w:r>
            <w:r w:rsidRPr="002673BA">
              <w:rPr>
                <w:snapToGrid/>
              </w:rPr>
              <w:t>50</w:t>
            </w:r>
          </w:p>
        </w:tc>
        <w:tc>
          <w:tcPr>
            <w:tcW w:w="992" w:type="dxa"/>
            <w:vAlign w:val="center"/>
          </w:tcPr>
          <w:p w:rsidR="00181357" w:rsidRPr="002673BA" w:rsidRDefault="00181357" w:rsidP="007668ED">
            <w:pPr>
              <w:pStyle w:val="142"/>
              <w:jc w:val="right"/>
              <w:rPr>
                <w:snapToGrid/>
              </w:rPr>
            </w:pPr>
            <w:r w:rsidRPr="002673BA">
              <w:rPr>
                <w:rFonts w:hint="eastAsia"/>
                <w:snapToGrid/>
              </w:rPr>
              <w:t>1</w:t>
            </w:r>
            <w:r w:rsidRPr="002673BA">
              <w:rPr>
                <w:snapToGrid/>
              </w:rPr>
              <w:t>.19</w:t>
            </w:r>
          </w:p>
        </w:tc>
        <w:tc>
          <w:tcPr>
            <w:tcW w:w="1134" w:type="dxa"/>
            <w:vAlign w:val="center"/>
          </w:tcPr>
          <w:p w:rsidR="00181357" w:rsidRPr="002673BA" w:rsidRDefault="00181357" w:rsidP="007668ED">
            <w:pPr>
              <w:pStyle w:val="142"/>
              <w:jc w:val="right"/>
              <w:rPr>
                <w:snapToGrid/>
              </w:rPr>
            </w:pPr>
            <w:r>
              <w:rPr>
                <w:rFonts w:hint="eastAsia"/>
                <w:snapToGrid/>
              </w:rPr>
              <w:t>57</w:t>
            </w:r>
            <w:r>
              <w:rPr>
                <w:snapToGrid/>
              </w:rPr>
              <w:t>,0</w:t>
            </w:r>
            <w:r>
              <w:rPr>
                <w:rFonts w:hint="eastAsia"/>
                <w:snapToGrid/>
              </w:rPr>
              <w:t>89</w:t>
            </w:r>
          </w:p>
        </w:tc>
      </w:tr>
      <w:tr w:rsidR="00181357" w:rsidRPr="00223F22"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t>111</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1,</w:t>
            </w:r>
            <w:r w:rsidRPr="002673BA">
              <w:rPr>
                <w:snapToGrid/>
              </w:rPr>
              <w:t>500</w:t>
            </w:r>
          </w:p>
        </w:tc>
        <w:tc>
          <w:tcPr>
            <w:tcW w:w="1030" w:type="dxa"/>
            <w:shd w:val="clear" w:color="auto" w:fill="auto"/>
            <w:vAlign w:val="center"/>
          </w:tcPr>
          <w:p w:rsidR="00181357" w:rsidRPr="002673BA" w:rsidRDefault="00181357" w:rsidP="007668ED">
            <w:pPr>
              <w:pStyle w:val="142"/>
              <w:jc w:val="right"/>
              <w:rPr>
                <w:snapToGrid/>
              </w:rPr>
            </w:pPr>
            <w:r w:rsidRPr="002673BA">
              <w:rPr>
                <w:rFonts w:hint="eastAsia"/>
                <w:snapToGrid/>
              </w:rPr>
              <w:t>6</w:t>
            </w:r>
            <w:r w:rsidRPr="002673BA">
              <w:rPr>
                <w:snapToGrid/>
              </w:rPr>
              <w:t>,850</w:t>
            </w:r>
          </w:p>
        </w:tc>
        <w:tc>
          <w:tcPr>
            <w:tcW w:w="1133" w:type="dxa"/>
            <w:shd w:val="clear" w:color="auto" w:fill="auto"/>
            <w:vAlign w:val="center"/>
          </w:tcPr>
          <w:p w:rsidR="00181357" w:rsidRPr="002673BA" w:rsidRDefault="00181357" w:rsidP="007668ED">
            <w:pPr>
              <w:pStyle w:val="142"/>
              <w:jc w:val="right"/>
              <w:rPr>
                <w:snapToGrid/>
              </w:rPr>
            </w:pPr>
            <w:r w:rsidRPr="002673BA">
              <w:rPr>
                <w:rFonts w:hint="eastAsia"/>
                <w:snapToGrid/>
              </w:rPr>
              <w:t>7</w:t>
            </w:r>
            <w:r w:rsidRPr="002673BA">
              <w:rPr>
                <w:snapToGrid/>
              </w:rPr>
              <w:t>,820</w:t>
            </w:r>
          </w:p>
        </w:tc>
        <w:tc>
          <w:tcPr>
            <w:tcW w:w="1390" w:type="dxa"/>
            <w:shd w:val="clear" w:color="auto" w:fill="auto"/>
            <w:vAlign w:val="center"/>
          </w:tcPr>
          <w:p w:rsidR="00181357" w:rsidRPr="002673BA" w:rsidRDefault="00181357" w:rsidP="007668ED">
            <w:pPr>
              <w:pStyle w:val="142"/>
              <w:jc w:val="right"/>
              <w:rPr>
                <w:snapToGrid/>
              </w:rPr>
            </w:pPr>
            <w:r w:rsidRPr="002673BA">
              <w:rPr>
                <w:rFonts w:hint="eastAsia"/>
                <w:snapToGrid/>
              </w:rPr>
              <w:t>5</w:t>
            </w:r>
            <w:r w:rsidRPr="002673BA">
              <w:rPr>
                <w:snapToGrid/>
              </w:rPr>
              <w:t>30</w:t>
            </w:r>
          </w:p>
        </w:tc>
        <w:tc>
          <w:tcPr>
            <w:tcW w:w="992" w:type="dxa"/>
            <w:vAlign w:val="center"/>
          </w:tcPr>
          <w:p w:rsidR="00181357" w:rsidRPr="002673BA" w:rsidRDefault="00181357" w:rsidP="007668ED">
            <w:pPr>
              <w:pStyle w:val="142"/>
              <w:jc w:val="right"/>
              <w:rPr>
                <w:snapToGrid/>
              </w:rPr>
            </w:pPr>
            <w:r w:rsidRPr="002673BA">
              <w:rPr>
                <w:rFonts w:hint="eastAsia"/>
                <w:snapToGrid/>
              </w:rPr>
              <w:t>3</w:t>
            </w:r>
            <w:r w:rsidRPr="002673BA">
              <w:rPr>
                <w:snapToGrid/>
              </w:rPr>
              <w:t>.32</w:t>
            </w:r>
          </w:p>
        </w:tc>
        <w:tc>
          <w:tcPr>
            <w:tcW w:w="1134" w:type="dxa"/>
            <w:vAlign w:val="center"/>
          </w:tcPr>
          <w:p w:rsidR="00181357" w:rsidRPr="002673BA" w:rsidRDefault="00181357" w:rsidP="007668ED">
            <w:pPr>
              <w:pStyle w:val="142"/>
              <w:jc w:val="right"/>
              <w:rPr>
                <w:snapToGrid/>
              </w:rPr>
            </w:pPr>
            <w:r w:rsidRPr="002673BA">
              <w:rPr>
                <w:rFonts w:hint="eastAsia"/>
                <w:snapToGrid/>
              </w:rPr>
              <w:t>5</w:t>
            </w:r>
            <w:r w:rsidRPr="002673BA">
              <w:rPr>
                <w:snapToGrid/>
              </w:rPr>
              <w:t>9,2</w:t>
            </w:r>
            <w:r>
              <w:rPr>
                <w:rFonts w:hint="eastAsia"/>
                <w:snapToGrid/>
              </w:rPr>
              <w:t>08</w:t>
            </w:r>
          </w:p>
        </w:tc>
      </w:tr>
      <w:tr w:rsidR="00181357" w:rsidRPr="00223F22" w:rsidTr="007668ED">
        <w:trPr>
          <w:trHeight w:val="283"/>
        </w:trPr>
        <w:tc>
          <w:tcPr>
            <w:tcW w:w="1145" w:type="dxa"/>
            <w:shd w:val="clear" w:color="auto" w:fill="auto"/>
            <w:vAlign w:val="center"/>
          </w:tcPr>
          <w:p w:rsidR="00181357" w:rsidRPr="002673BA" w:rsidRDefault="00181357" w:rsidP="007668ED">
            <w:pPr>
              <w:pStyle w:val="142"/>
              <w:jc w:val="center"/>
              <w:rPr>
                <w:snapToGrid/>
              </w:rPr>
            </w:pPr>
            <w:r w:rsidRPr="002673BA">
              <w:rPr>
                <w:rFonts w:hint="eastAsia"/>
                <w:snapToGrid/>
              </w:rPr>
              <w:lastRenderedPageBreak/>
              <w:t>112</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,260</w:t>
            </w:r>
          </w:p>
        </w:tc>
        <w:tc>
          <w:tcPr>
            <w:tcW w:w="1030" w:type="dxa"/>
            <w:shd w:val="clear" w:color="auto" w:fill="auto"/>
            <w:vAlign w:val="center"/>
          </w:tcPr>
          <w:p w:rsidR="00181357" w:rsidRPr="002673BA" w:rsidRDefault="00181357" w:rsidP="007668ED">
            <w:pPr>
              <w:pStyle w:val="142"/>
              <w:jc w:val="right"/>
              <w:rPr>
                <w:snapToGrid/>
              </w:rPr>
            </w:pPr>
            <w:r w:rsidRPr="00493609">
              <w:rPr>
                <w:rFonts w:hint="eastAsia"/>
                <w:snapToGrid/>
                <w:color w:val="000000"/>
              </w:rPr>
              <w:t>5</w:t>
            </w:r>
            <w:r w:rsidRPr="00493609">
              <w:rPr>
                <w:snapToGrid/>
                <w:color w:val="000000"/>
              </w:rPr>
              <w:t>,457</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6</w:t>
            </w:r>
            <w:r>
              <w:rPr>
                <w:snapToGrid/>
              </w:rPr>
              <w:t>,567</w:t>
            </w:r>
          </w:p>
        </w:tc>
        <w:tc>
          <w:tcPr>
            <w:tcW w:w="1390"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50</w:t>
            </w:r>
          </w:p>
        </w:tc>
        <w:tc>
          <w:tcPr>
            <w:tcW w:w="992" w:type="dxa"/>
            <w:vAlign w:val="center"/>
          </w:tcPr>
          <w:p w:rsidR="00181357" w:rsidRPr="002673BA" w:rsidRDefault="00181357" w:rsidP="007668ED">
            <w:pPr>
              <w:pStyle w:val="142"/>
              <w:jc w:val="right"/>
              <w:rPr>
                <w:snapToGrid/>
              </w:rPr>
            </w:pPr>
            <w:r>
              <w:rPr>
                <w:rFonts w:hint="eastAsia"/>
                <w:snapToGrid/>
              </w:rPr>
              <w:t>3</w:t>
            </w:r>
            <w:r>
              <w:rPr>
                <w:snapToGrid/>
              </w:rPr>
              <w:t>.07</w:t>
            </w:r>
          </w:p>
        </w:tc>
        <w:tc>
          <w:tcPr>
            <w:tcW w:w="1134" w:type="dxa"/>
            <w:vAlign w:val="center"/>
          </w:tcPr>
          <w:p w:rsidR="00181357" w:rsidRPr="002673BA" w:rsidRDefault="00181357" w:rsidP="007668ED">
            <w:pPr>
              <w:pStyle w:val="142"/>
              <w:jc w:val="right"/>
              <w:rPr>
                <w:snapToGrid/>
              </w:rPr>
            </w:pPr>
            <w:r>
              <w:rPr>
                <w:rFonts w:hint="eastAsia"/>
                <w:snapToGrid/>
              </w:rPr>
              <w:t>6</w:t>
            </w:r>
            <w:r>
              <w:rPr>
                <w:snapToGrid/>
              </w:rPr>
              <w:t>0,58</w:t>
            </w:r>
            <w:r>
              <w:rPr>
                <w:rFonts w:hint="eastAsia"/>
                <w:snapToGrid/>
              </w:rPr>
              <w:t>0</w:t>
            </w:r>
          </w:p>
        </w:tc>
      </w:tr>
      <w:tr w:rsidR="00181357" w:rsidRPr="00223F22" w:rsidTr="007668ED">
        <w:trPr>
          <w:trHeight w:val="283"/>
        </w:trPr>
        <w:tc>
          <w:tcPr>
            <w:tcW w:w="1145" w:type="dxa"/>
            <w:shd w:val="clear" w:color="auto" w:fill="auto"/>
            <w:vAlign w:val="center"/>
          </w:tcPr>
          <w:p w:rsidR="00181357" w:rsidRPr="002673BA" w:rsidRDefault="00181357" w:rsidP="007668ED">
            <w:pPr>
              <w:pStyle w:val="142"/>
              <w:jc w:val="center"/>
              <w:rPr>
                <w:snapToGrid/>
              </w:rPr>
            </w:pPr>
            <w:r>
              <w:rPr>
                <w:rFonts w:hint="eastAsia"/>
                <w:snapToGrid/>
              </w:rPr>
              <w:t>1</w:t>
            </w:r>
            <w:r>
              <w:rPr>
                <w:snapToGrid/>
              </w:rPr>
              <w:t>13</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,358</w:t>
            </w:r>
          </w:p>
        </w:tc>
        <w:tc>
          <w:tcPr>
            <w:tcW w:w="1030" w:type="dxa"/>
            <w:shd w:val="clear" w:color="auto" w:fill="auto"/>
            <w:vAlign w:val="center"/>
          </w:tcPr>
          <w:p w:rsidR="00181357" w:rsidRPr="002673BA" w:rsidRDefault="00181357" w:rsidP="007668ED">
            <w:pPr>
              <w:pStyle w:val="142"/>
              <w:jc w:val="right"/>
              <w:rPr>
                <w:snapToGrid/>
              </w:rPr>
            </w:pPr>
            <w:r w:rsidRPr="00493609">
              <w:rPr>
                <w:rFonts w:hint="eastAsia"/>
                <w:snapToGrid/>
                <w:color w:val="000000"/>
              </w:rPr>
              <w:t>7</w:t>
            </w:r>
            <w:r w:rsidRPr="00493609">
              <w:rPr>
                <w:snapToGrid/>
                <w:color w:val="000000"/>
              </w:rPr>
              <w:t>,050</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8</w:t>
            </w:r>
            <w:r>
              <w:rPr>
                <w:snapToGrid/>
              </w:rPr>
              <w:t>,207</w:t>
            </w:r>
          </w:p>
        </w:tc>
        <w:tc>
          <w:tcPr>
            <w:tcW w:w="1390" w:type="dxa"/>
            <w:shd w:val="clear" w:color="auto" w:fill="auto"/>
            <w:vAlign w:val="center"/>
          </w:tcPr>
          <w:p w:rsidR="00181357" w:rsidRPr="002673BA" w:rsidRDefault="00181357" w:rsidP="007668ED">
            <w:pPr>
              <w:pStyle w:val="142"/>
              <w:jc w:val="right"/>
              <w:rPr>
                <w:snapToGrid/>
              </w:rPr>
            </w:pPr>
            <w:r>
              <w:rPr>
                <w:rFonts w:hint="eastAsia"/>
                <w:snapToGrid/>
              </w:rPr>
              <w:t>2</w:t>
            </w:r>
            <w:r>
              <w:rPr>
                <w:snapToGrid/>
              </w:rPr>
              <w:t>01</w:t>
            </w:r>
          </w:p>
        </w:tc>
        <w:tc>
          <w:tcPr>
            <w:tcW w:w="992" w:type="dxa"/>
            <w:vAlign w:val="center"/>
          </w:tcPr>
          <w:p w:rsidR="00181357" w:rsidRPr="002673BA" w:rsidRDefault="00181357" w:rsidP="007668ED">
            <w:pPr>
              <w:pStyle w:val="142"/>
              <w:jc w:val="right"/>
              <w:rPr>
                <w:snapToGrid/>
              </w:rPr>
            </w:pPr>
            <w:r>
              <w:rPr>
                <w:rFonts w:hint="eastAsia"/>
                <w:snapToGrid/>
              </w:rPr>
              <w:t>1</w:t>
            </w:r>
            <w:r>
              <w:rPr>
                <w:snapToGrid/>
              </w:rPr>
              <w:t>.91</w:t>
            </w:r>
          </w:p>
        </w:tc>
        <w:tc>
          <w:tcPr>
            <w:tcW w:w="1134" w:type="dxa"/>
            <w:vAlign w:val="center"/>
          </w:tcPr>
          <w:p w:rsidR="00181357" w:rsidRPr="002673BA" w:rsidRDefault="00181357" w:rsidP="007668ED">
            <w:pPr>
              <w:pStyle w:val="142"/>
              <w:jc w:val="right"/>
              <w:rPr>
                <w:snapToGrid/>
              </w:rPr>
            </w:pPr>
            <w:r>
              <w:rPr>
                <w:rFonts w:hint="eastAsia"/>
                <w:snapToGrid/>
              </w:rPr>
              <w:t>6</w:t>
            </w:r>
            <w:r>
              <w:rPr>
                <w:snapToGrid/>
              </w:rPr>
              <w:t>1,49</w:t>
            </w:r>
            <w:r>
              <w:rPr>
                <w:rFonts w:hint="eastAsia"/>
                <w:snapToGrid/>
              </w:rPr>
              <w:t>0</w:t>
            </w:r>
          </w:p>
        </w:tc>
      </w:tr>
      <w:tr w:rsidR="00181357" w:rsidRPr="00223F22" w:rsidTr="007668ED">
        <w:trPr>
          <w:trHeight w:val="283"/>
        </w:trPr>
        <w:tc>
          <w:tcPr>
            <w:tcW w:w="1145" w:type="dxa"/>
            <w:shd w:val="clear" w:color="auto" w:fill="auto"/>
            <w:vAlign w:val="center"/>
          </w:tcPr>
          <w:p w:rsidR="00181357" w:rsidRPr="002673BA" w:rsidRDefault="00181357" w:rsidP="007668ED">
            <w:pPr>
              <w:pStyle w:val="142"/>
              <w:jc w:val="center"/>
              <w:rPr>
                <w:snapToGrid/>
              </w:rPr>
            </w:pPr>
            <w:r>
              <w:rPr>
                <w:rFonts w:hint="eastAsia"/>
                <w:snapToGrid/>
              </w:rPr>
              <w:t>合計</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9</w:t>
            </w:r>
            <w:r>
              <w:rPr>
                <w:rFonts w:hint="eastAsia"/>
                <w:snapToGrid/>
              </w:rPr>
              <w:t>,</w:t>
            </w:r>
            <w:r>
              <w:rPr>
                <w:snapToGrid/>
              </w:rPr>
              <w:t>101</w:t>
            </w:r>
          </w:p>
        </w:tc>
        <w:tc>
          <w:tcPr>
            <w:tcW w:w="1030"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40,124</w:t>
            </w:r>
          </w:p>
        </w:tc>
        <w:tc>
          <w:tcPr>
            <w:tcW w:w="1133"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44,503</w:t>
            </w:r>
          </w:p>
        </w:tc>
        <w:tc>
          <w:tcPr>
            <w:tcW w:w="1390" w:type="dxa"/>
            <w:shd w:val="clear" w:color="auto" w:fill="auto"/>
            <w:vAlign w:val="center"/>
          </w:tcPr>
          <w:p w:rsidR="00181357" w:rsidRPr="002673BA" w:rsidRDefault="00181357" w:rsidP="007668ED">
            <w:pPr>
              <w:pStyle w:val="142"/>
              <w:jc w:val="right"/>
              <w:rPr>
                <w:snapToGrid/>
              </w:rPr>
            </w:pPr>
            <w:r>
              <w:rPr>
                <w:rFonts w:hint="eastAsia"/>
                <w:snapToGrid/>
              </w:rPr>
              <w:t>1</w:t>
            </w:r>
            <w:r>
              <w:rPr>
                <w:snapToGrid/>
              </w:rPr>
              <w:t>4,722</w:t>
            </w:r>
          </w:p>
        </w:tc>
        <w:tc>
          <w:tcPr>
            <w:tcW w:w="992" w:type="dxa"/>
            <w:vAlign w:val="center"/>
          </w:tcPr>
          <w:p w:rsidR="00181357" w:rsidRPr="002673BA" w:rsidRDefault="00181357" w:rsidP="007668ED">
            <w:pPr>
              <w:pStyle w:val="142"/>
              <w:jc w:val="right"/>
              <w:rPr>
                <w:snapToGrid/>
              </w:rPr>
            </w:pPr>
            <w:r>
              <w:rPr>
                <w:snapToGrid/>
              </w:rPr>
              <w:t>202.97</w:t>
            </w:r>
          </w:p>
        </w:tc>
        <w:tc>
          <w:tcPr>
            <w:tcW w:w="1134" w:type="dxa"/>
            <w:vAlign w:val="center"/>
          </w:tcPr>
          <w:p w:rsidR="00181357" w:rsidRPr="002673BA" w:rsidRDefault="00181357" w:rsidP="007668ED">
            <w:pPr>
              <w:pStyle w:val="142"/>
              <w:jc w:val="right"/>
              <w:rPr>
                <w:snapToGrid/>
              </w:rPr>
            </w:pPr>
            <w:r>
              <w:rPr>
                <w:rFonts w:hint="eastAsia"/>
                <w:snapToGrid/>
              </w:rPr>
              <w:t>-</w:t>
            </w:r>
          </w:p>
        </w:tc>
      </w:tr>
    </w:tbl>
    <w:p w:rsidR="00181357" w:rsidRDefault="00181357" w:rsidP="007668ED">
      <w:pPr>
        <w:pStyle w:val="142"/>
        <w:ind w:leftChars="200" w:left="2025" w:hangingChars="600" w:hanging="1459"/>
        <w:jc w:val="both"/>
        <w:rPr>
          <w:snapToGrid/>
        </w:rPr>
      </w:pPr>
      <w:r>
        <w:rPr>
          <w:rFonts w:hint="eastAsia"/>
          <w:snapToGrid/>
        </w:rPr>
        <w:t>說    明：1.表中數據均為審定決算數。</w:t>
      </w:r>
    </w:p>
    <w:p w:rsidR="00181357" w:rsidRDefault="00181357" w:rsidP="007668ED">
      <w:pPr>
        <w:pStyle w:val="142"/>
        <w:ind w:leftChars="200" w:left="2025" w:hangingChars="600" w:hanging="1459"/>
        <w:jc w:val="both"/>
        <w:rPr>
          <w:snapToGrid/>
        </w:rPr>
      </w:pPr>
      <w:r>
        <w:rPr>
          <w:rFonts w:hint="eastAsia"/>
          <w:snapToGrid/>
        </w:rPr>
        <w:t xml:space="preserve"> </w:t>
      </w:r>
      <w:r>
        <w:rPr>
          <w:snapToGrid/>
        </w:rPr>
        <w:t xml:space="preserve">         </w:t>
      </w:r>
      <w:r>
        <w:rPr>
          <w:rFonts w:hint="eastAsia"/>
          <w:snapToGrid/>
        </w:rPr>
        <w:t>2.</w:t>
      </w:r>
      <w:r w:rsidRPr="007E011B">
        <w:rPr>
          <w:rFonts w:hint="eastAsia"/>
          <w:snapToGrid/>
        </w:rPr>
        <w:t>109年度節省利息0.67億元，係提前償還當年度債務430億元產生</w:t>
      </w:r>
      <w:r>
        <w:rPr>
          <w:rFonts w:hint="eastAsia"/>
          <w:snapToGrid/>
        </w:rPr>
        <w:t>。</w:t>
      </w:r>
    </w:p>
    <w:p w:rsidR="00181357" w:rsidRDefault="00181357" w:rsidP="007668ED">
      <w:pPr>
        <w:pStyle w:val="142"/>
        <w:ind w:leftChars="200" w:left="2025" w:hangingChars="600" w:hanging="1459"/>
        <w:rPr>
          <w:snapToGrid/>
        </w:rPr>
      </w:pPr>
      <w:r>
        <w:rPr>
          <w:rFonts w:hint="eastAsia"/>
          <w:snapToGrid/>
        </w:rPr>
        <w:t>資料來源：財政部國庫署。</w:t>
      </w:r>
    </w:p>
    <w:p w:rsidR="00181357" w:rsidRPr="00E019B6" w:rsidRDefault="00181357" w:rsidP="007668ED">
      <w:pPr>
        <w:pStyle w:val="a5"/>
        <w:ind w:left="849" w:hanging="283"/>
        <w:rPr>
          <w:rFonts w:hAnsi="標楷體"/>
          <w:b/>
        </w:rPr>
      </w:pPr>
      <w:r>
        <w:rPr>
          <w:rFonts w:hAnsi="標楷體" w:hint="eastAsia"/>
          <w:b/>
        </w:rPr>
        <w:t>(三)面臨</w:t>
      </w:r>
      <w:r w:rsidRPr="0021000A">
        <w:rPr>
          <w:rFonts w:hAnsi="標楷體" w:hint="eastAsia"/>
          <w:b/>
        </w:rPr>
        <w:t>美國實施對等關稅</w:t>
      </w:r>
      <w:r>
        <w:rPr>
          <w:rFonts w:hAnsi="標楷體" w:hint="eastAsia"/>
          <w:b/>
        </w:rPr>
        <w:t>及新臺幣匯率波動劇烈</w:t>
      </w:r>
      <w:r w:rsidRPr="0021000A">
        <w:rPr>
          <w:rFonts w:hAnsi="標楷體" w:hint="eastAsia"/>
          <w:b/>
        </w:rPr>
        <w:t>等不確定因素，債務基金允宜密切關注市場利率走向，強化基金運作效能，以節省債息支出</w:t>
      </w:r>
    </w:p>
    <w:p w:rsidR="00181357" w:rsidRDefault="00181357" w:rsidP="007668ED">
      <w:pPr>
        <w:pStyle w:val="123"/>
        <w:ind w:left="1133" w:hanging="283"/>
        <w:rPr>
          <w:rFonts w:hAnsi="標楷體"/>
        </w:rPr>
      </w:pPr>
      <w:r>
        <w:rPr>
          <w:rFonts w:hAnsi="標楷體" w:hint="eastAsia"/>
        </w:rPr>
        <w:t>1.從表1可悉，近15年(99至113年度)總預算撥入還本數最高為11</w:t>
      </w:r>
      <w:r>
        <w:rPr>
          <w:rFonts w:hAnsi="標楷體"/>
        </w:rPr>
        <w:t>1</w:t>
      </w:r>
      <w:r>
        <w:rPr>
          <w:rFonts w:hAnsi="標楷體" w:hint="eastAsia"/>
        </w:rPr>
        <w:t>年度之1,</w:t>
      </w:r>
      <w:r>
        <w:rPr>
          <w:rFonts w:hAnsi="標楷體"/>
        </w:rPr>
        <w:t>5</w:t>
      </w:r>
      <w:r>
        <w:rPr>
          <w:rFonts w:hAnsi="標楷體" w:hint="eastAsia"/>
        </w:rPr>
        <w:t>00億元，其次為1</w:t>
      </w:r>
      <w:r>
        <w:rPr>
          <w:rFonts w:hAnsi="標楷體"/>
        </w:rPr>
        <w:t>13</w:t>
      </w:r>
      <w:r>
        <w:rPr>
          <w:rFonts w:hAnsi="標楷體" w:hint="eastAsia"/>
        </w:rPr>
        <w:t>年度之</w:t>
      </w:r>
      <w:r>
        <w:rPr>
          <w:rFonts w:hAnsi="標楷體"/>
        </w:rPr>
        <w:t>1,358</w:t>
      </w:r>
      <w:r>
        <w:rPr>
          <w:rFonts w:hAnsi="標楷體" w:hint="eastAsia"/>
        </w:rPr>
        <w:t>億元，其餘年度約為640至</w:t>
      </w:r>
      <w:r>
        <w:rPr>
          <w:rFonts w:hAnsi="標楷體"/>
        </w:rPr>
        <w:t>1,260</w:t>
      </w:r>
      <w:r>
        <w:rPr>
          <w:rFonts w:hAnsi="標楷體" w:hint="eastAsia"/>
        </w:rPr>
        <w:t>億元間，遠低於當年度需償還債務數，爰每年債務基金舉新還舊數居高不下，金額介於5</w:t>
      </w:r>
      <w:r>
        <w:rPr>
          <w:rFonts w:hAnsi="標楷體"/>
        </w:rPr>
        <w:t>,457</w:t>
      </w:r>
      <w:r>
        <w:rPr>
          <w:rFonts w:hAnsi="標楷體" w:hint="eastAsia"/>
        </w:rPr>
        <w:t>至9</w:t>
      </w:r>
      <w:r>
        <w:rPr>
          <w:rFonts w:hAnsi="標楷體"/>
        </w:rPr>
        <w:t>,619</w:t>
      </w:r>
      <w:r>
        <w:rPr>
          <w:rFonts w:hAnsi="標楷體" w:hint="eastAsia"/>
        </w:rPr>
        <w:t>億元間。由於債務還本數額遠低所需，致原有債務不斷展延且債務未償餘額持續攀升。</w:t>
      </w:r>
    </w:p>
    <w:p w:rsidR="00181357" w:rsidRDefault="00181357" w:rsidP="007668ED">
      <w:pPr>
        <w:pStyle w:val="123"/>
        <w:ind w:left="1133" w:hanging="283"/>
        <w:rPr>
          <w:rFonts w:hAnsi="標楷體" w:cs="標楷體"/>
          <w:szCs w:val="24"/>
        </w:rPr>
      </w:pPr>
      <w:r>
        <w:rPr>
          <w:rFonts w:hAnsi="標楷體" w:hint="eastAsia"/>
        </w:rPr>
        <w:t>2.</w:t>
      </w:r>
      <w:r w:rsidRPr="00852A46">
        <w:rPr>
          <w:rFonts w:hAnsi="標楷體" w:cs="標楷體" w:hint="eastAsia"/>
          <w:szCs w:val="24"/>
        </w:rPr>
        <w:t>美國於</w:t>
      </w:r>
      <w:r>
        <w:rPr>
          <w:rFonts w:hAnsi="標楷體" w:cs="標楷體" w:hint="eastAsia"/>
          <w:szCs w:val="24"/>
        </w:rPr>
        <w:t>114</w:t>
      </w:r>
      <w:r w:rsidRPr="00852A46">
        <w:rPr>
          <w:rFonts w:hAnsi="標楷體" w:cs="標楷體" w:hint="eastAsia"/>
          <w:szCs w:val="24"/>
        </w:rPr>
        <w:t>年</w:t>
      </w:r>
      <w:r>
        <w:rPr>
          <w:rFonts w:hAnsi="標楷體" w:cs="標楷體" w:hint="eastAsia"/>
          <w:szCs w:val="24"/>
        </w:rPr>
        <w:t>4</w:t>
      </w:r>
      <w:r w:rsidRPr="00852A46">
        <w:rPr>
          <w:rFonts w:hAnsi="標楷體" w:cs="標楷體" w:hint="eastAsia"/>
          <w:szCs w:val="24"/>
        </w:rPr>
        <w:t>月</w:t>
      </w:r>
      <w:r>
        <w:rPr>
          <w:rFonts w:hAnsi="標楷體" w:cs="標楷體" w:hint="eastAsia"/>
          <w:szCs w:val="24"/>
        </w:rPr>
        <w:t>2</w:t>
      </w:r>
      <w:r w:rsidRPr="00852A46">
        <w:rPr>
          <w:rFonts w:hAnsi="標楷體" w:cs="標楷體" w:hint="eastAsia"/>
          <w:szCs w:val="24"/>
        </w:rPr>
        <w:t>日宣布對包括我國在內全球多國實施對等關稅</w:t>
      </w:r>
      <w:r>
        <w:rPr>
          <w:rFonts w:hAnsi="標楷體" w:cs="標楷體" w:hint="eastAsia"/>
          <w:szCs w:val="24"/>
        </w:rPr>
        <w:t>(</w:t>
      </w:r>
      <w:r>
        <w:rPr>
          <w:rFonts w:hAnsi="標楷體" w:cs="標楷體"/>
          <w:szCs w:val="24"/>
        </w:rPr>
        <w:t>reciprocal tariffs)</w:t>
      </w:r>
      <w:r w:rsidRPr="00852A46">
        <w:rPr>
          <w:rFonts w:hAnsi="標楷體" w:cs="標楷體" w:hint="eastAsia"/>
          <w:szCs w:val="24"/>
        </w:rPr>
        <w:t>政策，自</w:t>
      </w:r>
      <w:r>
        <w:rPr>
          <w:rFonts w:hAnsi="標楷體" w:cs="標楷體" w:hint="eastAsia"/>
          <w:szCs w:val="24"/>
        </w:rPr>
        <w:t>4</w:t>
      </w:r>
      <w:r w:rsidRPr="00852A46">
        <w:rPr>
          <w:rFonts w:hAnsi="標楷體" w:cs="標楷體" w:hint="eastAsia"/>
          <w:szCs w:val="24"/>
        </w:rPr>
        <w:t>月</w:t>
      </w:r>
      <w:r>
        <w:rPr>
          <w:rFonts w:hAnsi="標楷體" w:cs="標楷體" w:hint="eastAsia"/>
          <w:szCs w:val="24"/>
        </w:rPr>
        <w:t>9</w:t>
      </w:r>
      <w:r w:rsidRPr="00852A46">
        <w:rPr>
          <w:rFonts w:hAnsi="標楷體" w:cs="標楷體" w:hint="eastAsia"/>
          <w:szCs w:val="24"/>
        </w:rPr>
        <w:t>日起，針對全球國家中貿易逆差較多</w:t>
      </w:r>
      <w:r>
        <w:rPr>
          <w:rFonts w:hAnsi="標楷體" w:cs="標楷體" w:hint="eastAsia"/>
          <w:szCs w:val="24"/>
        </w:rPr>
        <w:t>之</w:t>
      </w:r>
      <w:r w:rsidRPr="00852A46">
        <w:rPr>
          <w:rFonts w:hAnsi="標楷體" w:cs="標楷體" w:hint="eastAsia"/>
          <w:szCs w:val="24"/>
        </w:rPr>
        <w:t>57國，加徵個別國家對等關稅11%至50%不等之稅率，其中對我國課徵稅率高達32%</w:t>
      </w:r>
      <w:r>
        <w:rPr>
          <w:rStyle w:val="af4"/>
          <w:rFonts w:hAnsi="標楷體" w:cs="標楷體"/>
          <w:szCs w:val="24"/>
        </w:rPr>
        <w:footnoteReference w:id="1"/>
      </w:r>
      <w:r>
        <w:rPr>
          <w:rFonts w:hAnsi="標楷體" w:cs="標楷體" w:hint="eastAsia"/>
          <w:szCs w:val="24"/>
        </w:rPr>
        <w:t>，引起市場投資人恐慌，臺股加權股價指數於4月7日下跌2</w:t>
      </w:r>
      <w:r>
        <w:rPr>
          <w:rFonts w:hAnsi="標楷體" w:cs="標楷體"/>
          <w:szCs w:val="24"/>
        </w:rPr>
        <w:t>,065.87</w:t>
      </w:r>
      <w:r>
        <w:rPr>
          <w:rFonts w:hAnsi="標楷體" w:cs="標楷體" w:hint="eastAsia"/>
          <w:szCs w:val="24"/>
        </w:rPr>
        <w:t>點、跌幅9.7%，創歷年臺股最大跌點及跌幅，並於4月8日及9日續跌2日，合計3日下跌3</w:t>
      </w:r>
      <w:r>
        <w:rPr>
          <w:rFonts w:hAnsi="標楷體" w:cs="標楷體"/>
          <w:szCs w:val="24"/>
        </w:rPr>
        <w:t>,906.46</w:t>
      </w:r>
      <w:r>
        <w:rPr>
          <w:rFonts w:hAnsi="標楷體" w:cs="標楷體" w:hint="eastAsia"/>
          <w:szCs w:val="24"/>
        </w:rPr>
        <w:t>點、跌幅18.3%。同期間我國10年期公債殖利率自4月2日之1.64%，下降至4月7日之1.54%，跌幅達10個基點。中央銀行指出，美國貿易政策不確定指數於114年4月14日創歷史新高之1,596.7</w:t>
      </w:r>
      <w:r>
        <w:rPr>
          <w:rFonts w:hAnsi="標楷體" w:cs="標楷體" w:hint="eastAsia"/>
          <w:szCs w:val="24"/>
        </w:rPr>
        <w:lastRenderedPageBreak/>
        <w:t>點，4月均值為1,165點，明顯高於1至3月之均值477點，顯示近期美國貿易政策呈現高度不確定性</w:t>
      </w:r>
      <w:r w:rsidRPr="009B1215">
        <w:rPr>
          <w:rFonts w:hAnsi="標楷體" w:cs="標楷體" w:hint="eastAsia"/>
          <w:szCs w:val="24"/>
        </w:rPr>
        <w:t>。</w:t>
      </w:r>
    </w:p>
    <w:p w:rsidR="00181357" w:rsidRDefault="00181357" w:rsidP="007668ED">
      <w:pPr>
        <w:pStyle w:val="123"/>
        <w:ind w:left="1133" w:hanging="283"/>
        <w:rPr>
          <w:rFonts w:hAnsi="標楷體" w:cs="標楷體"/>
          <w:szCs w:val="24"/>
        </w:rPr>
      </w:pPr>
      <w:r>
        <w:rPr>
          <w:rFonts w:hAnsi="標楷體" w:cs="標楷體" w:hint="eastAsia"/>
          <w:szCs w:val="24"/>
        </w:rPr>
        <w:t>3.復依中央銀行公布資料，</w:t>
      </w:r>
      <w:r w:rsidRPr="00894910">
        <w:rPr>
          <w:rFonts w:hAnsi="標楷體" w:cs="標楷體" w:hint="eastAsia"/>
          <w:szCs w:val="24"/>
        </w:rPr>
        <w:t>新</w:t>
      </w:r>
      <w:r>
        <w:rPr>
          <w:rFonts w:hAnsi="標楷體" w:cs="標楷體" w:hint="eastAsia"/>
          <w:szCs w:val="24"/>
        </w:rPr>
        <w:t>臺</w:t>
      </w:r>
      <w:r w:rsidRPr="00894910">
        <w:rPr>
          <w:rFonts w:hAnsi="標楷體" w:cs="標楷體" w:hint="eastAsia"/>
          <w:szCs w:val="24"/>
        </w:rPr>
        <w:t>幣對美元</w:t>
      </w:r>
      <w:r>
        <w:rPr>
          <w:rFonts w:hAnsi="標楷體" w:cs="標楷體" w:hint="eastAsia"/>
          <w:szCs w:val="24"/>
        </w:rPr>
        <w:t>收盤</w:t>
      </w:r>
      <w:r w:rsidRPr="00894910">
        <w:rPr>
          <w:rFonts w:hAnsi="標楷體" w:cs="標楷體" w:hint="eastAsia"/>
          <w:szCs w:val="24"/>
        </w:rPr>
        <w:t>匯率由</w:t>
      </w:r>
      <w:r>
        <w:rPr>
          <w:rFonts w:hAnsi="標楷體" w:cs="標楷體" w:hint="eastAsia"/>
          <w:szCs w:val="24"/>
        </w:rPr>
        <w:t>114年</w:t>
      </w:r>
      <w:r w:rsidRPr="00894910">
        <w:rPr>
          <w:rFonts w:hAnsi="標楷體" w:cs="標楷體" w:hint="eastAsia"/>
          <w:szCs w:val="24"/>
        </w:rPr>
        <w:t>4月</w:t>
      </w:r>
      <w:r>
        <w:rPr>
          <w:rFonts w:hAnsi="標楷體" w:cs="標楷體" w:hint="eastAsia"/>
          <w:szCs w:val="24"/>
        </w:rPr>
        <w:t>24</w:t>
      </w:r>
      <w:r w:rsidRPr="00894910">
        <w:rPr>
          <w:rFonts w:hAnsi="標楷體" w:cs="標楷體" w:hint="eastAsia"/>
          <w:szCs w:val="24"/>
        </w:rPr>
        <w:t>日1美元兌換3</w:t>
      </w:r>
      <w:r>
        <w:rPr>
          <w:rFonts w:hAnsi="標楷體" w:cs="標楷體" w:hint="eastAsia"/>
          <w:szCs w:val="24"/>
        </w:rPr>
        <w:t>2.529</w:t>
      </w:r>
      <w:r w:rsidRPr="00894910">
        <w:rPr>
          <w:rFonts w:hAnsi="標楷體" w:cs="標楷體" w:hint="eastAsia"/>
          <w:szCs w:val="24"/>
        </w:rPr>
        <w:t>元，升值至</w:t>
      </w:r>
      <w:r>
        <w:rPr>
          <w:rFonts w:hAnsi="標楷體" w:cs="標楷體" w:hint="eastAsia"/>
          <w:szCs w:val="24"/>
        </w:rPr>
        <w:t>5月5日之</w:t>
      </w:r>
      <w:r w:rsidRPr="00894910">
        <w:rPr>
          <w:rFonts w:hAnsi="標楷體" w:cs="標楷體" w:hint="eastAsia"/>
          <w:szCs w:val="24"/>
        </w:rPr>
        <w:t>3</w:t>
      </w:r>
      <w:r>
        <w:rPr>
          <w:rFonts w:hAnsi="標楷體" w:cs="標楷體" w:hint="eastAsia"/>
          <w:szCs w:val="24"/>
        </w:rPr>
        <w:t>0.145</w:t>
      </w:r>
      <w:r w:rsidRPr="00894910">
        <w:rPr>
          <w:rFonts w:hAnsi="標楷體" w:cs="標楷體" w:hint="eastAsia"/>
          <w:szCs w:val="24"/>
        </w:rPr>
        <w:t>元，</w:t>
      </w:r>
      <w:r>
        <w:rPr>
          <w:rFonts w:hAnsi="標楷體" w:cs="標楷體" w:hint="eastAsia"/>
          <w:szCs w:val="24"/>
        </w:rPr>
        <w:t>僅7個交易日</w:t>
      </w:r>
      <w:r w:rsidRPr="00894910">
        <w:rPr>
          <w:rFonts w:hAnsi="標楷體" w:cs="標楷體" w:hint="eastAsia"/>
          <w:szCs w:val="24"/>
        </w:rPr>
        <w:t>升幅</w:t>
      </w:r>
      <w:r>
        <w:rPr>
          <w:rFonts w:hAnsi="標楷體" w:cs="標楷體" w:hint="eastAsia"/>
          <w:szCs w:val="24"/>
        </w:rPr>
        <w:t>7.3</w:t>
      </w:r>
      <w:r w:rsidRPr="00894910">
        <w:rPr>
          <w:rFonts w:hAnsi="標楷體" w:cs="標楷體" w:hint="eastAsia"/>
          <w:szCs w:val="24"/>
        </w:rPr>
        <w:t>%</w:t>
      </w:r>
      <w:r>
        <w:rPr>
          <w:rFonts w:hAnsi="標楷體" w:cs="標楷體" w:hint="eastAsia"/>
          <w:szCs w:val="24"/>
        </w:rPr>
        <w:t>，引發市場疑慮。中央銀行於同年5月2日、5日及9日三度發布新聞稿，說明市場因受</w:t>
      </w:r>
      <w:r w:rsidRPr="00CC1B54">
        <w:rPr>
          <w:rFonts w:hAnsi="標楷體" w:cs="標楷體" w:hint="eastAsia"/>
          <w:szCs w:val="24"/>
        </w:rPr>
        <w:t>預期心理影</w:t>
      </w:r>
      <w:r>
        <w:rPr>
          <w:rFonts w:hAnsi="標楷體" w:cs="標楷體" w:hint="eastAsia"/>
          <w:szCs w:val="24"/>
        </w:rPr>
        <w:t>響、外資匯入資金投資臺股及我國經濟基本面表現良好等因素，</w:t>
      </w:r>
      <w:r w:rsidRPr="00CC1B54">
        <w:rPr>
          <w:rFonts w:hAnsi="標楷體" w:cs="標楷體" w:hint="eastAsia"/>
          <w:szCs w:val="24"/>
        </w:rPr>
        <w:t>致</w:t>
      </w:r>
      <w:r>
        <w:rPr>
          <w:rFonts w:hAnsi="標楷體" w:cs="標楷體" w:hint="eastAsia"/>
          <w:szCs w:val="24"/>
        </w:rPr>
        <w:t>近期</w:t>
      </w:r>
      <w:r w:rsidRPr="00CC1B54">
        <w:rPr>
          <w:rFonts w:hAnsi="標楷體" w:cs="標楷體" w:hint="eastAsia"/>
          <w:szCs w:val="24"/>
        </w:rPr>
        <w:t>新</w:t>
      </w:r>
      <w:r>
        <w:rPr>
          <w:rFonts w:hAnsi="標楷體" w:cs="標楷體" w:hint="eastAsia"/>
          <w:szCs w:val="24"/>
        </w:rPr>
        <w:t>臺</w:t>
      </w:r>
      <w:r w:rsidRPr="00CC1B54">
        <w:rPr>
          <w:rFonts w:hAnsi="標楷體" w:cs="標楷體" w:hint="eastAsia"/>
          <w:szCs w:val="24"/>
        </w:rPr>
        <w:t>幣對美元匯率波動幅度</w:t>
      </w:r>
      <w:r>
        <w:rPr>
          <w:rFonts w:hAnsi="標楷體" w:cs="標楷體" w:hint="eastAsia"/>
          <w:szCs w:val="24"/>
        </w:rPr>
        <w:t>較</w:t>
      </w:r>
      <w:r w:rsidRPr="00CC1B54">
        <w:rPr>
          <w:rFonts w:hAnsi="標楷體" w:cs="標楷體" w:hint="eastAsia"/>
          <w:szCs w:val="24"/>
        </w:rPr>
        <w:t>大</w:t>
      </w:r>
      <w:r>
        <w:rPr>
          <w:rFonts w:hAnsi="標楷體" w:cs="標楷體" w:hint="eastAsia"/>
          <w:szCs w:val="24"/>
        </w:rPr>
        <w:t>，惟後續</w:t>
      </w:r>
      <w:r w:rsidRPr="00894910">
        <w:rPr>
          <w:rFonts w:hAnsi="標楷體" w:cs="標楷體" w:hint="eastAsia"/>
          <w:szCs w:val="24"/>
        </w:rPr>
        <w:t>新</w:t>
      </w:r>
      <w:r>
        <w:rPr>
          <w:rFonts w:hAnsi="標楷體" w:cs="標楷體" w:hint="eastAsia"/>
          <w:szCs w:val="24"/>
        </w:rPr>
        <w:t>臺</w:t>
      </w:r>
      <w:r w:rsidRPr="00894910">
        <w:rPr>
          <w:rFonts w:hAnsi="標楷體" w:cs="標楷體" w:hint="eastAsia"/>
          <w:szCs w:val="24"/>
        </w:rPr>
        <w:t>幣對美元</w:t>
      </w:r>
      <w:r>
        <w:rPr>
          <w:rFonts w:hAnsi="標楷體" w:cs="標楷體" w:hint="eastAsia"/>
          <w:szCs w:val="24"/>
        </w:rPr>
        <w:t>仍呈升值趨勢，並於114年7月3日跌破29元(28.828元)，後於同年8月12日始回升至30元(30.026元)，迄同年9月11日該</w:t>
      </w:r>
      <w:r w:rsidRPr="00894910">
        <w:rPr>
          <w:rFonts w:hAnsi="標楷體" w:cs="標楷體" w:hint="eastAsia"/>
          <w:szCs w:val="24"/>
        </w:rPr>
        <w:t>匯率</w:t>
      </w:r>
      <w:r>
        <w:rPr>
          <w:rFonts w:hAnsi="標楷體" w:cs="標楷體" w:hint="eastAsia"/>
          <w:szCs w:val="24"/>
        </w:rPr>
        <w:t>為30.344</w:t>
      </w:r>
      <w:r w:rsidRPr="00894910">
        <w:rPr>
          <w:rFonts w:hAnsi="標楷體" w:cs="標楷體" w:hint="eastAsia"/>
          <w:szCs w:val="24"/>
        </w:rPr>
        <w:t>元</w:t>
      </w:r>
      <w:r>
        <w:rPr>
          <w:rFonts w:hAnsi="標楷體" w:cs="標楷體" w:hint="eastAsia"/>
          <w:szCs w:val="24"/>
        </w:rPr>
        <w:t>。</w:t>
      </w:r>
    </w:p>
    <w:p w:rsidR="00181357" w:rsidRDefault="00181357" w:rsidP="007668ED">
      <w:pPr>
        <w:ind w:left="566" w:firstLine="566"/>
        <w:rPr>
          <w:sz w:val="24"/>
          <w:szCs w:val="24"/>
        </w:rPr>
      </w:pPr>
      <w:r>
        <w:rPr>
          <w:rFonts w:hint="eastAsia"/>
        </w:rPr>
        <w:t>綜上，近年</w:t>
      </w:r>
      <w:r w:rsidRPr="00C568D8">
        <w:rPr>
          <w:rFonts w:hint="eastAsia"/>
        </w:rPr>
        <w:t>債務餘額持續攀升，惟債務基金財務操作節省利息數卻概呈下降趨勢</w:t>
      </w:r>
      <w:r>
        <w:rPr>
          <w:rFonts w:hint="eastAsia"/>
        </w:rPr>
        <w:t>，113年度</w:t>
      </w:r>
      <w:r w:rsidRPr="00796551">
        <w:rPr>
          <w:rFonts w:hint="eastAsia"/>
          <w:snapToGrid/>
        </w:rPr>
        <w:t>節省利息</w:t>
      </w:r>
      <w:r>
        <w:rPr>
          <w:rFonts w:hint="eastAsia"/>
          <w:snapToGrid/>
        </w:rPr>
        <w:t>數僅1.91億元，創</w:t>
      </w:r>
      <w:r>
        <w:rPr>
          <w:rFonts w:hint="eastAsia"/>
        </w:rPr>
        <w:t>近3年來新低；</w:t>
      </w:r>
      <w:r w:rsidRPr="004F0631">
        <w:rPr>
          <w:rFonts w:hint="eastAsia"/>
        </w:rPr>
        <w:t>面臨美國實施對等關稅及新臺幣匯率波動劇烈等不確定因素</w:t>
      </w:r>
      <w:r>
        <w:rPr>
          <w:rFonts w:hint="eastAsia"/>
        </w:rPr>
        <w:t>影響，債務基金允宜密切關注市場利率走向，通盤評估對其財務運作之影響，強化基金運作效能，以節省債息支出</w:t>
      </w:r>
      <w:r w:rsidRPr="002673BA">
        <w:rPr>
          <w:rFonts w:hint="eastAsia"/>
        </w:rPr>
        <w:t>。</w:t>
      </w:r>
    </w:p>
    <w:p w:rsidR="00181357" w:rsidRPr="00926EBC" w:rsidRDefault="00181357" w:rsidP="007668ED">
      <w:pPr>
        <w:pStyle w:val="ad"/>
        <w:ind w:left="243" w:hanging="243"/>
        <w:jc w:val="right"/>
        <w:rPr>
          <w:rFonts w:hAnsi="標楷體"/>
          <w:sz w:val="24"/>
          <w:szCs w:val="24"/>
        </w:rPr>
      </w:pPr>
      <w:r w:rsidRPr="00926EBC">
        <w:rPr>
          <w:rFonts w:hAnsi="標楷體"/>
          <w:sz w:val="24"/>
          <w:szCs w:val="24"/>
        </w:rPr>
        <w:t>(</w:t>
      </w:r>
      <w:r w:rsidRPr="00926EBC">
        <w:rPr>
          <w:rFonts w:hAnsi="標楷體" w:hint="eastAsia"/>
          <w:sz w:val="24"/>
          <w:szCs w:val="24"/>
          <w:lang w:eastAsia="zh-HK"/>
        </w:rPr>
        <w:t>分機：</w:t>
      </w:r>
      <w:r w:rsidRPr="00926EBC">
        <w:rPr>
          <w:rFonts w:hAnsi="標楷體" w:hint="eastAsia"/>
          <w:sz w:val="24"/>
          <w:szCs w:val="24"/>
        </w:rPr>
        <w:t>8661鄧凱文</w:t>
      </w:r>
      <w:r w:rsidRPr="00926EBC">
        <w:rPr>
          <w:rFonts w:hAnsi="標楷體"/>
          <w:sz w:val="24"/>
          <w:szCs w:val="24"/>
        </w:rPr>
        <w:t>)</w:t>
      </w:r>
    </w:p>
    <w:sectPr w:rsidR="00181357" w:rsidRPr="00926EBC"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FA4FC0">
      <w:rPr>
        <w:rStyle w:val="aff"/>
        <w:noProof/>
      </w:rPr>
      <w:t>4</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181357" w:rsidRDefault="00181357" w:rsidP="007668ED">
      <w:pPr>
        <w:pStyle w:val="142"/>
        <w:ind w:left="85" w:hangingChars="35" w:hanging="85"/>
      </w:pPr>
      <w:r>
        <w:rPr>
          <w:rStyle w:val="af4"/>
        </w:rPr>
        <w:footnoteRef/>
      </w:r>
      <w:r>
        <w:rPr>
          <w:rFonts w:hint="eastAsia"/>
        </w:rPr>
        <w:t>參立法院</w:t>
      </w:r>
      <w:r w:rsidRPr="00852A46">
        <w:rPr>
          <w:rFonts w:hint="eastAsia"/>
        </w:rPr>
        <w:t>第11屆第3會期</w:t>
      </w:r>
      <w:r>
        <w:rPr>
          <w:rFonts w:hint="eastAsia"/>
        </w:rPr>
        <w:t>經濟</w:t>
      </w:r>
      <w:r w:rsidRPr="00852A46">
        <w:rPr>
          <w:rFonts w:hint="eastAsia"/>
        </w:rPr>
        <w:t>委員會第</w:t>
      </w:r>
      <w:r>
        <w:rPr>
          <w:rFonts w:hint="eastAsia"/>
        </w:rPr>
        <w:t>8</w:t>
      </w:r>
      <w:r w:rsidRPr="00852A46">
        <w:rPr>
          <w:rFonts w:hint="eastAsia"/>
        </w:rPr>
        <w:t>次全體委員會議</w:t>
      </w:r>
      <w:r>
        <w:rPr>
          <w:rFonts w:hint="eastAsia"/>
        </w:rPr>
        <w:t>，經濟部「因應美國關稅政策以維持我國農漁畜牧業及關鍵產業競爭力之協助措施」專題報告，114年4月10日。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A4FC0"/>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26436DF-1791-4363-84B1-C3AB557D9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E635B-8989-4A54-AFE0-EADB28003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452</Words>
  <Characters>2583</Characters>
  <Application>Microsoft Office Word</Application>
  <DocSecurity>0</DocSecurity>
  <Lines>21</Lines>
  <Paragraphs>6</Paragraphs>
  <ScaleCrop>false</ScaleCrop>
  <Company>HOME</Company>
  <LinksUpToDate>false</LinksUpToDate>
  <CharactersWithSpaces>3029</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2025-09-22T06:52:00Z</dcterms:created>
  <dcterms:modified xsi:type="dcterms:W3CDTF">2025-09-22T06:52:00Z</dcterms:modified>
</cp:coreProperties>
</file>