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300EC2" w:rsidRPr="00473490" w:rsidRDefault="00300EC2" w:rsidP="00300EC2">
      <w:pPr>
        <w:pStyle w:val="14"/>
        <w:ind w:left="567" w:hanging="567"/>
        <w:rPr>
          <w:rFonts w:hAnsi="標楷體"/>
        </w:rPr>
      </w:pPr>
      <w:bookmarkStart w:id="4" w:name="_Toc180500326"/>
      <w:r w:rsidRPr="00473490">
        <w:rPr>
          <w:rFonts w:hAnsi="標楷體" w:hint="eastAsia"/>
        </w:rPr>
        <w:t>一、近年</w:t>
      </w:r>
      <w:r w:rsidR="001823AE" w:rsidRPr="00473490">
        <w:rPr>
          <w:rFonts w:hAnsi="標楷體" w:hint="eastAsia"/>
        </w:rPr>
        <w:t>「</w:t>
      </w:r>
      <w:r w:rsidRPr="00473490">
        <w:rPr>
          <w:rFonts w:hAnsi="標楷體" w:hint="eastAsia"/>
        </w:rPr>
        <w:t>2030跨世代年輕學者方案</w:t>
      </w:r>
      <w:r w:rsidR="001823AE" w:rsidRPr="00473490">
        <w:rPr>
          <w:rFonts w:hAnsi="標楷體" w:hint="eastAsia"/>
        </w:rPr>
        <w:t>」</w:t>
      </w:r>
      <w:r w:rsidR="000A065A">
        <w:rPr>
          <w:rFonts w:hAnsi="標楷體" w:hint="eastAsia"/>
        </w:rPr>
        <w:t>之</w:t>
      </w:r>
      <w:r w:rsidRPr="00473490">
        <w:rPr>
          <w:rFonts w:hAnsi="標楷體" w:hint="eastAsia"/>
        </w:rPr>
        <w:t>辦理</w:t>
      </w:r>
      <w:r w:rsidR="000A065A">
        <w:rPr>
          <w:rFonts w:hAnsi="標楷體" w:hint="eastAsia"/>
        </w:rPr>
        <w:t>雖</w:t>
      </w:r>
      <w:r w:rsidRPr="00473490">
        <w:rPr>
          <w:rFonts w:hAnsi="標楷體" w:hint="eastAsia"/>
        </w:rPr>
        <w:t>達</w:t>
      </w:r>
      <w:r w:rsidR="001823AE" w:rsidRPr="00473490">
        <w:rPr>
          <w:rFonts w:hAnsi="標楷體" w:hint="eastAsia"/>
        </w:rPr>
        <w:t>所訂</w:t>
      </w:r>
      <w:r w:rsidRPr="00473490">
        <w:rPr>
          <w:rFonts w:hAnsi="標楷體" w:hint="eastAsia"/>
        </w:rPr>
        <w:t>目標</w:t>
      </w:r>
      <w:r w:rsidR="000A065A">
        <w:rPr>
          <w:rFonts w:hAnsi="標楷體" w:hint="eastAsia"/>
        </w:rPr>
        <w:t>值</w:t>
      </w:r>
      <w:r w:rsidRPr="00473490">
        <w:rPr>
          <w:rFonts w:hAnsi="標楷體" w:hint="eastAsia"/>
        </w:rPr>
        <w:t>，允宜研議增訂科研產出之</w:t>
      </w:r>
      <w:r w:rsidRPr="00473490">
        <w:rPr>
          <w:rFonts w:hAnsi="標楷體"/>
        </w:rPr>
        <w:t>KPI</w:t>
      </w:r>
      <w:r w:rsidRPr="00473490">
        <w:rPr>
          <w:rFonts w:hAnsi="標楷體" w:hint="eastAsia"/>
        </w:rPr>
        <w:t>及追蹤就業動態，俾達成培育跨世代研發人才</w:t>
      </w:r>
      <w:r w:rsidR="001823AE" w:rsidRPr="00473490">
        <w:rPr>
          <w:rFonts w:hAnsi="標楷體" w:hint="eastAsia"/>
        </w:rPr>
        <w:t>之</w:t>
      </w:r>
      <w:r w:rsidRPr="00473490">
        <w:rPr>
          <w:rFonts w:hAnsi="標楷體" w:hint="eastAsia"/>
        </w:rPr>
        <w:t>目標</w:t>
      </w:r>
      <w:bookmarkEnd w:id="4"/>
    </w:p>
    <w:p w:rsidR="00300EC2" w:rsidRPr="00473490" w:rsidRDefault="00300EC2" w:rsidP="00300EC2">
      <w:pPr>
        <w:ind w:left="566" w:firstLine="566"/>
        <w:rPr>
          <w:rFonts w:hAnsi="標楷體" w:hint="eastAsia"/>
        </w:rPr>
      </w:pPr>
      <w:bookmarkStart w:id="5" w:name="_Hlk178250915"/>
      <w:r w:rsidRPr="00473490">
        <w:rPr>
          <w:rFonts w:hAnsi="標楷體" w:hint="eastAsia"/>
        </w:rPr>
        <w:t>科發基金114年度預算案「推動整體科技發展計畫」項下「</w:t>
      </w:r>
      <w:bookmarkStart w:id="6" w:name="_Hlk178088058"/>
      <w:r w:rsidRPr="00473490">
        <w:rPr>
          <w:rFonts w:hAnsi="標楷體" w:hint="eastAsia"/>
        </w:rPr>
        <w:t>培育優秀學者</w:t>
      </w:r>
      <w:bookmarkEnd w:id="6"/>
      <w:r w:rsidRPr="00473490">
        <w:rPr>
          <w:rFonts w:hAnsi="標楷體" w:hint="eastAsia"/>
        </w:rPr>
        <w:t>研究計畫」編列17億9,995萬2千元，辦理「</w:t>
      </w:r>
      <w:bookmarkStart w:id="7" w:name="_Hlk178085378"/>
      <w:r w:rsidRPr="00473490">
        <w:rPr>
          <w:rFonts w:hAnsi="標楷體" w:hint="eastAsia"/>
        </w:rPr>
        <w:t>2030跨世代年輕學者方案</w:t>
      </w:r>
      <w:bookmarkEnd w:id="7"/>
      <w:r w:rsidRPr="00473490">
        <w:rPr>
          <w:rFonts w:hAnsi="標楷體" w:hint="eastAsia"/>
        </w:rPr>
        <w:t>」。</w:t>
      </w:r>
      <w:bookmarkEnd w:id="5"/>
      <w:r w:rsidRPr="00473490">
        <w:rPr>
          <w:rFonts w:hAnsi="標楷體" w:hint="eastAsia"/>
        </w:rPr>
        <w:t>經查：</w:t>
      </w:r>
    </w:p>
    <w:p w:rsidR="00300EC2" w:rsidRPr="00473490" w:rsidRDefault="00300EC2" w:rsidP="00300EC2">
      <w:pPr>
        <w:pStyle w:val="a5"/>
        <w:ind w:left="849" w:hanging="283"/>
        <w:rPr>
          <w:rFonts w:hAnsi="標楷體" w:hint="eastAsia"/>
          <w:b/>
        </w:rPr>
      </w:pPr>
      <w:r w:rsidRPr="00473490">
        <w:rPr>
          <w:rFonts w:hAnsi="標楷體" w:hint="eastAsia"/>
          <w:b/>
        </w:rPr>
        <w:t>(一)計畫概要</w:t>
      </w:r>
    </w:p>
    <w:p w:rsidR="00300EC2" w:rsidRPr="00473490" w:rsidRDefault="00300EC2" w:rsidP="00300EC2">
      <w:pPr>
        <w:pStyle w:val="123"/>
        <w:ind w:left="1133" w:hanging="283"/>
        <w:rPr>
          <w:rFonts w:hAnsi="標楷體" w:hint="eastAsia"/>
        </w:rPr>
      </w:pPr>
      <w:r w:rsidRPr="00473490">
        <w:rPr>
          <w:rFonts w:hAnsi="標楷體" w:hint="eastAsia"/>
        </w:rPr>
        <w:t>1.</w:t>
      </w:r>
      <w:r w:rsidR="001823AE" w:rsidRPr="00473490">
        <w:rPr>
          <w:rFonts w:hAnsi="標楷體" w:hint="eastAsia"/>
        </w:rPr>
        <w:t>「</w:t>
      </w:r>
      <w:r w:rsidRPr="00473490">
        <w:rPr>
          <w:rFonts w:hAnsi="標楷體" w:hint="eastAsia"/>
        </w:rPr>
        <w:t>2030跨世代年輕學者方案</w:t>
      </w:r>
      <w:r w:rsidR="001823AE" w:rsidRPr="00473490">
        <w:rPr>
          <w:rFonts w:hAnsi="標楷體" w:hint="eastAsia"/>
        </w:rPr>
        <w:t>」</w:t>
      </w:r>
      <w:r w:rsidRPr="00473490">
        <w:rPr>
          <w:rFonts w:hAnsi="標楷體" w:hint="eastAsia"/>
        </w:rPr>
        <w:t>自110年度起辦理，係透過</w:t>
      </w:r>
      <w:r w:rsidRPr="00473490">
        <w:rPr>
          <w:rFonts w:hAnsi="標楷體" w:hint="eastAsia"/>
          <w:bCs/>
        </w:rPr>
        <w:t>長期研究資源挹注，鼓勵具潛力之年輕學者突破科學既定思維，促使於研究職涯初期專注於新興議題、跨領域研究或接軌國際科研等研究方向，</w:t>
      </w:r>
      <w:r w:rsidR="001823AE" w:rsidRPr="00473490">
        <w:rPr>
          <w:rFonts w:hAnsi="標楷體" w:hint="eastAsia"/>
          <w:bCs/>
        </w:rPr>
        <w:t>以</w:t>
      </w:r>
      <w:r w:rsidRPr="00473490">
        <w:rPr>
          <w:rFonts w:hAnsi="標楷體" w:hint="eastAsia"/>
          <w:bCs/>
        </w:rPr>
        <w:t>提升科學技術研發能量</w:t>
      </w:r>
      <w:r w:rsidR="001823AE" w:rsidRPr="00473490">
        <w:rPr>
          <w:rFonts w:hAnsi="標楷體" w:hint="eastAsia"/>
          <w:bCs/>
        </w:rPr>
        <w:t>及</w:t>
      </w:r>
      <w:r w:rsidRPr="00473490">
        <w:rPr>
          <w:rFonts w:hAnsi="標楷體" w:hint="eastAsia"/>
          <w:bCs/>
        </w:rPr>
        <w:t>培育下世代科研人才。</w:t>
      </w:r>
    </w:p>
    <w:p w:rsidR="00300EC2" w:rsidRPr="00473490" w:rsidRDefault="00300EC2" w:rsidP="00300EC2">
      <w:pPr>
        <w:pStyle w:val="123"/>
        <w:ind w:left="1133" w:hanging="283"/>
        <w:rPr>
          <w:rFonts w:hAnsi="標楷體"/>
        </w:rPr>
      </w:pPr>
      <w:r w:rsidRPr="00473490">
        <w:rPr>
          <w:rFonts w:hAnsi="標楷體" w:hint="eastAsia"/>
        </w:rPr>
        <w:t>2.方案包含3類計畫：</w:t>
      </w:r>
    </w:p>
    <w:p w:rsidR="00300EC2" w:rsidRPr="00473490" w:rsidRDefault="00300EC2" w:rsidP="00300EC2">
      <w:pPr>
        <w:pStyle w:val="1231"/>
        <w:ind w:left="1416" w:hanging="283"/>
        <w:rPr>
          <w:rFonts w:hAnsi="標楷體" w:hint="eastAsia"/>
        </w:rPr>
      </w:pPr>
      <w:r w:rsidRPr="00473490">
        <w:rPr>
          <w:rFonts w:hAnsi="標楷體" w:hint="eastAsia"/>
        </w:rPr>
        <w:t>(1)新秀學者：鼓勵</w:t>
      </w:r>
      <w:r w:rsidRPr="00473490">
        <w:rPr>
          <w:rFonts w:hAnsi="標楷體"/>
        </w:rPr>
        <w:t>擔任教研究專職或獲博士學位5年內</w:t>
      </w:r>
      <w:r w:rsidRPr="00473490">
        <w:rPr>
          <w:rFonts w:hAnsi="標楷體" w:hint="eastAsia"/>
        </w:rPr>
        <w:t>之年輕學者探索新興議題，</w:t>
      </w:r>
      <w:bookmarkStart w:id="8" w:name="_Hlk178086904"/>
      <w:r w:rsidRPr="00473490">
        <w:rPr>
          <w:rFonts w:hAnsi="標楷體" w:hint="eastAsia"/>
        </w:rPr>
        <w:t>每年原則補助25件新計畫，每件每年補助經費上限500萬元為原則。</w:t>
      </w:r>
      <w:bookmarkEnd w:id="8"/>
    </w:p>
    <w:p w:rsidR="00300EC2" w:rsidRPr="00473490" w:rsidRDefault="00300EC2" w:rsidP="00300EC2">
      <w:pPr>
        <w:pStyle w:val="1231"/>
        <w:ind w:left="1416" w:hanging="283"/>
        <w:rPr>
          <w:rFonts w:hAnsi="標楷體" w:hint="eastAsia"/>
        </w:rPr>
      </w:pPr>
      <w:r w:rsidRPr="00473490">
        <w:rPr>
          <w:rFonts w:hAnsi="標楷體" w:hint="eastAsia"/>
        </w:rPr>
        <w:t>(2)國際年輕傑出學者：支持45歲以下年輕學者長期投入創新構想，</w:t>
      </w:r>
      <w:r w:rsidR="001823AE" w:rsidRPr="00473490">
        <w:rPr>
          <w:rFonts w:hAnsi="標楷體" w:hint="eastAsia"/>
        </w:rPr>
        <w:t>從事</w:t>
      </w:r>
      <w:r w:rsidRPr="00473490">
        <w:rPr>
          <w:rFonts w:hAnsi="標楷體" w:hint="eastAsia"/>
        </w:rPr>
        <w:t>國際學術社群及跨國交流合作研究，以提升國際學術影響力</w:t>
      </w:r>
      <w:r w:rsidR="001823AE" w:rsidRPr="00473490">
        <w:rPr>
          <w:rFonts w:hAnsi="標楷體" w:hint="eastAsia"/>
        </w:rPr>
        <w:t>，</w:t>
      </w:r>
      <w:r w:rsidRPr="00473490">
        <w:rPr>
          <w:rFonts w:hAnsi="標楷體" w:hint="eastAsia"/>
        </w:rPr>
        <w:t>每年原則補助15件新計畫，每件每年補助經費上限1</w:t>
      </w:r>
      <w:r w:rsidRPr="00473490">
        <w:rPr>
          <w:rFonts w:hAnsi="標楷體"/>
        </w:rPr>
        <w:t>,</w:t>
      </w:r>
      <w:r w:rsidRPr="00473490">
        <w:rPr>
          <w:rFonts w:hAnsi="標楷體" w:hint="eastAsia"/>
        </w:rPr>
        <w:t>000萬元為原則。</w:t>
      </w:r>
    </w:p>
    <w:p w:rsidR="00300EC2" w:rsidRPr="00473490" w:rsidRDefault="00300EC2" w:rsidP="00300EC2">
      <w:pPr>
        <w:pStyle w:val="1231"/>
        <w:ind w:left="1416" w:hanging="283"/>
        <w:rPr>
          <w:rFonts w:hAnsi="標楷體"/>
          <w:sz w:val="24"/>
        </w:rPr>
      </w:pPr>
      <w:r w:rsidRPr="00473490">
        <w:rPr>
          <w:rFonts w:hAnsi="標楷體" w:hint="eastAsia"/>
        </w:rPr>
        <w:lastRenderedPageBreak/>
        <w:t>(3)優秀年輕學者：鼓勵4</w:t>
      </w:r>
      <w:r w:rsidRPr="00473490">
        <w:rPr>
          <w:rFonts w:hAnsi="標楷體"/>
        </w:rPr>
        <w:t>5</w:t>
      </w:r>
      <w:r w:rsidRPr="00473490">
        <w:rPr>
          <w:rFonts w:hAnsi="標楷體" w:hint="eastAsia"/>
        </w:rPr>
        <w:t>歲以下任職於國內科研機構之優秀年輕學者，在既有研究基礎上進一步深化研究實力，達到科學突破與實務應用</w:t>
      </w:r>
      <w:r w:rsidR="001823AE" w:rsidRPr="00473490">
        <w:rPr>
          <w:rFonts w:hAnsi="標楷體" w:hint="eastAsia"/>
        </w:rPr>
        <w:t>，</w:t>
      </w:r>
      <w:r w:rsidRPr="00473490">
        <w:rPr>
          <w:rFonts w:hAnsi="標楷體" w:hint="eastAsia"/>
        </w:rPr>
        <w:t>每年補助件數及金額未設限，依審查結果擇優核給。</w:t>
      </w:r>
    </w:p>
    <w:p w:rsidR="00300EC2" w:rsidRPr="00473490" w:rsidRDefault="00300EC2" w:rsidP="00300EC2">
      <w:pPr>
        <w:pStyle w:val="a5"/>
        <w:ind w:left="849" w:hanging="283"/>
        <w:rPr>
          <w:rFonts w:hAnsi="標楷體"/>
          <w:b/>
        </w:rPr>
      </w:pPr>
      <w:r w:rsidRPr="00473490">
        <w:rPr>
          <w:rFonts w:hAnsi="標楷體" w:hint="eastAsia"/>
          <w:b/>
        </w:rPr>
        <w:t>(二)培育年輕學者已</w:t>
      </w:r>
      <w:r w:rsidR="003260B1" w:rsidRPr="00473490">
        <w:rPr>
          <w:rFonts w:hAnsi="標楷體" w:hint="eastAsia"/>
          <w:b/>
        </w:rPr>
        <w:t>達</w:t>
      </w:r>
      <w:r w:rsidRPr="00473490">
        <w:rPr>
          <w:rFonts w:hAnsi="標楷體" w:hint="eastAsia"/>
          <w:b/>
        </w:rPr>
        <w:t>預計目標值，允宜研議增訂科研產出之</w:t>
      </w:r>
      <w:r w:rsidRPr="00473490">
        <w:rPr>
          <w:rFonts w:hAnsi="標楷體"/>
          <w:b/>
        </w:rPr>
        <w:t>KPI</w:t>
      </w:r>
      <w:r w:rsidRPr="00473490">
        <w:rPr>
          <w:rFonts w:hAnsi="標楷體" w:hint="eastAsia"/>
          <w:b/>
        </w:rPr>
        <w:t>及長期追蹤就業狀況機制</w:t>
      </w:r>
    </w:p>
    <w:p w:rsidR="00300EC2" w:rsidRPr="00473490" w:rsidRDefault="00300EC2" w:rsidP="00300EC2">
      <w:pPr>
        <w:pStyle w:val="22"/>
        <w:ind w:left="850" w:firstLine="566"/>
        <w:rPr>
          <w:rFonts w:hAnsi="標楷體"/>
        </w:rPr>
      </w:pPr>
      <w:r w:rsidRPr="00473490">
        <w:rPr>
          <w:rFonts w:hAnsi="標楷體" w:hint="eastAsia"/>
        </w:rPr>
        <w:t>該方案預算執行率自110年度102.64%降至112年度79.11%，預算</w:t>
      </w:r>
      <w:r w:rsidR="001823AE" w:rsidRPr="00473490">
        <w:rPr>
          <w:rFonts w:hAnsi="標楷體" w:hint="eastAsia"/>
        </w:rPr>
        <w:t>之</w:t>
      </w:r>
      <w:r w:rsidR="00134D2C">
        <w:rPr>
          <w:rFonts w:hAnsi="標楷體" w:hint="eastAsia"/>
        </w:rPr>
        <w:t>執行</w:t>
      </w:r>
      <w:r w:rsidR="001823AE" w:rsidRPr="00473490">
        <w:rPr>
          <w:rFonts w:hAnsi="標楷體" w:hint="eastAsia"/>
        </w:rPr>
        <w:t>雖隨優秀年輕學者補助件數逐年遞減而</w:t>
      </w:r>
      <w:r w:rsidRPr="00473490">
        <w:rPr>
          <w:rFonts w:hAnsi="標楷體" w:hint="eastAsia"/>
        </w:rPr>
        <w:t>下滑，</w:t>
      </w:r>
      <w:r w:rsidR="001823AE" w:rsidRPr="00473490">
        <w:rPr>
          <w:rFonts w:hAnsi="標楷體" w:hint="eastAsia"/>
        </w:rPr>
        <w:t>然</w:t>
      </w:r>
      <w:r w:rsidRPr="00473490">
        <w:rPr>
          <w:rFonts w:hAnsi="標楷體" w:hint="eastAsia"/>
        </w:rPr>
        <w:t>執行率尚能維持近8成(詳表1)。另觀該方案110至112年度績效指標達成情形，其中訂有</w:t>
      </w:r>
      <w:r w:rsidR="001823AE" w:rsidRPr="00473490">
        <w:rPr>
          <w:rFonts w:hAnsi="標楷體" w:hint="eastAsia"/>
        </w:rPr>
        <w:t>培育</w:t>
      </w:r>
      <w:r w:rsidRPr="00473490">
        <w:rPr>
          <w:rFonts w:hAnsi="標楷體" w:hint="eastAsia"/>
        </w:rPr>
        <w:t>目標值之新秀學者及國際年輕傑出學者，僅111年度補助新秀學者24件，略低於目標值25件，其餘各年度均達成目標設定值，未設定目標值而依審查結果擇優核給之優秀年輕學者，每年補助件數</w:t>
      </w:r>
      <w:r w:rsidR="000A065A">
        <w:rPr>
          <w:rFonts w:hAnsi="標楷體" w:hint="eastAsia"/>
        </w:rPr>
        <w:t>則</w:t>
      </w:r>
      <w:r w:rsidRPr="00473490">
        <w:rPr>
          <w:rFonts w:hAnsi="標楷體" w:hint="eastAsia"/>
        </w:rPr>
        <w:t>介於173至195件</w:t>
      </w:r>
      <w:r w:rsidR="001823AE" w:rsidRPr="00473490">
        <w:rPr>
          <w:rFonts w:hAnsi="標楷體" w:hint="eastAsia"/>
        </w:rPr>
        <w:t>間</w:t>
      </w:r>
      <w:r w:rsidRPr="00473490">
        <w:rPr>
          <w:rFonts w:hAnsi="標楷體" w:hint="eastAsia"/>
        </w:rPr>
        <w:t>(詳表2)。鑑於該方案係提升科學技術研發能量，為臺灣布局跨世代優秀科研人才，惟</w:t>
      </w:r>
      <w:r w:rsidR="001823AE" w:rsidRPr="00473490">
        <w:rPr>
          <w:rFonts w:hAnsi="標楷體" w:hint="eastAsia"/>
        </w:rPr>
        <w:t>目前</w:t>
      </w:r>
      <w:r w:rsidRPr="00473490">
        <w:rPr>
          <w:rFonts w:hAnsi="標楷體" w:hint="eastAsia"/>
        </w:rPr>
        <w:t>僅設定</w:t>
      </w:r>
      <w:r w:rsidR="001823AE" w:rsidRPr="00473490">
        <w:rPr>
          <w:rFonts w:hAnsi="標楷體" w:hint="eastAsia"/>
        </w:rPr>
        <w:t>新秀學者及國際年輕傑出學者</w:t>
      </w:r>
      <w:r w:rsidR="00134D2C">
        <w:rPr>
          <w:rFonts w:hAnsi="標楷體" w:hint="eastAsia"/>
        </w:rPr>
        <w:t>之</w:t>
      </w:r>
      <w:r w:rsidR="001823AE" w:rsidRPr="00473490">
        <w:rPr>
          <w:rFonts w:hAnsi="標楷體" w:hint="eastAsia"/>
        </w:rPr>
        <w:t>培育人數</w:t>
      </w:r>
      <w:r w:rsidRPr="00473490">
        <w:rPr>
          <w:rFonts w:hAnsi="標楷體" w:hint="eastAsia"/>
        </w:rPr>
        <w:t>，允宜設定</w:t>
      </w:r>
      <w:r w:rsidR="001823AE" w:rsidRPr="00473490">
        <w:rPr>
          <w:rFonts w:hAnsi="標楷體" w:hint="eastAsia"/>
        </w:rPr>
        <w:t>後續</w:t>
      </w:r>
      <w:r w:rsidRPr="00473490">
        <w:rPr>
          <w:rFonts w:hAnsi="標楷體" w:hint="eastAsia"/>
        </w:rPr>
        <w:t>產出效益目標，如，期刊論文、專書及技術報告</w:t>
      </w:r>
      <w:r w:rsidR="001823AE" w:rsidRPr="00473490">
        <w:rPr>
          <w:rFonts w:hAnsi="標楷體" w:hint="eastAsia"/>
        </w:rPr>
        <w:t>發表狀況</w:t>
      </w:r>
      <w:r w:rsidR="000A065A">
        <w:rPr>
          <w:rFonts w:hAnsi="標楷體" w:hint="eastAsia"/>
        </w:rPr>
        <w:t>等</w:t>
      </w:r>
      <w:r w:rsidRPr="00473490">
        <w:rPr>
          <w:rFonts w:hAnsi="標楷體" w:hint="eastAsia"/>
        </w:rPr>
        <w:t>，並</w:t>
      </w:r>
      <w:r w:rsidR="000A065A">
        <w:rPr>
          <w:rFonts w:hAnsi="標楷體" w:hint="eastAsia"/>
        </w:rPr>
        <w:t>宜</w:t>
      </w:r>
      <w:r w:rsidRPr="00473490">
        <w:rPr>
          <w:rFonts w:hAnsi="標楷體" w:hint="eastAsia"/>
        </w:rPr>
        <w:t>追蹤長期就業動態，俾達成方案培育跨世代人才之目標。</w:t>
      </w:r>
    </w:p>
    <w:p w:rsidR="00300EC2" w:rsidRPr="00473490" w:rsidRDefault="00300EC2" w:rsidP="00300EC2">
      <w:pPr>
        <w:ind w:left="566" w:firstLine="566"/>
        <w:rPr>
          <w:rFonts w:hAnsi="標楷體" w:hint="eastAsia"/>
        </w:rPr>
      </w:pPr>
      <w:r w:rsidRPr="00473490">
        <w:rPr>
          <w:rFonts w:hAnsi="標楷體" w:hint="eastAsia"/>
        </w:rPr>
        <w:t>綜上，</w:t>
      </w:r>
      <w:r w:rsidR="001823AE" w:rsidRPr="00473490">
        <w:rPr>
          <w:rFonts w:hAnsi="標楷體" w:hint="eastAsia"/>
        </w:rPr>
        <w:t>「</w:t>
      </w:r>
      <w:r w:rsidRPr="00473490">
        <w:rPr>
          <w:rFonts w:hAnsi="標楷體" w:hint="eastAsia"/>
        </w:rPr>
        <w:t>2030跨世代年輕學者方案</w:t>
      </w:r>
      <w:r w:rsidR="001823AE" w:rsidRPr="00473490">
        <w:rPr>
          <w:rFonts w:hAnsi="標楷體" w:hint="eastAsia"/>
        </w:rPr>
        <w:t>」旨在蓄積</w:t>
      </w:r>
      <w:r w:rsidR="001823AE" w:rsidRPr="00473490">
        <w:rPr>
          <w:rFonts w:hAnsi="標楷體" w:hint="eastAsia"/>
          <w:bCs/>
        </w:rPr>
        <w:t>基礎科學研究能量</w:t>
      </w:r>
      <w:r w:rsidRPr="00473490">
        <w:rPr>
          <w:rFonts w:hAnsi="標楷體" w:hint="eastAsia"/>
          <w:bCs/>
        </w:rPr>
        <w:t>，</w:t>
      </w:r>
      <w:r w:rsidRPr="00473490">
        <w:rPr>
          <w:rFonts w:hAnsi="標楷體" w:hint="eastAsia"/>
        </w:rPr>
        <w:t>為臺灣提前部署下世代科研人才，允宜更積極設定方案產出效益之目標，並追蹤</w:t>
      </w:r>
      <w:r w:rsidR="000A065A" w:rsidRPr="00473490">
        <w:rPr>
          <w:rFonts w:hAnsi="標楷體" w:hint="eastAsia"/>
        </w:rPr>
        <w:t>年輕學者</w:t>
      </w:r>
      <w:r w:rsidRPr="00473490">
        <w:rPr>
          <w:rFonts w:hAnsi="標楷體" w:hint="eastAsia"/>
        </w:rPr>
        <w:t>長期就業動態，</w:t>
      </w:r>
      <w:bookmarkStart w:id="9" w:name="_Hlk178093470"/>
      <w:r w:rsidRPr="00473490">
        <w:rPr>
          <w:rFonts w:hAnsi="標楷體" w:hint="eastAsia"/>
        </w:rPr>
        <w:t>俾達成培育具前瞻創新研究能力及跨世代研發人才</w:t>
      </w:r>
      <w:r w:rsidR="001823AE" w:rsidRPr="00473490">
        <w:rPr>
          <w:rFonts w:hAnsi="標楷體" w:hint="eastAsia"/>
        </w:rPr>
        <w:t>之</w:t>
      </w:r>
      <w:r w:rsidRPr="00473490">
        <w:rPr>
          <w:rFonts w:hAnsi="標楷體" w:hint="eastAsia"/>
        </w:rPr>
        <w:t>目標</w:t>
      </w:r>
      <w:bookmarkEnd w:id="9"/>
      <w:r w:rsidRPr="00473490">
        <w:rPr>
          <w:rFonts w:hAnsi="標楷體" w:hint="eastAsia"/>
        </w:rPr>
        <w:t>。</w:t>
      </w:r>
    </w:p>
    <w:p w:rsidR="00300EC2" w:rsidRPr="00473490" w:rsidRDefault="00300EC2" w:rsidP="00300EC2">
      <w:pPr>
        <w:ind w:leftChars="0" w:left="0" w:firstLineChars="0" w:firstLine="0"/>
        <w:rPr>
          <w:rFonts w:hAnsi="標楷體"/>
          <w:b/>
        </w:rPr>
      </w:pPr>
      <w:r w:rsidRPr="00473490">
        <w:rPr>
          <w:rFonts w:hAnsi="標楷體" w:hint="eastAsia"/>
          <w:b/>
        </w:rPr>
        <w:t>表1  110至112年度</w:t>
      </w:r>
      <w:r w:rsidR="001823AE" w:rsidRPr="00473490">
        <w:rPr>
          <w:rFonts w:hAnsi="標楷體" w:hint="eastAsia"/>
          <w:b/>
        </w:rPr>
        <w:t>「</w:t>
      </w:r>
      <w:r w:rsidRPr="00473490">
        <w:rPr>
          <w:rFonts w:hAnsi="標楷體" w:hint="eastAsia"/>
          <w:b/>
        </w:rPr>
        <w:t>2030跨世代年輕學者方案</w:t>
      </w:r>
      <w:r w:rsidR="001823AE" w:rsidRPr="00473490">
        <w:rPr>
          <w:rFonts w:hAnsi="標楷體" w:hint="eastAsia"/>
          <w:b/>
        </w:rPr>
        <w:t>」</w:t>
      </w:r>
      <w:r w:rsidRPr="00473490">
        <w:rPr>
          <w:rFonts w:hAnsi="標楷體" w:hint="eastAsia"/>
          <w:b/>
        </w:rPr>
        <w:t>預</w:t>
      </w:r>
      <w:r w:rsidR="001823AE" w:rsidRPr="00473490">
        <w:rPr>
          <w:rFonts w:hAnsi="標楷體" w:hint="eastAsia"/>
          <w:b/>
        </w:rPr>
        <w:t>、</w:t>
      </w:r>
      <w:r w:rsidRPr="00473490">
        <w:rPr>
          <w:rFonts w:hAnsi="標楷體" w:hint="eastAsia"/>
          <w:b/>
        </w:rPr>
        <w:t>決算情形表</w:t>
      </w:r>
    </w:p>
    <w:p w:rsidR="00300EC2" w:rsidRPr="00473490" w:rsidRDefault="00300EC2" w:rsidP="00300EC2">
      <w:pPr>
        <w:pStyle w:val="142"/>
        <w:jc w:val="right"/>
        <w:rPr>
          <w:rFonts w:hAnsi="標楷體" w:hint="eastAsia"/>
          <w:b/>
        </w:rPr>
      </w:pPr>
      <w:r w:rsidRPr="00473490">
        <w:rPr>
          <w:rFonts w:hAnsi="標楷體" w:hint="eastAsia"/>
        </w:rPr>
        <w:t>單位：新台幣千元；%</w:t>
      </w:r>
    </w:p>
    <w:tbl>
      <w:tblPr>
        <w:tblW w:w="8449"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12"/>
        <w:gridCol w:w="2112"/>
        <w:gridCol w:w="2112"/>
        <w:gridCol w:w="2113"/>
      </w:tblGrid>
      <w:tr w:rsidR="00300EC2" w:rsidRPr="00473490" w:rsidTr="00EE771C">
        <w:trPr>
          <w:tblHeader/>
        </w:trPr>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年度</w:t>
            </w:r>
          </w:p>
        </w:tc>
        <w:tc>
          <w:tcPr>
            <w:tcW w:w="2112"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預算數(</w:t>
            </w:r>
            <w:r w:rsidRPr="00473490">
              <w:rPr>
                <w:rFonts w:hAnsi="標楷體"/>
                <w:bCs/>
              </w:rPr>
              <w:t>A)</w:t>
            </w:r>
          </w:p>
        </w:tc>
        <w:tc>
          <w:tcPr>
            <w:tcW w:w="2112"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決算數(</w:t>
            </w:r>
            <w:r w:rsidRPr="00473490">
              <w:rPr>
                <w:rFonts w:hAnsi="標楷體"/>
                <w:bCs/>
              </w:rPr>
              <w:t>B)</w:t>
            </w:r>
          </w:p>
        </w:tc>
        <w:tc>
          <w:tcPr>
            <w:tcW w:w="2113" w:type="dxa"/>
            <w:vAlign w:val="center"/>
          </w:tcPr>
          <w:p w:rsidR="00300EC2" w:rsidRPr="00473490" w:rsidRDefault="00300EC2" w:rsidP="00EE771C">
            <w:pPr>
              <w:pStyle w:val="142"/>
              <w:jc w:val="center"/>
              <w:rPr>
                <w:rFonts w:hAnsi="標楷體" w:hint="eastAsia"/>
                <w:bCs/>
              </w:rPr>
            </w:pPr>
            <w:r w:rsidRPr="00473490">
              <w:rPr>
                <w:rFonts w:hAnsi="標楷體" w:hint="eastAsia"/>
                <w:bCs/>
              </w:rPr>
              <w:t>執行率(</w:t>
            </w:r>
            <w:r w:rsidRPr="00473490">
              <w:rPr>
                <w:rFonts w:hAnsi="標楷體"/>
                <w:bCs/>
              </w:rPr>
              <w:t>B/A)</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1</w:t>
            </w:r>
            <w:r w:rsidRPr="00473490">
              <w:rPr>
                <w:rFonts w:hAnsi="標楷體"/>
                <w:bCs/>
              </w:rPr>
              <w:t>10</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910,661</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934,707</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102.64</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1</w:t>
            </w:r>
            <w:r w:rsidRPr="00473490">
              <w:rPr>
                <w:rFonts w:hAnsi="標楷體"/>
                <w:bCs/>
              </w:rPr>
              <w:t>11</w:t>
            </w:r>
          </w:p>
        </w:tc>
        <w:tc>
          <w:tcPr>
            <w:tcW w:w="2112" w:type="dxa"/>
            <w:shd w:val="clear" w:color="auto" w:fill="auto"/>
            <w:vAlign w:val="center"/>
          </w:tcPr>
          <w:p w:rsidR="00300EC2" w:rsidRPr="00473490" w:rsidRDefault="00300EC2" w:rsidP="00EE771C">
            <w:pPr>
              <w:pStyle w:val="142"/>
              <w:ind w:leftChars="-8" w:left="269" w:hangingChars="120" w:hanging="292"/>
              <w:jc w:val="right"/>
              <w:rPr>
                <w:rFonts w:hAnsi="標楷體"/>
                <w:bCs/>
              </w:rPr>
            </w:pPr>
            <w:r w:rsidRPr="00473490">
              <w:rPr>
                <w:rFonts w:hAnsi="標楷體"/>
                <w:bCs/>
              </w:rPr>
              <w:t>1,322,517</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1,180,497</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89.26</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1</w:t>
            </w:r>
            <w:r w:rsidRPr="00473490">
              <w:rPr>
                <w:rFonts w:hAnsi="標楷體"/>
                <w:bCs/>
              </w:rPr>
              <w:t>12</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1,556,836</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1,231,650</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79.11</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hint="eastAsia"/>
                <w:bCs/>
              </w:rPr>
            </w:pPr>
            <w:r w:rsidRPr="00473490">
              <w:rPr>
                <w:rFonts w:hAnsi="標楷體" w:hint="eastAsia"/>
                <w:bCs/>
              </w:rPr>
              <w:t>1</w:t>
            </w:r>
            <w:r w:rsidRPr="00473490">
              <w:rPr>
                <w:rFonts w:hAnsi="標楷體"/>
                <w:bCs/>
              </w:rPr>
              <w:t>13</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1,722,575</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hint="eastAsia"/>
                <w:bCs/>
              </w:rPr>
              <w:t>965</w:t>
            </w:r>
            <w:r w:rsidRPr="00473490">
              <w:rPr>
                <w:rFonts w:hAnsi="標楷體"/>
                <w:bCs/>
              </w:rPr>
              <w:t>,915</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56.07</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hint="eastAsia"/>
                <w:bCs/>
              </w:rPr>
            </w:pPr>
            <w:r w:rsidRPr="00473490">
              <w:rPr>
                <w:rFonts w:hAnsi="標楷體" w:hint="eastAsia"/>
                <w:bCs/>
              </w:rPr>
              <w:lastRenderedPageBreak/>
              <w:t>1</w:t>
            </w:r>
            <w:r w:rsidRPr="00473490">
              <w:rPr>
                <w:rFonts w:hAnsi="標楷體"/>
                <w:bCs/>
              </w:rPr>
              <w:t>14</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1</w:t>
            </w:r>
            <w:r w:rsidRPr="00473490">
              <w:rPr>
                <w:rFonts w:hAnsi="標楷體" w:hint="eastAsia"/>
                <w:bCs/>
              </w:rPr>
              <w:t>,</w:t>
            </w:r>
            <w:r w:rsidRPr="00473490">
              <w:rPr>
                <w:rFonts w:hAnsi="標楷體"/>
                <w:bCs/>
              </w:rPr>
              <w:t>799,952</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hint="eastAsia"/>
                <w:bCs/>
              </w:rPr>
              <w:t>-</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hint="eastAsia"/>
                <w:bCs/>
              </w:rPr>
              <w:t>-</w:t>
            </w:r>
          </w:p>
        </w:tc>
      </w:tr>
    </w:tbl>
    <w:p w:rsidR="00300EC2" w:rsidRPr="00473490" w:rsidRDefault="00300EC2" w:rsidP="00300EC2">
      <w:pPr>
        <w:pStyle w:val="142"/>
        <w:ind w:left="1411" w:hangingChars="580" w:hanging="1411"/>
        <w:rPr>
          <w:rFonts w:hAnsi="標楷體"/>
        </w:rPr>
      </w:pPr>
      <w:bookmarkStart w:id="10" w:name="_Hlk178177312"/>
      <w:r w:rsidRPr="00473490">
        <w:rPr>
          <w:rFonts w:hAnsi="標楷體" w:hint="eastAsia"/>
        </w:rPr>
        <w:t>說    明：1.</w:t>
      </w:r>
      <w:bookmarkStart w:id="11" w:name="_Hlk178089407"/>
      <w:r w:rsidRPr="00473490">
        <w:rPr>
          <w:rFonts w:hAnsi="標楷體" w:hint="eastAsia"/>
        </w:rPr>
        <w:t>110至11</w:t>
      </w:r>
      <w:r w:rsidR="001823AE" w:rsidRPr="00473490">
        <w:rPr>
          <w:rFonts w:hAnsi="標楷體" w:hint="eastAsia"/>
        </w:rPr>
        <w:t>2</w:t>
      </w:r>
      <w:r w:rsidRPr="00473490">
        <w:rPr>
          <w:rFonts w:hAnsi="標楷體" w:hint="eastAsia"/>
        </w:rPr>
        <w:t>年度預算數為法定數，</w:t>
      </w:r>
      <w:r w:rsidR="001823AE" w:rsidRPr="00473490">
        <w:rPr>
          <w:rFonts w:hAnsi="標楷體" w:hint="eastAsia"/>
        </w:rPr>
        <w:t>113及</w:t>
      </w:r>
      <w:r w:rsidRPr="00473490">
        <w:rPr>
          <w:rFonts w:hAnsi="標楷體" w:hint="eastAsia"/>
        </w:rPr>
        <w:t>114年度為預算案數。</w:t>
      </w:r>
      <w:bookmarkEnd w:id="11"/>
    </w:p>
    <w:p w:rsidR="00300EC2" w:rsidRPr="00473490" w:rsidRDefault="00300EC2" w:rsidP="00300EC2">
      <w:pPr>
        <w:pStyle w:val="142"/>
        <w:spacing w:line="240" w:lineRule="exact"/>
        <w:ind w:leftChars="420" w:left="1432" w:hangingChars="100" w:hanging="243"/>
        <w:rPr>
          <w:rFonts w:hAnsi="標楷體" w:hint="eastAsia"/>
        </w:rPr>
      </w:pPr>
      <w:r w:rsidRPr="00473490">
        <w:rPr>
          <w:rFonts w:hAnsi="標楷體" w:hint="eastAsia"/>
        </w:rPr>
        <w:t>2.110至112年度決算數為審定數，113年度為迄7月底執行數。</w:t>
      </w:r>
    </w:p>
    <w:bookmarkEnd w:id="10"/>
    <w:p w:rsidR="00300EC2" w:rsidRPr="00473490" w:rsidRDefault="00300EC2" w:rsidP="00300EC2">
      <w:pPr>
        <w:pStyle w:val="142"/>
        <w:rPr>
          <w:rFonts w:hAnsi="標楷體" w:hint="eastAsia"/>
          <w:bCs/>
        </w:rPr>
      </w:pPr>
      <w:r w:rsidRPr="00473490">
        <w:rPr>
          <w:rFonts w:hAnsi="標楷體" w:hint="eastAsia"/>
        </w:rPr>
        <w:t>資料來源：國科會</w:t>
      </w:r>
      <w:r w:rsidR="001823AE" w:rsidRPr="00473490">
        <w:rPr>
          <w:rFonts w:hAnsi="標楷體" w:hint="eastAsia"/>
        </w:rPr>
        <w:t>提供</w:t>
      </w:r>
      <w:r w:rsidRPr="00473490">
        <w:rPr>
          <w:rFonts w:hAnsi="標楷體" w:hint="eastAsia"/>
        </w:rPr>
        <w:t>。</w:t>
      </w:r>
    </w:p>
    <w:p w:rsidR="00300EC2" w:rsidRPr="00473490" w:rsidRDefault="00300EC2" w:rsidP="00300EC2">
      <w:pPr>
        <w:ind w:leftChars="0" w:left="0" w:firstLineChars="0" w:firstLine="0"/>
        <w:rPr>
          <w:rFonts w:hAnsi="標楷體"/>
          <w:b/>
        </w:rPr>
      </w:pPr>
      <w:r w:rsidRPr="00473490">
        <w:rPr>
          <w:rFonts w:hAnsi="標楷體" w:hint="eastAsia"/>
          <w:b/>
        </w:rPr>
        <w:t>表2  110至112年度2030跨世代年輕學者方案績效指標達成情形表</w:t>
      </w:r>
    </w:p>
    <w:p w:rsidR="00300EC2" w:rsidRPr="00473490" w:rsidRDefault="00300EC2" w:rsidP="00300EC2">
      <w:pPr>
        <w:pStyle w:val="142"/>
        <w:jc w:val="right"/>
        <w:rPr>
          <w:rFonts w:hAnsi="標楷體" w:hint="eastAsia"/>
          <w:b/>
        </w:rPr>
      </w:pPr>
      <w:r w:rsidRPr="00473490">
        <w:rPr>
          <w:rFonts w:hAnsi="標楷體" w:hint="eastAsia"/>
        </w:rPr>
        <w:t>單位：件；%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2"/>
        <w:gridCol w:w="2429"/>
        <w:gridCol w:w="2126"/>
        <w:gridCol w:w="2126"/>
        <w:gridCol w:w="992"/>
      </w:tblGrid>
      <w:tr w:rsidR="00300EC2" w:rsidRPr="00473490" w:rsidTr="00EE771C">
        <w:trPr>
          <w:tblHeader/>
        </w:trPr>
        <w:tc>
          <w:tcPr>
            <w:tcW w:w="832" w:type="dxa"/>
            <w:shd w:val="clear" w:color="auto" w:fill="auto"/>
            <w:vAlign w:val="center"/>
          </w:tcPr>
          <w:p w:rsidR="00300EC2" w:rsidRPr="00473490" w:rsidRDefault="00300EC2" w:rsidP="00EE771C">
            <w:pPr>
              <w:pStyle w:val="142"/>
              <w:jc w:val="center"/>
              <w:rPr>
                <w:rFonts w:hAnsi="標楷體"/>
              </w:rPr>
            </w:pPr>
            <w:r w:rsidRPr="00473490">
              <w:rPr>
                <w:rFonts w:hAnsi="標楷體"/>
                <w:snapToGrid/>
              </w:rPr>
              <w:t>年度</w:t>
            </w:r>
          </w:p>
        </w:tc>
        <w:tc>
          <w:tcPr>
            <w:tcW w:w="2429" w:type="dxa"/>
            <w:shd w:val="clear" w:color="auto" w:fill="auto"/>
            <w:vAlign w:val="center"/>
          </w:tcPr>
          <w:p w:rsidR="00300EC2" w:rsidRPr="00473490" w:rsidRDefault="00300EC2" w:rsidP="00EE771C">
            <w:pPr>
              <w:pStyle w:val="142"/>
              <w:jc w:val="center"/>
              <w:rPr>
                <w:rFonts w:hAnsi="標楷體"/>
              </w:rPr>
            </w:pPr>
            <w:r w:rsidRPr="00473490">
              <w:rPr>
                <w:rFonts w:hAnsi="標楷體"/>
                <w:snapToGrid/>
              </w:rPr>
              <w:t>類別</w:t>
            </w:r>
          </w:p>
        </w:tc>
        <w:tc>
          <w:tcPr>
            <w:tcW w:w="2126" w:type="dxa"/>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績效指標目標值(A)</w:t>
            </w:r>
          </w:p>
        </w:tc>
        <w:tc>
          <w:tcPr>
            <w:tcW w:w="2126" w:type="dxa"/>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績效指標達成值(</w:t>
            </w:r>
            <w:r w:rsidRPr="00473490">
              <w:rPr>
                <w:rFonts w:hAnsi="標楷體"/>
                <w:snapToGrid/>
              </w:rPr>
              <w:t>B)</w:t>
            </w:r>
          </w:p>
        </w:tc>
        <w:tc>
          <w:tcPr>
            <w:tcW w:w="992" w:type="dxa"/>
            <w:shd w:val="clear" w:color="auto" w:fill="auto"/>
          </w:tcPr>
          <w:p w:rsidR="00300EC2" w:rsidRPr="00473490" w:rsidRDefault="00300EC2" w:rsidP="00EE771C">
            <w:pPr>
              <w:pStyle w:val="142"/>
              <w:jc w:val="center"/>
              <w:rPr>
                <w:rFonts w:hAnsi="標楷體" w:hint="eastAsia"/>
                <w:snapToGrid/>
              </w:rPr>
            </w:pPr>
            <w:r w:rsidRPr="00473490">
              <w:rPr>
                <w:rFonts w:hAnsi="標楷體" w:hint="eastAsia"/>
                <w:snapToGrid/>
              </w:rPr>
              <w:t>達成率(</w:t>
            </w:r>
            <w:r w:rsidRPr="00473490">
              <w:rPr>
                <w:rFonts w:hAnsi="標楷體"/>
                <w:snapToGrid/>
              </w:rPr>
              <w:t>B/A)</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snapToGrid/>
              </w:rPr>
              <w:t>11</w:t>
            </w:r>
            <w:r w:rsidRPr="00473490">
              <w:rPr>
                <w:rFonts w:hAnsi="標楷體" w:hint="eastAsia"/>
                <w:snapToGrid/>
              </w:rPr>
              <w:t>0</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30</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20.00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16</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06.67</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snapToGrid/>
              </w:rPr>
              <w:t>195</w:t>
            </w:r>
          </w:p>
        </w:tc>
        <w:tc>
          <w:tcPr>
            <w:tcW w:w="992" w:type="dxa"/>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snapToGrid/>
              </w:rPr>
              <w:t>11</w:t>
            </w:r>
            <w:r w:rsidRPr="00473490">
              <w:rPr>
                <w:rFonts w:hAnsi="標楷體" w:hint="eastAsia"/>
                <w:snapToGrid/>
              </w:rPr>
              <w:t>1</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24</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9</w:t>
            </w:r>
            <w:r w:rsidRPr="00473490">
              <w:rPr>
                <w:rFonts w:hAnsi="標楷體"/>
                <w:snapToGrid/>
              </w:rPr>
              <w:t>6.00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19</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26.67</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180</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112</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31</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24.00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22</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46.67</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175</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snapToGrid/>
              </w:rPr>
              <w:t>113</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snapToGrid/>
              </w:rPr>
              <w:t>33</w:t>
            </w:r>
          </w:p>
        </w:tc>
        <w:tc>
          <w:tcPr>
            <w:tcW w:w="992" w:type="dxa"/>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1</w:t>
            </w:r>
            <w:r w:rsidRPr="00473490">
              <w:rPr>
                <w:rFonts w:hAnsi="標楷體"/>
                <w:snapToGrid/>
              </w:rPr>
              <w:t>32.00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snapToGrid/>
              </w:rPr>
              <w:t>23</w:t>
            </w:r>
          </w:p>
        </w:tc>
        <w:tc>
          <w:tcPr>
            <w:tcW w:w="992" w:type="dxa"/>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1</w:t>
            </w:r>
            <w:r w:rsidRPr="00473490">
              <w:rPr>
                <w:rFonts w:hAnsi="標楷體"/>
                <w:snapToGrid/>
              </w:rPr>
              <w:t>53.33</w:t>
            </w:r>
          </w:p>
        </w:tc>
      </w:tr>
      <w:tr w:rsidR="00300EC2" w:rsidRPr="00473490" w:rsidTr="00EE771C">
        <w:tc>
          <w:tcPr>
            <w:tcW w:w="832" w:type="dxa"/>
            <w:vMerge/>
            <w:tcBorders>
              <w:bottom w:val="double" w:sz="4" w:space="0" w:color="auto"/>
            </w:tcBorders>
            <w:shd w:val="clear" w:color="auto" w:fill="auto"/>
            <w:vAlign w:val="center"/>
          </w:tcPr>
          <w:p w:rsidR="00300EC2" w:rsidRPr="00473490" w:rsidRDefault="00300EC2" w:rsidP="00EE771C">
            <w:pPr>
              <w:pStyle w:val="142"/>
              <w:jc w:val="center"/>
              <w:rPr>
                <w:rFonts w:hAnsi="標楷體"/>
              </w:rPr>
            </w:pPr>
          </w:p>
        </w:tc>
        <w:tc>
          <w:tcPr>
            <w:tcW w:w="2429" w:type="dxa"/>
            <w:tcBorders>
              <w:bottom w:val="double" w:sz="4" w:space="0" w:color="auto"/>
            </w:tcBorders>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tcBorders>
              <w:bottom w:val="double" w:sz="4"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tcBorders>
              <w:bottom w:val="double" w:sz="4"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snapToGrid/>
              </w:rPr>
              <w:t>173</w:t>
            </w:r>
          </w:p>
        </w:tc>
        <w:tc>
          <w:tcPr>
            <w:tcW w:w="992" w:type="dxa"/>
            <w:tcBorders>
              <w:bottom w:val="double" w:sz="4" w:space="0" w:color="auto"/>
            </w:tcBorders>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w:t>
            </w:r>
          </w:p>
        </w:tc>
      </w:tr>
      <w:tr w:rsidR="00300EC2" w:rsidRPr="00473490" w:rsidTr="00EE771C">
        <w:tc>
          <w:tcPr>
            <w:tcW w:w="832" w:type="dxa"/>
            <w:vMerge w:val="restart"/>
            <w:tcBorders>
              <w:top w:val="double" w:sz="4" w:space="0" w:color="auto"/>
              <w:bottom w:val="single" w:sz="6" w:space="0" w:color="auto"/>
            </w:tcBorders>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合計</w:t>
            </w:r>
          </w:p>
        </w:tc>
        <w:tc>
          <w:tcPr>
            <w:tcW w:w="2429" w:type="dxa"/>
            <w:tcBorders>
              <w:top w:val="double" w:sz="4" w:space="0" w:color="auto"/>
              <w:bottom w:val="single" w:sz="6" w:space="0" w:color="auto"/>
            </w:tcBorders>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tcBorders>
              <w:top w:val="double" w:sz="4" w:space="0" w:color="auto"/>
              <w:bottom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100</w:t>
            </w:r>
          </w:p>
        </w:tc>
        <w:tc>
          <w:tcPr>
            <w:tcW w:w="2126" w:type="dxa"/>
            <w:tcBorders>
              <w:top w:val="double" w:sz="4" w:space="0" w:color="auto"/>
              <w:bottom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118</w:t>
            </w:r>
          </w:p>
        </w:tc>
        <w:tc>
          <w:tcPr>
            <w:tcW w:w="992" w:type="dxa"/>
            <w:tcBorders>
              <w:top w:val="double" w:sz="4" w:space="0" w:color="auto"/>
              <w:bottom w:val="single" w:sz="6" w:space="0" w:color="auto"/>
            </w:tcBorders>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18.00</w:t>
            </w:r>
          </w:p>
        </w:tc>
      </w:tr>
      <w:tr w:rsidR="00300EC2" w:rsidRPr="00473490" w:rsidTr="00EE771C">
        <w:tc>
          <w:tcPr>
            <w:tcW w:w="832" w:type="dxa"/>
            <w:vMerge/>
            <w:tcBorders>
              <w:top w:val="single" w:sz="6" w:space="0" w:color="auto"/>
            </w:tcBorders>
            <w:shd w:val="clear" w:color="auto" w:fill="auto"/>
            <w:vAlign w:val="center"/>
          </w:tcPr>
          <w:p w:rsidR="00300EC2" w:rsidRPr="00473490" w:rsidRDefault="00300EC2" w:rsidP="00EE771C">
            <w:pPr>
              <w:pStyle w:val="142"/>
              <w:jc w:val="center"/>
              <w:rPr>
                <w:rFonts w:hAnsi="標楷體"/>
              </w:rPr>
            </w:pPr>
          </w:p>
        </w:tc>
        <w:tc>
          <w:tcPr>
            <w:tcW w:w="2429" w:type="dxa"/>
            <w:tcBorders>
              <w:top w:val="single" w:sz="6" w:space="0" w:color="auto"/>
            </w:tcBorders>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tcBorders>
              <w:top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60</w:t>
            </w:r>
          </w:p>
        </w:tc>
        <w:tc>
          <w:tcPr>
            <w:tcW w:w="2126" w:type="dxa"/>
            <w:tcBorders>
              <w:top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80</w:t>
            </w:r>
          </w:p>
        </w:tc>
        <w:tc>
          <w:tcPr>
            <w:tcW w:w="992" w:type="dxa"/>
            <w:tcBorders>
              <w:top w:val="single" w:sz="6" w:space="0" w:color="auto"/>
            </w:tcBorders>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33.33</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723</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w:t>
            </w:r>
          </w:p>
        </w:tc>
      </w:tr>
    </w:tbl>
    <w:p w:rsidR="00300EC2" w:rsidRPr="00473490" w:rsidRDefault="00300EC2" w:rsidP="00300EC2">
      <w:pPr>
        <w:pStyle w:val="142"/>
        <w:rPr>
          <w:rFonts w:hAnsi="標楷體" w:hint="eastAsia"/>
          <w:bCs/>
        </w:rPr>
      </w:pPr>
      <w:r w:rsidRPr="00473490">
        <w:rPr>
          <w:rFonts w:hAnsi="標楷體" w:hint="eastAsia"/>
        </w:rPr>
        <w:t>資料來源：國科會</w:t>
      </w:r>
      <w:r w:rsidR="001823AE" w:rsidRPr="00473490">
        <w:rPr>
          <w:rFonts w:hAnsi="標楷體" w:hint="eastAsia"/>
        </w:rPr>
        <w:t>提供</w:t>
      </w:r>
      <w:r w:rsidRPr="00473490">
        <w:rPr>
          <w:rFonts w:hAnsi="標楷體" w:hint="eastAsia"/>
        </w:rPr>
        <w:t>。</w:t>
      </w:r>
    </w:p>
    <w:bookmarkEnd w:id="1"/>
    <w:bookmarkEnd w:id="2"/>
    <w:bookmarkEnd w:id="3"/>
    <w:sectPr w:rsidR="00300EC2"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4503A5" w:rsidRPr="004503A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3A5"/>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F0DD3A6-B4AF-47AF-A429-E8381CBA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B96B0-DCA8-418E-A591-8538513D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288</Words>
  <Characters>1645</Characters>
  <Application>Microsoft Office Word</Application>
  <DocSecurity>0</DocSecurity>
  <Lines>13</Lines>
  <Paragraphs>3</Paragraphs>
  <ScaleCrop>false</ScaleCrop>
  <Company/>
  <LinksUpToDate>false</LinksUpToDate>
  <CharactersWithSpaces>1930</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