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8977C2" w:rsidRPr="00B85303" w:rsidRDefault="00F7441E" w:rsidP="003B2662">
      <w:pPr>
        <w:pStyle w:val="14"/>
        <w:ind w:left="580" w:hanging="580"/>
        <w:rPr>
          <w:rFonts w:ascii="標楷體" w:eastAsia="標楷體" w:hAnsi="標楷體"/>
        </w:rPr>
      </w:pPr>
      <w:bookmarkStart w:id="1" w:name="_Toc175038772"/>
      <w:bookmarkStart w:id="2" w:name="_Toc212448412"/>
      <w:r w:rsidRPr="00B85303">
        <w:rPr>
          <w:rFonts w:ascii="標楷體" w:eastAsia="標楷體" w:hAnsi="標楷體" w:hint="eastAsia"/>
        </w:rPr>
        <w:t>四</w:t>
      </w:r>
      <w:r w:rsidR="008977C2" w:rsidRPr="00B85303">
        <w:rPr>
          <w:rFonts w:ascii="標楷體" w:eastAsia="標楷體" w:hAnsi="標楷體" w:hint="eastAsia"/>
        </w:rPr>
        <w:t>、</w:t>
      </w:r>
      <w:r w:rsidR="00724AB6" w:rsidRPr="00B85303">
        <w:rPr>
          <w:rFonts w:ascii="標楷體" w:eastAsia="標楷體" w:hAnsi="標楷體" w:hint="eastAsia"/>
        </w:rPr>
        <w:t>近年我國</w:t>
      </w:r>
      <w:r w:rsidR="002B12BD" w:rsidRPr="00B85303">
        <w:rPr>
          <w:rFonts w:ascii="標楷體" w:eastAsia="標楷體" w:hAnsi="標楷體" w:hint="eastAsia"/>
        </w:rPr>
        <w:t>海洋產業總產值成長快速，惟</w:t>
      </w:r>
      <w:r w:rsidR="00676B38" w:rsidRPr="00B85303">
        <w:rPr>
          <w:rFonts w:ascii="標楷體" w:eastAsia="標楷體" w:hAnsi="標楷體" w:hint="eastAsia"/>
        </w:rPr>
        <w:t>111及112年度</w:t>
      </w:r>
      <w:r w:rsidR="00CF7B02" w:rsidRPr="00B85303">
        <w:rPr>
          <w:rFonts w:ascii="標楷體" w:eastAsia="標楷體" w:hAnsi="標楷體" w:hint="eastAsia"/>
        </w:rPr>
        <w:t>推估</w:t>
      </w:r>
      <w:r w:rsidR="00676B38" w:rsidRPr="00B85303">
        <w:rPr>
          <w:rFonts w:ascii="標楷體" w:eastAsia="標楷體" w:hAnsi="標楷體" w:hint="eastAsia"/>
        </w:rPr>
        <w:t>海洋休閒遊憩產業產值差異</w:t>
      </w:r>
      <w:r w:rsidR="002C0E9C" w:rsidRPr="00B85303">
        <w:rPr>
          <w:rFonts w:ascii="標楷體" w:eastAsia="標楷體" w:hAnsi="標楷體" w:hint="eastAsia"/>
        </w:rPr>
        <w:t>數</w:t>
      </w:r>
      <w:r w:rsidR="00676B38" w:rsidRPr="00B85303">
        <w:rPr>
          <w:rFonts w:ascii="標楷體" w:eastAsia="標楷體" w:hAnsi="標楷體" w:hint="eastAsia"/>
        </w:rPr>
        <w:t>甚大，又尚未納入郵輪產值</w:t>
      </w:r>
      <w:r w:rsidR="0067753B" w:rsidRPr="00B85303">
        <w:rPr>
          <w:rFonts w:ascii="標楷體" w:eastAsia="標楷體" w:hAnsi="標楷體" w:hint="eastAsia"/>
        </w:rPr>
        <w:t>，</w:t>
      </w:r>
      <w:r w:rsidR="00676B38" w:rsidRPr="00B85303">
        <w:rPr>
          <w:rFonts w:ascii="標楷體" w:eastAsia="標楷體" w:hAnsi="標楷體" w:hint="eastAsia"/>
        </w:rPr>
        <w:t>允宜</w:t>
      </w:r>
      <w:r w:rsidR="000E34A4" w:rsidRPr="00B85303">
        <w:rPr>
          <w:rFonts w:ascii="標楷體" w:eastAsia="標楷體" w:hAnsi="標楷體" w:hint="eastAsia"/>
        </w:rPr>
        <w:t>賡續精進</w:t>
      </w:r>
      <w:r w:rsidR="006F7A41" w:rsidRPr="00B85303">
        <w:rPr>
          <w:rFonts w:ascii="標楷體" w:eastAsia="標楷體" w:hAnsi="標楷體" w:hint="eastAsia"/>
        </w:rPr>
        <w:t>建立</w:t>
      </w:r>
      <w:r w:rsidR="00676B38" w:rsidRPr="00B85303">
        <w:rPr>
          <w:rFonts w:ascii="標楷體" w:eastAsia="標楷體" w:hAnsi="標楷體" w:hint="eastAsia"/>
        </w:rPr>
        <w:t>長期且</w:t>
      </w:r>
      <w:r w:rsidR="006F7A41" w:rsidRPr="00B85303">
        <w:rPr>
          <w:rFonts w:ascii="標楷體" w:eastAsia="標楷體" w:hAnsi="標楷體" w:hint="eastAsia"/>
        </w:rPr>
        <w:t>整體性統計方法</w:t>
      </w:r>
      <w:bookmarkEnd w:id="2"/>
    </w:p>
    <w:p w:rsidR="00896EC8" w:rsidRPr="00B85303" w:rsidRDefault="00896EC8" w:rsidP="00896EC8">
      <w:pPr>
        <w:ind w:left="560" w:firstLine="560"/>
        <w:rPr>
          <w:rFonts w:ascii="標楷體" w:hAnsi="標楷體"/>
        </w:rPr>
      </w:pPr>
      <w:r w:rsidRPr="00B85303">
        <w:rPr>
          <w:rFonts w:ascii="標楷體" w:hAnsi="標楷體" w:hint="eastAsia"/>
        </w:rPr>
        <w:t>海委會11</w:t>
      </w:r>
      <w:r w:rsidR="00BC5519" w:rsidRPr="00B85303">
        <w:rPr>
          <w:rFonts w:ascii="標楷體" w:hAnsi="標楷體" w:hint="eastAsia"/>
        </w:rPr>
        <w:t>5</w:t>
      </w:r>
      <w:r w:rsidRPr="00B85303">
        <w:rPr>
          <w:rFonts w:ascii="標楷體" w:hAnsi="標楷體" w:hint="eastAsia"/>
        </w:rPr>
        <w:t>年度預算案「海洋業務-海</w:t>
      </w:r>
      <w:r w:rsidR="0040557F" w:rsidRPr="00B85303">
        <w:rPr>
          <w:rFonts w:ascii="標楷體" w:hAnsi="標楷體" w:hint="eastAsia"/>
        </w:rPr>
        <w:t>洋資源</w:t>
      </w:r>
      <w:r w:rsidRPr="00B85303">
        <w:rPr>
          <w:rFonts w:ascii="標楷體" w:hAnsi="標楷體" w:hint="eastAsia"/>
        </w:rPr>
        <w:t>作業」</w:t>
      </w:r>
      <w:r w:rsidR="0067753B" w:rsidRPr="00B85303">
        <w:rPr>
          <w:rFonts w:ascii="標楷體" w:hAnsi="標楷體" w:hint="eastAsia"/>
        </w:rPr>
        <w:t>項下</w:t>
      </w:r>
      <w:r w:rsidRPr="00B85303">
        <w:rPr>
          <w:rFonts w:ascii="標楷體" w:hAnsi="標楷體" w:hint="eastAsia"/>
        </w:rPr>
        <w:t>編列</w:t>
      </w:r>
      <w:r w:rsidR="00AE1748" w:rsidRPr="00B85303">
        <w:rPr>
          <w:rFonts w:ascii="標楷體" w:hAnsi="標楷體" w:hint="eastAsia"/>
        </w:rPr>
        <w:t>辦理海洋產</w:t>
      </w:r>
      <w:r w:rsidR="0040557F" w:rsidRPr="00B85303">
        <w:rPr>
          <w:rFonts w:ascii="標楷體" w:hAnsi="標楷體" w:hint="eastAsia"/>
        </w:rPr>
        <w:t>業</w:t>
      </w:r>
      <w:r w:rsidR="00AE1748" w:rsidRPr="00B85303">
        <w:rPr>
          <w:rFonts w:ascii="標楷體" w:hAnsi="標楷體" w:hint="eastAsia"/>
        </w:rPr>
        <w:t>試算推動計畫</w:t>
      </w:r>
      <w:r w:rsidR="00BC5519" w:rsidRPr="00B85303">
        <w:rPr>
          <w:rFonts w:ascii="標楷體" w:hAnsi="標楷體" w:hint="eastAsia"/>
        </w:rPr>
        <w:t>委辦費</w:t>
      </w:r>
      <w:r w:rsidR="00AE1748" w:rsidRPr="00B85303">
        <w:rPr>
          <w:rFonts w:ascii="標楷體" w:hAnsi="標楷體" w:hint="eastAsia"/>
        </w:rPr>
        <w:t>1</w:t>
      </w:r>
      <w:r w:rsidR="00AE1748" w:rsidRPr="00B85303">
        <w:rPr>
          <w:rFonts w:ascii="標楷體" w:hAnsi="標楷體"/>
        </w:rPr>
        <w:t>20</w:t>
      </w:r>
      <w:r w:rsidR="00AE1748" w:rsidRPr="00B85303">
        <w:rPr>
          <w:rFonts w:ascii="標楷體" w:hAnsi="標楷體" w:hint="eastAsia"/>
        </w:rPr>
        <w:t>萬元</w:t>
      </w:r>
      <w:r w:rsidR="00645766" w:rsidRPr="00B85303">
        <w:rPr>
          <w:rFonts w:ascii="標楷體" w:hAnsi="標楷體" w:hint="eastAsia"/>
        </w:rPr>
        <w:t>。</w:t>
      </w:r>
      <w:r w:rsidRPr="00B85303">
        <w:rPr>
          <w:rFonts w:ascii="標楷體" w:hAnsi="標楷體" w:hint="eastAsia"/>
        </w:rPr>
        <w:t>經查：</w:t>
      </w:r>
    </w:p>
    <w:p w:rsidR="0040557F" w:rsidRPr="00B85303" w:rsidRDefault="0040557F" w:rsidP="0040557F">
      <w:pPr>
        <w:pStyle w:val="a4"/>
        <w:ind w:left="840" w:hanging="280"/>
        <w:rPr>
          <w:rFonts w:ascii="標楷體" w:hAnsi="標楷體"/>
          <w:b/>
        </w:rPr>
      </w:pPr>
      <w:r w:rsidRPr="00B85303">
        <w:rPr>
          <w:rFonts w:ascii="標楷體" w:hAnsi="標楷體" w:hint="eastAsia"/>
          <w:b/>
        </w:rPr>
        <w:t>(一)海洋產業</w:t>
      </w:r>
      <w:r w:rsidR="00C644C9" w:rsidRPr="00B85303">
        <w:rPr>
          <w:rFonts w:ascii="標楷體" w:hAnsi="標楷體" w:hint="eastAsia"/>
          <w:b/>
        </w:rPr>
        <w:t>發展</w:t>
      </w:r>
      <w:r w:rsidRPr="00B85303">
        <w:rPr>
          <w:rFonts w:ascii="標楷體" w:hAnsi="標楷體" w:hint="eastAsia"/>
          <w:b/>
        </w:rPr>
        <w:t>條例、海洋產業內容及範圍</w:t>
      </w:r>
      <w:r w:rsidRPr="00B85303">
        <w:rPr>
          <w:rFonts w:ascii="標楷體" w:hAnsi="標楷體" w:cs="Arial" w:hint="eastAsia"/>
          <w:b/>
        </w:rPr>
        <w:t>於1</w:t>
      </w:r>
      <w:r w:rsidRPr="00B85303">
        <w:rPr>
          <w:rFonts w:ascii="標楷體" w:hAnsi="標楷體" w:cs="Arial"/>
          <w:b/>
        </w:rPr>
        <w:t>13</w:t>
      </w:r>
      <w:r w:rsidRPr="00B85303">
        <w:rPr>
          <w:rFonts w:ascii="標楷體" w:hAnsi="標楷體" w:cs="Arial" w:hint="eastAsia"/>
          <w:b/>
        </w:rPr>
        <w:t>年1月施行</w:t>
      </w:r>
      <w:r w:rsidRPr="00B85303">
        <w:rPr>
          <w:rFonts w:ascii="標楷體" w:hAnsi="標楷體"/>
          <w:b/>
        </w:rPr>
        <w:t xml:space="preserve"> </w:t>
      </w:r>
    </w:p>
    <w:p w:rsidR="00531F6E" w:rsidRPr="00B85303" w:rsidRDefault="00531F6E" w:rsidP="00531F6E">
      <w:pPr>
        <w:pStyle w:val="123"/>
        <w:ind w:left="1120" w:hanging="280"/>
        <w:rPr>
          <w:rFonts w:ascii="標楷體" w:hAnsi="標楷體"/>
        </w:rPr>
      </w:pPr>
      <w:r w:rsidRPr="00B85303">
        <w:rPr>
          <w:rFonts w:ascii="標楷體" w:hAnsi="標楷體" w:hint="eastAsia"/>
        </w:rPr>
        <w:t>1</w:t>
      </w:r>
      <w:r w:rsidRPr="00B85303">
        <w:rPr>
          <w:rFonts w:ascii="標楷體" w:hAnsi="標楷體"/>
        </w:rPr>
        <w:t>.107</w:t>
      </w:r>
      <w:r w:rsidRPr="00B85303">
        <w:rPr>
          <w:rFonts w:ascii="標楷體" w:hAnsi="標楷體" w:hint="eastAsia"/>
        </w:rPr>
        <w:t>年4月海委會揭牌，蔡總統指出海委會三大目標，一、健全海洋法制</w:t>
      </w:r>
      <w:r w:rsidR="00A00982" w:rsidRPr="00B85303">
        <w:rPr>
          <w:rFonts w:ascii="標楷體" w:hAnsi="標楷體" w:hint="eastAsia"/>
        </w:rPr>
        <w:t>，</w:t>
      </w:r>
      <w:r w:rsidRPr="00B85303">
        <w:rPr>
          <w:rFonts w:ascii="標楷體" w:hAnsi="標楷體" w:hint="eastAsia"/>
        </w:rPr>
        <w:t>做好生態保育工作；二、配合政策，推動海洋產業；三、強化海洋研究能量</w:t>
      </w:r>
      <w:r w:rsidR="00A00982" w:rsidRPr="00B85303">
        <w:rPr>
          <w:rFonts w:ascii="標楷體" w:hAnsi="標楷體" w:hint="eastAsia"/>
        </w:rPr>
        <w:t>，</w:t>
      </w:r>
      <w:r w:rsidRPr="00B85303">
        <w:rPr>
          <w:rFonts w:ascii="標楷體" w:hAnsi="標楷體" w:hint="eastAsia"/>
        </w:rPr>
        <w:t>培育海洋人才。又</w:t>
      </w:r>
      <w:r w:rsidR="00D5449C" w:rsidRPr="00B85303">
        <w:rPr>
          <w:rFonts w:ascii="標楷體" w:hAnsi="標楷體" w:hint="eastAsia"/>
        </w:rPr>
        <w:t>依</w:t>
      </w:r>
      <w:r w:rsidRPr="00B85303">
        <w:rPr>
          <w:rFonts w:ascii="標楷體" w:hAnsi="標楷體" w:hint="eastAsia"/>
        </w:rPr>
        <w:t>1</w:t>
      </w:r>
      <w:r w:rsidRPr="00B85303">
        <w:rPr>
          <w:rFonts w:ascii="標楷體" w:hAnsi="標楷體"/>
        </w:rPr>
        <w:t>08</w:t>
      </w:r>
      <w:r w:rsidRPr="00B85303">
        <w:rPr>
          <w:rFonts w:ascii="標楷體" w:hAnsi="標楷體" w:hint="eastAsia"/>
        </w:rPr>
        <w:t>年1</w:t>
      </w:r>
      <w:r w:rsidRPr="00B85303">
        <w:rPr>
          <w:rFonts w:ascii="標楷體" w:hAnsi="標楷體"/>
        </w:rPr>
        <w:t>1</w:t>
      </w:r>
      <w:r w:rsidRPr="00B85303">
        <w:rPr>
          <w:rFonts w:ascii="標楷體" w:hAnsi="標楷體" w:hint="eastAsia"/>
        </w:rPr>
        <w:t>月公布施行</w:t>
      </w:r>
      <w:r w:rsidR="00D5449C" w:rsidRPr="00B85303">
        <w:rPr>
          <w:rFonts w:ascii="標楷體" w:hAnsi="標楷體" w:hint="eastAsia"/>
        </w:rPr>
        <w:t>之</w:t>
      </w:r>
      <w:r w:rsidRPr="00B85303">
        <w:rPr>
          <w:rFonts w:ascii="標楷體" w:hAnsi="標楷體" w:hint="eastAsia"/>
        </w:rPr>
        <w:t>海洋基本法第</w:t>
      </w:r>
      <w:r w:rsidR="00D5449C" w:rsidRPr="00B85303">
        <w:rPr>
          <w:rFonts w:ascii="標楷體" w:hAnsi="標楷體" w:hint="eastAsia"/>
        </w:rPr>
        <w:t>9</w:t>
      </w:r>
      <w:r w:rsidRPr="00B85303">
        <w:rPr>
          <w:rFonts w:ascii="標楷體" w:hAnsi="標楷體" w:hint="eastAsia"/>
        </w:rPr>
        <w:t>條</w:t>
      </w:r>
      <w:r w:rsidR="00D5449C" w:rsidRPr="00B85303">
        <w:rPr>
          <w:rFonts w:ascii="標楷體" w:hAnsi="標楷體" w:hint="eastAsia"/>
        </w:rPr>
        <w:t>規定略以，</w:t>
      </w:r>
      <w:r w:rsidRPr="00B85303">
        <w:rPr>
          <w:rFonts w:ascii="標楷體" w:hAnsi="標楷體" w:hint="eastAsia"/>
        </w:rPr>
        <w:t>政府應積極推動、輔助海洋產業之發展，並結合財稅與金融制度，提供海</w:t>
      </w:r>
      <w:r w:rsidRPr="00B85303">
        <w:rPr>
          <w:rFonts w:ascii="標楷體" w:hAnsi="標楷體" w:hint="eastAsia"/>
        </w:rPr>
        <w:lastRenderedPageBreak/>
        <w:t>洋產業穩健發展政策</w:t>
      </w:r>
      <w:r w:rsidR="00D5449C" w:rsidRPr="00B85303">
        <w:rPr>
          <w:rFonts w:ascii="標楷體" w:hAnsi="標楷體" w:hint="eastAsia"/>
        </w:rPr>
        <w:t>。準此，</w:t>
      </w:r>
      <w:r w:rsidR="00C90F1E" w:rsidRPr="00B85303">
        <w:rPr>
          <w:rFonts w:ascii="標楷體" w:hAnsi="標楷體" w:hint="eastAsia"/>
        </w:rPr>
        <w:t>顯示政府強調及重視推動</w:t>
      </w:r>
      <w:r w:rsidRPr="00B85303">
        <w:rPr>
          <w:rFonts w:ascii="標楷體" w:hAnsi="標楷體" w:hint="eastAsia"/>
        </w:rPr>
        <w:t>海洋產業發展。</w:t>
      </w:r>
    </w:p>
    <w:p w:rsidR="00531F6E" w:rsidRPr="00B85303" w:rsidRDefault="00531F6E" w:rsidP="00531F6E">
      <w:pPr>
        <w:pStyle w:val="123"/>
        <w:ind w:left="1120" w:hanging="280"/>
        <w:rPr>
          <w:rFonts w:ascii="標楷體" w:hAnsi="標楷體"/>
        </w:rPr>
      </w:pPr>
      <w:r w:rsidRPr="00B85303">
        <w:rPr>
          <w:rFonts w:ascii="標楷體" w:hAnsi="標楷體"/>
        </w:rPr>
        <w:t>2.</w:t>
      </w:r>
      <w:r w:rsidRPr="00B85303">
        <w:rPr>
          <w:rFonts w:ascii="標楷體" w:hAnsi="標楷體" w:hint="eastAsia"/>
        </w:rPr>
        <w:t>為促進海洋產業之永續發展，提升海洋產業競爭力，加強政策統合協調功能，海洋產業發展條例</w:t>
      </w:r>
      <w:r w:rsidR="00E836A8" w:rsidRPr="00B85303">
        <w:rPr>
          <w:rFonts w:ascii="標楷體" w:hAnsi="標楷體" w:hint="eastAsia"/>
        </w:rPr>
        <w:t>業</w:t>
      </w:r>
      <w:r w:rsidRPr="00B85303">
        <w:rPr>
          <w:rFonts w:ascii="標楷體" w:hAnsi="標楷體" w:hint="eastAsia"/>
        </w:rPr>
        <w:t>於1</w:t>
      </w:r>
      <w:r w:rsidRPr="00B85303">
        <w:rPr>
          <w:rFonts w:ascii="標楷體" w:hAnsi="標楷體"/>
        </w:rPr>
        <w:t>12</w:t>
      </w:r>
      <w:r w:rsidRPr="00B85303">
        <w:rPr>
          <w:rFonts w:ascii="標楷體" w:hAnsi="標楷體" w:hint="eastAsia"/>
        </w:rPr>
        <w:t>年6月公布並於113年1月1日施行；該法第4條</w:t>
      </w:r>
      <w:r w:rsidR="00E836A8" w:rsidRPr="00B85303">
        <w:rPr>
          <w:rFonts w:ascii="標楷體" w:hAnsi="標楷體" w:hint="eastAsia"/>
        </w:rPr>
        <w:t>第2項授權訂定之</w:t>
      </w:r>
      <w:r w:rsidR="00DF4B93" w:rsidRPr="00B85303">
        <w:rPr>
          <w:rFonts w:ascii="標楷體" w:hAnsi="標楷體" w:hint="eastAsia"/>
        </w:rPr>
        <w:t>海洋產業內容及範圍，亦自113年1月</w:t>
      </w:r>
      <w:r w:rsidR="00AA683A" w:rsidRPr="00B85303">
        <w:rPr>
          <w:rFonts w:ascii="標楷體" w:hAnsi="標楷體" w:hint="eastAsia"/>
        </w:rPr>
        <w:t>發</w:t>
      </w:r>
      <w:r w:rsidR="00322538" w:rsidRPr="00B85303">
        <w:rPr>
          <w:rFonts w:ascii="標楷體" w:hAnsi="標楷體" w:hint="eastAsia"/>
        </w:rPr>
        <w:t>布</w:t>
      </w:r>
      <w:r w:rsidR="00DF4B93" w:rsidRPr="00B85303">
        <w:rPr>
          <w:rFonts w:ascii="標楷體" w:hAnsi="標楷體" w:hint="eastAsia"/>
        </w:rPr>
        <w:t>，</w:t>
      </w:r>
      <w:r w:rsidR="00936A4D" w:rsidRPr="00B85303">
        <w:rPr>
          <w:rFonts w:ascii="標楷體" w:hAnsi="標楷體" w:hint="eastAsia"/>
        </w:rPr>
        <w:t>明確界定海洋能源、海洋生物科技等16項海洋產業之內容與範圍，及中央目的事業主管機關</w:t>
      </w:r>
      <w:r w:rsidR="002B7BF0" w:rsidRPr="00B85303">
        <w:rPr>
          <w:rFonts w:ascii="標楷體" w:hAnsi="標楷體" w:hint="eastAsia"/>
        </w:rPr>
        <w:t>，據以推動相關產業協助措施。</w:t>
      </w:r>
    </w:p>
    <w:p w:rsidR="002B7BF0" w:rsidRPr="00B85303" w:rsidRDefault="00587522" w:rsidP="00587522">
      <w:pPr>
        <w:pStyle w:val="a4"/>
        <w:ind w:left="840" w:hanging="280"/>
        <w:rPr>
          <w:rFonts w:ascii="標楷體" w:hAnsi="標楷體"/>
          <w:b/>
          <w:bCs/>
        </w:rPr>
      </w:pPr>
      <w:r w:rsidRPr="00B85303">
        <w:rPr>
          <w:rFonts w:ascii="標楷體" w:hAnsi="標楷體" w:hint="eastAsia"/>
          <w:b/>
          <w:bCs/>
        </w:rPr>
        <w:t>(二)</w:t>
      </w:r>
      <w:bookmarkStart w:id="3" w:name="_Hlk177667349"/>
      <w:r w:rsidR="002B12BD" w:rsidRPr="00B85303">
        <w:rPr>
          <w:rFonts w:ascii="標楷體" w:hAnsi="標楷體" w:hint="eastAsia"/>
          <w:b/>
          <w:bCs/>
        </w:rPr>
        <w:t>近年</w:t>
      </w:r>
      <w:r w:rsidR="00724AB6" w:rsidRPr="00B85303">
        <w:rPr>
          <w:rFonts w:ascii="標楷體" w:hAnsi="標楷體" w:hint="eastAsia"/>
          <w:b/>
          <w:bCs/>
        </w:rPr>
        <w:t>我國</w:t>
      </w:r>
      <w:r w:rsidR="002B12BD" w:rsidRPr="00B85303">
        <w:rPr>
          <w:rFonts w:ascii="標楷體" w:hAnsi="標楷體" w:hint="eastAsia"/>
          <w:b/>
          <w:bCs/>
        </w:rPr>
        <w:t>海洋產業總產值成長快速，惟</w:t>
      </w:r>
      <w:r w:rsidR="00676B38" w:rsidRPr="00B85303">
        <w:rPr>
          <w:rFonts w:ascii="標楷體" w:hAnsi="標楷體" w:hint="eastAsia"/>
          <w:b/>
          <w:bCs/>
        </w:rPr>
        <w:t>111及112年度</w:t>
      </w:r>
      <w:r w:rsidR="00CF7B02" w:rsidRPr="00B85303">
        <w:rPr>
          <w:rFonts w:ascii="標楷體" w:hAnsi="標楷體" w:hint="eastAsia"/>
          <w:b/>
          <w:bCs/>
        </w:rPr>
        <w:t>推估</w:t>
      </w:r>
      <w:r w:rsidR="006F7A41" w:rsidRPr="00B85303">
        <w:rPr>
          <w:rFonts w:ascii="標楷體" w:hAnsi="標楷體" w:hint="eastAsia"/>
          <w:b/>
          <w:bCs/>
        </w:rPr>
        <w:t>海洋休閒遊憩產業產值</w:t>
      </w:r>
      <w:r w:rsidR="00676B38" w:rsidRPr="00B85303">
        <w:rPr>
          <w:rFonts w:ascii="標楷體" w:hAnsi="標楷體" w:hint="eastAsia"/>
          <w:b/>
          <w:bCs/>
        </w:rPr>
        <w:t>之差</w:t>
      </w:r>
      <w:r w:rsidR="00835829" w:rsidRPr="00B85303">
        <w:rPr>
          <w:rFonts w:ascii="標楷體" w:hAnsi="標楷體" w:hint="eastAsia"/>
          <w:b/>
          <w:bCs/>
        </w:rPr>
        <w:t>異數</w:t>
      </w:r>
      <w:r w:rsidR="006F7A41" w:rsidRPr="00B85303">
        <w:rPr>
          <w:rFonts w:ascii="標楷體" w:hAnsi="標楷體" w:hint="eastAsia"/>
          <w:b/>
          <w:bCs/>
        </w:rPr>
        <w:t>甚大，</w:t>
      </w:r>
      <w:r w:rsidR="002F61EB" w:rsidRPr="00B85303">
        <w:rPr>
          <w:rFonts w:ascii="標楷體" w:hAnsi="標楷體" w:hint="eastAsia"/>
          <w:b/>
          <w:bCs/>
        </w:rPr>
        <w:t>又</w:t>
      </w:r>
      <w:r w:rsidR="00676B38" w:rsidRPr="00B85303">
        <w:rPr>
          <w:rFonts w:ascii="標楷體" w:hAnsi="標楷體" w:hint="eastAsia"/>
          <w:b/>
          <w:bCs/>
        </w:rPr>
        <w:t>尚</w:t>
      </w:r>
      <w:r w:rsidR="006F7A41" w:rsidRPr="00B85303">
        <w:rPr>
          <w:rFonts w:ascii="標楷體" w:hAnsi="標楷體" w:hint="eastAsia"/>
          <w:b/>
          <w:bCs/>
        </w:rPr>
        <w:t>未納入郵輪產值</w:t>
      </w:r>
      <w:r w:rsidR="000464D2" w:rsidRPr="00B85303">
        <w:rPr>
          <w:rFonts w:ascii="標楷體" w:hAnsi="標楷體"/>
          <w:b/>
          <w:bCs/>
        </w:rPr>
        <w:t xml:space="preserve"> </w:t>
      </w:r>
    </w:p>
    <w:bookmarkEnd w:id="3"/>
    <w:p w:rsidR="00587522" w:rsidRPr="00B85303" w:rsidRDefault="00F442BC" w:rsidP="00F442BC">
      <w:pPr>
        <w:pStyle w:val="123"/>
        <w:ind w:left="1120" w:hanging="280"/>
        <w:rPr>
          <w:rFonts w:ascii="標楷體" w:hAnsi="標楷體"/>
        </w:rPr>
      </w:pPr>
      <w:r w:rsidRPr="00B85303">
        <w:rPr>
          <w:rFonts w:ascii="標楷體" w:hAnsi="標楷體" w:hint="eastAsia"/>
        </w:rPr>
        <w:t>1</w:t>
      </w:r>
      <w:r w:rsidRPr="00B85303">
        <w:rPr>
          <w:rFonts w:ascii="標楷體" w:hAnsi="標楷體"/>
        </w:rPr>
        <w:t>.</w:t>
      </w:r>
      <w:r w:rsidR="00E90D0C" w:rsidRPr="00B85303">
        <w:rPr>
          <w:rFonts w:ascii="標楷體" w:hAnsi="標楷體" w:hint="eastAsia"/>
        </w:rPr>
        <w:t>洽據海委會表示，111年</w:t>
      </w:r>
      <w:r w:rsidR="004C1CAC" w:rsidRPr="00B85303">
        <w:rPr>
          <w:rFonts w:ascii="標楷體" w:hAnsi="標楷體" w:hint="eastAsia"/>
        </w:rPr>
        <w:t>度</w:t>
      </w:r>
      <w:r w:rsidR="00E90D0C" w:rsidRPr="00B85303">
        <w:rPr>
          <w:rFonts w:ascii="標楷體" w:hAnsi="標楷體" w:hint="eastAsia"/>
        </w:rPr>
        <w:t>起建立海洋產業產值統計方法，估計我國海洋產業產值107年</w:t>
      </w:r>
      <w:r w:rsidR="004C1CAC" w:rsidRPr="00B85303">
        <w:rPr>
          <w:rFonts w:ascii="標楷體" w:hAnsi="標楷體" w:hint="eastAsia"/>
        </w:rPr>
        <w:t>度</w:t>
      </w:r>
      <w:r w:rsidR="00816F94" w:rsidRPr="00B85303">
        <w:rPr>
          <w:rFonts w:ascii="標楷體" w:hAnsi="標楷體" w:hint="eastAsia"/>
        </w:rPr>
        <w:t>為</w:t>
      </w:r>
      <w:r w:rsidR="00E90D0C" w:rsidRPr="00B85303">
        <w:rPr>
          <w:rFonts w:ascii="標楷體" w:hAnsi="標楷體" w:hint="eastAsia"/>
        </w:rPr>
        <w:t>7,507億元、1</w:t>
      </w:r>
      <w:r w:rsidR="00E90D0C" w:rsidRPr="00B85303">
        <w:rPr>
          <w:rFonts w:ascii="標楷體" w:hAnsi="標楷體"/>
        </w:rPr>
        <w:t>08</w:t>
      </w:r>
      <w:r w:rsidR="00E90D0C" w:rsidRPr="00B85303">
        <w:rPr>
          <w:rFonts w:ascii="標楷體" w:hAnsi="標楷體" w:hint="eastAsia"/>
        </w:rPr>
        <w:t>年</w:t>
      </w:r>
      <w:r w:rsidR="004C1CAC" w:rsidRPr="00B85303">
        <w:rPr>
          <w:rFonts w:ascii="標楷體" w:hAnsi="標楷體" w:hint="eastAsia"/>
        </w:rPr>
        <w:t>度</w:t>
      </w:r>
      <w:r w:rsidR="00816F94" w:rsidRPr="00B85303">
        <w:rPr>
          <w:rFonts w:ascii="標楷體" w:hAnsi="標楷體" w:hint="eastAsia"/>
        </w:rPr>
        <w:t>為</w:t>
      </w:r>
      <w:r w:rsidR="00E90D0C" w:rsidRPr="00B85303">
        <w:rPr>
          <w:rFonts w:ascii="標楷體" w:hAnsi="標楷體" w:hint="eastAsia"/>
        </w:rPr>
        <w:t>7</w:t>
      </w:r>
      <w:r w:rsidR="00E90D0C" w:rsidRPr="00B85303">
        <w:rPr>
          <w:rFonts w:ascii="標楷體" w:hAnsi="標楷體"/>
        </w:rPr>
        <w:t>,771</w:t>
      </w:r>
      <w:r w:rsidR="00E90D0C" w:rsidRPr="00B85303">
        <w:rPr>
          <w:rFonts w:ascii="標楷體" w:hAnsi="標楷體" w:hint="eastAsia"/>
        </w:rPr>
        <w:t>億元、1</w:t>
      </w:r>
      <w:r w:rsidR="00E90D0C" w:rsidRPr="00B85303">
        <w:rPr>
          <w:rFonts w:ascii="標楷體" w:hAnsi="標楷體"/>
        </w:rPr>
        <w:t>09</w:t>
      </w:r>
      <w:r w:rsidR="00E90D0C" w:rsidRPr="00B85303">
        <w:rPr>
          <w:rFonts w:ascii="標楷體" w:hAnsi="標楷體" w:hint="eastAsia"/>
        </w:rPr>
        <w:t>年</w:t>
      </w:r>
      <w:r w:rsidR="004C1CAC" w:rsidRPr="00B85303">
        <w:rPr>
          <w:rFonts w:ascii="標楷體" w:hAnsi="標楷體" w:hint="eastAsia"/>
        </w:rPr>
        <w:t>度</w:t>
      </w:r>
      <w:r w:rsidR="00816F94" w:rsidRPr="00B85303">
        <w:rPr>
          <w:rFonts w:ascii="標楷體" w:hAnsi="標楷體" w:hint="eastAsia"/>
        </w:rPr>
        <w:t>為</w:t>
      </w:r>
      <w:r w:rsidR="00E90D0C" w:rsidRPr="00B85303">
        <w:rPr>
          <w:rFonts w:ascii="標楷體" w:hAnsi="標楷體" w:hint="eastAsia"/>
        </w:rPr>
        <w:t>8</w:t>
      </w:r>
      <w:r w:rsidR="00E90D0C" w:rsidRPr="00B85303">
        <w:rPr>
          <w:rFonts w:ascii="標楷體" w:hAnsi="標楷體"/>
        </w:rPr>
        <w:t>,048</w:t>
      </w:r>
      <w:r w:rsidR="00E90D0C" w:rsidRPr="00B85303">
        <w:rPr>
          <w:rFonts w:ascii="標楷體" w:hAnsi="標楷體" w:hint="eastAsia"/>
        </w:rPr>
        <w:t>億元、1</w:t>
      </w:r>
      <w:r w:rsidR="00E90D0C" w:rsidRPr="00B85303">
        <w:rPr>
          <w:rFonts w:ascii="標楷體" w:hAnsi="標楷體"/>
        </w:rPr>
        <w:t>10</w:t>
      </w:r>
      <w:r w:rsidR="00E90D0C" w:rsidRPr="00B85303">
        <w:rPr>
          <w:rFonts w:ascii="標楷體" w:hAnsi="標楷體" w:hint="eastAsia"/>
        </w:rPr>
        <w:t>年</w:t>
      </w:r>
      <w:r w:rsidR="004C1CAC" w:rsidRPr="00B85303">
        <w:rPr>
          <w:rFonts w:ascii="標楷體" w:hAnsi="標楷體" w:hint="eastAsia"/>
        </w:rPr>
        <w:t>度</w:t>
      </w:r>
      <w:r w:rsidR="00816F94" w:rsidRPr="00B85303">
        <w:rPr>
          <w:rFonts w:ascii="標楷體" w:hAnsi="標楷體" w:hint="eastAsia"/>
        </w:rPr>
        <w:t>為</w:t>
      </w:r>
      <w:r w:rsidR="00E90D0C" w:rsidRPr="00B85303">
        <w:rPr>
          <w:rFonts w:ascii="標楷體" w:hAnsi="標楷體" w:hint="eastAsia"/>
        </w:rPr>
        <w:t>1兆</w:t>
      </w:r>
      <w:r w:rsidR="00816F94" w:rsidRPr="00B85303">
        <w:rPr>
          <w:rFonts w:ascii="標楷體" w:hAnsi="標楷體" w:hint="eastAsia"/>
        </w:rPr>
        <w:t>5</w:t>
      </w:r>
      <w:r w:rsidR="00816F94" w:rsidRPr="00B85303">
        <w:rPr>
          <w:rFonts w:ascii="標楷體" w:hAnsi="標楷體"/>
        </w:rPr>
        <w:t>,016</w:t>
      </w:r>
      <w:r w:rsidR="00816F94" w:rsidRPr="00B85303">
        <w:rPr>
          <w:rFonts w:ascii="標楷體" w:hAnsi="標楷體" w:hint="eastAsia"/>
        </w:rPr>
        <w:t>億元</w:t>
      </w:r>
      <w:r w:rsidR="004C1CAC" w:rsidRPr="00B85303">
        <w:rPr>
          <w:rFonts w:ascii="標楷體" w:hAnsi="標楷體" w:hint="eastAsia"/>
        </w:rPr>
        <w:t>、</w:t>
      </w:r>
      <w:r w:rsidR="00E90D0C" w:rsidRPr="00B85303">
        <w:rPr>
          <w:rFonts w:ascii="標楷體" w:hAnsi="標楷體" w:hint="eastAsia"/>
        </w:rPr>
        <w:t>111年</w:t>
      </w:r>
      <w:r w:rsidR="004C1CAC" w:rsidRPr="00B85303">
        <w:rPr>
          <w:rFonts w:ascii="標楷體" w:hAnsi="標楷體" w:hint="eastAsia"/>
        </w:rPr>
        <w:t>度</w:t>
      </w:r>
      <w:r w:rsidR="00816F94" w:rsidRPr="00B85303">
        <w:rPr>
          <w:rFonts w:ascii="標楷體" w:hAnsi="標楷體" w:hint="eastAsia"/>
        </w:rPr>
        <w:t>為</w:t>
      </w:r>
      <w:r w:rsidR="00E90D0C" w:rsidRPr="00B85303">
        <w:rPr>
          <w:rFonts w:ascii="標楷體" w:hAnsi="標楷體" w:hint="eastAsia"/>
        </w:rPr>
        <w:t>1兆7,03</w:t>
      </w:r>
      <w:r w:rsidR="00630574">
        <w:rPr>
          <w:rFonts w:ascii="標楷體" w:hAnsi="標楷體" w:hint="eastAsia"/>
        </w:rPr>
        <w:t>1</w:t>
      </w:r>
      <w:r w:rsidR="00E90D0C" w:rsidRPr="00B85303">
        <w:rPr>
          <w:rFonts w:ascii="標楷體" w:hAnsi="標楷體" w:hint="eastAsia"/>
        </w:rPr>
        <w:t>億元</w:t>
      </w:r>
      <w:r w:rsidR="004C1CAC" w:rsidRPr="00B85303">
        <w:rPr>
          <w:rFonts w:ascii="標楷體" w:hAnsi="標楷體" w:hint="eastAsia"/>
        </w:rPr>
        <w:t>及112年度為1兆2,178億元</w:t>
      </w:r>
      <w:r w:rsidR="00E90D0C" w:rsidRPr="00B85303">
        <w:rPr>
          <w:rFonts w:ascii="標楷體" w:hAnsi="標楷體" w:hint="eastAsia"/>
        </w:rPr>
        <w:t>，</w:t>
      </w:r>
      <w:r w:rsidR="00816F94" w:rsidRPr="00B85303">
        <w:rPr>
          <w:rFonts w:ascii="標楷體" w:hAnsi="標楷體" w:hint="eastAsia"/>
        </w:rPr>
        <w:t>自1</w:t>
      </w:r>
      <w:r w:rsidR="00816F94" w:rsidRPr="00B85303">
        <w:rPr>
          <w:rFonts w:ascii="標楷體" w:hAnsi="標楷體"/>
        </w:rPr>
        <w:t>07</w:t>
      </w:r>
      <w:r w:rsidR="00816F94" w:rsidRPr="00B85303">
        <w:rPr>
          <w:rFonts w:ascii="標楷體" w:hAnsi="標楷體" w:hint="eastAsia"/>
        </w:rPr>
        <w:t>至1</w:t>
      </w:r>
      <w:r w:rsidR="00816F94" w:rsidRPr="00B85303">
        <w:rPr>
          <w:rFonts w:ascii="標楷體" w:hAnsi="標楷體"/>
        </w:rPr>
        <w:t>1</w:t>
      </w:r>
      <w:r w:rsidR="004C1CAC" w:rsidRPr="00B85303">
        <w:rPr>
          <w:rFonts w:ascii="標楷體" w:hAnsi="標楷體" w:hint="eastAsia"/>
        </w:rPr>
        <w:t>2</w:t>
      </w:r>
      <w:r w:rsidR="00816F94" w:rsidRPr="00B85303">
        <w:rPr>
          <w:rFonts w:ascii="標楷體" w:hAnsi="標楷體" w:hint="eastAsia"/>
        </w:rPr>
        <w:t>年</w:t>
      </w:r>
      <w:r w:rsidR="004C1CAC" w:rsidRPr="00B85303">
        <w:rPr>
          <w:rFonts w:ascii="標楷體" w:hAnsi="標楷體" w:hint="eastAsia"/>
        </w:rPr>
        <w:t>度</w:t>
      </w:r>
      <w:r w:rsidR="00816F94" w:rsidRPr="00B85303">
        <w:rPr>
          <w:rFonts w:ascii="標楷體" w:hAnsi="標楷體" w:hint="eastAsia"/>
        </w:rPr>
        <w:t>產值增加</w:t>
      </w:r>
      <w:r w:rsidR="004C1CAC" w:rsidRPr="00B85303">
        <w:rPr>
          <w:rFonts w:ascii="標楷體" w:hAnsi="標楷體" w:hint="eastAsia"/>
        </w:rPr>
        <w:t>4</w:t>
      </w:r>
      <w:r w:rsidRPr="00B85303">
        <w:rPr>
          <w:rFonts w:ascii="標楷體" w:hAnsi="標楷體"/>
        </w:rPr>
        <w:t>,</w:t>
      </w:r>
      <w:r w:rsidR="004C1CAC" w:rsidRPr="00B85303">
        <w:rPr>
          <w:rFonts w:ascii="標楷體" w:hAnsi="標楷體" w:hint="eastAsia"/>
        </w:rPr>
        <w:t>671</w:t>
      </w:r>
      <w:r w:rsidRPr="00B85303">
        <w:rPr>
          <w:rFonts w:ascii="標楷體" w:hAnsi="標楷體" w:hint="eastAsia"/>
        </w:rPr>
        <w:t>億元(增幅</w:t>
      </w:r>
      <w:r w:rsidRPr="00B85303">
        <w:rPr>
          <w:rFonts w:ascii="標楷體" w:hAnsi="標楷體"/>
        </w:rPr>
        <w:t>6</w:t>
      </w:r>
      <w:r w:rsidR="004C1CAC" w:rsidRPr="00B85303">
        <w:rPr>
          <w:rFonts w:ascii="標楷體" w:hAnsi="標楷體" w:hint="eastAsia"/>
        </w:rPr>
        <w:t>2</w:t>
      </w:r>
      <w:r w:rsidRPr="00B85303">
        <w:rPr>
          <w:rFonts w:ascii="標楷體" w:hAnsi="標楷體"/>
        </w:rPr>
        <w:t>.</w:t>
      </w:r>
      <w:r w:rsidR="004C1CAC" w:rsidRPr="00B85303">
        <w:rPr>
          <w:rFonts w:ascii="標楷體" w:hAnsi="標楷體" w:hint="eastAsia"/>
        </w:rPr>
        <w:t>22</w:t>
      </w:r>
      <w:r w:rsidRPr="00B85303">
        <w:rPr>
          <w:rFonts w:ascii="標楷體" w:hAnsi="標楷體"/>
        </w:rPr>
        <w:t>%)</w:t>
      </w:r>
      <w:r w:rsidRPr="00B85303">
        <w:rPr>
          <w:rFonts w:ascii="標楷體" w:hAnsi="標楷體" w:hint="eastAsia"/>
        </w:rPr>
        <w:t>，概呈成長趨勢</w:t>
      </w:r>
      <w:r w:rsidR="002B12BD" w:rsidRPr="00B85303">
        <w:rPr>
          <w:rFonts w:ascii="標楷體" w:hAnsi="標楷體" w:hint="eastAsia"/>
        </w:rPr>
        <w:t>，顯示近年</w:t>
      </w:r>
      <w:r w:rsidR="00724AB6" w:rsidRPr="00B85303">
        <w:rPr>
          <w:rFonts w:ascii="標楷體" w:hAnsi="標楷體" w:hint="eastAsia"/>
        </w:rPr>
        <w:t>我國</w:t>
      </w:r>
      <w:r w:rsidR="002B12BD" w:rsidRPr="00B85303">
        <w:rPr>
          <w:rFonts w:ascii="標楷體" w:hAnsi="標楷體" w:hint="eastAsia"/>
        </w:rPr>
        <w:t>海洋產業總產值成長快速</w:t>
      </w:r>
      <w:r w:rsidR="00CA15EE" w:rsidRPr="00B85303">
        <w:rPr>
          <w:rFonts w:ascii="標楷體" w:hAnsi="標楷體" w:hint="eastAsia"/>
        </w:rPr>
        <w:t>；</w:t>
      </w:r>
      <w:r w:rsidR="00223657" w:rsidRPr="00B85303">
        <w:rPr>
          <w:rFonts w:ascii="標楷體" w:hAnsi="標楷體" w:hint="eastAsia"/>
        </w:rPr>
        <w:t>其中</w:t>
      </w:r>
      <w:r w:rsidR="00CA15EE" w:rsidRPr="00B85303">
        <w:rPr>
          <w:rFonts w:ascii="標楷體" w:hAnsi="標楷體" w:hint="eastAsia"/>
        </w:rPr>
        <w:t>110年</w:t>
      </w:r>
      <w:r w:rsidR="004C1CAC" w:rsidRPr="00B85303">
        <w:rPr>
          <w:rFonts w:ascii="標楷體" w:hAnsi="標楷體" w:hint="eastAsia"/>
        </w:rPr>
        <w:t>度起</w:t>
      </w:r>
      <w:r w:rsidR="00E90D0C" w:rsidRPr="00B85303">
        <w:rPr>
          <w:rFonts w:ascii="標楷體" w:hAnsi="標楷體" w:hint="eastAsia"/>
        </w:rPr>
        <w:t>產值</w:t>
      </w:r>
      <w:r w:rsidR="00CA15EE" w:rsidRPr="00B85303">
        <w:rPr>
          <w:rFonts w:ascii="標楷體" w:hAnsi="標楷體" w:hint="eastAsia"/>
        </w:rPr>
        <w:t>均</w:t>
      </w:r>
      <w:r w:rsidR="00E90D0C" w:rsidRPr="00B85303">
        <w:rPr>
          <w:rFonts w:ascii="標楷體" w:hAnsi="標楷體" w:hint="eastAsia"/>
        </w:rPr>
        <w:t>突破1兆元，主</w:t>
      </w:r>
      <w:r w:rsidR="00CA15EE" w:rsidRPr="00B85303">
        <w:rPr>
          <w:rFonts w:ascii="標楷體" w:hAnsi="標楷體" w:hint="eastAsia"/>
        </w:rPr>
        <w:t>要</w:t>
      </w:r>
      <w:r w:rsidR="00E90D0C" w:rsidRPr="00B85303">
        <w:rPr>
          <w:rFonts w:ascii="標楷體" w:hAnsi="標楷體" w:hint="eastAsia"/>
        </w:rPr>
        <w:t>受</w:t>
      </w:r>
      <w:r w:rsidR="004C1CAC" w:rsidRPr="00B85303">
        <w:rPr>
          <w:rFonts w:ascii="標楷體" w:hAnsi="標楷體"/>
        </w:rPr>
        <w:t>Covid-19</w:t>
      </w:r>
      <w:r w:rsidR="00E90D0C" w:rsidRPr="00B85303">
        <w:rPr>
          <w:rFonts w:ascii="標楷體" w:hAnsi="標楷體" w:hint="eastAsia"/>
        </w:rPr>
        <w:t>疫情影響</w:t>
      </w:r>
      <w:r w:rsidR="00A00982" w:rsidRPr="00B85303">
        <w:rPr>
          <w:rFonts w:ascii="標楷體" w:hAnsi="標楷體" w:hint="eastAsia"/>
        </w:rPr>
        <w:t>致</w:t>
      </w:r>
      <w:r w:rsidR="00E90D0C" w:rsidRPr="00B85303">
        <w:rPr>
          <w:rFonts w:ascii="標楷體" w:hAnsi="標楷體" w:hint="eastAsia"/>
        </w:rPr>
        <w:t>運價暴漲</w:t>
      </w:r>
      <w:r w:rsidR="000464D2" w:rsidRPr="00B85303">
        <w:rPr>
          <w:rFonts w:ascii="標楷體" w:hAnsi="標楷體" w:hint="eastAsia"/>
        </w:rPr>
        <w:t>等</w:t>
      </w:r>
      <w:r w:rsidR="001D1E39" w:rsidRPr="00B85303">
        <w:rPr>
          <w:rFonts w:ascii="標楷體" w:hAnsi="標楷體" w:hint="eastAsia"/>
        </w:rPr>
        <w:t>。</w:t>
      </w:r>
    </w:p>
    <w:p w:rsidR="00A5640B" w:rsidRPr="00B85303" w:rsidRDefault="00CA15EE" w:rsidP="00F442BC">
      <w:pPr>
        <w:pStyle w:val="123"/>
        <w:ind w:left="1120" w:hanging="280"/>
        <w:rPr>
          <w:rFonts w:ascii="標楷體" w:hAnsi="標楷體"/>
        </w:rPr>
      </w:pPr>
      <w:r w:rsidRPr="00B85303">
        <w:rPr>
          <w:rFonts w:ascii="標楷體" w:hAnsi="標楷體"/>
        </w:rPr>
        <w:t>2.</w:t>
      </w:r>
      <w:r w:rsidR="00C53016" w:rsidRPr="00B85303">
        <w:rPr>
          <w:rFonts w:ascii="標楷體" w:hAnsi="標楷體" w:hint="eastAsia"/>
        </w:rPr>
        <w:t>檢視</w:t>
      </w:r>
      <w:r w:rsidR="000E189B" w:rsidRPr="00B85303">
        <w:rPr>
          <w:rFonts w:ascii="標楷體" w:hAnsi="標楷體" w:hint="eastAsia"/>
        </w:rPr>
        <w:t>各海洋產業自1</w:t>
      </w:r>
      <w:r w:rsidR="000E189B" w:rsidRPr="00B85303">
        <w:rPr>
          <w:rFonts w:ascii="標楷體" w:hAnsi="標楷體"/>
        </w:rPr>
        <w:t>07</w:t>
      </w:r>
      <w:r w:rsidR="00F95750" w:rsidRPr="00B85303">
        <w:rPr>
          <w:rFonts w:ascii="標楷體" w:hAnsi="標楷體" w:hint="eastAsia"/>
        </w:rPr>
        <w:t>至1</w:t>
      </w:r>
      <w:r w:rsidR="00F95750" w:rsidRPr="00B85303">
        <w:rPr>
          <w:rFonts w:ascii="標楷體" w:hAnsi="標楷體"/>
        </w:rPr>
        <w:t>1</w:t>
      </w:r>
      <w:r w:rsidR="00FA6342" w:rsidRPr="00B85303">
        <w:rPr>
          <w:rFonts w:ascii="標楷體" w:hAnsi="標楷體"/>
        </w:rPr>
        <w:t>2</w:t>
      </w:r>
      <w:r w:rsidR="00F95750" w:rsidRPr="00B85303">
        <w:rPr>
          <w:rFonts w:ascii="標楷體" w:hAnsi="標楷體" w:hint="eastAsia"/>
        </w:rPr>
        <w:t>年</w:t>
      </w:r>
      <w:r w:rsidR="00630574">
        <w:rPr>
          <w:rFonts w:ascii="標楷體" w:hAnsi="標楷體" w:hint="eastAsia"/>
        </w:rPr>
        <w:t>度</w:t>
      </w:r>
      <w:r w:rsidR="00BA638A" w:rsidRPr="00B85303">
        <w:rPr>
          <w:rFonts w:ascii="標楷體" w:hAnsi="標楷體" w:hint="eastAsia"/>
        </w:rPr>
        <w:t>產值</w:t>
      </w:r>
      <w:r w:rsidR="007F10A1" w:rsidRPr="00B85303">
        <w:rPr>
          <w:rFonts w:ascii="標楷體" w:hAnsi="標楷體" w:hint="eastAsia"/>
        </w:rPr>
        <w:t>概況</w:t>
      </w:r>
      <w:r w:rsidR="000E189B" w:rsidRPr="00B85303">
        <w:rPr>
          <w:rFonts w:ascii="標楷體" w:hAnsi="標楷體" w:hint="eastAsia"/>
        </w:rPr>
        <w:t>(詳表1</w:t>
      </w:r>
      <w:r w:rsidR="000E189B" w:rsidRPr="00B85303">
        <w:rPr>
          <w:rFonts w:ascii="標楷體" w:hAnsi="標楷體"/>
        </w:rPr>
        <w:t>)</w:t>
      </w:r>
      <w:r w:rsidR="000E189B" w:rsidRPr="00B85303">
        <w:rPr>
          <w:rFonts w:ascii="標楷體" w:hAnsi="標楷體" w:hint="eastAsia"/>
        </w:rPr>
        <w:t>，</w:t>
      </w:r>
      <w:r w:rsidR="001D1E39" w:rsidRPr="00B85303">
        <w:rPr>
          <w:rFonts w:ascii="標楷體" w:hAnsi="標楷體" w:hint="eastAsia"/>
        </w:rPr>
        <w:t>112年度我國前3大海洋產業分別為海洋運輸及輔助、海洋漁業與養殖、海洋休閒遊憩，產值依序為4,763億元、3,441億元及2,445億元；</w:t>
      </w:r>
      <w:r w:rsidR="00C70E69" w:rsidRPr="00B85303">
        <w:rPr>
          <w:rFonts w:ascii="標楷體" w:hAnsi="標楷體" w:cs="新細明體" w:hint="eastAsia"/>
        </w:rPr>
        <w:t>其中</w:t>
      </w:r>
      <w:r w:rsidR="006F7A41" w:rsidRPr="00B85303">
        <w:rPr>
          <w:rFonts w:ascii="標楷體" w:hAnsi="標楷體" w:hint="eastAsia"/>
        </w:rPr>
        <w:t>海洋休閒遊憩產值自107年度之11.5億元增為</w:t>
      </w:r>
      <w:r w:rsidR="006F7A41" w:rsidRPr="00B85303">
        <w:rPr>
          <w:rFonts w:ascii="標楷體" w:hAnsi="標楷體"/>
        </w:rPr>
        <w:t xml:space="preserve"> </w:t>
      </w:r>
      <w:r w:rsidR="006F7A41" w:rsidRPr="00B85303">
        <w:rPr>
          <w:rFonts w:ascii="標楷體" w:hAnsi="標楷體" w:hint="eastAsia"/>
        </w:rPr>
        <w:t>112年度之2,</w:t>
      </w:r>
      <w:r w:rsidR="00F40B92" w:rsidRPr="00B85303">
        <w:rPr>
          <w:rFonts w:ascii="標楷體" w:hAnsi="標楷體" w:hint="eastAsia"/>
        </w:rPr>
        <w:t>445億元，增加2,433.5億元</w:t>
      </w:r>
      <w:r w:rsidR="00676B38" w:rsidRPr="00B85303">
        <w:rPr>
          <w:rFonts w:ascii="標楷體" w:hAnsi="標楷體" w:hint="eastAsia"/>
        </w:rPr>
        <w:t>居首</w:t>
      </w:r>
      <w:r w:rsidR="00F40B92" w:rsidRPr="00B85303">
        <w:rPr>
          <w:rFonts w:ascii="標楷體" w:hAnsi="標楷體" w:hint="eastAsia"/>
        </w:rPr>
        <w:t>，然</w:t>
      </w:r>
      <w:r w:rsidR="00C70E69" w:rsidRPr="00B85303">
        <w:rPr>
          <w:rFonts w:ascii="標楷體" w:hAnsi="標楷體" w:hint="eastAsia"/>
        </w:rPr>
        <w:t>檢視其111至112年度產值</w:t>
      </w:r>
      <w:r w:rsidR="002F61EB" w:rsidRPr="00B85303">
        <w:rPr>
          <w:rFonts w:ascii="標楷體" w:hAnsi="標楷體" w:hint="eastAsia"/>
        </w:rPr>
        <w:t>之</w:t>
      </w:r>
      <w:r w:rsidR="00C70E69" w:rsidRPr="00B85303">
        <w:rPr>
          <w:rFonts w:ascii="標楷體" w:hAnsi="標楷體" w:hint="eastAsia"/>
        </w:rPr>
        <w:t>推估方式不同，致</w:t>
      </w:r>
      <w:r w:rsidR="00630574" w:rsidRPr="00630574">
        <w:rPr>
          <w:rFonts w:ascii="標楷體" w:hAnsi="標楷體" w:hint="eastAsia"/>
        </w:rPr>
        <w:t>該</w:t>
      </w:r>
      <w:r w:rsidR="00C70E69" w:rsidRPr="00B85303">
        <w:rPr>
          <w:rFonts w:ascii="標楷體" w:hAnsi="標楷體" w:hint="eastAsia"/>
        </w:rPr>
        <w:t>2年度產值</w:t>
      </w:r>
      <w:r w:rsidR="00717F88" w:rsidRPr="00B85303">
        <w:rPr>
          <w:rFonts w:ascii="標楷體" w:hAnsi="標楷體" w:hint="eastAsia"/>
        </w:rPr>
        <w:t>差</w:t>
      </w:r>
      <w:r w:rsidR="00676B38" w:rsidRPr="00B85303">
        <w:rPr>
          <w:rFonts w:ascii="標楷體" w:hAnsi="標楷體" w:hint="eastAsia"/>
        </w:rPr>
        <w:t>異</w:t>
      </w:r>
      <w:r w:rsidR="002C0E9C" w:rsidRPr="00B85303">
        <w:rPr>
          <w:rFonts w:ascii="標楷體" w:hAnsi="標楷體" w:hint="eastAsia"/>
        </w:rPr>
        <w:t>數</w:t>
      </w:r>
      <w:r w:rsidR="00630574">
        <w:rPr>
          <w:rFonts w:ascii="標楷體" w:hAnsi="標楷體" w:hint="eastAsia"/>
        </w:rPr>
        <w:t>達2,429.1億元</w:t>
      </w:r>
      <w:r w:rsidR="00717F88" w:rsidRPr="00B85303">
        <w:rPr>
          <w:rFonts w:ascii="標楷體" w:hAnsi="標楷體" w:hint="eastAsia"/>
        </w:rPr>
        <w:t>甚大</w:t>
      </w:r>
      <w:r w:rsidR="00676B38" w:rsidRPr="00B85303">
        <w:rPr>
          <w:rFonts w:ascii="標楷體" w:hAnsi="標楷體" w:hint="eastAsia"/>
        </w:rPr>
        <w:t>，又該產值計算尚未納入郵輪產</w:t>
      </w:r>
      <w:r w:rsidR="00676B38" w:rsidRPr="00B85303">
        <w:rPr>
          <w:rFonts w:ascii="標楷體" w:hAnsi="標楷體" w:hint="eastAsia"/>
        </w:rPr>
        <w:lastRenderedPageBreak/>
        <w:t>值</w:t>
      </w:r>
      <w:r w:rsidR="002F61EB" w:rsidRPr="00B85303">
        <w:rPr>
          <w:rStyle w:val="aff"/>
          <w:rFonts w:ascii="標楷體" w:hAnsi="標楷體"/>
        </w:rPr>
        <w:footnoteReference w:id="1"/>
      </w:r>
      <w:r w:rsidR="00717F88" w:rsidRPr="00B85303">
        <w:rPr>
          <w:rFonts w:ascii="標楷體" w:hAnsi="標楷體" w:hint="eastAsia"/>
        </w:rPr>
        <w:t>；</w:t>
      </w:r>
      <w:r w:rsidR="00676B38" w:rsidRPr="00B85303">
        <w:rPr>
          <w:rFonts w:ascii="標楷體" w:hAnsi="標楷體" w:hint="eastAsia"/>
        </w:rPr>
        <w:t>復</w:t>
      </w:r>
      <w:r w:rsidR="00B92AF7" w:rsidRPr="00B85303">
        <w:rPr>
          <w:rFonts w:ascii="標楷體" w:hAnsi="標楷體" w:hint="eastAsia"/>
        </w:rPr>
        <w:t>觀察各海洋產業之產值推估方法</w:t>
      </w:r>
      <w:r w:rsidR="006B3C33" w:rsidRPr="00B85303">
        <w:rPr>
          <w:rFonts w:ascii="標楷體" w:hAnsi="標楷體" w:hint="eastAsia"/>
        </w:rPr>
        <w:t>分歧</w:t>
      </w:r>
      <w:r w:rsidR="00B92AF7" w:rsidRPr="00B85303">
        <w:rPr>
          <w:rFonts w:ascii="標楷體" w:hAnsi="標楷體" w:hint="eastAsia"/>
        </w:rPr>
        <w:t>難稱完善，仍有精進空間</w:t>
      </w:r>
      <w:r w:rsidR="00223657" w:rsidRPr="00B85303">
        <w:rPr>
          <w:rFonts w:ascii="標楷體" w:hAnsi="標楷體" w:hint="eastAsia"/>
        </w:rPr>
        <w:t>。</w:t>
      </w:r>
      <w:r w:rsidR="00721F46" w:rsidRPr="00B85303">
        <w:rPr>
          <w:rFonts w:ascii="標楷體" w:hAnsi="標楷體" w:hint="eastAsia"/>
        </w:rPr>
        <w:t>準此，</w:t>
      </w:r>
      <w:r w:rsidR="006B3C33" w:rsidRPr="00B85303">
        <w:rPr>
          <w:rFonts w:ascii="標楷體" w:hAnsi="標楷體" w:hint="eastAsia"/>
        </w:rPr>
        <w:t>我國海洋產業之產值推估方法，尚待</w:t>
      </w:r>
      <w:r w:rsidR="00762335" w:rsidRPr="00B85303">
        <w:rPr>
          <w:rFonts w:ascii="標楷體" w:hAnsi="標楷體" w:hint="eastAsia"/>
        </w:rPr>
        <w:t>建立</w:t>
      </w:r>
      <w:r w:rsidR="006B3C33" w:rsidRPr="00B85303">
        <w:rPr>
          <w:rFonts w:ascii="標楷體" w:hAnsi="標楷體" w:hint="eastAsia"/>
        </w:rPr>
        <w:t>長期且整體性統計方式及資料。</w:t>
      </w:r>
    </w:p>
    <w:p w:rsidR="00BA638A" w:rsidRPr="00B85303" w:rsidRDefault="00BA638A" w:rsidP="000464D2">
      <w:pPr>
        <w:ind w:leftChars="-200" w:left="561" w:rightChars="-351" w:right="-983" w:hangingChars="400" w:hanging="1121"/>
        <w:rPr>
          <w:rFonts w:ascii="標楷體" w:hAnsi="標楷體"/>
        </w:rPr>
      </w:pPr>
      <w:r w:rsidRPr="00B85303">
        <w:rPr>
          <w:rFonts w:ascii="標楷體" w:hAnsi="標楷體" w:hint="eastAsia"/>
          <w:b/>
          <w:bCs/>
        </w:rPr>
        <w:t>表1</w:t>
      </w:r>
      <w:r w:rsidRPr="00B85303">
        <w:rPr>
          <w:rFonts w:ascii="標楷體" w:hAnsi="標楷體"/>
          <w:b/>
          <w:bCs/>
        </w:rPr>
        <w:t xml:space="preserve">  107</w:t>
      </w:r>
      <w:r w:rsidR="000464D2" w:rsidRPr="00B85303">
        <w:rPr>
          <w:rFonts w:ascii="標楷體" w:hAnsi="標楷體" w:hint="eastAsia"/>
          <w:b/>
          <w:bCs/>
        </w:rPr>
        <w:t>、111及</w:t>
      </w:r>
      <w:r w:rsidRPr="00B85303">
        <w:rPr>
          <w:rFonts w:ascii="標楷體" w:hAnsi="標楷體" w:hint="eastAsia"/>
          <w:b/>
          <w:bCs/>
        </w:rPr>
        <w:t>1</w:t>
      </w:r>
      <w:r w:rsidRPr="00B85303">
        <w:rPr>
          <w:rFonts w:ascii="標楷體" w:hAnsi="標楷體"/>
          <w:b/>
          <w:bCs/>
        </w:rPr>
        <w:t>1</w:t>
      </w:r>
      <w:r w:rsidR="000464D2" w:rsidRPr="00B85303">
        <w:rPr>
          <w:rFonts w:ascii="標楷體" w:hAnsi="標楷體" w:hint="eastAsia"/>
          <w:b/>
          <w:bCs/>
        </w:rPr>
        <w:t>2</w:t>
      </w:r>
      <w:r w:rsidRPr="00B85303">
        <w:rPr>
          <w:rFonts w:ascii="標楷體" w:hAnsi="標楷體" w:hint="eastAsia"/>
          <w:b/>
          <w:bCs/>
        </w:rPr>
        <w:t>年</w:t>
      </w:r>
      <w:r w:rsidR="000464D2" w:rsidRPr="00B85303">
        <w:rPr>
          <w:rFonts w:ascii="標楷體" w:hAnsi="標楷體" w:hint="eastAsia"/>
          <w:b/>
          <w:bCs/>
        </w:rPr>
        <w:t>度</w:t>
      </w:r>
      <w:r w:rsidRPr="00B85303">
        <w:rPr>
          <w:rFonts w:ascii="標楷體" w:hAnsi="標楷體" w:hint="eastAsia"/>
          <w:b/>
          <w:bCs/>
        </w:rPr>
        <w:t>我國海洋產業之產值推估概況表</w:t>
      </w:r>
      <w:r w:rsidRPr="00B85303">
        <w:rPr>
          <w:rFonts w:ascii="標楷體" w:hAnsi="標楷體"/>
        </w:rPr>
        <w:t xml:space="preserve"> </w:t>
      </w:r>
      <w:r w:rsidR="000464D2" w:rsidRPr="00B85303">
        <w:rPr>
          <w:rFonts w:ascii="標楷體" w:hAnsi="標楷體"/>
        </w:rPr>
        <w:t xml:space="preserve">   </w:t>
      </w:r>
      <w:r w:rsidRPr="00B85303">
        <w:rPr>
          <w:rFonts w:ascii="標楷體" w:hAnsi="標楷體" w:hint="eastAsia"/>
          <w:sz w:val="24"/>
          <w:szCs w:val="24"/>
        </w:rPr>
        <w:t>單位：新臺幣</w:t>
      </w:r>
      <w:r w:rsidR="00492650">
        <w:rPr>
          <w:rFonts w:ascii="標楷體" w:hAnsi="標楷體" w:hint="eastAsia"/>
          <w:sz w:val="24"/>
          <w:szCs w:val="24"/>
        </w:rPr>
        <w:t>億</w:t>
      </w:r>
      <w:r w:rsidRPr="00B85303">
        <w:rPr>
          <w:rFonts w:ascii="標楷體" w:hAnsi="標楷體" w:hint="eastAsia"/>
          <w:sz w:val="24"/>
          <w:szCs w:val="24"/>
        </w:rPr>
        <w:t>元</w:t>
      </w:r>
    </w:p>
    <w:tbl>
      <w:tblPr>
        <w:tblW w:w="9781"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850"/>
        <w:gridCol w:w="851"/>
        <w:gridCol w:w="850"/>
        <w:gridCol w:w="851"/>
        <w:gridCol w:w="4961"/>
      </w:tblGrid>
      <w:tr w:rsidR="003F0073" w:rsidRPr="00B85303" w:rsidTr="007829A6">
        <w:trPr>
          <w:tblHeader/>
        </w:trPr>
        <w:tc>
          <w:tcPr>
            <w:tcW w:w="1418" w:type="dxa"/>
            <w:shd w:val="clear" w:color="auto" w:fill="auto"/>
            <w:vAlign w:val="center"/>
          </w:tcPr>
          <w:p w:rsidR="003F0073" w:rsidRPr="00B85303" w:rsidRDefault="003F0073" w:rsidP="00345BC1">
            <w:pPr>
              <w:pStyle w:val="142"/>
              <w:jc w:val="center"/>
              <w:rPr>
                <w:rFonts w:ascii="標楷體" w:hAnsi="標楷體" w:hint="eastAsia"/>
                <w:snapToGrid/>
                <w:sz w:val="22"/>
                <w:szCs w:val="22"/>
              </w:rPr>
            </w:pPr>
            <w:r w:rsidRPr="00B85303">
              <w:rPr>
                <w:rFonts w:ascii="標楷體" w:hAnsi="標楷體" w:hint="eastAsia"/>
                <w:snapToGrid/>
                <w:sz w:val="22"/>
                <w:szCs w:val="22"/>
              </w:rPr>
              <w:t>產業</w:t>
            </w:r>
          </w:p>
        </w:tc>
        <w:tc>
          <w:tcPr>
            <w:tcW w:w="850" w:type="dxa"/>
            <w:vAlign w:val="center"/>
          </w:tcPr>
          <w:p w:rsidR="003F0073" w:rsidRPr="00B85303" w:rsidRDefault="003F0073" w:rsidP="00345BC1">
            <w:pPr>
              <w:pStyle w:val="142"/>
              <w:jc w:val="center"/>
              <w:rPr>
                <w:rFonts w:ascii="標楷體" w:hAnsi="標楷體" w:hint="eastAsia"/>
                <w:b/>
                <w:bCs/>
                <w:snapToGrid/>
                <w:spacing w:val="-20"/>
                <w:sz w:val="20"/>
                <w:szCs w:val="20"/>
              </w:rPr>
            </w:pPr>
            <w:r w:rsidRPr="00B85303">
              <w:rPr>
                <w:rFonts w:ascii="標楷體" w:hAnsi="標楷體" w:hint="eastAsia"/>
                <w:b/>
                <w:bCs/>
                <w:snapToGrid/>
                <w:spacing w:val="-20"/>
                <w:sz w:val="20"/>
                <w:szCs w:val="20"/>
              </w:rPr>
              <w:t>1</w:t>
            </w:r>
            <w:r w:rsidRPr="00B85303">
              <w:rPr>
                <w:rFonts w:ascii="標楷體" w:hAnsi="標楷體"/>
                <w:b/>
                <w:bCs/>
                <w:snapToGrid/>
                <w:spacing w:val="-20"/>
                <w:sz w:val="20"/>
                <w:szCs w:val="20"/>
              </w:rPr>
              <w:t>07</w:t>
            </w:r>
            <w:r w:rsidRPr="00B85303">
              <w:rPr>
                <w:rFonts w:ascii="標楷體" w:hAnsi="標楷體" w:hint="eastAsia"/>
                <w:b/>
                <w:bCs/>
                <w:snapToGrid/>
                <w:spacing w:val="-20"/>
                <w:sz w:val="20"/>
                <w:szCs w:val="20"/>
              </w:rPr>
              <w:t>年度A</w:t>
            </w:r>
          </w:p>
        </w:tc>
        <w:tc>
          <w:tcPr>
            <w:tcW w:w="851" w:type="dxa"/>
            <w:shd w:val="clear" w:color="auto" w:fill="D9D9D9"/>
            <w:vAlign w:val="center"/>
          </w:tcPr>
          <w:p w:rsidR="003F0073" w:rsidRPr="00B85303" w:rsidRDefault="003F0073" w:rsidP="00345BC1">
            <w:pPr>
              <w:pStyle w:val="142"/>
              <w:jc w:val="center"/>
              <w:rPr>
                <w:rFonts w:ascii="標楷體" w:hAnsi="標楷體"/>
                <w:b/>
                <w:bCs/>
                <w:snapToGrid/>
                <w:color w:val="000000"/>
                <w:spacing w:val="-20"/>
                <w:sz w:val="20"/>
                <w:szCs w:val="20"/>
              </w:rPr>
            </w:pPr>
            <w:r w:rsidRPr="00B85303">
              <w:rPr>
                <w:rFonts w:ascii="標楷體" w:hAnsi="標楷體" w:hint="eastAsia"/>
                <w:b/>
                <w:bCs/>
                <w:snapToGrid/>
                <w:color w:val="000000"/>
                <w:spacing w:val="-20"/>
                <w:sz w:val="20"/>
                <w:szCs w:val="20"/>
              </w:rPr>
              <w:t>111年度</w:t>
            </w:r>
          </w:p>
          <w:p w:rsidR="001D1E39" w:rsidRPr="00B85303" w:rsidRDefault="001D1E39" w:rsidP="00345BC1">
            <w:pPr>
              <w:pStyle w:val="142"/>
              <w:jc w:val="center"/>
              <w:rPr>
                <w:rFonts w:ascii="標楷體" w:hAnsi="標楷體" w:hint="eastAsia"/>
                <w:b/>
                <w:bCs/>
                <w:snapToGrid/>
                <w:spacing w:val="-20"/>
                <w:sz w:val="20"/>
                <w:szCs w:val="20"/>
              </w:rPr>
            </w:pPr>
          </w:p>
        </w:tc>
        <w:tc>
          <w:tcPr>
            <w:tcW w:w="850" w:type="dxa"/>
            <w:vAlign w:val="center"/>
          </w:tcPr>
          <w:p w:rsidR="003F0073" w:rsidRPr="00B85303" w:rsidRDefault="003F0073" w:rsidP="00345BC1">
            <w:pPr>
              <w:pStyle w:val="142"/>
              <w:jc w:val="center"/>
              <w:rPr>
                <w:rFonts w:ascii="標楷體" w:hAnsi="標楷體" w:hint="eastAsia"/>
                <w:b/>
                <w:bCs/>
                <w:snapToGrid/>
                <w:spacing w:val="-20"/>
                <w:sz w:val="20"/>
                <w:szCs w:val="20"/>
              </w:rPr>
            </w:pPr>
            <w:r w:rsidRPr="00B85303">
              <w:rPr>
                <w:rFonts w:ascii="標楷體" w:hAnsi="標楷體" w:hint="eastAsia"/>
                <w:b/>
                <w:bCs/>
                <w:snapToGrid/>
                <w:spacing w:val="-20"/>
                <w:sz w:val="20"/>
                <w:szCs w:val="20"/>
              </w:rPr>
              <w:t>112年度</w:t>
            </w:r>
            <w:r w:rsidRPr="00B85303">
              <w:rPr>
                <w:rFonts w:ascii="標楷體" w:hAnsi="標楷體" w:hint="eastAsia"/>
                <w:b/>
                <w:bCs/>
                <w:snapToGrid/>
                <w:color w:val="000000"/>
                <w:spacing w:val="-20"/>
                <w:sz w:val="20"/>
                <w:szCs w:val="20"/>
              </w:rPr>
              <w:t>B</w:t>
            </w:r>
          </w:p>
        </w:tc>
        <w:tc>
          <w:tcPr>
            <w:tcW w:w="851" w:type="dxa"/>
          </w:tcPr>
          <w:p w:rsidR="003F0073" w:rsidRPr="00B85303" w:rsidRDefault="003F0073" w:rsidP="00345BC1">
            <w:pPr>
              <w:pStyle w:val="142"/>
              <w:jc w:val="center"/>
              <w:rPr>
                <w:rFonts w:ascii="標楷體" w:hAnsi="標楷體" w:hint="eastAsia"/>
                <w:b/>
                <w:bCs/>
                <w:snapToGrid/>
              </w:rPr>
            </w:pPr>
            <w:r w:rsidRPr="00B85303">
              <w:rPr>
                <w:rFonts w:ascii="標楷體" w:hAnsi="標楷體" w:hint="eastAsia"/>
                <w:b/>
                <w:bCs/>
                <w:snapToGrid/>
                <w:sz w:val="22"/>
                <w:szCs w:val="22"/>
              </w:rPr>
              <w:t>增減B</w:t>
            </w:r>
            <w:r w:rsidRPr="00B85303">
              <w:rPr>
                <w:rFonts w:ascii="標楷體" w:hAnsi="標楷體"/>
                <w:b/>
                <w:bCs/>
                <w:snapToGrid/>
                <w:sz w:val="22"/>
                <w:szCs w:val="22"/>
              </w:rPr>
              <w:t>-A</w:t>
            </w:r>
          </w:p>
        </w:tc>
        <w:tc>
          <w:tcPr>
            <w:tcW w:w="4961" w:type="dxa"/>
            <w:shd w:val="clear" w:color="auto" w:fill="auto"/>
            <w:vAlign w:val="center"/>
          </w:tcPr>
          <w:p w:rsidR="003F0073" w:rsidRPr="00B85303" w:rsidRDefault="003F0073" w:rsidP="00345BC1">
            <w:pPr>
              <w:pStyle w:val="142"/>
              <w:jc w:val="center"/>
              <w:rPr>
                <w:rFonts w:ascii="標楷體" w:hAnsi="標楷體" w:hint="eastAsia"/>
                <w:snapToGrid/>
              </w:rPr>
            </w:pPr>
            <w:r w:rsidRPr="00B85303">
              <w:rPr>
                <w:rFonts w:ascii="標楷體" w:hAnsi="標楷體" w:hint="eastAsia"/>
                <w:snapToGrid/>
              </w:rPr>
              <w:t>產值推估方法</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snapToGrid/>
                <w:color w:val="000000"/>
                <w:spacing w:val="-10"/>
                <w:sz w:val="22"/>
                <w:szCs w:val="22"/>
              </w:rPr>
            </w:pPr>
            <w:r w:rsidRPr="00B85303">
              <w:rPr>
                <w:rFonts w:ascii="標楷體" w:hAnsi="標楷體"/>
                <w:snapToGrid/>
                <w:color w:val="000000"/>
                <w:spacing w:val="-10"/>
                <w:sz w:val="22"/>
                <w:szCs w:val="22"/>
              </w:rPr>
              <w:t>1.海洋能源</w:t>
            </w:r>
          </w:p>
        </w:tc>
        <w:tc>
          <w:tcPr>
            <w:tcW w:w="850" w:type="dxa"/>
            <w:vAlign w:val="center"/>
          </w:tcPr>
          <w:p w:rsidR="000464D2" w:rsidRPr="00B85303" w:rsidRDefault="00630574" w:rsidP="000464D2">
            <w:pPr>
              <w:pStyle w:val="142"/>
              <w:jc w:val="right"/>
              <w:rPr>
                <w:rFonts w:ascii="標楷體" w:hAnsi="標楷體" w:hint="eastAsia"/>
                <w:snapToGrid/>
                <w:color w:val="000000"/>
                <w:spacing w:val="-20"/>
                <w:sz w:val="22"/>
                <w:szCs w:val="22"/>
              </w:rPr>
            </w:pPr>
            <w:r>
              <w:rPr>
                <w:rFonts w:ascii="標楷體" w:hAnsi="標楷體" w:hint="eastAsia"/>
                <w:snapToGrid/>
                <w:color w:val="000000"/>
                <w:spacing w:val="-20"/>
                <w:sz w:val="22"/>
                <w:szCs w:val="22"/>
              </w:rPr>
              <w:t>0</w:t>
            </w:r>
          </w:p>
        </w:tc>
        <w:tc>
          <w:tcPr>
            <w:tcW w:w="851" w:type="dxa"/>
            <w:shd w:val="clear" w:color="auto" w:fill="D9D9D9"/>
            <w:vAlign w:val="center"/>
          </w:tcPr>
          <w:p w:rsidR="000464D2" w:rsidRPr="00B85303" w:rsidRDefault="000464D2" w:rsidP="000464D2">
            <w:pPr>
              <w:pStyle w:val="142"/>
              <w:jc w:val="right"/>
              <w:rPr>
                <w:rFonts w:ascii="標楷體" w:hAnsi="標楷體" w:hint="eastAsia"/>
                <w:snapToGrid/>
                <w:color w:val="000000"/>
                <w:spacing w:val="-20"/>
                <w:sz w:val="22"/>
                <w:szCs w:val="22"/>
              </w:rPr>
            </w:pPr>
            <w:r w:rsidRPr="00B85303">
              <w:rPr>
                <w:rFonts w:ascii="標楷體" w:hAnsi="標楷體"/>
                <w:snapToGrid/>
                <w:color w:val="000000"/>
                <w:spacing w:val="-20"/>
                <w:sz w:val="22"/>
                <w:szCs w:val="22"/>
              </w:rPr>
              <w:t>86.4</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301</w:t>
            </w:r>
          </w:p>
        </w:tc>
        <w:tc>
          <w:tcPr>
            <w:tcW w:w="851"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hint="eastAsia"/>
                <w:snapToGrid/>
                <w:color w:val="000000"/>
                <w:spacing w:val="-20"/>
                <w:kern w:val="3"/>
                <w:sz w:val="22"/>
                <w:szCs w:val="22"/>
              </w:rPr>
              <w:t>301</w:t>
            </w:r>
          </w:p>
        </w:tc>
        <w:tc>
          <w:tcPr>
            <w:tcW w:w="4961" w:type="dxa"/>
            <w:shd w:val="clear" w:color="auto" w:fill="auto"/>
            <w:vAlign w:val="center"/>
          </w:tcPr>
          <w:p w:rsidR="000464D2" w:rsidRPr="00B85303" w:rsidRDefault="000464D2" w:rsidP="000464D2">
            <w:pPr>
              <w:pStyle w:val="142"/>
              <w:jc w:val="both"/>
              <w:rPr>
                <w:rFonts w:ascii="標楷體" w:hAnsi="標楷體" w:hint="eastAsia"/>
                <w:snapToGrid/>
                <w:color w:val="000000"/>
                <w:spacing w:val="-10"/>
                <w:sz w:val="22"/>
                <w:szCs w:val="22"/>
              </w:rPr>
            </w:pPr>
            <w:r w:rsidRPr="00B85303">
              <w:rPr>
                <w:rFonts w:ascii="標楷體" w:hAnsi="標楷體" w:hint="eastAsia"/>
                <w:snapToGrid/>
                <w:color w:val="000000"/>
                <w:spacing w:val="-10"/>
                <w:sz w:val="22"/>
                <w:szCs w:val="22"/>
              </w:rPr>
              <w:t>由發電量與購入電力成本進行估算。</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snapToGrid/>
                <w:color w:val="000000"/>
                <w:spacing w:val="-10"/>
                <w:sz w:val="22"/>
                <w:szCs w:val="22"/>
              </w:rPr>
            </w:pPr>
            <w:r w:rsidRPr="00B85303">
              <w:rPr>
                <w:rFonts w:ascii="標楷體" w:hAnsi="標楷體" w:hint="eastAsia"/>
                <w:snapToGrid/>
                <w:color w:val="000000"/>
                <w:spacing w:val="-10"/>
                <w:sz w:val="22"/>
                <w:szCs w:val="22"/>
              </w:rPr>
              <w:t>2.海洋非生物資源</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sz w:val="22"/>
                <w:szCs w:val="22"/>
              </w:rPr>
            </w:pPr>
            <w:r w:rsidRPr="00B85303">
              <w:rPr>
                <w:rFonts w:ascii="標楷體" w:hAnsi="標楷體" w:hint="eastAsia"/>
                <w:snapToGrid/>
                <w:color w:val="000000"/>
                <w:spacing w:val="-20"/>
                <w:sz w:val="22"/>
                <w:szCs w:val="22"/>
              </w:rPr>
              <w:t>6</w:t>
            </w:r>
            <w:r w:rsidRPr="00B85303">
              <w:rPr>
                <w:rFonts w:ascii="標楷體" w:hAnsi="標楷體"/>
                <w:snapToGrid/>
                <w:color w:val="000000"/>
                <w:spacing w:val="-20"/>
                <w:sz w:val="22"/>
                <w:szCs w:val="22"/>
              </w:rPr>
              <w:t>.6</w:t>
            </w:r>
          </w:p>
        </w:tc>
        <w:tc>
          <w:tcPr>
            <w:tcW w:w="851" w:type="dxa"/>
            <w:shd w:val="clear" w:color="auto" w:fill="D9D9D9"/>
            <w:vAlign w:val="center"/>
          </w:tcPr>
          <w:p w:rsidR="000464D2" w:rsidRPr="00B85303" w:rsidRDefault="000464D2" w:rsidP="000464D2">
            <w:pPr>
              <w:pStyle w:val="142"/>
              <w:jc w:val="right"/>
              <w:rPr>
                <w:rFonts w:ascii="標楷體" w:hAnsi="標楷體" w:hint="eastAsia"/>
                <w:snapToGrid/>
                <w:color w:val="000000"/>
                <w:spacing w:val="-20"/>
                <w:sz w:val="22"/>
                <w:szCs w:val="22"/>
              </w:rPr>
            </w:pPr>
            <w:r w:rsidRPr="00B85303">
              <w:rPr>
                <w:rFonts w:ascii="標楷體" w:hAnsi="標楷體" w:hint="eastAsia"/>
                <w:snapToGrid/>
                <w:color w:val="000000"/>
                <w:spacing w:val="-20"/>
                <w:sz w:val="22"/>
                <w:szCs w:val="22"/>
              </w:rPr>
              <w:t>5.1</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5</w:t>
            </w:r>
            <w:r w:rsidRPr="00B85303">
              <w:rPr>
                <w:rFonts w:ascii="標楷體" w:hAnsi="標楷體" w:hint="eastAsia"/>
                <w:snapToGrid/>
                <w:color w:val="000000"/>
                <w:spacing w:val="-20"/>
                <w:kern w:val="3"/>
                <w:sz w:val="22"/>
                <w:szCs w:val="22"/>
              </w:rPr>
              <w:t>.</w:t>
            </w:r>
            <w:r w:rsidRPr="00B85303">
              <w:rPr>
                <w:rFonts w:ascii="標楷體" w:hAnsi="標楷體"/>
                <w:snapToGrid/>
                <w:color w:val="000000"/>
                <w:spacing w:val="-20"/>
                <w:kern w:val="3"/>
                <w:sz w:val="22"/>
                <w:szCs w:val="22"/>
              </w:rPr>
              <w:t>5</w:t>
            </w:r>
          </w:p>
        </w:tc>
        <w:tc>
          <w:tcPr>
            <w:tcW w:w="851"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-1.1</w:t>
            </w:r>
          </w:p>
        </w:tc>
        <w:tc>
          <w:tcPr>
            <w:tcW w:w="4961" w:type="dxa"/>
            <w:shd w:val="clear" w:color="auto" w:fill="auto"/>
            <w:vAlign w:val="center"/>
          </w:tcPr>
          <w:p w:rsidR="000464D2" w:rsidRPr="00B85303" w:rsidRDefault="000464D2" w:rsidP="000464D2">
            <w:pPr>
              <w:pStyle w:val="142"/>
              <w:ind w:rightChars="-67" w:right="-188"/>
              <w:jc w:val="both"/>
              <w:rPr>
                <w:rFonts w:ascii="標楷體" w:hAnsi="標楷體"/>
                <w:snapToGrid/>
                <w:color w:val="000000"/>
                <w:spacing w:val="-20"/>
                <w:sz w:val="22"/>
                <w:szCs w:val="22"/>
              </w:rPr>
            </w:pPr>
            <w:r w:rsidRPr="00B85303">
              <w:rPr>
                <w:rFonts w:ascii="標楷體" w:hAnsi="標楷體" w:hint="eastAsia"/>
                <w:snapToGrid/>
                <w:color w:val="000000"/>
                <w:spacing w:val="-20"/>
                <w:sz w:val="22"/>
                <w:szCs w:val="22"/>
              </w:rPr>
              <w:t>參考財團法人石材暨資源產業研究發展中心統計結果。</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snapToGrid/>
                <w:color w:val="000000"/>
                <w:spacing w:val="-10"/>
                <w:sz w:val="22"/>
                <w:szCs w:val="22"/>
              </w:rPr>
            </w:pPr>
            <w:r w:rsidRPr="00B85303">
              <w:rPr>
                <w:rFonts w:ascii="標楷體" w:hAnsi="標楷體" w:hint="eastAsia"/>
                <w:snapToGrid/>
                <w:color w:val="000000"/>
                <w:spacing w:val="-10"/>
                <w:sz w:val="22"/>
                <w:szCs w:val="22"/>
              </w:rPr>
              <w:t>3.海洋礦資源</w:t>
            </w:r>
          </w:p>
        </w:tc>
        <w:tc>
          <w:tcPr>
            <w:tcW w:w="850" w:type="dxa"/>
            <w:vAlign w:val="center"/>
          </w:tcPr>
          <w:p w:rsidR="000464D2" w:rsidRPr="00B85303" w:rsidRDefault="000464D2" w:rsidP="000464D2">
            <w:pPr>
              <w:pStyle w:val="142"/>
              <w:jc w:val="right"/>
              <w:rPr>
                <w:rFonts w:ascii="標楷體" w:hAnsi="標楷體" w:cs="新細明體-ExtB" w:hint="eastAsia"/>
                <w:snapToGrid/>
                <w:color w:val="000000"/>
                <w:spacing w:val="-20"/>
                <w:sz w:val="22"/>
                <w:szCs w:val="22"/>
              </w:rPr>
            </w:pPr>
            <w:r w:rsidRPr="00B85303">
              <w:rPr>
                <w:rFonts w:ascii="標楷體" w:hAnsi="標楷體" w:cs="新細明體-ExtB" w:hint="eastAsia"/>
                <w:snapToGrid/>
                <w:color w:val="000000"/>
                <w:spacing w:val="-20"/>
                <w:sz w:val="22"/>
                <w:szCs w:val="22"/>
              </w:rPr>
              <w:t>6</w:t>
            </w:r>
            <w:r w:rsidRPr="00B85303">
              <w:rPr>
                <w:rFonts w:ascii="標楷體" w:hAnsi="標楷體" w:cs="新細明體-ExtB"/>
                <w:snapToGrid/>
                <w:color w:val="000000"/>
                <w:spacing w:val="-20"/>
                <w:sz w:val="22"/>
                <w:szCs w:val="22"/>
              </w:rPr>
              <w:t>.8</w:t>
            </w:r>
          </w:p>
        </w:tc>
        <w:tc>
          <w:tcPr>
            <w:tcW w:w="851" w:type="dxa"/>
            <w:shd w:val="clear" w:color="auto" w:fill="D9D9D9"/>
            <w:vAlign w:val="center"/>
          </w:tcPr>
          <w:p w:rsidR="000464D2" w:rsidRPr="00B85303" w:rsidRDefault="000464D2" w:rsidP="000464D2">
            <w:pPr>
              <w:pStyle w:val="142"/>
              <w:jc w:val="right"/>
              <w:rPr>
                <w:rFonts w:ascii="標楷體" w:hAnsi="標楷體" w:cs="新細明體-ExtB" w:hint="eastAsia"/>
                <w:snapToGrid/>
                <w:color w:val="000000"/>
                <w:spacing w:val="-20"/>
                <w:sz w:val="22"/>
                <w:szCs w:val="22"/>
              </w:rPr>
            </w:pPr>
            <w:r w:rsidRPr="00B85303">
              <w:rPr>
                <w:rFonts w:ascii="標楷體" w:hAnsi="標楷體" w:hint="eastAsia"/>
                <w:snapToGrid/>
                <w:color w:val="000000"/>
                <w:spacing w:val="-20"/>
                <w:sz w:val="22"/>
                <w:szCs w:val="22"/>
              </w:rPr>
              <w:t>6.7</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5</w:t>
            </w:r>
            <w:r w:rsidRPr="00B85303">
              <w:rPr>
                <w:rFonts w:ascii="標楷體" w:hAnsi="標楷體" w:hint="eastAsia"/>
                <w:snapToGrid/>
                <w:color w:val="000000"/>
                <w:spacing w:val="-20"/>
                <w:kern w:val="3"/>
                <w:sz w:val="22"/>
                <w:szCs w:val="22"/>
              </w:rPr>
              <w:t>.5</w:t>
            </w:r>
          </w:p>
        </w:tc>
        <w:tc>
          <w:tcPr>
            <w:tcW w:w="851"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-1.3</w:t>
            </w:r>
          </w:p>
        </w:tc>
        <w:tc>
          <w:tcPr>
            <w:tcW w:w="4961" w:type="dxa"/>
            <w:shd w:val="clear" w:color="auto" w:fill="auto"/>
            <w:vAlign w:val="center"/>
          </w:tcPr>
          <w:p w:rsidR="000464D2" w:rsidRPr="00B85303" w:rsidRDefault="000464D2" w:rsidP="000464D2">
            <w:pPr>
              <w:pStyle w:val="142"/>
              <w:jc w:val="both"/>
              <w:rPr>
                <w:rFonts w:ascii="標楷體" w:hAnsi="標楷體" w:hint="eastAsia"/>
                <w:snapToGrid/>
                <w:color w:val="000000"/>
                <w:spacing w:val="-10"/>
                <w:sz w:val="22"/>
                <w:szCs w:val="22"/>
              </w:rPr>
            </w:pPr>
            <w:r w:rsidRPr="00B85303">
              <w:rPr>
                <w:rFonts w:ascii="標楷體" w:hAnsi="標楷體" w:cs="新細明體-ExtB" w:hint="eastAsia"/>
                <w:snapToGrid/>
                <w:color w:val="000000"/>
                <w:spacing w:val="-10"/>
                <w:sz w:val="22"/>
                <w:szCs w:val="22"/>
              </w:rPr>
              <w:t>參考「主要礦產品產銷量值」之銷售值。</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hint="eastAsia"/>
                <w:b/>
                <w:bCs/>
                <w:snapToGrid/>
                <w:color w:val="000000"/>
                <w:spacing w:val="-10"/>
                <w:sz w:val="22"/>
                <w:szCs w:val="22"/>
              </w:rPr>
            </w:pPr>
            <w:r w:rsidRPr="00B85303">
              <w:rPr>
                <w:rFonts w:ascii="標楷體" w:hAnsi="標楷體" w:hint="eastAsia"/>
                <w:b/>
                <w:bCs/>
                <w:snapToGrid/>
                <w:color w:val="000000"/>
                <w:spacing w:val="-10"/>
                <w:sz w:val="22"/>
                <w:szCs w:val="22"/>
              </w:rPr>
              <w:t>4.海洋漁業與養殖</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hint="eastAsia"/>
                <w:b/>
                <w:bCs/>
                <w:snapToGrid/>
                <w:color w:val="000000"/>
                <w:spacing w:val="-20"/>
                <w:kern w:val="3"/>
                <w:sz w:val="22"/>
                <w:szCs w:val="22"/>
              </w:rPr>
              <w:t>2</w:t>
            </w:r>
            <w:r w:rsidRPr="00B85303">
              <w:rPr>
                <w:rFonts w:ascii="標楷體" w:hAnsi="標楷體"/>
                <w:b/>
                <w:bCs/>
                <w:snapToGrid/>
                <w:color w:val="000000"/>
                <w:spacing w:val="-20"/>
                <w:kern w:val="3"/>
                <w:sz w:val="22"/>
                <w:szCs w:val="22"/>
              </w:rPr>
              <w:t>,494</w:t>
            </w:r>
          </w:p>
        </w:tc>
        <w:tc>
          <w:tcPr>
            <w:tcW w:w="851" w:type="dxa"/>
            <w:shd w:val="clear" w:color="auto" w:fill="D9D9D9"/>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hint="eastAsia"/>
                <w:b/>
                <w:bCs/>
                <w:snapToGrid/>
                <w:color w:val="000000"/>
                <w:spacing w:val="-20"/>
                <w:sz w:val="22"/>
                <w:szCs w:val="22"/>
              </w:rPr>
              <w:t>2</w:t>
            </w:r>
            <w:r w:rsidRPr="00B85303">
              <w:rPr>
                <w:rFonts w:ascii="標楷體" w:hAnsi="標楷體"/>
                <w:b/>
                <w:bCs/>
                <w:snapToGrid/>
                <w:color w:val="000000"/>
                <w:spacing w:val="-20"/>
                <w:sz w:val="22"/>
                <w:szCs w:val="22"/>
              </w:rPr>
              <w:t>,</w:t>
            </w:r>
            <w:r w:rsidRPr="00B85303">
              <w:rPr>
                <w:rFonts w:ascii="標楷體" w:hAnsi="標楷體" w:hint="eastAsia"/>
                <w:b/>
                <w:bCs/>
                <w:snapToGrid/>
                <w:color w:val="000000"/>
                <w:spacing w:val="-20"/>
                <w:sz w:val="22"/>
                <w:szCs w:val="22"/>
              </w:rPr>
              <w:t>795</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kern w:val="3"/>
                <w:sz w:val="22"/>
                <w:szCs w:val="22"/>
              </w:rPr>
              <w:t>3,441</w:t>
            </w:r>
          </w:p>
        </w:tc>
        <w:tc>
          <w:tcPr>
            <w:tcW w:w="851"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kern w:val="3"/>
                <w:sz w:val="22"/>
                <w:szCs w:val="22"/>
              </w:rPr>
              <w:t>947</w:t>
            </w:r>
          </w:p>
        </w:tc>
        <w:tc>
          <w:tcPr>
            <w:tcW w:w="4961" w:type="dxa"/>
            <w:shd w:val="clear" w:color="auto" w:fill="auto"/>
            <w:vAlign w:val="center"/>
          </w:tcPr>
          <w:p w:rsidR="000464D2" w:rsidRPr="00B85303" w:rsidRDefault="000464D2" w:rsidP="00FF31A2">
            <w:pPr>
              <w:pStyle w:val="142"/>
              <w:numPr>
                <w:ilvl w:val="0"/>
                <w:numId w:val="2"/>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捕撈、採集與養殖：參考「漁業統計年報」中遠洋漁業、近海漁業、沿岸漁業、海面養殖、鹹水魚塭之產值。</w:t>
            </w:r>
          </w:p>
          <w:p w:rsidR="000464D2" w:rsidRPr="00B85303" w:rsidRDefault="000464D2" w:rsidP="00FF31A2">
            <w:pPr>
              <w:pStyle w:val="142"/>
              <w:numPr>
                <w:ilvl w:val="0"/>
                <w:numId w:val="2"/>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水產加工：參考「漁業統計年報」中水產製造品之價值。</w:t>
            </w:r>
          </w:p>
          <w:p w:rsidR="000464D2" w:rsidRPr="00B85303" w:rsidRDefault="000464D2" w:rsidP="00FF31A2">
            <w:pPr>
              <w:pStyle w:val="142"/>
              <w:numPr>
                <w:ilvl w:val="0"/>
                <w:numId w:val="2"/>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海洋水產之產銷批發及零售：</w:t>
            </w:r>
          </w:p>
          <w:p w:rsidR="000464D2" w:rsidRPr="00B85303" w:rsidRDefault="000464D2" w:rsidP="000464D2">
            <w:pPr>
              <w:pStyle w:val="142"/>
              <w:ind w:left="480"/>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1.參考「漁業統計年報」中漁市場交易金額。</w:t>
            </w:r>
          </w:p>
          <w:p w:rsidR="000464D2" w:rsidRPr="00B85303" w:rsidRDefault="000464D2" w:rsidP="000464D2">
            <w:pPr>
              <w:pStyle w:val="142"/>
              <w:ind w:leftChars="162" w:left="594" w:hangingChars="70" w:hanging="140"/>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2.參考稅務行業分類標準中</w:t>
            </w:r>
            <w:r w:rsidRPr="00B85303">
              <w:rPr>
                <w:rFonts w:ascii="標楷體" w:hAnsi="標楷體"/>
                <w:snapToGrid/>
                <w:color w:val="000000"/>
                <w:spacing w:val="-10"/>
                <w:kern w:val="3"/>
                <w:sz w:val="22"/>
                <w:szCs w:val="22"/>
              </w:rPr>
              <w:t>水產品批發業</w:t>
            </w:r>
            <w:r w:rsidRPr="00B85303">
              <w:rPr>
                <w:rFonts w:ascii="標楷體" w:hAnsi="標楷體" w:hint="eastAsia"/>
                <w:snapToGrid/>
                <w:color w:val="000000"/>
                <w:spacing w:val="-10"/>
                <w:kern w:val="3"/>
                <w:sz w:val="22"/>
                <w:szCs w:val="22"/>
              </w:rPr>
              <w:t>、魚苗批發、冷凍調理食品批發、水產品零售、醃漬水產品零售、乾燥水產品零售之銷售額。</w:t>
            </w:r>
          </w:p>
          <w:p w:rsidR="000464D2" w:rsidRPr="00B85303" w:rsidRDefault="000464D2" w:rsidP="00FF31A2">
            <w:pPr>
              <w:pStyle w:val="142"/>
              <w:numPr>
                <w:ilvl w:val="0"/>
                <w:numId w:val="2"/>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漁網製造：參考稅務行業分類標準中漁網編製之銷售額。</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hint="eastAsia"/>
                <w:snapToGrid/>
                <w:color w:val="000000"/>
                <w:spacing w:val="-10"/>
                <w:sz w:val="22"/>
                <w:szCs w:val="22"/>
              </w:rPr>
            </w:pPr>
            <w:r w:rsidRPr="00B85303">
              <w:rPr>
                <w:rFonts w:ascii="標楷體" w:hAnsi="標楷體" w:hint="eastAsia"/>
                <w:snapToGrid/>
                <w:color w:val="000000"/>
                <w:spacing w:val="-10"/>
                <w:sz w:val="22"/>
                <w:szCs w:val="22"/>
              </w:rPr>
              <w:t>5.</w:t>
            </w:r>
            <w:r w:rsidRPr="00B85303">
              <w:rPr>
                <w:rFonts w:ascii="標楷體" w:hAnsi="標楷體" w:hint="eastAsia"/>
                <w:snapToGrid/>
                <w:color w:val="000000"/>
                <w:spacing w:val="-18"/>
                <w:sz w:val="22"/>
                <w:szCs w:val="22"/>
              </w:rPr>
              <w:t>海洋遊艇及其他船舶載具</w:t>
            </w:r>
          </w:p>
        </w:tc>
        <w:tc>
          <w:tcPr>
            <w:tcW w:w="850" w:type="dxa"/>
            <w:vAlign w:val="center"/>
          </w:tcPr>
          <w:p w:rsidR="000464D2" w:rsidRPr="00B85303" w:rsidRDefault="000464D2" w:rsidP="000464D2">
            <w:pPr>
              <w:pStyle w:val="142"/>
              <w:jc w:val="right"/>
              <w:rPr>
                <w:rFonts w:ascii="標楷體" w:hAnsi="標楷體" w:cs="新細明體-ExtB" w:hint="eastAsia"/>
                <w:snapToGrid/>
                <w:color w:val="000000"/>
                <w:spacing w:val="-20"/>
                <w:sz w:val="22"/>
                <w:szCs w:val="22"/>
              </w:rPr>
            </w:pPr>
            <w:r w:rsidRPr="00B85303">
              <w:rPr>
                <w:rFonts w:ascii="標楷體" w:hAnsi="標楷體" w:cs="新細明體-ExtB" w:hint="eastAsia"/>
                <w:snapToGrid/>
                <w:color w:val="000000"/>
                <w:spacing w:val="-20"/>
                <w:sz w:val="22"/>
                <w:szCs w:val="22"/>
              </w:rPr>
              <w:t>6</w:t>
            </w:r>
            <w:r w:rsidRPr="00B85303">
              <w:rPr>
                <w:rFonts w:ascii="標楷體" w:hAnsi="標楷體" w:cs="新細明體-ExtB"/>
                <w:snapToGrid/>
                <w:color w:val="000000"/>
                <w:spacing w:val="-20"/>
                <w:sz w:val="22"/>
                <w:szCs w:val="22"/>
              </w:rPr>
              <w:t>41</w:t>
            </w:r>
          </w:p>
        </w:tc>
        <w:tc>
          <w:tcPr>
            <w:tcW w:w="851" w:type="dxa"/>
            <w:shd w:val="clear" w:color="auto" w:fill="D9D9D9"/>
            <w:vAlign w:val="center"/>
          </w:tcPr>
          <w:p w:rsidR="000464D2" w:rsidRPr="00B85303" w:rsidRDefault="000464D2" w:rsidP="000464D2">
            <w:pPr>
              <w:pStyle w:val="142"/>
              <w:jc w:val="right"/>
              <w:rPr>
                <w:rFonts w:ascii="標楷體" w:hAnsi="標楷體" w:cs="新細明體-ExtB" w:hint="eastAsia"/>
                <w:snapToGrid/>
                <w:color w:val="000000"/>
                <w:spacing w:val="-20"/>
                <w:sz w:val="22"/>
                <w:szCs w:val="22"/>
              </w:rPr>
            </w:pPr>
            <w:r w:rsidRPr="00B85303">
              <w:rPr>
                <w:rFonts w:ascii="標楷體" w:hAnsi="標楷體" w:hint="eastAsia"/>
                <w:snapToGrid/>
                <w:color w:val="000000"/>
                <w:spacing w:val="-20"/>
                <w:sz w:val="22"/>
                <w:szCs w:val="22"/>
              </w:rPr>
              <w:t>688</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693</w:t>
            </w:r>
          </w:p>
        </w:tc>
        <w:tc>
          <w:tcPr>
            <w:tcW w:w="851"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52</w:t>
            </w:r>
          </w:p>
        </w:tc>
        <w:tc>
          <w:tcPr>
            <w:tcW w:w="4961" w:type="dxa"/>
            <w:shd w:val="clear" w:color="auto" w:fill="auto"/>
            <w:vAlign w:val="center"/>
          </w:tcPr>
          <w:p w:rsidR="000464D2" w:rsidRPr="00B85303" w:rsidRDefault="000464D2" w:rsidP="000464D2">
            <w:pPr>
              <w:pStyle w:val="142"/>
              <w:jc w:val="both"/>
              <w:rPr>
                <w:rFonts w:ascii="標楷體" w:hAnsi="標楷體" w:cs="新細明體-ExtB"/>
                <w:snapToGrid/>
                <w:color w:val="000000"/>
                <w:spacing w:val="-10"/>
                <w:sz w:val="22"/>
                <w:szCs w:val="22"/>
              </w:rPr>
            </w:pPr>
            <w:r w:rsidRPr="00B85303">
              <w:rPr>
                <w:rFonts w:ascii="標楷體" w:hAnsi="標楷體" w:cs="新細明體-ExtB" w:hint="eastAsia"/>
                <w:snapToGrid/>
                <w:color w:val="000000"/>
                <w:spacing w:val="-10"/>
                <w:sz w:val="22"/>
                <w:szCs w:val="22"/>
              </w:rPr>
              <w:t>參考財團法人船舶暨海洋產業研發中心統計結果</w:t>
            </w:r>
            <w:r w:rsidRPr="00B85303">
              <w:rPr>
                <w:rFonts w:ascii="標楷體" w:hAnsi="標楷體" w:cs="新細明體-ExtB"/>
                <w:snapToGrid/>
                <w:color w:val="000000"/>
                <w:spacing w:val="-10"/>
                <w:sz w:val="22"/>
                <w:szCs w:val="22"/>
              </w:rPr>
              <w:t>(</w:t>
            </w:r>
            <w:r w:rsidRPr="00B85303">
              <w:rPr>
                <w:rFonts w:ascii="標楷體" w:hAnsi="標楷體" w:cs="新細明體-ExtB" w:hint="eastAsia"/>
                <w:snapToGrid/>
                <w:color w:val="000000"/>
                <w:spacing w:val="-10"/>
                <w:sz w:val="22"/>
                <w:szCs w:val="22"/>
              </w:rPr>
              <w:t>船舶建造、船舶設備、船舶設備組件</w:t>
            </w:r>
            <w:r w:rsidRPr="00B85303">
              <w:rPr>
                <w:rFonts w:ascii="標楷體" w:hAnsi="標楷體" w:cs="新細明體-ExtB"/>
                <w:snapToGrid/>
                <w:color w:val="000000"/>
                <w:spacing w:val="-10"/>
                <w:sz w:val="22"/>
                <w:szCs w:val="22"/>
              </w:rPr>
              <w:t>)</w:t>
            </w:r>
            <w:r w:rsidRPr="00B85303">
              <w:rPr>
                <w:rFonts w:ascii="標楷體" w:hAnsi="標楷體" w:cs="新細明體-ExtB" w:hint="eastAsia"/>
                <w:snapToGrid/>
                <w:color w:val="000000"/>
                <w:spacing w:val="-10"/>
                <w:sz w:val="22"/>
                <w:szCs w:val="22"/>
              </w:rPr>
              <w:t>。</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hint="eastAsia"/>
                <w:b/>
                <w:bCs/>
                <w:snapToGrid/>
                <w:color w:val="000000"/>
                <w:spacing w:val="-10"/>
                <w:sz w:val="22"/>
                <w:szCs w:val="22"/>
              </w:rPr>
            </w:pPr>
            <w:r w:rsidRPr="00B85303">
              <w:rPr>
                <w:rFonts w:ascii="標楷體" w:hAnsi="標楷體" w:hint="eastAsia"/>
                <w:b/>
                <w:bCs/>
                <w:snapToGrid/>
                <w:color w:val="000000"/>
                <w:spacing w:val="-10"/>
                <w:sz w:val="22"/>
                <w:szCs w:val="22"/>
              </w:rPr>
              <w:t>6.海洋運輸及輔助</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sz w:val="22"/>
                <w:szCs w:val="22"/>
              </w:rPr>
            </w:pPr>
            <w:r w:rsidRPr="00B85303">
              <w:rPr>
                <w:rFonts w:ascii="標楷體" w:hAnsi="標楷體" w:hint="eastAsia"/>
                <w:b/>
                <w:bCs/>
                <w:snapToGrid/>
                <w:color w:val="000000"/>
                <w:spacing w:val="-20"/>
                <w:sz w:val="22"/>
                <w:szCs w:val="22"/>
              </w:rPr>
              <w:t>4</w:t>
            </w:r>
            <w:r w:rsidRPr="00B85303">
              <w:rPr>
                <w:rFonts w:ascii="標楷體" w:hAnsi="標楷體"/>
                <w:b/>
                <w:bCs/>
                <w:snapToGrid/>
                <w:color w:val="000000"/>
                <w:spacing w:val="-20"/>
                <w:sz w:val="22"/>
                <w:szCs w:val="22"/>
              </w:rPr>
              <w:t>,224</w:t>
            </w:r>
          </w:p>
        </w:tc>
        <w:tc>
          <w:tcPr>
            <w:tcW w:w="851" w:type="dxa"/>
            <w:shd w:val="clear" w:color="auto" w:fill="D9D9D9"/>
            <w:vAlign w:val="center"/>
          </w:tcPr>
          <w:p w:rsidR="000464D2" w:rsidRPr="00B85303" w:rsidRDefault="000464D2" w:rsidP="000464D2">
            <w:pPr>
              <w:pStyle w:val="142"/>
              <w:jc w:val="right"/>
              <w:rPr>
                <w:rFonts w:ascii="標楷體" w:hAnsi="標楷體" w:hint="eastAsia"/>
                <w:b/>
                <w:bCs/>
                <w:snapToGrid/>
                <w:color w:val="000000"/>
                <w:spacing w:val="-20"/>
                <w:sz w:val="22"/>
                <w:szCs w:val="22"/>
              </w:rPr>
            </w:pPr>
            <w:r w:rsidRPr="00B85303">
              <w:rPr>
                <w:rFonts w:ascii="標楷體" w:hAnsi="標楷體"/>
                <w:b/>
                <w:bCs/>
                <w:snapToGrid/>
                <w:color w:val="000000"/>
                <w:spacing w:val="-20"/>
                <w:sz w:val="22"/>
                <w:szCs w:val="22"/>
              </w:rPr>
              <w:t>13,126</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kern w:val="3"/>
                <w:sz w:val="22"/>
                <w:szCs w:val="22"/>
              </w:rPr>
              <w:t>4</w:t>
            </w:r>
            <w:r w:rsidRPr="00B85303">
              <w:rPr>
                <w:rFonts w:ascii="標楷體" w:hAnsi="標楷體" w:hint="eastAsia"/>
                <w:b/>
                <w:bCs/>
                <w:snapToGrid/>
                <w:color w:val="000000"/>
                <w:spacing w:val="-20"/>
                <w:kern w:val="3"/>
                <w:sz w:val="22"/>
                <w:szCs w:val="22"/>
              </w:rPr>
              <w:t>,</w:t>
            </w:r>
            <w:r w:rsidRPr="00B85303">
              <w:rPr>
                <w:rFonts w:ascii="標楷體" w:hAnsi="標楷體"/>
                <w:b/>
                <w:bCs/>
                <w:snapToGrid/>
                <w:color w:val="000000"/>
                <w:spacing w:val="-20"/>
                <w:kern w:val="3"/>
                <w:sz w:val="22"/>
                <w:szCs w:val="22"/>
              </w:rPr>
              <w:t>763</w:t>
            </w:r>
          </w:p>
        </w:tc>
        <w:tc>
          <w:tcPr>
            <w:tcW w:w="851"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kern w:val="3"/>
                <w:sz w:val="22"/>
                <w:szCs w:val="22"/>
              </w:rPr>
              <w:t>539</w:t>
            </w:r>
          </w:p>
        </w:tc>
        <w:tc>
          <w:tcPr>
            <w:tcW w:w="4961" w:type="dxa"/>
            <w:shd w:val="clear" w:color="auto" w:fill="auto"/>
            <w:vAlign w:val="center"/>
          </w:tcPr>
          <w:p w:rsidR="000464D2" w:rsidRPr="00B85303" w:rsidRDefault="000464D2" w:rsidP="000464D2">
            <w:pPr>
              <w:pStyle w:val="142"/>
              <w:jc w:val="both"/>
              <w:rPr>
                <w:rFonts w:ascii="標楷體" w:hAnsi="標楷體"/>
                <w:snapToGrid/>
                <w:color w:val="000000"/>
                <w:spacing w:val="-10"/>
                <w:sz w:val="22"/>
                <w:szCs w:val="22"/>
              </w:rPr>
            </w:pPr>
            <w:r w:rsidRPr="00B85303">
              <w:rPr>
                <w:rFonts w:ascii="標楷體" w:hAnsi="標楷體" w:hint="eastAsia"/>
                <w:snapToGrid/>
                <w:color w:val="000000"/>
                <w:spacing w:val="-10"/>
                <w:sz w:val="22"/>
                <w:szCs w:val="22"/>
              </w:rPr>
              <w:t>參考「旅運及倉儲業產值調查報告」之海洋水運業、船務代理業、海洋貨運承攬業、其他水上運輸輔助業、港埠業、其他運輸輔助業收入情形估算產值。</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hint="eastAsia"/>
                <w:snapToGrid/>
                <w:color w:val="000000"/>
                <w:spacing w:val="-10"/>
                <w:sz w:val="22"/>
                <w:szCs w:val="22"/>
              </w:rPr>
            </w:pPr>
            <w:r w:rsidRPr="00B85303">
              <w:rPr>
                <w:rFonts w:ascii="標楷體" w:hAnsi="標楷體" w:hint="eastAsia"/>
                <w:snapToGrid/>
                <w:color w:val="000000"/>
                <w:spacing w:val="-10"/>
                <w:sz w:val="22"/>
                <w:szCs w:val="22"/>
              </w:rPr>
              <w:t>7.海洋工程</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hint="eastAsia"/>
                <w:snapToGrid/>
                <w:color w:val="000000"/>
                <w:spacing w:val="-20"/>
                <w:kern w:val="3"/>
                <w:sz w:val="22"/>
                <w:szCs w:val="22"/>
              </w:rPr>
              <w:t>8</w:t>
            </w:r>
            <w:r w:rsidRPr="00B85303">
              <w:rPr>
                <w:rFonts w:ascii="標楷體" w:hAnsi="標楷體"/>
                <w:snapToGrid/>
                <w:color w:val="000000"/>
                <w:spacing w:val="-20"/>
                <w:kern w:val="3"/>
                <w:sz w:val="22"/>
                <w:szCs w:val="22"/>
              </w:rPr>
              <w:t>0.5</w:t>
            </w:r>
          </w:p>
        </w:tc>
        <w:tc>
          <w:tcPr>
            <w:tcW w:w="851" w:type="dxa"/>
            <w:shd w:val="clear" w:color="auto" w:fill="D9D9D9"/>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sz w:val="22"/>
                <w:szCs w:val="22"/>
              </w:rPr>
              <w:t>248.5</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467</w:t>
            </w:r>
          </w:p>
        </w:tc>
        <w:tc>
          <w:tcPr>
            <w:tcW w:w="851"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386.5</w:t>
            </w:r>
          </w:p>
        </w:tc>
        <w:tc>
          <w:tcPr>
            <w:tcW w:w="4961" w:type="dxa"/>
            <w:shd w:val="clear" w:color="auto" w:fill="auto"/>
            <w:vAlign w:val="center"/>
          </w:tcPr>
          <w:p w:rsidR="000464D2" w:rsidRPr="00B85303" w:rsidRDefault="000464D2" w:rsidP="00FF31A2">
            <w:pPr>
              <w:pStyle w:val="142"/>
              <w:numPr>
                <w:ilvl w:val="0"/>
                <w:numId w:val="3"/>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近岸海洋工程：參考政府相關標案(如港灣工程)採購金額。</w:t>
            </w:r>
          </w:p>
          <w:p w:rsidR="000464D2" w:rsidRPr="00B85303" w:rsidRDefault="000464D2" w:rsidP="00FF31A2">
            <w:pPr>
              <w:pStyle w:val="142"/>
              <w:numPr>
                <w:ilvl w:val="0"/>
                <w:numId w:val="3"/>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離岸海洋工程：蒐集廠商資訊，並向財政部申請相關廠商銷售額資料後估算產值。</w:t>
            </w:r>
          </w:p>
        </w:tc>
      </w:tr>
      <w:tr w:rsidR="000464D2" w:rsidRPr="00B85303" w:rsidTr="007829A6">
        <w:tc>
          <w:tcPr>
            <w:tcW w:w="1418" w:type="dxa"/>
            <w:shd w:val="clear" w:color="auto" w:fill="auto"/>
            <w:vAlign w:val="center"/>
          </w:tcPr>
          <w:p w:rsidR="000464D2" w:rsidRPr="00B85303" w:rsidRDefault="000464D2" w:rsidP="008E412B">
            <w:pPr>
              <w:pStyle w:val="142"/>
              <w:spacing w:line="260" w:lineRule="exact"/>
              <w:ind w:left="200" w:hangingChars="100" w:hanging="200"/>
              <w:jc w:val="both"/>
              <w:rPr>
                <w:rFonts w:ascii="標楷體" w:hAnsi="標楷體" w:hint="eastAsia"/>
                <w:snapToGrid/>
                <w:color w:val="000000"/>
                <w:spacing w:val="-10"/>
                <w:sz w:val="22"/>
                <w:szCs w:val="22"/>
              </w:rPr>
            </w:pPr>
            <w:r w:rsidRPr="00B85303">
              <w:rPr>
                <w:rFonts w:ascii="標楷體" w:hAnsi="標楷體" w:hint="eastAsia"/>
                <w:snapToGrid/>
                <w:color w:val="000000"/>
                <w:spacing w:val="-10"/>
                <w:sz w:val="22"/>
                <w:szCs w:val="22"/>
              </w:rPr>
              <w:t>8.</w:t>
            </w:r>
            <w:r w:rsidRPr="00B85303">
              <w:rPr>
                <w:rFonts w:ascii="標楷體" w:hAnsi="標楷體" w:hint="eastAsia"/>
                <w:snapToGrid/>
                <w:color w:val="000000"/>
                <w:spacing w:val="-20"/>
                <w:sz w:val="22"/>
                <w:szCs w:val="22"/>
              </w:rPr>
              <w:t>海洋調查</w:t>
            </w:r>
            <w:r w:rsidRPr="00B85303">
              <w:rPr>
                <w:rFonts w:ascii="標楷體" w:hAnsi="標楷體"/>
                <w:snapToGrid/>
                <w:color w:val="000000"/>
                <w:spacing w:val="-30"/>
                <w:sz w:val="22"/>
                <w:szCs w:val="22"/>
              </w:rPr>
              <w:t>(</w:t>
            </w:r>
            <w:r w:rsidRPr="00B85303">
              <w:rPr>
                <w:rFonts w:ascii="標楷體" w:hAnsi="標楷體" w:hint="eastAsia"/>
                <w:snapToGrid/>
                <w:color w:val="000000"/>
                <w:spacing w:val="-30"/>
                <w:sz w:val="22"/>
                <w:szCs w:val="22"/>
              </w:rPr>
              <w:t>含海洋監測、海洋測繪、海洋資訊服務</w:t>
            </w:r>
            <w:r w:rsidRPr="00B85303">
              <w:rPr>
                <w:rFonts w:ascii="標楷體" w:hAnsi="標楷體"/>
                <w:snapToGrid/>
                <w:color w:val="000000"/>
                <w:spacing w:val="-30"/>
                <w:sz w:val="22"/>
                <w:szCs w:val="22"/>
              </w:rPr>
              <w:t>)</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sz w:val="22"/>
                <w:szCs w:val="22"/>
              </w:rPr>
            </w:pPr>
            <w:r w:rsidRPr="00B85303">
              <w:rPr>
                <w:rFonts w:ascii="標楷體" w:hAnsi="標楷體" w:hint="eastAsia"/>
                <w:snapToGrid/>
                <w:color w:val="000000"/>
                <w:spacing w:val="-20"/>
                <w:sz w:val="22"/>
                <w:szCs w:val="22"/>
              </w:rPr>
              <w:t>4</w:t>
            </w:r>
            <w:r w:rsidRPr="00B85303">
              <w:rPr>
                <w:rFonts w:ascii="標楷體" w:hAnsi="標楷體"/>
                <w:snapToGrid/>
                <w:color w:val="000000"/>
                <w:spacing w:val="-20"/>
                <w:sz w:val="22"/>
                <w:szCs w:val="22"/>
              </w:rPr>
              <w:t>2.2</w:t>
            </w:r>
          </w:p>
        </w:tc>
        <w:tc>
          <w:tcPr>
            <w:tcW w:w="851" w:type="dxa"/>
            <w:shd w:val="clear" w:color="auto" w:fill="D9D9D9"/>
            <w:vAlign w:val="center"/>
          </w:tcPr>
          <w:p w:rsidR="000464D2" w:rsidRPr="00B85303" w:rsidRDefault="000464D2" w:rsidP="000464D2">
            <w:pPr>
              <w:pStyle w:val="142"/>
              <w:jc w:val="right"/>
              <w:rPr>
                <w:rFonts w:ascii="標楷體" w:hAnsi="標楷體" w:hint="eastAsia"/>
                <w:snapToGrid/>
                <w:color w:val="000000"/>
                <w:spacing w:val="-20"/>
                <w:sz w:val="22"/>
                <w:szCs w:val="22"/>
              </w:rPr>
            </w:pPr>
            <w:r w:rsidRPr="00B85303">
              <w:rPr>
                <w:rFonts w:ascii="標楷體" w:hAnsi="標楷體" w:hint="eastAsia"/>
                <w:snapToGrid/>
                <w:color w:val="000000"/>
                <w:spacing w:val="-20"/>
                <w:sz w:val="22"/>
                <w:szCs w:val="22"/>
              </w:rPr>
              <w:t>6</w:t>
            </w:r>
            <w:r w:rsidRPr="00B85303">
              <w:rPr>
                <w:rFonts w:ascii="標楷體" w:hAnsi="標楷體"/>
                <w:snapToGrid/>
                <w:color w:val="000000"/>
                <w:spacing w:val="-20"/>
                <w:sz w:val="22"/>
                <w:szCs w:val="22"/>
              </w:rPr>
              <w:t>0</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56.9</w:t>
            </w:r>
          </w:p>
        </w:tc>
        <w:tc>
          <w:tcPr>
            <w:tcW w:w="851"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14.7</w:t>
            </w:r>
          </w:p>
        </w:tc>
        <w:tc>
          <w:tcPr>
            <w:tcW w:w="4961" w:type="dxa"/>
            <w:shd w:val="clear" w:color="auto" w:fill="auto"/>
            <w:vAlign w:val="center"/>
          </w:tcPr>
          <w:p w:rsidR="000464D2" w:rsidRPr="00B85303" w:rsidRDefault="000464D2" w:rsidP="000464D2">
            <w:pPr>
              <w:pStyle w:val="142"/>
              <w:jc w:val="both"/>
              <w:rPr>
                <w:rFonts w:ascii="標楷體" w:hAnsi="標楷體"/>
                <w:snapToGrid/>
                <w:color w:val="000000"/>
                <w:spacing w:val="-10"/>
                <w:sz w:val="22"/>
                <w:szCs w:val="22"/>
              </w:rPr>
            </w:pPr>
            <w:r w:rsidRPr="00B85303">
              <w:rPr>
                <w:rFonts w:ascii="標楷體" w:hAnsi="標楷體" w:hint="eastAsia"/>
                <w:snapToGrid/>
                <w:color w:val="000000"/>
                <w:spacing w:val="-10"/>
                <w:sz w:val="22"/>
                <w:szCs w:val="22"/>
              </w:rPr>
              <w:t>蒐集廠商資訊，並向財政部申請相關廠商銷售額資料後估算產值。</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hint="eastAsia"/>
                <w:b/>
                <w:bCs/>
                <w:snapToGrid/>
                <w:color w:val="000000"/>
                <w:spacing w:val="-10"/>
                <w:sz w:val="22"/>
                <w:szCs w:val="22"/>
              </w:rPr>
            </w:pPr>
            <w:r w:rsidRPr="00B85303">
              <w:rPr>
                <w:rFonts w:ascii="標楷體" w:hAnsi="標楷體" w:hint="eastAsia"/>
                <w:b/>
                <w:bCs/>
                <w:snapToGrid/>
                <w:color w:val="000000"/>
                <w:spacing w:val="-10"/>
                <w:sz w:val="22"/>
                <w:szCs w:val="22"/>
              </w:rPr>
              <w:t>9.海洋休閒遊憩</w:t>
            </w:r>
            <w:r w:rsidRPr="00B85303">
              <w:rPr>
                <w:rFonts w:ascii="標楷體" w:hAnsi="標楷體"/>
                <w:b/>
                <w:bCs/>
                <w:snapToGrid/>
                <w:color w:val="000000"/>
                <w:spacing w:val="-10"/>
                <w:sz w:val="22"/>
                <w:szCs w:val="22"/>
              </w:rPr>
              <w:t>(</w:t>
            </w:r>
            <w:r w:rsidRPr="00B85303">
              <w:rPr>
                <w:rFonts w:ascii="標楷體" w:hAnsi="標楷體" w:hint="eastAsia"/>
                <w:b/>
                <w:bCs/>
                <w:snapToGrid/>
                <w:color w:val="000000"/>
                <w:spacing w:val="-10"/>
                <w:sz w:val="22"/>
                <w:szCs w:val="22"/>
              </w:rPr>
              <w:t>含海洋</w:t>
            </w:r>
            <w:r w:rsidRPr="00B85303">
              <w:rPr>
                <w:rFonts w:ascii="標楷體" w:hAnsi="標楷體" w:hint="eastAsia"/>
                <w:b/>
                <w:bCs/>
                <w:snapToGrid/>
                <w:color w:val="000000"/>
                <w:spacing w:val="-10"/>
                <w:sz w:val="22"/>
                <w:szCs w:val="22"/>
              </w:rPr>
              <w:lastRenderedPageBreak/>
              <w:t>觀光及遊憩、海洋運動、海洋文化</w:t>
            </w:r>
            <w:r w:rsidRPr="00B85303">
              <w:rPr>
                <w:rFonts w:ascii="標楷體" w:hAnsi="標楷體"/>
                <w:b/>
                <w:bCs/>
                <w:snapToGrid/>
                <w:color w:val="000000"/>
                <w:spacing w:val="-10"/>
                <w:sz w:val="22"/>
                <w:szCs w:val="22"/>
              </w:rPr>
              <w:t>)</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hint="eastAsia"/>
                <w:b/>
                <w:bCs/>
                <w:snapToGrid/>
                <w:color w:val="000000"/>
                <w:spacing w:val="-20"/>
                <w:kern w:val="3"/>
                <w:sz w:val="22"/>
                <w:szCs w:val="22"/>
              </w:rPr>
              <w:lastRenderedPageBreak/>
              <w:t>1</w:t>
            </w:r>
            <w:r w:rsidRPr="00B85303">
              <w:rPr>
                <w:rFonts w:ascii="標楷體" w:hAnsi="標楷體"/>
                <w:b/>
                <w:bCs/>
                <w:snapToGrid/>
                <w:color w:val="000000"/>
                <w:spacing w:val="-20"/>
                <w:kern w:val="3"/>
                <w:sz w:val="22"/>
                <w:szCs w:val="22"/>
              </w:rPr>
              <w:t>1.5</w:t>
            </w:r>
          </w:p>
        </w:tc>
        <w:tc>
          <w:tcPr>
            <w:tcW w:w="851" w:type="dxa"/>
            <w:shd w:val="clear" w:color="auto" w:fill="D9D9D9"/>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sz w:val="22"/>
                <w:szCs w:val="22"/>
              </w:rPr>
              <w:t>15.9</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kern w:val="3"/>
                <w:sz w:val="22"/>
                <w:szCs w:val="22"/>
              </w:rPr>
              <w:t>2</w:t>
            </w:r>
            <w:r w:rsidRPr="00B85303">
              <w:rPr>
                <w:rFonts w:ascii="標楷體" w:hAnsi="標楷體" w:hint="eastAsia"/>
                <w:b/>
                <w:bCs/>
                <w:snapToGrid/>
                <w:color w:val="000000"/>
                <w:spacing w:val="-20"/>
                <w:kern w:val="3"/>
                <w:sz w:val="22"/>
                <w:szCs w:val="22"/>
              </w:rPr>
              <w:t>,</w:t>
            </w:r>
            <w:r w:rsidRPr="00B85303">
              <w:rPr>
                <w:rFonts w:ascii="標楷體" w:hAnsi="標楷體"/>
                <w:b/>
                <w:bCs/>
                <w:snapToGrid/>
                <w:color w:val="000000"/>
                <w:spacing w:val="-20"/>
                <w:kern w:val="3"/>
                <w:sz w:val="22"/>
                <w:szCs w:val="22"/>
              </w:rPr>
              <w:t>445</w:t>
            </w:r>
          </w:p>
        </w:tc>
        <w:tc>
          <w:tcPr>
            <w:tcW w:w="851" w:type="dxa"/>
            <w:vAlign w:val="center"/>
          </w:tcPr>
          <w:p w:rsidR="000464D2" w:rsidRPr="00B85303" w:rsidRDefault="000464D2" w:rsidP="000464D2">
            <w:pPr>
              <w:pStyle w:val="142"/>
              <w:ind w:leftChars="-4" w:left="2" w:hangingChars="7" w:hanging="13"/>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kern w:val="3"/>
                <w:sz w:val="22"/>
                <w:szCs w:val="22"/>
              </w:rPr>
              <w:t>2</w:t>
            </w:r>
            <w:r w:rsidRPr="00B85303">
              <w:rPr>
                <w:rFonts w:ascii="標楷體" w:hAnsi="標楷體" w:hint="eastAsia"/>
                <w:b/>
                <w:bCs/>
                <w:snapToGrid/>
                <w:color w:val="000000"/>
                <w:spacing w:val="-20"/>
                <w:kern w:val="3"/>
                <w:sz w:val="22"/>
                <w:szCs w:val="22"/>
              </w:rPr>
              <w:t>,</w:t>
            </w:r>
            <w:r w:rsidRPr="00B85303">
              <w:rPr>
                <w:rFonts w:ascii="標楷體" w:hAnsi="標楷體"/>
                <w:b/>
                <w:bCs/>
                <w:snapToGrid/>
                <w:color w:val="000000"/>
                <w:spacing w:val="-20"/>
                <w:kern w:val="3"/>
                <w:sz w:val="22"/>
                <w:szCs w:val="22"/>
              </w:rPr>
              <w:t>433.5</w:t>
            </w:r>
          </w:p>
        </w:tc>
        <w:tc>
          <w:tcPr>
            <w:tcW w:w="4961" w:type="dxa"/>
            <w:shd w:val="clear" w:color="auto" w:fill="auto"/>
            <w:vAlign w:val="center"/>
          </w:tcPr>
          <w:p w:rsidR="001634CF" w:rsidRPr="00B85303" w:rsidRDefault="001634CF" w:rsidP="001634CF">
            <w:pPr>
              <w:pStyle w:val="142"/>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112年度：</w:t>
            </w:r>
          </w:p>
          <w:p w:rsidR="001634CF" w:rsidRPr="00B85303" w:rsidRDefault="002F61EB" w:rsidP="001634CF">
            <w:pPr>
              <w:pStyle w:val="142"/>
              <w:jc w:val="both"/>
              <w:rPr>
                <w:rFonts w:ascii="標楷體" w:hAnsi="標楷體" w:hint="eastAsia"/>
                <w:snapToGrid/>
                <w:color w:val="000000"/>
                <w:spacing w:val="-20"/>
                <w:kern w:val="3"/>
                <w:sz w:val="22"/>
                <w:szCs w:val="22"/>
              </w:rPr>
            </w:pPr>
            <w:r w:rsidRPr="00B85303">
              <w:rPr>
                <w:rFonts w:ascii="標楷體" w:hAnsi="標楷體" w:hint="eastAsia"/>
                <w:snapToGrid/>
                <w:color w:val="000000"/>
                <w:spacing w:val="-20"/>
                <w:kern w:val="3"/>
                <w:sz w:val="22"/>
                <w:szCs w:val="22"/>
              </w:rPr>
              <w:t>以交通部所發布之「台灣旅遊狀況調查報告」，使用『國人國</w:t>
            </w:r>
            <w:r w:rsidRPr="00B85303">
              <w:rPr>
                <w:rFonts w:ascii="標楷體" w:hAnsi="標楷體" w:hint="eastAsia"/>
                <w:snapToGrid/>
                <w:color w:val="000000"/>
                <w:spacing w:val="-20"/>
                <w:kern w:val="3"/>
                <w:sz w:val="22"/>
                <w:szCs w:val="22"/>
              </w:rPr>
              <w:lastRenderedPageBreak/>
              <w:t>內旅遊總次數(12歲以上) x 每人每次平均旅遊支出 x 海洋相關旅遊據點到訪比率』來進行估算，同時納入國外旅客來臺之人次，未來本計畫將持續關注各項海洋休閒遊憩之資訊，以確保產值估算可以更貼近實務。</w:t>
            </w:r>
          </w:p>
          <w:p w:rsidR="001634CF" w:rsidRPr="00B85303" w:rsidRDefault="001634CF" w:rsidP="001634CF">
            <w:pPr>
              <w:pStyle w:val="142"/>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111年度：</w:t>
            </w:r>
          </w:p>
          <w:p w:rsidR="000464D2" w:rsidRPr="00B85303" w:rsidRDefault="000464D2" w:rsidP="00FF31A2">
            <w:pPr>
              <w:pStyle w:val="142"/>
              <w:numPr>
                <w:ilvl w:val="0"/>
                <w:numId w:val="5"/>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水域遊憩活動、其他船舶休閒娛樂：參考稅務行業標準分類中水域運動服務、其他海洋水運、其他海洋水運之銷售額。</w:t>
            </w:r>
          </w:p>
          <w:p w:rsidR="000464D2" w:rsidRPr="00B85303" w:rsidRDefault="000464D2" w:rsidP="00FF31A2">
            <w:pPr>
              <w:pStyle w:val="142"/>
              <w:numPr>
                <w:ilvl w:val="0"/>
                <w:numId w:val="4"/>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海洋博物館：以國立海洋科技博物館、國立海洋生物博物館、陽明文化藝術館及長榮海事博物館等營收估算產值。</w:t>
            </w:r>
          </w:p>
        </w:tc>
      </w:tr>
      <w:tr w:rsidR="000464D2" w:rsidRPr="00B85303" w:rsidTr="007829A6">
        <w:trPr>
          <w:trHeight w:val="366"/>
        </w:trPr>
        <w:tc>
          <w:tcPr>
            <w:tcW w:w="1418" w:type="dxa"/>
            <w:shd w:val="clear" w:color="auto" w:fill="auto"/>
            <w:vAlign w:val="center"/>
          </w:tcPr>
          <w:p w:rsidR="000464D2" w:rsidRPr="00B85303" w:rsidRDefault="000464D2" w:rsidP="000464D2">
            <w:pPr>
              <w:pStyle w:val="142"/>
              <w:jc w:val="center"/>
              <w:rPr>
                <w:rFonts w:ascii="標楷體" w:hAnsi="標楷體" w:hint="eastAsia"/>
                <w:b/>
                <w:bCs/>
                <w:snapToGrid/>
                <w:color w:val="000000"/>
                <w:sz w:val="22"/>
                <w:szCs w:val="22"/>
              </w:rPr>
            </w:pPr>
            <w:r w:rsidRPr="00B85303">
              <w:rPr>
                <w:rFonts w:ascii="標楷體" w:hAnsi="標楷體" w:hint="eastAsia"/>
                <w:b/>
                <w:bCs/>
                <w:snapToGrid/>
                <w:color w:val="000000"/>
                <w:sz w:val="22"/>
                <w:szCs w:val="22"/>
              </w:rPr>
              <w:lastRenderedPageBreak/>
              <w:t>合計</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sz w:val="22"/>
                <w:szCs w:val="22"/>
              </w:rPr>
            </w:pPr>
            <w:r w:rsidRPr="00B85303">
              <w:rPr>
                <w:rFonts w:ascii="標楷體" w:hAnsi="標楷體" w:hint="eastAsia"/>
                <w:b/>
                <w:bCs/>
                <w:snapToGrid/>
                <w:color w:val="000000"/>
                <w:spacing w:val="-20"/>
                <w:sz w:val="22"/>
                <w:szCs w:val="22"/>
              </w:rPr>
              <w:t>7</w:t>
            </w:r>
            <w:r w:rsidRPr="00B85303">
              <w:rPr>
                <w:rFonts w:ascii="標楷體" w:hAnsi="標楷體"/>
                <w:b/>
                <w:bCs/>
                <w:snapToGrid/>
                <w:color w:val="000000"/>
                <w:spacing w:val="-20"/>
                <w:sz w:val="22"/>
                <w:szCs w:val="22"/>
              </w:rPr>
              <w:t>,50</w:t>
            </w:r>
            <w:r w:rsidRPr="00B85303">
              <w:rPr>
                <w:rFonts w:ascii="標楷體" w:hAnsi="標楷體" w:hint="eastAsia"/>
                <w:b/>
                <w:bCs/>
                <w:snapToGrid/>
                <w:color w:val="000000"/>
                <w:spacing w:val="-20"/>
                <w:sz w:val="22"/>
                <w:szCs w:val="22"/>
              </w:rPr>
              <w:t>7</w:t>
            </w:r>
          </w:p>
        </w:tc>
        <w:tc>
          <w:tcPr>
            <w:tcW w:w="851" w:type="dxa"/>
            <w:shd w:val="clear" w:color="auto" w:fill="D9D9D9"/>
            <w:vAlign w:val="center"/>
          </w:tcPr>
          <w:p w:rsidR="000464D2" w:rsidRPr="00B85303" w:rsidRDefault="000464D2" w:rsidP="000464D2">
            <w:pPr>
              <w:pStyle w:val="142"/>
              <w:ind w:leftChars="-38" w:left="15" w:hangingChars="67" w:hanging="121"/>
              <w:jc w:val="right"/>
              <w:rPr>
                <w:rFonts w:ascii="標楷體" w:hAnsi="標楷體" w:hint="eastAsia"/>
                <w:b/>
                <w:bCs/>
                <w:snapToGrid/>
                <w:color w:val="000000"/>
                <w:spacing w:val="-20"/>
                <w:kern w:val="3"/>
                <w:sz w:val="22"/>
                <w:szCs w:val="22"/>
              </w:rPr>
            </w:pPr>
            <w:r w:rsidRPr="00B85303">
              <w:rPr>
                <w:rFonts w:ascii="標楷體" w:hAnsi="標楷體" w:hint="eastAsia"/>
                <w:b/>
                <w:bCs/>
                <w:snapToGrid/>
                <w:color w:val="000000"/>
                <w:spacing w:val="-20"/>
                <w:sz w:val="22"/>
                <w:szCs w:val="22"/>
              </w:rPr>
              <w:t>17,03</w:t>
            </w:r>
            <w:r w:rsidR="00B5110F">
              <w:rPr>
                <w:rFonts w:ascii="標楷體" w:hAnsi="標楷體" w:hint="eastAsia"/>
                <w:b/>
                <w:bCs/>
                <w:snapToGrid/>
                <w:color w:val="000000"/>
                <w:spacing w:val="-20"/>
                <w:sz w:val="22"/>
                <w:szCs w:val="22"/>
              </w:rPr>
              <w:t>1</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sz w:val="22"/>
                <w:szCs w:val="22"/>
              </w:rPr>
            </w:pPr>
            <w:r w:rsidRPr="00B85303">
              <w:rPr>
                <w:rFonts w:ascii="標楷體" w:hAnsi="標楷體"/>
                <w:b/>
                <w:bCs/>
                <w:snapToGrid/>
                <w:color w:val="000000"/>
                <w:spacing w:val="-20"/>
                <w:sz w:val="22"/>
                <w:szCs w:val="22"/>
              </w:rPr>
              <w:t>12</w:t>
            </w:r>
            <w:r w:rsidRPr="00B85303">
              <w:rPr>
                <w:rFonts w:ascii="標楷體" w:hAnsi="標楷體" w:hint="eastAsia"/>
                <w:b/>
                <w:bCs/>
                <w:snapToGrid/>
                <w:color w:val="000000"/>
                <w:spacing w:val="-20"/>
                <w:sz w:val="22"/>
                <w:szCs w:val="22"/>
              </w:rPr>
              <w:t>,</w:t>
            </w:r>
            <w:r w:rsidRPr="00B85303">
              <w:rPr>
                <w:rFonts w:ascii="標楷體" w:hAnsi="標楷體"/>
                <w:b/>
                <w:bCs/>
                <w:snapToGrid/>
                <w:color w:val="000000"/>
                <w:spacing w:val="-20"/>
                <w:sz w:val="22"/>
                <w:szCs w:val="22"/>
              </w:rPr>
              <w:t>17</w:t>
            </w:r>
            <w:r w:rsidRPr="00B85303">
              <w:rPr>
                <w:rFonts w:ascii="標楷體" w:hAnsi="標楷體" w:hint="eastAsia"/>
                <w:b/>
                <w:bCs/>
                <w:snapToGrid/>
                <w:color w:val="000000"/>
                <w:spacing w:val="-20"/>
                <w:sz w:val="22"/>
                <w:szCs w:val="22"/>
              </w:rPr>
              <w:t>8</w:t>
            </w:r>
          </w:p>
        </w:tc>
        <w:tc>
          <w:tcPr>
            <w:tcW w:w="851" w:type="dxa"/>
            <w:vAlign w:val="center"/>
          </w:tcPr>
          <w:p w:rsidR="000464D2" w:rsidRPr="00B85303" w:rsidRDefault="000464D2" w:rsidP="000464D2">
            <w:pPr>
              <w:pStyle w:val="142"/>
              <w:jc w:val="right"/>
              <w:rPr>
                <w:rFonts w:ascii="標楷體" w:hAnsi="標楷體" w:hint="eastAsia"/>
                <w:b/>
                <w:bCs/>
                <w:snapToGrid/>
                <w:color w:val="000000"/>
                <w:spacing w:val="-20"/>
                <w:sz w:val="22"/>
                <w:szCs w:val="22"/>
              </w:rPr>
            </w:pPr>
            <w:r w:rsidRPr="00B85303">
              <w:rPr>
                <w:rFonts w:ascii="標楷體" w:hAnsi="標楷體" w:hint="eastAsia"/>
                <w:b/>
                <w:bCs/>
                <w:snapToGrid/>
                <w:color w:val="000000"/>
                <w:spacing w:val="-20"/>
                <w:sz w:val="22"/>
                <w:szCs w:val="22"/>
              </w:rPr>
              <w:t>4,671</w:t>
            </w:r>
          </w:p>
        </w:tc>
        <w:tc>
          <w:tcPr>
            <w:tcW w:w="4961" w:type="dxa"/>
            <w:shd w:val="clear" w:color="auto" w:fill="auto"/>
          </w:tcPr>
          <w:p w:rsidR="000464D2" w:rsidRPr="00B85303" w:rsidRDefault="000464D2" w:rsidP="000464D2">
            <w:pPr>
              <w:pStyle w:val="142"/>
              <w:rPr>
                <w:rFonts w:ascii="標楷體" w:hAnsi="標楷體" w:hint="eastAsia"/>
                <w:snapToGrid/>
                <w:color w:val="000000"/>
                <w:spacing w:val="-10"/>
                <w:kern w:val="3"/>
                <w:sz w:val="22"/>
                <w:szCs w:val="22"/>
              </w:rPr>
            </w:pPr>
          </w:p>
        </w:tc>
      </w:tr>
    </w:tbl>
    <w:p w:rsidR="00CC5EB9" w:rsidRPr="00B85303" w:rsidRDefault="00CC5EB9" w:rsidP="00CC5EB9">
      <w:pPr>
        <w:pStyle w:val="21"/>
        <w:spacing w:line="280" w:lineRule="exact"/>
        <w:ind w:leftChars="-200" w:left="837" w:hangingChars="582" w:hanging="1397"/>
        <w:rPr>
          <w:rFonts w:ascii="標楷體" w:hAnsi="標楷體" w:hint="eastAsia"/>
          <w:sz w:val="24"/>
          <w:szCs w:val="24"/>
        </w:rPr>
      </w:pPr>
      <w:r w:rsidRPr="00B85303">
        <w:rPr>
          <w:rFonts w:ascii="標楷體" w:hAnsi="標楷體" w:hint="eastAsia"/>
          <w:sz w:val="24"/>
          <w:szCs w:val="24"/>
        </w:rPr>
        <w:t>資料來源：海委會。</w:t>
      </w:r>
    </w:p>
    <w:p w:rsidR="005737E3" w:rsidRPr="00B85303" w:rsidRDefault="005737E3" w:rsidP="005737E3">
      <w:pPr>
        <w:ind w:left="560" w:firstLine="560"/>
        <w:rPr>
          <w:rFonts w:ascii="標楷體" w:hAnsi="標楷體"/>
        </w:rPr>
      </w:pPr>
      <w:r w:rsidRPr="00B85303">
        <w:rPr>
          <w:rFonts w:ascii="標楷體" w:hAnsi="標楷體" w:hint="eastAsia"/>
        </w:rPr>
        <w:t>綜上，</w:t>
      </w:r>
      <w:r w:rsidR="00861B9B" w:rsidRPr="00B85303">
        <w:rPr>
          <w:rFonts w:ascii="標楷體" w:hAnsi="標楷體" w:hint="eastAsia"/>
        </w:rPr>
        <w:t>1</w:t>
      </w:r>
      <w:r w:rsidR="00861B9B" w:rsidRPr="00B85303">
        <w:rPr>
          <w:rFonts w:ascii="標楷體" w:hAnsi="標楷體"/>
        </w:rPr>
        <w:t>08</w:t>
      </w:r>
      <w:r w:rsidR="00861B9B" w:rsidRPr="00B85303">
        <w:rPr>
          <w:rFonts w:ascii="標楷體" w:hAnsi="標楷體" w:hint="eastAsia"/>
        </w:rPr>
        <w:t>年1</w:t>
      </w:r>
      <w:r w:rsidR="00861B9B" w:rsidRPr="00B85303">
        <w:rPr>
          <w:rFonts w:ascii="標楷體" w:hAnsi="標楷體"/>
        </w:rPr>
        <w:t>1</w:t>
      </w:r>
      <w:r w:rsidR="00861B9B" w:rsidRPr="00B85303">
        <w:rPr>
          <w:rFonts w:ascii="標楷體" w:hAnsi="標楷體" w:hint="eastAsia"/>
        </w:rPr>
        <w:t>月公布海洋基本法第9條規定略以，政府應積極推動、輔助海洋產業之發展，海洋產業發展條例爰於112年6月公布並於113年1月1日施行；海委會以1</w:t>
      </w:r>
      <w:r w:rsidR="00861B9B" w:rsidRPr="00B85303">
        <w:rPr>
          <w:rFonts w:ascii="標楷體" w:hAnsi="標楷體"/>
        </w:rPr>
        <w:t>11</w:t>
      </w:r>
      <w:r w:rsidR="00861B9B" w:rsidRPr="00B85303">
        <w:rPr>
          <w:rFonts w:ascii="標楷體" w:hAnsi="標楷體" w:hint="eastAsia"/>
        </w:rPr>
        <w:t>年</w:t>
      </w:r>
      <w:r w:rsidR="001F6BBA" w:rsidRPr="00B85303">
        <w:rPr>
          <w:rFonts w:ascii="標楷體" w:hAnsi="標楷體" w:hint="eastAsia"/>
        </w:rPr>
        <w:t>度</w:t>
      </w:r>
      <w:r w:rsidR="00861B9B" w:rsidRPr="00B85303">
        <w:rPr>
          <w:rFonts w:ascii="標楷體" w:hAnsi="標楷體" w:hint="eastAsia"/>
        </w:rPr>
        <w:t>建立之海洋產業產值統計方法推估，近年我國海洋產業總產值成長快速，惟</w:t>
      </w:r>
      <w:r w:rsidR="002C0E9C" w:rsidRPr="00B85303">
        <w:rPr>
          <w:rFonts w:ascii="標楷體" w:hAnsi="標楷體" w:hint="eastAsia"/>
        </w:rPr>
        <w:t>海洋休閒遊憩產業</w:t>
      </w:r>
      <w:r w:rsidR="00DC675B" w:rsidRPr="00B85303">
        <w:rPr>
          <w:rFonts w:ascii="標楷體" w:hAnsi="標楷體" w:hint="eastAsia"/>
        </w:rPr>
        <w:t>因</w:t>
      </w:r>
      <w:r w:rsidR="00492650" w:rsidRPr="00B85303">
        <w:rPr>
          <w:rFonts w:ascii="標楷體" w:hAnsi="標楷體" w:hint="eastAsia"/>
        </w:rPr>
        <w:t>111及112年度</w:t>
      </w:r>
      <w:r w:rsidR="002C0E9C" w:rsidRPr="00B85303">
        <w:rPr>
          <w:rFonts w:ascii="標楷體" w:hAnsi="標楷體" w:hint="eastAsia"/>
        </w:rPr>
        <w:t>產值推估方式不同，致該2年度</w:t>
      </w:r>
      <w:r w:rsidR="002B12BD" w:rsidRPr="00B85303">
        <w:rPr>
          <w:rFonts w:ascii="標楷體" w:hAnsi="標楷體" w:hint="eastAsia"/>
        </w:rPr>
        <w:t>差</w:t>
      </w:r>
      <w:r w:rsidR="002C0E9C" w:rsidRPr="00B85303">
        <w:rPr>
          <w:rFonts w:ascii="標楷體" w:hAnsi="標楷體" w:hint="eastAsia"/>
        </w:rPr>
        <w:t>異數</w:t>
      </w:r>
      <w:r w:rsidR="00492650">
        <w:rPr>
          <w:rFonts w:ascii="標楷體" w:hAnsi="標楷體" w:hint="eastAsia"/>
        </w:rPr>
        <w:t>高</w:t>
      </w:r>
      <w:r w:rsidR="00B5110F">
        <w:rPr>
          <w:rFonts w:ascii="標楷體" w:hAnsi="標楷體" w:hint="eastAsia"/>
        </w:rPr>
        <w:t>達2,429.1億元</w:t>
      </w:r>
      <w:r w:rsidR="002B12BD" w:rsidRPr="00B85303">
        <w:rPr>
          <w:rFonts w:ascii="標楷體" w:hAnsi="標楷體" w:hint="eastAsia"/>
        </w:rPr>
        <w:t>，又尚未納入郵輪產值，</w:t>
      </w:r>
      <w:r w:rsidR="00861B9B" w:rsidRPr="00B85303">
        <w:rPr>
          <w:rFonts w:ascii="標楷體" w:hAnsi="標楷體" w:hint="eastAsia"/>
        </w:rPr>
        <w:t>允宜賡續精進</w:t>
      </w:r>
      <w:r w:rsidR="002B12BD" w:rsidRPr="00B85303">
        <w:rPr>
          <w:rFonts w:ascii="標楷體" w:hAnsi="標楷體" w:hint="eastAsia"/>
        </w:rPr>
        <w:t>建立長期且整體性統計方式</w:t>
      </w:r>
      <w:r w:rsidR="00CA5679" w:rsidRPr="00B85303">
        <w:rPr>
          <w:rFonts w:ascii="標楷體" w:hAnsi="標楷體" w:hint="eastAsia"/>
        </w:rPr>
        <w:t>，俾供政府各機關擬定海洋產業相關發展政策之重要參考</w:t>
      </w:r>
      <w:r w:rsidR="00861B9B" w:rsidRPr="00B85303">
        <w:rPr>
          <w:rFonts w:ascii="標楷體" w:hAnsi="標楷體" w:hint="eastAsia"/>
        </w:rPr>
        <w:t>。</w:t>
      </w:r>
    </w:p>
    <w:bookmarkEnd w:id="1"/>
    <w:sectPr w:rsidR="005737E3"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177093" w:rsidRPr="00177093">
      <w:rPr>
        <w:rFonts w:ascii="標楷體" w:hAnsi="標楷體"/>
        <w:noProof/>
        <w:sz w:val="20"/>
        <w:lang w:val="zh-TW"/>
      </w:rPr>
      <w:t>4</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2F61EB" w:rsidRPr="00284D59" w:rsidRDefault="002F61EB" w:rsidP="00E24C4F">
      <w:pPr>
        <w:pStyle w:val="afd"/>
        <w:ind w:leftChars="0" w:left="139" w:hangingChars="58" w:hanging="139"/>
        <w:jc w:val="both"/>
        <w:rPr>
          <w:rFonts w:ascii="標楷體" w:hAnsi="標楷體" w:hint="eastAsia"/>
          <w:lang w:eastAsia="zh-TW"/>
        </w:rPr>
      </w:pPr>
      <w:r w:rsidRPr="00284D59">
        <w:rPr>
          <w:rStyle w:val="aff"/>
          <w:rFonts w:ascii="標楷體" w:hAnsi="標楷體"/>
        </w:rPr>
        <w:footnoteRef/>
      </w:r>
      <w:r w:rsidRPr="00284D59">
        <w:rPr>
          <w:rFonts w:ascii="標楷體" w:hAnsi="標楷體"/>
        </w:rPr>
        <w:t xml:space="preserve"> </w:t>
      </w:r>
      <w:r w:rsidR="00E24C4F" w:rsidRPr="00284D59">
        <w:rPr>
          <w:rFonts w:ascii="標楷體" w:hAnsi="標楷體" w:hint="eastAsia"/>
          <w:lang w:eastAsia="zh-TW"/>
        </w:rPr>
        <w:t>海委會表示，113年</w:t>
      </w:r>
      <w:r w:rsidR="00B5110F">
        <w:rPr>
          <w:rFonts w:ascii="標楷體" w:hAnsi="標楷體" w:hint="eastAsia"/>
          <w:lang w:eastAsia="zh-TW"/>
        </w:rPr>
        <w:t>度</w:t>
      </w:r>
      <w:r w:rsidR="00E24C4F" w:rsidRPr="00284D59">
        <w:rPr>
          <w:rFonts w:ascii="標楷體" w:hAnsi="標楷體" w:hint="eastAsia"/>
          <w:lang w:eastAsia="zh-TW"/>
        </w:rPr>
        <w:t>海洋產業產值刻正估算中。</w:t>
      </w:r>
      <w:r w:rsidR="00E24C4F" w:rsidRPr="00284D59">
        <w:rPr>
          <w:rFonts w:ascii="標楷體" w:hAnsi="標楷體" w:hint="eastAsia"/>
        </w:rPr>
        <w:t>有鑑海洋產業產值估算涉及各中央目的事業主管機關業管之產業範疇，</w:t>
      </w:r>
      <w:r w:rsidR="00E24C4F" w:rsidRPr="00284D59">
        <w:rPr>
          <w:rFonts w:ascii="標楷體" w:hAnsi="標楷體" w:hint="eastAsia"/>
          <w:lang w:eastAsia="zh-TW"/>
        </w:rPr>
        <w:t>該</w:t>
      </w:r>
      <w:r w:rsidR="00E24C4F" w:rsidRPr="00284D59">
        <w:rPr>
          <w:rFonts w:ascii="標楷體" w:hAnsi="標楷體" w:hint="eastAsia"/>
        </w:rPr>
        <w:t>會將持續蒐整國際標竿組織及國家之海洋產業產值估算方法，精進我國產值估算，屆時需仰賴各部會協助提供相關資訊</w:t>
      </w:r>
      <w:r w:rsidR="00E24C4F" w:rsidRPr="00284D59">
        <w:rPr>
          <w:rFonts w:ascii="標楷體" w:hAnsi="標楷體" w:hint="eastAsia"/>
          <w:lang w:eastAsia="zh-TW"/>
        </w:rPr>
        <w:t>；114</w:t>
      </w:r>
      <w:r w:rsidR="00E24C4F" w:rsidRPr="00284D59">
        <w:rPr>
          <w:rFonts w:ascii="標楷體" w:hAnsi="標楷體" w:hint="eastAsia"/>
        </w:rPr>
        <w:t>年度針對「海洋休閒遊憩」產值項目加入郵輪產值之估算，針對外國旅客消費部分，尚需與交通部及內政部進一步研議相關細項。</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93"/>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38F582F4-A3A2-479E-A24D-EB0F851CB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EEF22-0FAB-4A8F-A13A-ED741CAE8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454</Words>
  <Characters>2592</Characters>
  <Application>Microsoft Office Word</Application>
  <DocSecurity>0</DocSecurity>
  <Lines>21</Lines>
  <Paragraphs>6</Paragraphs>
  <ScaleCrop>false</ScaleCrop>
  <Company/>
  <LinksUpToDate>false</LinksUpToDate>
  <CharactersWithSpaces>3040</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