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D64FC1" w:rsidRPr="00B85303" w:rsidRDefault="002163CF" w:rsidP="00D64FC1">
      <w:pPr>
        <w:pStyle w:val="14"/>
        <w:ind w:left="580" w:hanging="580"/>
        <w:rPr>
          <w:rFonts w:ascii="標楷體" w:eastAsia="標楷體" w:hAnsi="標楷體" w:hint="eastAsia"/>
        </w:rPr>
      </w:pPr>
      <w:bookmarkStart w:id="1" w:name="_Toc85739915"/>
      <w:bookmarkStart w:id="2" w:name="_Toc212448418"/>
      <w:r w:rsidRPr="002163CF">
        <w:rPr>
          <w:rStyle w:val="affe"/>
          <w:rFonts w:ascii="標楷體" w:eastAsia="標楷體" w:hAnsi="標楷體" w:hint="eastAsia"/>
          <w:bCs/>
        </w:rPr>
        <w:t>九</w:t>
      </w:r>
      <w:r w:rsidR="00D64FC1" w:rsidRPr="002163CF">
        <w:rPr>
          <w:rStyle w:val="affe"/>
          <w:rFonts w:ascii="標楷體" w:eastAsia="標楷體" w:hAnsi="標楷體" w:hint="eastAsia"/>
          <w:bCs/>
        </w:rPr>
        <w:t>、部分港口管理</w:t>
      </w:r>
      <w:r w:rsidR="00D64FC1" w:rsidRPr="00B85303">
        <w:rPr>
          <w:rStyle w:val="affe"/>
          <w:rFonts w:ascii="標楷體" w:eastAsia="標楷體" w:hAnsi="標楷體" w:hint="eastAsia"/>
          <w:bCs/>
        </w:rPr>
        <w:t>機關尚未依113年度增修規定辦理港口底泥監測，</w:t>
      </w:r>
      <w:r w:rsidR="004E4F26">
        <w:rPr>
          <w:rStyle w:val="affe"/>
          <w:rFonts w:ascii="標楷體" w:eastAsia="標楷體" w:hAnsi="標楷體" w:hint="eastAsia"/>
          <w:bCs/>
        </w:rPr>
        <w:t>已辦理監測之第一類漁港均有重金屬超標情事，</w:t>
      </w:r>
      <w:r w:rsidR="00D64FC1" w:rsidRPr="00B85303">
        <w:rPr>
          <w:rStyle w:val="affe"/>
          <w:rFonts w:ascii="標楷體" w:eastAsia="標楷體" w:hAnsi="標楷體" w:hint="eastAsia"/>
          <w:bCs/>
        </w:rPr>
        <w:t>又</w:t>
      </w:r>
      <w:r w:rsidR="00D64FC1" w:rsidRPr="00B85303">
        <w:rPr>
          <w:rStyle w:val="affe"/>
          <w:rFonts w:ascii="標楷體" w:eastAsia="標楷體" w:hAnsi="標楷體" w:cs="新細明體" w:hint="eastAsia"/>
          <w:bCs/>
        </w:rPr>
        <w:t>113年度後尚無追踨</w:t>
      </w:r>
      <w:r w:rsidR="00D64FC1" w:rsidRPr="00B85303">
        <w:rPr>
          <w:rStyle w:val="affe"/>
          <w:rFonts w:ascii="標楷體" w:eastAsia="標楷體" w:hAnsi="標楷體" w:hint="eastAsia"/>
          <w:bCs/>
        </w:rPr>
        <w:t>漁港水質檢測</w:t>
      </w:r>
      <w:r w:rsidR="00D64FC1" w:rsidRPr="00B85303">
        <w:rPr>
          <w:rStyle w:val="affe"/>
          <w:rFonts w:ascii="標楷體" w:eastAsia="標楷體" w:hAnsi="標楷體" w:cs="新細明體" w:hint="eastAsia"/>
          <w:bCs/>
        </w:rPr>
        <w:t>達成率之目標值</w:t>
      </w:r>
      <w:r w:rsidR="00D64FC1" w:rsidRPr="00B85303">
        <w:rPr>
          <w:rFonts w:ascii="標楷體" w:eastAsia="標楷體" w:hAnsi="標楷體" w:hint="eastAsia"/>
          <w:bCs/>
        </w:rPr>
        <w:t>，允宜賡續精進</w:t>
      </w:r>
      <w:bookmarkEnd w:id="2"/>
    </w:p>
    <w:p w:rsidR="00D64FC1" w:rsidRPr="00B85303" w:rsidRDefault="00D64FC1" w:rsidP="00D64FC1">
      <w:pPr>
        <w:ind w:left="560" w:firstLine="560"/>
        <w:rPr>
          <w:rFonts w:ascii="標楷體" w:hAnsi="標楷體"/>
        </w:rPr>
      </w:pPr>
      <w:r w:rsidRPr="00B85303">
        <w:rPr>
          <w:rFonts w:ascii="標楷體" w:hAnsi="標楷體" w:hint="eastAsia"/>
        </w:rPr>
        <w:t>海保署115年度預算案「海洋保育業務-污染防治潔淨海洋計畫」項下編列辦理國內港區水質及底泥調查所需經費960萬元。經查：</w:t>
      </w:r>
    </w:p>
    <w:p w:rsidR="00D64FC1" w:rsidRPr="00B85303" w:rsidRDefault="00D64FC1" w:rsidP="00D64FC1">
      <w:pPr>
        <w:pStyle w:val="a4"/>
        <w:ind w:left="840" w:hanging="280"/>
        <w:rPr>
          <w:rFonts w:ascii="標楷體" w:hAnsi="標楷體"/>
          <w:b/>
          <w:bCs/>
        </w:rPr>
      </w:pPr>
      <w:r w:rsidRPr="00B85303">
        <w:rPr>
          <w:rFonts w:ascii="標楷體" w:hAnsi="標楷體" w:hint="eastAsia"/>
          <w:b/>
          <w:bCs/>
        </w:rPr>
        <w:t>(一)部分港口管理機關尚未依113年度增修規定辦理底泥監測</w:t>
      </w:r>
    </w:p>
    <w:p w:rsidR="00D64FC1" w:rsidRPr="00B85303" w:rsidRDefault="00D64FC1" w:rsidP="00D64FC1">
      <w:pPr>
        <w:pStyle w:val="123"/>
        <w:ind w:left="1120" w:hanging="280"/>
        <w:rPr>
          <w:rFonts w:ascii="標楷體" w:hAnsi="標楷體"/>
        </w:rPr>
      </w:pPr>
      <w:r w:rsidRPr="00B85303">
        <w:rPr>
          <w:rFonts w:ascii="標楷體" w:hAnsi="標楷體" w:hint="eastAsia"/>
        </w:rPr>
        <w:t>1.1</w:t>
      </w:r>
      <w:r w:rsidRPr="00B85303">
        <w:rPr>
          <w:rFonts w:ascii="標楷體" w:hAnsi="標楷體"/>
        </w:rPr>
        <w:t>13</w:t>
      </w:r>
      <w:r w:rsidRPr="00B85303">
        <w:rPr>
          <w:rFonts w:ascii="標楷體" w:hAnsi="標楷體" w:hint="eastAsia"/>
        </w:rPr>
        <w:t>年4月增訂海域環境監測及監測站設置辦法第4條規定</w:t>
      </w:r>
      <w:r w:rsidRPr="00B85303">
        <w:rPr>
          <w:rStyle w:val="aff"/>
          <w:rFonts w:ascii="標楷體" w:hAnsi="標楷體"/>
        </w:rPr>
        <w:footnoteReference w:id="1"/>
      </w:r>
      <w:r w:rsidRPr="00B85303">
        <w:rPr>
          <w:rFonts w:ascii="標楷體" w:hAnsi="標楷體" w:hint="eastAsia"/>
        </w:rPr>
        <w:lastRenderedPageBreak/>
        <w:t>略以，港口管理機關及事業機構應視港區特性，辦理港區水質與底泥檢測作業，及底泥應檢測</w:t>
      </w:r>
      <w:r w:rsidR="009B0472">
        <w:rPr>
          <w:rFonts w:ascii="標楷體" w:hAnsi="標楷體" w:hint="eastAsia"/>
        </w:rPr>
        <w:t>與</w:t>
      </w:r>
      <w:r w:rsidRPr="00B85303">
        <w:rPr>
          <w:rFonts w:ascii="標楷體" w:hAnsi="標楷體" w:hint="eastAsia"/>
        </w:rPr>
        <w:t>選擇檢測項目等。檢視漁業署官網「113年漁業署第一類漁港之底泥監測結果」所公開之全部8個第一類漁港均有重金屬超逾下限值</w:t>
      </w:r>
      <w:r w:rsidRPr="00B85303">
        <w:rPr>
          <w:rStyle w:val="aff"/>
          <w:rFonts w:ascii="標楷體" w:hAnsi="標楷體"/>
        </w:rPr>
        <w:footnoteReference w:id="2"/>
      </w:r>
      <w:r w:rsidRPr="00B85303">
        <w:rPr>
          <w:rFonts w:ascii="標楷體" w:hAnsi="標楷體" w:hint="eastAsia"/>
        </w:rPr>
        <w:t>情事</w:t>
      </w:r>
      <w:r w:rsidRPr="00B85303">
        <w:rPr>
          <w:rStyle w:val="aff"/>
          <w:rFonts w:ascii="標楷體" w:hAnsi="標楷體"/>
        </w:rPr>
        <w:footnoteReference w:id="3"/>
      </w:r>
      <w:r w:rsidRPr="00B85303">
        <w:rPr>
          <w:rFonts w:ascii="標楷體" w:hAnsi="標楷體" w:hint="eastAsia"/>
        </w:rPr>
        <w:t>，其中南方澳第一、第三、內埤、正濱、八斗子等漁港部分重金屬檢測項目甚高於上限值</w:t>
      </w:r>
      <w:r w:rsidRPr="00B85303">
        <w:rPr>
          <w:rStyle w:val="aff"/>
          <w:rFonts w:ascii="標楷體" w:hAnsi="標楷體"/>
        </w:rPr>
        <w:footnoteReference w:id="4"/>
      </w:r>
      <w:r w:rsidRPr="00B85303">
        <w:rPr>
          <w:rFonts w:ascii="標楷體" w:hAnsi="標楷體" w:hint="eastAsia"/>
        </w:rPr>
        <w:t>；另事業機</w:t>
      </w:r>
      <w:r w:rsidRPr="00B85303">
        <w:rPr>
          <w:rFonts w:ascii="標楷體" w:hAnsi="標楷體" w:cs="新細明體" w:hint="eastAsia"/>
        </w:rPr>
        <w:t>構底泥檢測資料係公開於各自官網。</w:t>
      </w:r>
    </w:p>
    <w:p w:rsidR="00D64FC1" w:rsidRPr="00B85303" w:rsidRDefault="00D64FC1" w:rsidP="00D64FC1">
      <w:pPr>
        <w:pStyle w:val="123"/>
        <w:ind w:left="1120" w:hanging="280"/>
        <w:rPr>
          <w:rFonts w:ascii="標楷體" w:hAnsi="標楷體"/>
        </w:rPr>
      </w:pPr>
      <w:r w:rsidRPr="00B85303">
        <w:rPr>
          <w:rFonts w:ascii="標楷體" w:hAnsi="標楷體" w:hint="eastAsia"/>
        </w:rPr>
        <w:t>2.復洽據海保署表示，部分港口管理機關</w:t>
      </w:r>
      <w:r w:rsidR="000A31AF">
        <w:rPr>
          <w:rFonts w:ascii="標楷體" w:hAnsi="標楷體" w:hint="eastAsia"/>
        </w:rPr>
        <w:t>(如多數第二</w:t>
      </w:r>
      <w:r w:rsidR="000A31AF" w:rsidRPr="000A31AF">
        <w:rPr>
          <w:rFonts w:ascii="標楷體" w:hAnsi="標楷體" w:hint="eastAsia"/>
        </w:rPr>
        <w:t>類漁港)</w:t>
      </w:r>
      <w:r w:rsidRPr="00B85303">
        <w:rPr>
          <w:rFonts w:ascii="標楷體" w:hAnsi="標楷體" w:hint="eastAsia"/>
        </w:rPr>
        <w:t>尚未依首揭規定辦理監測底泥，該署預計於114年下半年「海洋污染應處平臺」跨部會會議提出宣導</w:t>
      </w:r>
      <w:r w:rsidRPr="00B85303">
        <w:rPr>
          <w:rStyle w:val="aff"/>
          <w:rFonts w:ascii="標楷體" w:hAnsi="標楷體"/>
        </w:rPr>
        <w:footnoteReference w:id="5"/>
      </w:r>
      <w:r w:rsidRPr="00B85303">
        <w:rPr>
          <w:rFonts w:ascii="標楷體" w:hAnsi="標楷體" w:hint="eastAsia"/>
        </w:rPr>
        <w:t>。準此，顯示漁港底泥含重金屬情事嚴重，海保署允宜儘速將港口管理機關及事業機構之底泥監測數據，納入整合於海洋保育網(i</w:t>
      </w:r>
      <w:r w:rsidRPr="00B85303">
        <w:rPr>
          <w:rFonts w:ascii="標楷體" w:hAnsi="標楷體"/>
        </w:rPr>
        <w:t>Ocean)</w:t>
      </w:r>
      <w:r w:rsidRPr="00B85303">
        <w:rPr>
          <w:rFonts w:ascii="標楷體" w:hAnsi="標楷體" w:hint="eastAsia"/>
        </w:rPr>
        <w:t>之「海域相關水質」項下，併同公開於各部會現行提供之水質監測統計，俾利民眾參閱。</w:t>
      </w:r>
    </w:p>
    <w:p w:rsidR="00D64FC1" w:rsidRPr="00B85303" w:rsidRDefault="00D64FC1" w:rsidP="00D64FC1">
      <w:pPr>
        <w:pStyle w:val="a4"/>
        <w:ind w:left="840" w:hanging="280"/>
        <w:rPr>
          <w:rFonts w:ascii="標楷體" w:hAnsi="標楷體"/>
          <w:b/>
          <w:bCs/>
        </w:rPr>
      </w:pPr>
      <w:r w:rsidRPr="00B85303">
        <w:rPr>
          <w:rFonts w:ascii="標楷體" w:hAnsi="標楷體" w:hint="eastAsia"/>
          <w:b/>
          <w:bCs/>
        </w:rPr>
        <w:t>(二)</w:t>
      </w:r>
      <w:r w:rsidRPr="00B85303">
        <w:rPr>
          <w:rFonts w:ascii="標楷體" w:hAnsi="標楷體"/>
          <w:b/>
          <w:bCs/>
        </w:rPr>
        <w:t>113</w:t>
      </w:r>
      <w:r w:rsidRPr="00B85303">
        <w:rPr>
          <w:rFonts w:ascii="標楷體" w:hAnsi="標楷體" w:hint="eastAsia"/>
          <w:b/>
          <w:bCs/>
        </w:rPr>
        <w:t>年度後尚無追踨漁港水質檢測達成率之目標值</w:t>
      </w:r>
    </w:p>
    <w:p w:rsidR="00D64FC1" w:rsidRPr="00B85303" w:rsidRDefault="00D64FC1" w:rsidP="00D910DA">
      <w:pPr>
        <w:pStyle w:val="21"/>
        <w:spacing w:line="460" w:lineRule="exact"/>
        <w:ind w:left="840" w:firstLine="560"/>
        <w:rPr>
          <w:rFonts w:ascii="標楷體" w:hAnsi="標楷體" w:hint="eastAsia"/>
        </w:rPr>
      </w:pPr>
      <w:r w:rsidRPr="00B85303">
        <w:rPr>
          <w:rFonts w:ascii="標楷體" w:hAnsi="標楷體" w:hint="eastAsia"/>
        </w:rPr>
        <w:t>復海保署於109至112年度辦理「海洋污染監測與應處計畫」，其中就「全方位監控海域水質」之績效指標部分(詳表1</w:t>
      </w:r>
      <w:r w:rsidRPr="00B85303">
        <w:rPr>
          <w:rFonts w:ascii="標楷體" w:hAnsi="標楷體"/>
        </w:rPr>
        <w:t>)</w:t>
      </w:r>
      <w:r w:rsidRPr="00B85303">
        <w:rPr>
          <w:rFonts w:ascii="標楷體" w:hAnsi="標楷體" w:hint="eastAsia"/>
        </w:rPr>
        <w:t>，「漁港水質檢測達成率」之目標值介於3</w:t>
      </w:r>
      <w:r w:rsidRPr="00B85303">
        <w:rPr>
          <w:rFonts w:ascii="標楷體" w:hAnsi="標楷體"/>
        </w:rPr>
        <w:t>0%</w:t>
      </w:r>
      <w:r w:rsidRPr="00B85303">
        <w:rPr>
          <w:rFonts w:ascii="標楷體" w:hAnsi="標楷體" w:hint="eastAsia"/>
        </w:rPr>
        <w:t>至6</w:t>
      </w:r>
      <w:r w:rsidRPr="00B85303">
        <w:rPr>
          <w:rFonts w:ascii="標楷體" w:hAnsi="標楷體"/>
        </w:rPr>
        <w:t>0%</w:t>
      </w:r>
      <w:r w:rsidRPr="00B85303">
        <w:rPr>
          <w:rFonts w:ascii="標楷體" w:hAnsi="標楷體" w:hint="eastAsia"/>
        </w:rPr>
        <w:t>間，實際值介於9</w:t>
      </w:r>
      <w:r w:rsidRPr="00B85303">
        <w:rPr>
          <w:rFonts w:ascii="標楷體" w:hAnsi="標楷體"/>
        </w:rPr>
        <w:t>6%</w:t>
      </w:r>
      <w:r w:rsidRPr="00B85303">
        <w:rPr>
          <w:rFonts w:ascii="標楷體" w:hAnsi="標楷體" w:hint="eastAsia"/>
        </w:rPr>
        <w:t>至1</w:t>
      </w:r>
      <w:r w:rsidRPr="00B85303">
        <w:rPr>
          <w:rFonts w:ascii="標楷體" w:hAnsi="標楷體"/>
        </w:rPr>
        <w:t>00%</w:t>
      </w:r>
      <w:r w:rsidRPr="00B85303">
        <w:rPr>
          <w:rFonts w:ascii="標楷體" w:hAnsi="標楷體" w:hint="eastAsia"/>
        </w:rPr>
        <w:t>間，高於目標值甚多</w:t>
      </w:r>
      <w:r w:rsidRPr="00B85303">
        <w:rPr>
          <w:rStyle w:val="aff"/>
          <w:rFonts w:ascii="標楷體" w:hAnsi="標楷體"/>
        </w:rPr>
        <w:footnoteReference w:id="6"/>
      </w:r>
      <w:r w:rsidRPr="00B85303">
        <w:rPr>
          <w:rFonts w:ascii="標楷體" w:hAnsi="標楷體" w:hint="eastAsia"/>
        </w:rPr>
        <w:t>；洽據海保署表示，1</w:t>
      </w:r>
      <w:r w:rsidRPr="00B85303">
        <w:rPr>
          <w:rFonts w:ascii="標楷體" w:hAnsi="標楷體"/>
        </w:rPr>
        <w:t>13</w:t>
      </w:r>
      <w:r w:rsidRPr="00B85303">
        <w:rPr>
          <w:rFonts w:ascii="標楷體" w:hAnsi="標楷體" w:hint="eastAsia"/>
        </w:rPr>
        <w:t>年以後尚無訂定「漁港水質檢測達成率」之目標值，允宜賡續追</w:t>
      </w:r>
      <w:r w:rsidRPr="00B85303">
        <w:rPr>
          <w:rFonts w:ascii="標楷體" w:hAnsi="標楷體" w:hint="eastAsia"/>
        </w:rPr>
        <w:lastRenderedPageBreak/>
        <w:t>蹤與研訂適合標準。</w:t>
      </w:r>
    </w:p>
    <w:p w:rsidR="00D64FC1" w:rsidRPr="00B85303" w:rsidRDefault="00D64FC1" w:rsidP="00D910DA">
      <w:pPr>
        <w:spacing w:line="460" w:lineRule="exact"/>
        <w:ind w:leftChars="-200" w:left="281" w:rightChars="-200" w:right="-560" w:hangingChars="300" w:hanging="841"/>
        <w:rPr>
          <w:rFonts w:ascii="標楷體" w:hAnsi="標楷體"/>
          <w:b/>
          <w:bCs/>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hint="eastAsia"/>
          <w:b/>
          <w:bCs/>
        </w:rPr>
        <w:t>海保署「海洋污染監測與應處計畫」(109至112年度)之「全方位監控海域水質」績效指標執行概況表</w:t>
      </w:r>
      <w:r w:rsidRPr="00B85303">
        <w:rPr>
          <w:rFonts w:ascii="標楷體" w:hAnsi="標楷體"/>
          <w:b/>
          <w:bCs/>
          <w:sz w:val="24"/>
          <w:szCs w:val="24"/>
        </w:rPr>
        <w:t xml:space="preserve">                                 </w:t>
      </w:r>
      <w:r w:rsidRPr="00B85303">
        <w:rPr>
          <w:rFonts w:ascii="標楷體" w:hAnsi="標楷體"/>
          <w:sz w:val="24"/>
          <w:szCs w:val="24"/>
        </w:rPr>
        <w:t xml:space="preserve">  </w:t>
      </w:r>
      <w:r w:rsidRPr="00B85303">
        <w:rPr>
          <w:rFonts w:ascii="標楷體" w:hAnsi="標楷體" w:hint="eastAsia"/>
          <w:sz w:val="24"/>
          <w:szCs w:val="24"/>
        </w:rPr>
        <w:t>單位：%</w:t>
      </w:r>
    </w:p>
    <w:tbl>
      <w:tblPr>
        <w:tblW w:w="9639"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559"/>
        <w:gridCol w:w="885"/>
        <w:gridCol w:w="886"/>
        <w:gridCol w:w="886"/>
        <w:gridCol w:w="886"/>
        <w:gridCol w:w="886"/>
        <w:gridCol w:w="886"/>
        <w:gridCol w:w="886"/>
        <w:gridCol w:w="886"/>
      </w:tblGrid>
      <w:tr w:rsidR="00D64FC1" w:rsidRPr="00B85303" w:rsidTr="00C700D8">
        <w:trPr>
          <w:tblHeader/>
        </w:trPr>
        <w:tc>
          <w:tcPr>
            <w:tcW w:w="993" w:type="dxa"/>
            <w:vMerge w:val="restart"/>
            <w:shd w:val="clear" w:color="auto" w:fill="auto"/>
            <w:vAlign w:val="center"/>
          </w:tcPr>
          <w:p w:rsidR="00D64FC1" w:rsidRPr="00B85303" w:rsidRDefault="00D64FC1" w:rsidP="00D64FC1">
            <w:pPr>
              <w:pStyle w:val="142"/>
              <w:jc w:val="center"/>
              <w:rPr>
                <w:rFonts w:ascii="標楷體" w:hAnsi="標楷體" w:hint="eastAsia"/>
              </w:rPr>
            </w:pPr>
            <w:r w:rsidRPr="00B85303">
              <w:rPr>
                <w:rFonts w:ascii="標楷體" w:hAnsi="標楷體" w:hint="eastAsia"/>
              </w:rPr>
              <w:t>項目</w:t>
            </w:r>
          </w:p>
        </w:tc>
        <w:tc>
          <w:tcPr>
            <w:tcW w:w="1559" w:type="dxa"/>
            <w:vMerge w:val="restart"/>
            <w:shd w:val="clear" w:color="auto" w:fill="auto"/>
            <w:vAlign w:val="center"/>
          </w:tcPr>
          <w:p w:rsidR="00D64FC1" w:rsidRPr="00B85303" w:rsidRDefault="00D64FC1" w:rsidP="00D64FC1">
            <w:pPr>
              <w:pStyle w:val="142"/>
              <w:rPr>
                <w:rFonts w:ascii="標楷體" w:hAnsi="標楷體" w:hint="eastAsia"/>
              </w:rPr>
            </w:pPr>
            <w:r w:rsidRPr="00B85303">
              <w:rPr>
                <w:rFonts w:ascii="標楷體" w:hAnsi="標楷體" w:hint="eastAsia"/>
              </w:rPr>
              <w:t>績效指標</w:t>
            </w:r>
          </w:p>
        </w:tc>
        <w:tc>
          <w:tcPr>
            <w:tcW w:w="1771" w:type="dxa"/>
            <w:gridSpan w:val="2"/>
            <w:shd w:val="clear" w:color="auto" w:fill="auto"/>
            <w:vAlign w:val="center"/>
          </w:tcPr>
          <w:p w:rsidR="00D64FC1" w:rsidRPr="00B85303" w:rsidRDefault="00D64FC1" w:rsidP="00C700D8">
            <w:pPr>
              <w:pStyle w:val="142"/>
              <w:jc w:val="center"/>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年度</w:t>
            </w:r>
          </w:p>
        </w:tc>
        <w:tc>
          <w:tcPr>
            <w:tcW w:w="1772" w:type="dxa"/>
            <w:gridSpan w:val="2"/>
            <w:shd w:val="clear" w:color="auto" w:fill="auto"/>
            <w:vAlign w:val="center"/>
          </w:tcPr>
          <w:p w:rsidR="00D64FC1" w:rsidRPr="00B85303" w:rsidRDefault="00D64FC1" w:rsidP="00C700D8">
            <w:pPr>
              <w:pStyle w:val="142"/>
              <w:jc w:val="center"/>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年度</w:t>
            </w:r>
          </w:p>
        </w:tc>
        <w:tc>
          <w:tcPr>
            <w:tcW w:w="1772" w:type="dxa"/>
            <w:gridSpan w:val="2"/>
            <w:shd w:val="clear" w:color="auto" w:fill="auto"/>
            <w:vAlign w:val="center"/>
          </w:tcPr>
          <w:p w:rsidR="00D64FC1" w:rsidRPr="00B85303" w:rsidRDefault="00D64FC1" w:rsidP="00C700D8">
            <w:pPr>
              <w:pStyle w:val="142"/>
              <w:jc w:val="center"/>
              <w:rPr>
                <w:rFonts w:ascii="標楷體" w:hAnsi="標楷體" w:hint="eastAsia"/>
              </w:rPr>
            </w:pPr>
            <w:r w:rsidRPr="00B85303">
              <w:rPr>
                <w:rFonts w:ascii="標楷體" w:hAnsi="標楷體" w:hint="eastAsia"/>
              </w:rPr>
              <w:t>1</w:t>
            </w:r>
            <w:r w:rsidRPr="00B85303">
              <w:rPr>
                <w:rFonts w:ascii="標楷體" w:hAnsi="標楷體"/>
              </w:rPr>
              <w:t>11</w:t>
            </w:r>
            <w:r w:rsidRPr="00B85303">
              <w:rPr>
                <w:rFonts w:ascii="標楷體" w:hAnsi="標楷體" w:hint="eastAsia"/>
              </w:rPr>
              <w:t>年度</w:t>
            </w:r>
          </w:p>
        </w:tc>
        <w:tc>
          <w:tcPr>
            <w:tcW w:w="1772" w:type="dxa"/>
            <w:gridSpan w:val="2"/>
            <w:shd w:val="clear" w:color="auto" w:fill="auto"/>
            <w:vAlign w:val="center"/>
          </w:tcPr>
          <w:p w:rsidR="00D64FC1" w:rsidRPr="00B85303" w:rsidRDefault="00D64FC1" w:rsidP="00C700D8">
            <w:pPr>
              <w:pStyle w:val="142"/>
              <w:jc w:val="center"/>
              <w:rPr>
                <w:rFonts w:ascii="標楷體" w:hAnsi="標楷體" w:hint="eastAsia"/>
              </w:rPr>
            </w:pPr>
            <w:r w:rsidRPr="00B85303">
              <w:rPr>
                <w:rFonts w:ascii="標楷體" w:hAnsi="標楷體" w:hint="eastAsia"/>
              </w:rPr>
              <w:t>1</w:t>
            </w:r>
            <w:r w:rsidRPr="00B85303">
              <w:rPr>
                <w:rFonts w:ascii="標楷體" w:hAnsi="標楷體"/>
              </w:rPr>
              <w:t>12</w:t>
            </w:r>
            <w:r w:rsidRPr="00B85303">
              <w:rPr>
                <w:rFonts w:ascii="標楷體" w:hAnsi="標楷體" w:hint="eastAsia"/>
              </w:rPr>
              <w:t>年度</w:t>
            </w:r>
          </w:p>
        </w:tc>
      </w:tr>
      <w:tr w:rsidR="00D64FC1" w:rsidRPr="00B85303" w:rsidTr="00C700D8">
        <w:trPr>
          <w:trHeight w:val="372"/>
          <w:tblHeader/>
        </w:trPr>
        <w:tc>
          <w:tcPr>
            <w:tcW w:w="993" w:type="dxa"/>
            <w:vMerge/>
            <w:shd w:val="clear" w:color="auto" w:fill="auto"/>
          </w:tcPr>
          <w:p w:rsidR="00D64FC1" w:rsidRPr="00B85303" w:rsidRDefault="00D64FC1" w:rsidP="00D64FC1">
            <w:pPr>
              <w:pStyle w:val="142"/>
              <w:rPr>
                <w:rFonts w:ascii="標楷體" w:hAnsi="標楷體" w:hint="eastAsia"/>
              </w:rPr>
            </w:pPr>
          </w:p>
        </w:tc>
        <w:tc>
          <w:tcPr>
            <w:tcW w:w="1559" w:type="dxa"/>
            <w:vMerge/>
            <w:shd w:val="clear" w:color="auto" w:fill="auto"/>
          </w:tcPr>
          <w:p w:rsidR="00D64FC1" w:rsidRPr="00B85303" w:rsidRDefault="00D64FC1" w:rsidP="00D64FC1">
            <w:pPr>
              <w:pStyle w:val="142"/>
              <w:rPr>
                <w:rFonts w:ascii="標楷體" w:hAnsi="標楷體" w:hint="eastAsia"/>
              </w:rPr>
            </w:pPr>
          </w:p>
        </w:tc>
        <w:tc>
          <w:tcPr>
            <w:tcW w:w="885"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目標值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實際值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目標值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實際值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目標值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實際值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目標值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實際值</w:t>
            </w:r>
          </w:p>
        </w:tc>
      </w:tr>
      <w:tr w:rsidR="00C700D8" w:rsidRPr="00B85303" w:rsidTr="00726868">
        <w:trPr>
          <w:trHeight w:val="497"/>
        </w:trPr>
        <w:tc>
          <w:tcPr>
            <w:tcW w:w="993" w:type="dxa"/>
            <w:shd w:val="clear" w:color="auto" w:fill="auto"/>
            <w:vAlign w:val="center"/>
          </w:tcPr>
          <w:p w:rsidR="00C700D8" w:rsidRPr="00B85303" w:rsidRDefault="00C700D8" w:rsidP="00C700D8">
            <w:pPr>
              <w:pStyle w:val="142"/>
              <w:rPr>
                <w:rFonts w:ascii="標楷體" w:hAnsi="標楷體" w:hint="eastAsia"/>
              </w:rPr>
            </w:pPr>
            <w:r w:rsidRPr="00B85303">
              <w:rPr>
                <w:rFonts w:ascii="標楷體" w:hAnsi="標楷體" w:hint="eastAsia"/>
              </w:rPr>
              <w:t>全方位監控海域水質</w:t>
            </w:r>
          </w:p>
        </w:tc>
        <w:tc>
          <w:tcPr>
            <w:tcW w:w="1559" w:type="dxa"/>
            <w:shd w:val="clear" w:color="auto" w:fill="auto"/>
            <w:vAlign w:val="center"/>
          </w:tcPr>
          <w:p w:rsidR="00C700D8" w:rsidRPr="00B85303" w:rsidRDefault="00C700D8" w:rsidP="00C700D8">
            <w:pPr>
              <w:pStyle w:val="142"/>
              <w:rPr>
                <w:rFonts w:ascii="標楷體" w:hAnsi="標楷體" w:hint="eastAsia"/>
              </w:rPr>
            </w:pPr>
            <w:r w:rsidRPr="00B85303">
              <w:rPr>
                <w:rFonts w:ascii="標楷體" w:hAnsi="標楷體" w:hint="eastAsia"/>
              </w:rPr>
              <w:t>漁港水質檢測達成率</w:t>
            </w:r>
          </w:p>
        </w:tc>
        <w:tc>
          <w:tcPr>
            <w:tcW w:w="885"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3</w:t>
            </w:r>
            <w:r w:rsidRPr="00B85303">
              <w:rPr>
                <w:rFonts w:ascii="標楷體" w:hAnsi="標楷體"/>
              </w:rPr>
              <w:t>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98.9</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40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100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50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98.1</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60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96</w:t>
            </w:r>
          </w:p>
        </w:tc>
      </w:tr>
    </w:tbl>
    <w:p w:rsidR="00EC2F3E" w:rsidRDefault="00EC2F3E" w:rsidP="00EC2F3E">
      <w:pPr>
        <w:pStyle w:val="142"/>
        <w:ind w:leftChars="-200" w:left="-1" w:rightChars="-202" w:right="-566" w:hangingChars="233" w:hanging="559"/>
        <w:rPr>
          <w:rFonts w:ascii="標楷體" w:hAnsi="標楷體"/>
        </w:rPr>
      </w:pPr>
      <w:r>
        <w:rPr>
          <w:rFonts w:ascii="標楷體" w:hAnsi="標楷體" w:hint="eastAsia"/>
        </w:rPr>
        <w:t xml:space="preserve">說 </w:t>
      </w:r>
      <w:r>
        <w:rPr>
          <w:rFonts w:ascii="標楷體" w:hAnsi="標楷體"/>
        </w:rPr>
        <w:t xml:space="preserve">   </w:t>
      </w:r>
      <w:r>
        <w:rPr>
          <w:rFonts w:ascii="標楷體" w:hAnsi="標楷體" w:hint="eastAsia"/>
        </w:rPr>
        <w:t>明</w:t>
      </w:r>
      <w:r w:rsidRPr="00B85303">
        <w:rPr>
          <w:rFonts w:ascii="標楷體" w:hAnsi="標楷體" w:hint="eastAsia"/>
        </w:rPr>
        <w:t>：</w:t>
      </w:r>
      <w:r w:rsidRPr="00EC2F3E">
        <w:rPr>
          <w:rFonts w:ascii="標楷體" w:hAnsi="標楷體" w:hint="eastAsia"/>
          <w:spacing w:val="-6"/>
        </w:rPr>
        <w:t>漁港水質檢測達成率之定義，係海保署檢測點位</w:t>
      </w:r>
      <w:r>
        <w:rPr>
          <w:rFonts w:ascii="標楷體" w:hAnsi="標楷體" w:hint="eastAsia"/>
          <w:spacing w:val="-6"/>
        </w:rPr>
        <w:t>之</w:t>
      </w:r>
      <w:r w:rsidRPr="00EC2F3E">
        <w:rPr>
          <w:rFonts w:ascii="標楷體" w:hAnsi="標楷體" w:hint="eastAsia"/>
          <w:spacing w:val="-6"/>
        </w:rPr>
        <w:t>數據是否符合該區域水體水質標準</w:t>
      </w:r>
      <w:r>
        <w:rPr>
          <w:rFonts w:ascii="標楷體" w:hAnsi="標楷體" w:hint="eastAsia"/>
          <w:spacing w:val="-6"/>
        </w:rPr>
        <w:t>。</w:t>
      </w:r>
    </w:p>
    <w:p w:rsidR="00D64FC1" w:rsidRPr="00B85303" w:rsidRDefault="00D64FC1" w:rsidP="00D64FC1">
      <w:pPr>
        <w:pStyle w:val="142"/>
        <w:ind w:leftChars="-200" w:left="-1" w:hangingChars="233" w:hanging="559"/>
        <w:rPr>
          <w:rFonts w:ascii="標楷體" w:hAnsi="標楷體"/>
          <w:szCs w:val="24"/>
        </w:rPr>
      </w:pPr>
      <w:r w:rsidRPr="00B85303">
        <w:rPr>
          <w:rFonts w:ascii="標楷體" w:hAnsi="標楷體" w:hint="eastAsia"/>
        </w:rPr>
        <w:t>資料來源：海保</w:t>
      </w:r>
      <w:r w:rsidRPr="00B85303">
        <w:rPr>
          <w:rFonts w:ascii="標楷體" w:hAnsi="標楷體" w:cs="Tahoma" w:hint="eastAsia"/>
        </w:rPr>
        <w:t>署。</w:t>
      </w:r>
    </w:p>
    <w:p w:rsidR="00D64FC1" w:rsidRPr="00B85303" w:rsidRDefault="00D64FC1" w:rsidP="00D64FC1">
      <w:pPr>
        <w:ind w:leftChars="207" w:left="580" w:firstLine="560"/>
        <w:rPr>
          <w:rFonts w:ascii="標楷體" w:hAnsi="標楷體" w:cs="新細明體"/>
        </w:rPr>
      </w:pPr>
      <w:r w:rsidRPr="00B85303">
        <w:rPr>
          <w:rFonts w:ascii="標楷體" w:hAnsi="標楷體" w:hint="eastAsia"/>
        </w:rPr>
        <w:t>綜上，部分港口管理機關尚未依</w:t>
      </w:r>
      <w:r w:rsidRPr="00B85303">
        <w:rPr>
          <w:rFonts w:ascii="標楷體" w:hAnsi="標楷體"/>
        </w:rPr>
        <w:t>113</w:t>
      </w:r>
      <w:r w:rsidRPr="00B85303">
        <w:rPr>
          <w:rFonts w:ascii="標楷體" w:hAnsi="標楷體" w:hint="eastAsia"/>
        </w:rPr>
        <w:t>年度增修規定辦理港口底泥監測，</w:t>
      </w:r>
      <w:r w:rsidR="00CE4FC1" w:rsidRPr="00CE4FC1">
        <w:rPr>
          <w:rFonts w:ascii="標楷體" w:hAnsi="標楷體" w:hint="eastAsia"/>
        </w:rPr>
        <w:t>已辦理監測之第一類漁港均有重金屬超標情事，</w:t>
      </w:r>
      <w:r w:rsidRPr="00B85303">
        <w:rPr>
          <w:rFonts w:ascii="標楷體" w:hAnsi="標楷體" w:hint="eastAsia"/>
        </w:rPr>
        <w:t>又海保署於</w:t>
      </w:r>
      <w:r w:rsidRPr="00B85303">
        <w:rPr>
          <w:rFonts w:ascii="標楷體" w:hAnsi="標楷體"/>
        </w:rPr>
        <w:t>113</w:t>
      </w:r>
      <w:r w:rsidRPr="00B85303">
        <w:rPr>
          <w:rFonts w:ascii="標楷體" w:hAnsi="標楷體" w:hint="eastAsia"/>
        </w:rPr>
        <w:t>年度後尚無追踨漁港水質檢測達成率之目標值，海保署允宜</w:t>
      </w:r>
      <w:r w:rsidRPr="00B85303">
        <w:rPr>
          <w:rFonts w:ascii="標楷體" w:hAnsi="標楷體" w:cs="新細明體" w:hint="eastAsia"/>
        </w:rPr>
        <w:t>加強對港口管理機關依規定辦理之宣導，並</w:t>
      </w:r>
      <w:r w:rsidRPr="00B85303">
        <w:rPr>
          <w:rFonts w:ascii="標楷體" w:hAnsi="標楷體" w:hint="eastAsia"/>
        </w:rPr>
        <w:t>儘速將港口管理機關及事業機構之底泥監測數據，納入整合於海洋保育網(i</w:t>
      </w:r>
      <w:r w:rsidRPr="00B85303">
        <w:rPr>
          <w:rFonts w:ascii="標楷體" w:hAnsi="標楷體"/>
        </w:rPr>
        <w:t>Ocean)</w:t>
      </w:r>
      <w:r w:rsidRPr="00B85303">
        <w:rPr>
          <w:rFonts w:ascii="標楷體" w:hAnsi="標楷體" w:hint="eastAsia"/>
        </w:rPr>
        <w:t>之「海域相關水質」項下，俾利民眾參閱</w:t>
      </w:r>
      <w:r w:rsidRPr="00B85303">
        <w:rPr>
          <w:rFonts w:ascii="標楷體" w:hAnsi="標楷體" w:cs="新細明體" w:hint="eastAsia"/>
        </w:rPr>
        <w:t>。</w:t>
      </w:r>
    </w:p>
    <w:bookmarkEnd w:id="1"/>
    <w:sectPr w:rsidR="00D64FC1"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40344F" w:rsidRPr="0040344F">
      <w:rPr>
        <w:rFonts w:ascii="標楷體" w:hAnsi="標楷體"/>
        <w:noProof/>
        <w:sz w:val="20"/>
        <w:lang w:val="zh-TW"/>
      </w:rPr>
      <w:t>3</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D64FC1" w:rsidRPr="00284D59" w:rsidRDefault="00D64FC1" w:rsidP="00D64FC1">
      <w:pPr>
        <w:pStyle w:val="afd"/>
        <w:ind w:leftChars="0" w:left="278" w:hangingChars="116" w:hanging="278"/>
        <w:jc w:val="both"/>
        <w:rPr>
          <w:rFonts w:ascii="標楷體" w:hAnsi="標楷體" w:hint="eastAsia"/>
        </w:rPr>
      </w:pPr>
      <w:r w:rsidRPr="00284D59">
        <w:rPr>
          <w:rStyle w:val="aff"/>
          <w:rFonts w:ascii="標楷體" w:hAnsi="標楷體" w:hint="eastAsia"/>
        </w:rPr>
        <w:footnoteRef/>
      </w:r>
      <w:r w:rsidRPr="00284D59">
        <w:rPr>
          <w:rFonts w:ascii="標楷體" w:hAnsi="標楷體" w:hint="eastAsia"/>
        </w:rPr>
        <w:t xml:space="preserve"> </w:t>
      </w:r>
      <w:r w:rsidRPr="00284D59">
        <w:rPr>
          <w:rFonts w:ascii="標楷體" w:hAnsi="標楷體" w:hint="eastAsia"/>
          <w:szCs w:val="24"/>
        </w:rPr>
        <w:t>海域環境監測及監測站設置辦法第4條第1項：「港口管理機關及事業機構應視港區特性，辦理港區水質及底泥檢測作業。」、</w:t>
      </w:r>
      <w:r w:rsidRPr="00284D59">
        <w:rPr>
          <w:rFonts w:ascii="標楷體" w:hAnsi="標楷體" w:cs="新細明體" w:hint="eastAsia"/>
          <w:szCs w:val="24"/>
        </w:rPr>
        <w:t>第2項</w:t>
      </w:r>
      <w:r w:rsidRPr="00284D59">
        <w:rPr>
          <w:rFonts w:ascii="標楷體" w:hAnsi="標楷體" w:hint="eastAsia"/>
          <w:szCs w:val="24"/>
        </w:rPr>
        <w:t>：「港區水質檢測項目同前條規定；底泥檢測項目如下：一、應檢測項目：（一）重金屬。（二）有機化合物（揮發性有機物、半揮發性有機物及塑化劑）。二、選擇檢測項目（一）農藥。（二）戴奧辛。（三）多氯聯苯。」</w:t>
      </w:r>
    </w:p>
  </w:footnote>
  <w:footnote w:id="2">
    <w:p w:rsidR="00D64FC1" w:rsidRPr="00284D59" w:rsidRDefault="00D64FC1" w:rsidP="00D64FC1">
      <w:pPr>
        <w:pStyle w:val="afd"/>
        <w:ind w:leftChars="0" w:left="278" w:hangingChars="116" w:hanging="278"/>
        <w:jc w:val="both"/>
        <w:rPr>
          <w:rFonts w:ascii="標楷體" w:hAnsi="標楷體" w:hint="eastAsia"/>
        </w:rPr>
      </w:pPr>
      <w:r w:rsidRPr="00284D59">
        <w:rPr>
          <w:rStyle w:val="aff"/>
          <w:rFonts w:ascii="標楷體" w:hAnsi="標楷體" w:hint="eastAsia"/>
        </w:rPr>
        <w:footnoteRef/>
      </w:r>
      <w:r w:rsidRPr="00284D59">
        <w:rPr>
          <w:rFonts w:ascii="標楷體" w:hAnsi="標楷體" w:hint="eastAsia"/>
        </w:rPr>
        <w:t xml:space="preserve"> </w:t>
      </w:r>
      <w:r w:rsidRPr="00284D59">
        <w:rPr>
          <w:rFonts w:ascii="標楷體" w:hAnsi="標楷體" w:hint="eastAsia"/>
          <w:szCs w:val="24"/>
        </w:rPr>
        <w:t>係增加監測頻率值。</w:t>
      </w:r>
    </w:p>
  </w:footnote>
  <w:footnote w:id="3">
    <w:p w:rsidR="00D64FC1" w:rsidRPr="00284D59" w:rsidRDefault="00D64FC1" w:rsidP="00D64FC1">
      <w:pPr>
        <w:pStyle w:val="afd"/>
        <w:ind w:leftChars="0" w:left="278" w:hangingChars="116" w:hanging="278"/>
        <w:jc w:val="both"/>
        <w:rPr>
          <w:rFonts w:ascii="標楷體" w:hAnsi="標楷體" w:hint="eastAsia"/>
        </w:rPr>
      </w:pPr>
      <w:r w:rsidRPr="00284D59">
        <w:rPr>
          <w:rStyle w:val="aff"/>
          <w:rFonts w:ascii="標楷體" w:hAnsi="標楷體" w:hint="eastAsia"/>
        </w:rPr>
        <w:footnoteRef/>
      </w:r>
      <w:r w:rsidRPr="00284D59">
        <w:rPr>
          <w:rFonts w:ascii="標楷體" w:hAnsi="標楷體" w:hint="eastAsia"/>
        </w:rPr>
        <w:t xml:space="preserve"> </w:t>
      </w:r>
      <w:r w:rsidRPr="00284D59">
        <w:rPr>
          <w:rFonts w:ascii="標楷體" w:hAnsi="標楷體" w:hint="eastAsia"/>
          <w:szCs w:val="24"/>
        </w:rPr>
        <w:t>洽據漁業署表示，因前鎮漁港1</w:t>
      </w:r>
      <w:r w:rsidRPr="00284D59">
        <w:rPr>
          <w:rFonts w:ascii="標楷體" w:hAnsi="標楷體"/>
          <w:szCs w:val="24"/>
        </w:rPr>
        <w:t>13</w:t>
      </w:r>
      <w:r w:rsidRPr="00284D59">
        <w:rPr>
          <w:rFonts w:ascii="標楷體" w:hAnsi="標楷體" w:hint="eastAsia"/>
          <w:szCs w:val="24"/>
        </w:rPr>
        <w:t>年進行工</w:t>
      </w:r>
      <w:r w:rsidRPr="00284D59">
        <w:rPr>
          <w:rFonts w:ascii="標楷體" w:hAnsi="標楷體" w:cs="新細明體" w:hint="eastAsia"/>
          <w:szCs w:val="24"/>
        </w:rPr>
        <w:t>程案故未納入監測，1</w:t>
      </w:r>
      <w:r w:rsidRPr="00284D59">
        <w:rPr>
          <w:rFonts w:ascii="標楷體" w:hAnsi="標楷體" w:cs="新細明體"/>
          <w:szCs w:val="24"/>
        </w:rPr>
        <w:t>14</w:t>
      </w:r>
      <w:r w:rsidRPr="00284D59">
        <w:rPr>
          <w:rFonts w:ascii="標楷體" w:hAnsi="標楷體" w:cs="新細明體" w:hint="eastAsia"/>
          <w:szCs w:val="24"/>
        </w:rPr>
        <w:t>年已納入。</w:t>
      </w:r>
    </w:p>
  </w:footnote>
  <w:footnote w:id="4">
    <w:p w:rsidR="00D64FC1" w:rsidRPr="00284D59" w:rsidRDefault="00D64FC1" w:rsidP="00D64FC1">
      <w:pPr>
        <w:pStyle w:val="afd"/>
        <w:ind w:leftChars="0" w:left="334" w:hangingChars="139" w:hanging="334"/>
        <w:jc w:val="both"/>
        <w:rPr>
          <w:rFonts w:ascii="標楷體" w:hAnsi="標楷體" w:hint="eastAsia"/>
        </w:rPr>
      </w:pPr>
      <w:r w:rsidRPr="00284D59">
        <w:rPr>
          <w:rStyle w:val="aff"/>
          <w:rFonts w:ascii="標楷體" w:hAnsi="標楷體" w:hint="eastAsia"/>
        </w:rPr>
        <w:footnoteRef/>
      </w:r>
      <w:r w:rsidRPr="00284D59">
        <w:rPr>
          <w:rFonts w:ascii="標楷體" w:hAnsi="標楷體" w:hint="eastAsia"/>
        </w:rPr>
        <w:t xml:space="preserve"> </w:t>
      </w:r>
      <w:r w:rsidRPr="00284D59">
        <w:rPr>
          <w:rFonts w:ascii="標楷體" w:hAnsi="標楷體" w:hint="eastAsia"/>
          <w:szCs w:val="24"/>
        </w:rPr>
        <w:t>係風險評估啟動值。</w:t>
      </w:r>
    </w:p>
  </w:footnote>
  <w:footnote w:id="5">
    <w:p w:rsidR="00D64FC1" w:rsidRPr="003236C5" w:rsidRDefault="00D64FC1" w:rsidP="00D64FC1">
      <w:pPr>
        <w:pStyle w:val="afd"/>
        <w:ind w:leftChars="0" w:left="278" w:hangingChars="116" w:hanging="278"/>
        <w:rPr>
          <w:rFonts w:ascii="標楷體" w:hAnsi="標楷體" w:hint="eastAsia"/>
          <w:lang w:eastAsia="zh-TW"/>
        </w:rPr>
      </w:pPr>
      <w:r w:rsidRPr="003236C5">
        <w:rPr>
          <w:rStyle w:val="aff"/>
          <w:rFonts w:ascii="標楷體" w:hAnsi="標楷體"/>
        </w:rPr>
        <w:footnoteRef/>
      </w:r>
      <w:r w:rsidRPr="003236C5">
        <w:rPr>
          <w:rFonts w:ascii="標楷體" w:hAnsi="標楷體"/>
        </w:rPr>
        <w:t xml:space="preserve"> </w:t>
      </w:r>
      <w:r w:rsidRPr="003236C5">
        <w:rPr>
          <w:rFonts w:ascii="標楷體" w:hAnsi="標楷體" w:hint="eastAsia"/>
        </w:rPr>
        <w:t>海保署表示，113年補助地方政府港口底泥檢測部分，依港口數量計算，113年計補助35個港口底泥檢測，其中有2個第一類漁港、27個為第二類漁港、5個商港及1個工業港。(依漁業署113年10月公告修正「漁港類別及名稱一覽表」，全臺計9個第一類漁港及221個第二類漁港。)</w:t>
      </w:r>
    </w:p>
  </w:footnote>
  <w:footnote w:id="6">
    <w:p w:rsidR="00D64FC1" w:rsidRPr="00D56626" w:rsidRDefault="00D64FC1" w:rsidP="00D64FC1">
      <w:pPr>
        <w:pStyle w:val="afd"/>
        <w:ind w:leftChars="0" w:left="166" w:hangingChars="69" w:hanging="166"/>
        <w:jc w:val="both"/>
        <w:rPr>
          <w:rFonts w:ascii="標楷體" w:hAnsi="標楷體" w:hint="eastAsia"/>
        </w:rPr>
      </w:pPr>
      <w:r w:rsidRPr="00D56626">
        <w:rPr>
          <w:rStyle w:val="aff"/>
          <w:rFonts w:ascii="標楷體" w:hAnsi="標楷體" w:hint="eastAsia"/>
        </w:rPr>
        <w:footnoteRef/>
      </w:r>
      <w:r w:rsidRPr="00D56626">
        <w:rPr>
          <w:rFonts w:ascii="標楷體" w:hAnsi="標楷體" w:hint="eastAsia"/>
        </w:rPr>
        <w:t xml:space="preserve"> </w:t>
      </w:r>
      <w:r w:rsidRPr="00D56626">
        <w:rPr>
          <w:rFonts w:ascii="標楷體" w:hAnsi="標楷體" w:hint="eastAsia"/>
          <w:szCs w:val="24"/>
        </w:rPr>
        <w:t>海保署表示自1</w:t>
      </w:r>
      <w:r w:rsidRPr="00D56626">
        <w:rPr>
          <w:rFonts w:ascii="標楷體" w:hAnsi="標楷體"/>
          <w:szCs w:val="24"/>
        </w:rPr>
        <w:t>07</w:t>
      </w:r>
      <w:r w:rsidRPr="00D56626">
        <w:rPr>
          <w:rFonts w:ascii="標楷體" w:hAnsi="標楷體" w:hint="eastAsia"/>
          <w:szCs w:val="24"/>
        </w:rPr>
        <w:t>年成立以來積極爭取中長程計畫經費，為擴大掌握漁港港口水質變化以制訂污染防治政策，遂於本計畫強化監測漁港港口水質，考量以往尚未掌握全國漁港港區及水質特性，初步以較為寬鬆目標值訂定，俟完備全國監測調查資料將據以研議相關法規標準及制定適宜之污染防治措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44F"/>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0240C3F-18B6-4CF8-8213-4A1B79D02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6F83F-6C65-4BA7-8D9C-6BD42F160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270</Words>
  <Characters>1542</Characters>
  <Application>Microsoft Office Word</Application>
  <DocSecurity>0</DocSecurity>
  <Lines>12</Lines>
  <Paragraphs>3</Paragraphs>
  <ScaleCrop>false</ScaleCrop>
  <Company/>
  <LinksUpToDate>false</LinksUpToDate>
  <CharactersWithSpaces>1809</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