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AC611C" w:rsidRPr="009C48BA" w:rsidRDefault="002163CF" w:rsidP="00AC611C">
      <w:pPr>
        <w:pStyle w:val="14"/>
        <w:ind w:left="580" w:hanging="580"/>
        <w:rPr>
          <w:rFonts w:ascii="標楷體" w:eastAsia="標楷體" w:hAnsi="標楷體" w:cs="Adobe Devanagari"/>
        </w:rPr>
      </w:pPr>
      <w:bookmarkStart w:id="1" w:name="_Toc85739921"/>
      <w:bookmarkStart w:id="2" w:name="_Toc212448420"/>
      <w:r w:rsidRPr="002163CF">
        <w:rPr>
          <w:rFonts w:ascii="標楷體" w:eastAsia="標楷體" w:hAnsi="標楷體" w:hint="eastAsia"/>
        </w:rPr>
        <w:t>一０</w:t>
      </w:r>
      <w:r w:rsidR="00F00BAF" w:rsidRPr="00B85303">
        <w:rPr>
          <w:rFonts w:ascii="標楷體" w:eastAsia="標楷體" w:hAnsi="標楷體" w:hint="eastAsia"/>
        </w:rPr>
        <w:t>、</w:t>
      </w:r>
      <w:r w:rsidR="00AC611C" w:rsidRPr="009C48BA">
        <w:rPr>
          <w:rFonts w:ascii="標楷體" w:eastAsia="標楷體" w:hAnsi="標楷體" w:cs="Adobe Devanagari"/>
        </w:rPr>
        <w:t>近年實際員額概呈減少及缺額持續擴大，其中研究人員</w:t>
      </w:r>
      <w:r w:rsidR="006D48B2">
        <w:rPr>
          <w:rFonts w:ascii="標楷體" w:eastAsia="標楷體" w:hAnsi="標楷體" w:cs="Adobe Devanagari" w:hint="eastAsia"/>
        </w:rPr>
        <w:t>之</w:t>
      </w:r>
      <w:r w:rsidR="00AC611C" w:rsidRPr="009C48BA">
        <w:rPr>
          <w:rFonts w:ascii="標楷體" w:eastAsia="標楷體" w:hAnsi="標楷體" w:cs="Adobe Devanagari"/>
        </w:rPr>
        <w:t>缺額為多，允宜強化育才、留才及攬才措施</w:t>
      </w:r>
      <w:bookmarkEnd w:id="2"/>
    </w:p>
    <w:p w:rsidR="00AC611C" w:rsidRPr="00B85303" w:rsidRDefault="00AC611C" w:rsidP="00AC611C">
      <w:pPr>
        <w:ind w:left="560" w:firstLine="560"/>
        <w:rPr>
          <w:rFonts w:ascii="標楷體" w:hAnsi="標楷體"/>
          <w:snapToGrid/>
        </w:rPr>
      </w:pPr>
      <w:r w:rsidRPr="00B85303">
        <w:rPr>
          <w:rFonts w:ascii="標楷體" w:hAnsi="標楷體" w:hint="eastAsia"/>
          <w:snapToGrid/>
        </w:rPr>
        <w:t>國海院115年度預算案「</w:t>
      </w:r>
      <w:r w:rsidRPr="00B85303">
        <w:rPr>
          <w:rFonts w:ascii="標楷體" w:hAnsi="標楷體" w:hint="eastAsia"/>
        </w:rPr>
        <w:t>一般行政-人員維持」編列人事費1億2,779萬元</w:t>
      </w:r>
      <w:r w:rsidRPr="00B85303">
        <w:rPr>
          <w:rFonts w:ascii="標楷體" w:hAnsi="標楷體" w:hint="eastAsia"/>
          <w:snapToGrid/>
        </w:rPr>
        <w:t>，係預算員額90人之相關人事費用。</w:t>
      </w:r>
    </w:p>
    <w:p w:rsidR="00AC611C" w:rsidRPr="00B85303" w:rsidRDefault="00AC611C" w:rsidP="00AC611C">
      <w:pPr>
        <w:ind w:left="560" w:firstLine="560"/>
        <w:rPr>
          <w:rFonts w:ascii="標楷體" w:hAnsi="標楷體"/>
          <w:snapToGrid/>
        </w:rPr>
      </w:pPr>
      <w:r w:rsidRPr="00B85303">
        <w:rPr>
          <w:rFonts w:ascii="標楷體" w:hAnsi="標楷體" w:hint="eastAsia"/>
          <w:snapToGrid/>
        </w:rPr>
        <w:t>綜觀近年國海院人事概況(詳表1)，112至115年度預算員額均維持90人，惟實際員額自112年度之84人減為114年8月底之80人，減少4人(減幅4.76%)，概呈減少趨勢，致缺額自112年度之6人增為114年8月底之10人，缺額持續擴大；其中5個研究中心預算員額均為66人，實際員額</w:t>
      </w:r>
      <w:r w:rsidR="007807C1">
        <w:rPr>
          <w:rFonts w:ascii="標楷體" w:hAnsi="標楷體" w:hint="eastAsia"/>
          <w:snapToGrid/>
        </w:rPr>
        <w:t>卻</w:t>
      </w:r>
      <w:r w:rsidRPr="00B85303">
        <w:rPr>
          <w:rFonts w:ascii="標楷體" w:hAnsi="標楷體" w:hint="eastAsia"/>
          <w:snapToGrid/>
        </w:rPr>
        <w:t>自112年度之62人減為114年8月底之57人，減少5人(減幅8.06%)，減幅高於國海</w:t>
      </w:r>
      <w:r w:rsidRPr="00B85303">
        <w:rPr>
          <w:rFonts w:ascii="標楷體" w:hAnsi="標楷體" w:hint="eastAsia"/>
          <w:snapToGrid/>
        </w:rPr>
        <w:lastRenderedPageBreak/>
        <w:t>院平均值</w:t>
      </w:r>
      <w:r w:rsidRPr="00B85303">
        <w:rPr>
          <w:rStyle w:val="aff"/>
          <w:rFonts w:ascii="標楷體" w:hAnsi="標楷體"/>
          <w:snapToGrid/>
        </w:rPr>
        <w:footnoteReference w:id="1"/>
      </w:r>
      <w:r w:rsidRPr="00B85303">
        <w:rPr>
          <w:rFonts w:ascii="標楷體" w:hAnsi="標楷體" w:hint="eastAsia"/>
          <w:snapToGrid/>
        </w:rPr>
        <w:t>；又113至114年度國海院調離職退休人數高於新進到職人數，顯示招募與留才機制未臻周全。</w:t>
      </w:r>
    </w:p>
    <w:p w:rsidR="00AC611C" w:rsidRPr="00B85303" w:rsidRDefault="00AC611C" w:rsidP="00AC611C">
      <w:pPr>
        <w:ind w:left="560" w:firstLine="560"/>
        <w:rPr>
          <w:rFonts w:ascii="標楷體" w:hAnsi="標楷體"/>
          <w:snapToGrid/>
        </w:rPr>
      </w:pPr>
      <w:r w:rsidRPr="00B85303">
        <w:rPr>
          <w:rFonts w:ascii="標楷體" w:hAnsi="標楷體" w:hint="eastAsia"/>
          <w:snapToGrid/>
        </w:rPr>
        <w:t>洽據國海院表示，為確保業務運行，積極辦理人員甄補遴選，惟迄114年9月底5個研究中心仍有主任2人、研究員3人、副研究員1人、助理研究員2人及助理員1人等</w:t>
      </w:r>
      <w:r w:rsidR="00BE108B">
        <w:rPr>
          <w:rFonts w:ascii="標楷體" w:hAnsi="標楷體" w:hint="eastAsia"/>
          <w:snapToGrid/>
        </w:rPr>
        <w:t>計</w:t>
      </w:r>
      <w:r w:rsidRPr="00B85303">
        <w:rPr>
          <w:rFonts w:ascii="標楷體" w:hAnsi="標楷體" w:hint="eastAsia"/>
          <w:snapToGrid/>
        </w:rPr>
        <w:t>9人空缺(占預算員額57人之15.79</w:t>
      </w:r>
      <w:r w:rsidRPr="00B85303">
        <w:rPr>
          <w:rFonts w:ascii="標楷體" w:hAnsi="標楷體"/>
          <w:snapToGrid/>
        </w:rPr>
        <w:t>%)</w:t>
      </w:r>
      <w:r w:rsidRPr="00B85303">
        <w:rPr>
          <w:rFonts w:ascii="標楷體" w:hAnsi="標楷體" w:hint="eastAsia"/>
          <w:snapToGrid/>
        </w:rPr>
        <w:t>，刻正辦理部分研究人員之甄補程序，並賡續依規定加速辦理，期能羅致適任人員以補足人力缺口，使業務順利推展。</w:t>
      </w:r>
    </w:p>
    <w:p w:rsidR="00AC611C" w:rsidRPr="00B85303" w:rsidRDefault="00AC611C" w:rsidP="00AC611C">
      <w:pPr>
        <w:ind w:left="560" w:firstLine="560"/>
        <w:rPr>
          <w:rFonts w:ascii="標楷體" w:hAnsi="標楷體" w:hint="eastAsia"/>
          <w:snapToGrid/>
        </w:rPr>
      </w:pPr>
      <w:r w:rsidRPr="00B85303">
        <w:rPr>
          <w:rFonts w:ascii="標楷體" w:hAnsi="標楷體" w:hint="eastAsia"/>
          <w:snapToGrid/>
        </w:rPr>
        <w:t>綜上，</w:t>
      </w:r>
      <w:r w:rsidRPr="00B85303">
        <w:rPr>
          <w:rFonts w:ascii="標楷體" w:hAnsi="標楷體" w:hint="eastAsia"/>
        </w:rPr>
        <w:t>近年國海院實際員額概呈減少及缺額持續擴大，其中研究人員</w:t>
      </w:r>
      <w:r w:rsidR="006D48B2">
        <w:rPr>
          <w:rFonts w:ascii="標楷體" w:hAnsi="標楷體" w:hint="eastAsia"/>
        </w:rPr>
        <w:t>之</w:t>
      </w:r>
      <w:r w:rsidRPr="00B85303">
        <w:rPr>
          <w:rFonts w:ascii="標楷體" w:hAnsi="標楷體" w:hint="eastAsia"/>
        </w:rPr>
        <w:t>缺額為多，迄114年9月底5個研</w:t>
      </w:r>
      <w:r w:rsidRPr="00B85303">
        <w:rPr>
          <w:rFonts w:ascii="標楷體" w:hAnsi="標楷體" w:cs="新細明體" w:hint="eastAsia"/>
        </w:rPr>
        <w:t>究中心之缺額率達15.79%，</w:t>
      </w:r>
      <w:r w:rsidRPr="00B85303">
        <w:rPr>
          <w:rFonts w:ascii="標楷體" w:hAnsi="標楷體" w:hint="eastAsia"/>
        </w:rPr>
        <w:t>允宜強化育才、留才及攬才措施，俾</w:t>
      </w:r>
      <w:r w:rsidR="00A51FDB">
        <w:rPr>
          <w:rFonts w:ascii="標楷體" w:hAnsi="標楷體" w:hint="eastAsia"/>
        </w:rPr>
        <w:t>厚植</w:t>
      </w:r>
      <w:r w:rsidR="009C48BA">
        <w:rPr>
          <w:rFonts w:ascii="標楷體" w:hAnsi="標楷體" w:hint="eastAsia"/>
        </w:rPr>
        <w:t>海</w:t>
      </w:r>
      <w:r w:rsidRPr="00B85303">
        <w:rPr>
          <w:rFonts w:ascii="標楷體" w:hAnsi="標楷體" w:hint="eastAsia"/>
        </w:rPr>
        <w:t>洋研究能</w:t>
      </w:r>
      <w:r w:rsidR="009C48BA">
        <w:rPr>
          <w:rFonts w:ascii="標楷體" w:hAnsi="標楷體" w:hint="eastAsia"/>
        </w:rPr>
        <w:t>量</w:t>
      </w:r>
      <w:r w:rsidRPr="00B85303">
        <w:rPr>
          <w:rFonts w:ascii="標楷體" w:hAnsi="標楷體" w:hint="eastAsia"/>
        </w:rPr>
        <w:t>。</w:t>
      </w:r>
    </w:p>
    <w:p w:rsidR="00C65928" w:rsidRDefault="00C65928" w:rsidP="00C65928">
      <w:pPr>
        <w:ind w:leftChars="0" w:left="561" w:hangingChars="200" w:hanging="561"/>
        <w:rPr>
          <w:rFonts w:ascii="標楷體" w:hAnsi="標楷體"/>
          <w:b/>
          <w:bCs/>
        </w:rPr>
      </w:pPr>
    </w:p>
    <w:p w:rsidR="00AC611C" w:rsidRPr="00B85303" w:rsidRDefault="00AC611C" w:rsidP="00C65928">
      <w:pPr>
        <w:ind w:leftChars="0" w:left="561" w:hangingChars="200" w:hanging="561"/>
        <w:rPr>
          <w:rFonts w:hint="eastAsia"/>
        </w:rPr>
      </w:pPr>
      <w:r w:rsidRPr="00C65928">
        <w:rPr>
          <w:rFonts w:ascii="標楷體" w:hAnsi="標楷體" w:hint="eastAsia"/>
          <w:b/>
          <w:bCs/>
        </w:rPr>
        <w:t>表1</w:t>
      </w:r>
      <w:r w:rsidRPr="00C65928">
        <w:rPr>
          <w:rFonts w:ascii="標楷體" w:hAnsi="標楷體"/>
          <w:b/>
          <w:bCs/>
        </w:rPr>
        <w:t xml:space="preserve">  </w:t>
      </w:r>
      <w:r w:rsidRPr="00C65928">
        <w:rPr>
          <w:rFonts w:ascii="標楷體" w:hAnsi="標楷體" w:hint="eastAsia"/>
          <w:b/>
          <w:bCs/>
        </w:rPr>
        <w:t>近年國海院人事</w:t>
      </w:r>
      <w:r w:rsidR="00B55D19" w:rsidRPr="00C65928">
        <w:rPr>
          <w:rFonts w:ascii="標楷體" w:hAnsi="標楷體" w:hint="eastAsia"/>
          <w:b/>
          <w:bCs/>
        </w:rPr>
        <w:t>費</w:t>
      </w:r>
      <w:r w:rsidRPr="00C65928">
        <w:rPr>
          <w:rFonts w:ascii="標楷體" w:hAnsi="標楷體" w:hint="eastAsia"/>
          <w:b/>
          <w:bCs/>
        </w:rPr>
        <w:t>預算編列與執行概況</w:t>
      </w:r>
      <w:r w:rsidR="00100648" w:rsidRPr="00C65928">
        <w:rPr>
          <w:rFonts w:ascii="標楷體" w:hAnsi="標楷體" w:hint="eastAsia"/>
          <w:b/>
          <w:bCs/>
        </w:rPr>
        <w:t>表</w:t>
      </w:r>
      <w:r w:rsidRPr="00B85303">
        <w:rPr>
          <w:rFonts w:hint="eastAsia"/>
          <w:sz w:val="24"/>
          <w:szCs w:val="24"/>
        </w:rPr>
        <w:t>單位：新臺幣千元；</w:t>
      </w:r>
      <w:r w:rsidR="00377158" w:rsidRPr="00C65928">
        <w:rPr>
          <w:rFonts w:ascii="標楷體" w:hAnsi="標楷體" w:hint="eastAsia"/>
          <w:sz w:val="24"/>
          <w:szCs w:val="24"/>
        </w:rPr>
        <w:t>%</w:t>
      </w:r>
      <w:r w:rsidR="00377158">
        <w:rPr>
          <w:rFonts w:hint="eastAsia"/>
          <w:sz w:val="24"/>
          <w:szCs w:val="24"/>
        </w:rPr>
        <w:t>；</w:t>
      </w:r>
      <w:r w:rsidRPr="00B85303">
        <w:rPr>
          <w:rFonts w:hint="eastAsia"/>
          <w:sz w:val="24"/>
          <w:szCs w:val="24"/>
        </w:rPr>
        <w:t>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1940"/>
        <w:gridCol w:w="1471"/>
        <w:gridCol w:w="1472"/>
        <w:gridCol w:w="1548"/>
        <w:gridCol w:w="1365"/>
      </w:tblGrid>
      <w:tr w:rsidR="00AC611C" w:rsidRPr="00B85303" w:rsidTr="00FF05C8">
        <w:trPr>
          <w:tblHeader/>
        </w:trPr>
        <w:tc>
          <w:tcPr>
            <w:tcW w:w="709" w:type="dxa"/>
            <w:shd w:val="clear" w:color="auto" w:fill="auto"/>
          </w:tcPr>
          <w:p w:rsidR="00AC611C" w:rsidRPr="00B85303" w:rsidRDefault="00AC611C" w:rsidP="00FF05C8">
            <w:pPr>
              <w:pStyle w:val="142"/>
              <w:ind w:left="580" w:hanging="580"/>
              <w:rPr>
                <w:rFonts w:ascii="標楷體" w:hAnsi="標楷體" w:hint="eastAsia"/>
              </w:rPr>
            </w:pPr>
            <w:r w:rsidRPr="00B85303">
              <w:rPr>
                <w:rFonts w:ascii="標楷體" w:hAnsi="標楷體" w:hint="eastAsia"/>
              </w:rPr>
              <w:t>類別</w:t>
            </w:r>
          </w:p>
        </w:tc>
        <w:tc>
          <w:tcPr>
            <w:tcW w:w="1940" w:type="dxa"/>
            <w:shd w:val="clear" w:color="auto" w:fill="auto"/>
            <w:vAlign w:val="center"/>
          </w:tcPr>
          <w:p w:rsidR="00AC611C" w:rsidRPr="00B85303" w:rsidRDefault="00AC611C" w:rsidP="00FF05C8">
            <w:pPr>
              <w:pStyle w:val="142"/>
              <w:ind w:left="580" w:hanging="580"/>
              <w:jc w:val="center"/>
              <w:rPr>
                <w:rFonts w:ascii="標楷體" w:hAnsi="標楷體" w:hint="eastAsia"/>
              </w:rPr>
            </w:pPr>
            <w:r w:rsidRPr="00B85303">
              <w:rPr>
                <w:rFonts w:ascii="標楷體" w:hAnsi="標楷體" w:hint="eastAsia"/>
              </w:rPr>
              <w:t>項目</w:t>
            </w:r>
          </w:p>
        </w:tc>
        <w:tc>
          <w:tcPr>
            <w:tcW w:w="1471" w:type="dxa"/>
            <w:shd w:val="clear" w:color="auto" w:fill="auto"/>
            <w:vAlign w:val="center"/>
          </w:tcPr>
          <w:p w:rsidR="00AC611C" w:rsidRPr="00B85303" w:rsidRDefault="00AC611C" w:rsidP="00FF05C8">
            <w:pPr>
              <w:pStyle w:val="142"/>
              <w:ind w:left="580" w:hanging="580"/>
              <w:jc w:val="center"/>
              <w:rPr>
                <w:rFonts w:ascii="標楷體" w:hAnsi="標楷體" w:hint="eastAsia"/>
              </w:rPr>
            </w:pPr>
            <w:r w:rsidRPr="00B85303">
              <w:rPr>
                <w:rFonts w:ascii="標楷體" w:hAnsi="標楷體" w:hint="eastAsia"/>
              </w:rPr>
              <w:t>112年度</w:t>
            </w:r>
          </w:p>
        </w:tc>
        <w:tc>
          <w:tcPr>
            <w:tcW w:w="1472" w:type="dxa"/>
            <w:shd w:val="clear" w:color="auto" w:fill="auto"/>
            <w:vAlign w:val="center"/>
          </w:tcPr>
          <w:p w:rsidR="00AC611C" w:rsidRPr="00B85303" w:rsidRDefault="00AC611C" w:rsidP="00FF05C8">
            <w:pPr>
              <w:pStyle w:val="142"/>
              <w:ind w:left="580" w:hanging="580"/>
              <w:jc w:val="center"/>
              <w:rPr>
                <w:rFonts w:ascii="標楷體" w:hAnsi="標楷體" w:hint="eastAsia"/>
              </w:rPr>
            </w:pPr>
            <w:r w:rsidRPr="00B85303">
              <w:rPr>
                <w:rFonts w:ascii="標楷體" w:hAnsi="標楷體" w:hint="eastAsia"/>
              </w:rPr>
              <w:t>113年度</w:t>
            </w:r>
          </w:p>
        </w:tc>
        <w:tc>
          <w:tcPr>
            <w:tcW w:w="1548" w:type="dxa"/>
            <w:shd w:val="clear" w:color="auto" w:fill="auto"/>
            <w:vAlign w:val="center"/>
          </w:tcPr>
          <w:p w:rsidR="00AC611C" w:rsidRPr="00B85303" w:rsidRDefault="00AC611C" w:rsidP="00FF05C8">
            <w:pPr>
              <w:pStyle w:val="142"/>
              <w:ind w:left="580" w:hanging="580"/>
              <w:jc w:val="center"/>
              <w:rPr>
                <w:rFonts w:ascii="標楷體" w:hAnsi="標楷體" w:hint="eastAsia"/>
              </w:rPr>
            </w:pPr>
            <w:r w:rsidRPr="00B85303">
              <w:rPr>
                <w:rFonts w:ascii="標楷體" w:hAnsi="標楷體" w:hint="eastAsia"/>
              </w:rPr>
              <w:t>114年度</w:t>
            </w:r>
          </w:p>
        </w:tc>
        <w:tc>
          <w:tcPr>
            <w:tcW w:w="1365" w:type="dxa"/>
            <w:shd w:val="clear" w:color="auto" w:fill="auto"/>
            <w:vAlign w:val="center"/>
          </w:tcPr>
          <w:p w:rsidR="00AC611C" w:rsidRPr="00B85303" w:rsidRDefault="00AC611C" w:rsidP="00FF05C8">
            <w:pPr>
              <w:pStyle w:val="142"/>
              <w:ind w:left="580" w:hanging="580"/>
              <w:jc w:val="center"/>
              <w:rPr>
                <w:rFonts w:ascii="標楷體" w:hAnsi="標楷體" w:hint="eastAsia"/>
              </w:rPr>
            </w:pPr>
            <w:r w:rsidRPr="00B85303">
              <w:rPr>
                <w:rFonts w:ascii="標楷體" w:hAnsi="標楷體" w:hint="eastAsia"/>
              </w:rPr>
              <w:t>115年度</w:t>
            </w:r>
          </w:p>
        </w:tc>
      </w:tr>
      <w:tr w:rsidR="00AC611C" w:rsidRPr="00B85303" w:rsidTr="002D6189">
        <w:tc>
          <w:tcPr>
            <w:tcW w:w="709" w:type="dxa"/>
            <w:vMerge w:val="restart"/>
            <w:shd w:val="clear" w:color="auto" w:fill="auto"/>
          </w:tcPr>
          <w:p w:rsidR="00AC611C" w:rsidRPr="009B0472" w:rsidRDefault="00AC611C" w:rsidP="00D75142">
            <w:pPr>
              <w:pStyle w:val="142"/>
              <w:jc w:val="both"/>
              <w:rPr>
                <w:rFonts w:ascii="標楷體" w:hAnsi="標楷體" w:hint="eastAsia"/>
              </w:rPr>
            </w:pPr>
            <w:r w:rsidRPr="009B0472">
              <w:rPr>
                <w:rFonts w:ascii="標楷體" w:hAnsi="標楷體" w:hint="eastAsia"/>
              </w:rPr>
              <w:t>國海院</w:t>
            </w:r>
          </w:p>
        </w:tc>
        <w:tc>
          <w:tcPr>
            <w:tcW w:w="1940" w:type="dxa"/>
            <w:shd w:val="clear" w:color="auto" w:fill="auto"/>
          </w:tcPr>
          <w:p w:rsidR="00AC611C" w:rsidRPr="00B85303" w:rsidRDefault="00AC611C" w:rsidP="00FF05C8">
            <w:pPr>
              <w:pStyle w:val="142"/>
              <w:ind w:left="580" w:hanging="580"/>
              <w:rPr>
                <w:rFonts w:ascii="標楷體" w:hAnsi="標楷體" w:hint="eastAsia"/>
              </w:rPr>
            </w:pPr>
            <w:r w:rsidRPr="00B85303">
              <w:rPr>
                <w:rFonts w:ascii="標楷體" w:hAnsi="標楷體" w:hint="eastAsia"/>
              </w:rPr>
              <w:t>人事費預算數</w:t>
            </w:r>
            <w:r w:rsidR="00377158">
              <w:rPr>
                <w:rFonts w:ascii="標楷體" w:hAnsi="標楷體" w:hint="eastAsia"/>
              </w:rPr>
              <w:t>A</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110</w:t>
            </w:r>
            <w:r w:rsidRPr="00B85303">
              <w:rPr>
                <w:rFonts w:ascii="標楷體" w:hAnsi="標楷體"/>
              </w:rPr>
              <w:t>,652</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119</w:t>
            </w:r>
            <w:r w:rsidRPr="00B85303">
              <w:rPr>
                <w:rFonts w:ascii="標楷體" w:hAnsi="標楷體"/>
              </w:rPr>
              <w:t>,</w:t>
            </w:r>
            <w:r w:rsidRPr="00B85303">
              <w:rPr>
                <w:rFonts w:ascii="標楷體" w:hAnsi="標楷體" w:hint="eastAsia"/>
              </w:rPr>
              <w:t>939</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w:t>
            </w:r>
            <w:r w:rsidRPr="00B85303">
              <w:rPr>
                <w:rFonts w:ascii="標楷體" w:hAnsi="標楷體"/>
              </w:rPr>
              <w:t>24</w:t>
            </w:r>
            <w:r w:rsidRPr="00B85303">
              <w:rPr>
                <w:rFonts w:ascii="標楷體" w:hAnsi="標楷體" w:hint="eastAsia"/>
              </w:rPr>
              <w:t>,</w:t>
            </w:r>
            <w:r w:rsidRPr="00B85303">
              <w:rPr>
                <w:rFonts w:ascii="標楷體" w:hAnsi="標楷體"/>
              </w:rPr>
              <w:t>369</w:t>
            </w:r>
          </w:p>
        </w:tc>
        <w:tc>
          <w:tcPr>
            <w:tcW w:w="1365" w:type="dxa"/>
            <w:tcBorders>
              <w:bottom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w:t>
            </w:r>
            <w:r w:rsidRPr="00B85303">
              <w:rPr>
                <w:rFonts w:ascii="標楷體" w:hAnsi="標楷體"/>
              </w:rPr>
              <w:t>27</w:t>
            </w:r>
            <w:r w:rsidRPr="00B85303">
              <w:rPr>
                <w:rFonts w:ascii="標楷體" w:hAnsi="標楷體" w:hint="eastAsia"/>
              </w:rPr>
              <w:t>,</w:t>
            </w:r>
            <w:r w:rsidRPr="00B85303">
              <w:rPr>
                <w:rFonts w:ascii="標楷體" w:hAnsi="標楷體"/>
              </w:rPr>
              <w:t>790</w:t>
            </w:r>
          </w:p>
        </w:tc>
      </w:tr>
      <w:tr w:rsidR="00AC611C" w:rsidRPr="00B85303" w:rsidTr="002D6189">
        <w:tc>
          <w:tcPr>
            <w:tcW w:w="709" w:type="dxa"/>
            <w:vMerge/>
            <w:shd w:val="clear" w:color="auto" w:fill="auto"/>
          </w:tcPr>
          <w:p w:rsidR="00AC611C" w:rsidRPr="009B0472" w:rsidRDefault="00AC611C" w:rsidP="009B0472">
            <w:pPr>
              <w:pStyle w:val="142"/>
              <w:rPr>
                <w:rFonts w:ascii="標楷體" w:hAnsi="標楷體" w:hint="eastAsia"/>
              </w:rPr>
            </w:pPr>
          </w:p>
        </w:tc>
        <w:tc>
          <w:tcPr>
            <w:tcW w:w="1940" w:type="dxa"/>
            <w:shd w:val="clear" w:color="auto" w:fill="auto"/>
          </w:tcPr>
          <w:p w:rsidR="00AC611C" w:rsidRPr="00B85303" w:rsidRDefault="00AC611C" w:rsidP="00FF05C8">
            <w:pPr>
              <w:pStyle w:val="142"/>
              <w:ind w:left="580" w:hanging="580"/>
              <w:rPr>
                <w:rFonts w:ascii="標楷體" w:hAnsi="標楷體" w:hint="eastAsia"/>
              </w:rPr>
            </w:pPr>
            <w:r w:rsidRPr="00B85303">
              <w:rPr>
                <w:rFonts w:ascii="標楷體" w:hAnsi="標楷體" w:hint="eastAsia"/>
              </w:rPr>
              <w:t>人事費決算數</w:t>
            </w:r>
            <w:r w:rsidR="00377158">
              <w:rPr>
                <w:rFonts w:ascii="標楷體" w:hAnsi="標楷體" w:hint="eastAsia"/>
              </w:rPr>
              <w:t>B</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9</w:t>
            </w:r>
            <w:r w:rsidRPr="00B85303">
              <w:rPr>
                <w:rFonts w:ascii="標楷體" w:hAnsi="標楷體"/>
              </w:rPr>
              <w:t>8</w:t>
            </w:r>
            <w:r w:rsidRPr="00B85303">
              <w:rPr>
                <w:rFonts w:ascii="標楷體" w:hAnsi="標楷體" w:hint="eastAsia"/>
              </w:rPr>
              <w:t>,</w:t>
            </w:r>
            <w:r w:rsidRPr="00B85303">
              <w:rPr>
                <w:rFonts w:ascii="標楷體" w:hAnsi="標楷體"/>
              </w:rPr>
              <w:t>330</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w:t>
            </w:r>
            <w:r w:rsidRPr="00B85303">
              <w:rPr>
                <w:rFonts w:ascii="標楷體" w:hAnsi="標楷體"/>
              </w:rPr>
              <w:t>01,</w:t>
            </w:r>
            <w:r w:rsidRPr="00B85303">
              <w:rPr>
                <w:rFonts w:ascii="標楷體" w:hAnsi="標楷體" w:hint="eastAsia"/>
              </w:rPr>
              <w:t>997</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rPr>
              <w:t>79,377</w:t>
            </w:r>
          </w:p>
        </w:tc>
        <w:tc>
          <w:tcPr>
            <w:tcW w:w="1365" w:type="dxa"/>
            <w:tcBorders>
              <w:top w:val="single" w:sz="6" w:space="0" w:color="auto"/>
              <w:bottom w:val="single" w:sz="6" w:space="0" w:color="auto"/>
              <w:right w:val="single" w:sz="6" w:space="0" w:color="auto"/>
              <w:tl2br w:val="single" w:sz="6" w:space="0" w:color="auto"/>
              <w:tr2bl w:val="nil"/>
            </w:tcBorders>
            <w:shd w:val="clear" w:color="auto" w:fill="auto"/>
          </w:tcPr>
          <w:p w:rsidR="00AC611C" w:rsidRPr="00B85303" w:rsidRDefault="00AC611C" w:rsidP="00FF05C8">
            <w:pPr>
              <w:pStyle w:val="142"/>
              <w:ind w:left="580" w:hanging="580"/>
              <w:jc w:val="right"/>
              <w:rPr>
                <w:rFonts w:ascii="標楷體" w:hAnsi="標楷體" w:hint="eastAsia"/>
              </w:rPr>
            </w:pPr>
          </w:p>
        </w:tc>
      </w:tr>
      <w:tr w:rsidR="00377158" w:rsidRPr="00B85303" w:rsidTr="002D6189">
        <w:tc>
          <w:tcPr>
            <w:tcW w:w="709" w:type="dxa"/>
            <w:vMerge/>
            <w:shd w:val="clear" w:color="auto" w:fill="auto"/>
          </w:tcPr>
          <w:p w:rsidR="00377158" w:rsidRPr="009B0472" w:rsidRDefault="00377158" w:rsidP="009B0472">
            <w:pPr>
              <w:pStyle w:val="142"/>
              <w:rPr>
                <w:rFonts w:ascii="標楷體" w:hAnsi="標楷體" w:hint="eastAsia"/>
              </w:rPr>
            </w:pPr>
          </w:p>
        </w:tc>
        <w:tc>
          <w:tcPr>
            <w:tcW w:w="1940" w:type="dxa"/>
            <w:shd w:val="clear" w:color="auto" w:fill="auto"/>
          </w:tcPr>
          <w:p w:rsidR="00377158" w:rsidRPr="00B85303" w:rsidRDefault="00377158" w:rsidP="00377158">
            <w:pPr>
              <w:pStyle w:val="142"/>
              <w:rPr>
                <w:rFonts w:ascii="標楷體" w:hAnsi="標楷體" w:hint="eastAsia"/>
              </w:rPr>
            </w:pPr>
            <w:r>
              <w:rPr>
                <w:rFonts w:ascii="標楷體" w:hAnsi="標楷體" w:hint="eastAsia"/>
              </w:rPr>
              <w:t>執行率B/A</w:t>
            </w:r>
          </w:p>
        </w:tc>
        <w:tc>
          <w:tcPr>
            <w:tcW w:w="1471" w:type="dxa"/>
            <w:shd w:val="clear" w:color="auto" w:fill="auto"/>
          </w:tcPr>
          <w:p w:rsidR="00377158" w:rsidRPr="00B85303" w:rsidRDefault="009E0B50" w:rsidP="00FF05C8">
            <w:pPr>
              <w:pStyle w:val="142"/>
              <w:ind w:left="580" w:hanging="580"/>
              <w:jc w:val="right"/>
              <w:rPr>
                <w:rFonts w:ascii="標楷體" w:hAnsi="標楷體" w:hint="eastAsia"/>
              </w:rPr>
            </w:pPr>
            <w:r>
              <w:rPr>
                <w:rFonts w:ascii="標楷體" w:hAnsi="標楷體" w:hint="eastAsia"/>
              </w:rPr>
              <w:t>88.86</w:t>
            </w:r>
          </w:p>
        </w:tc>
        <w:tc>
          <w:tcPr>
            <w:tcW w:w="1472" w:type="dxa"/>
            <w:shd w:val="clear" w:color="auto" w:fill="auto"/>
          </w:tcPr>
          <w:p w:rsidR="00377158" w:rsidRPr="00B85303" w:rsidRDefault="009E0B50" w:rsidP="00FF05C8">
            <w:pPr>
              <w:pStyle w:val="142"/>
              <w:ind w:left="580" w:hanging="580"/>
              <w:jc w:val="right"/>
              <w:rPr>
                <w:rFonts w:ascii="標楷體" w:hAnsi="標楷體" w:hint="eastAsia"/>
              </w:rPr>
            </w:pPr>
            <w:r>
              <w:rPr>
                <w:rFonts w:ascii="標楷體" w:hAnsi="標楷體" w:hint="eastAsia"/>
              </w:rPr>
              <w:t>85.04</w:t>
            </w:r>
          </w:p>
        </w:tc>
        <w:tc>
          <w:tcPr>
            <w:tcW w:w="1548" w:type="dxa"/>
            <w:shd w:val="clear" w:color="auto" w:fill="auto"/>
          </w:tcPr>
          <w:p w:rsidR="00377158" w:rsidRPr="00B85303" w:rsidRDefault="009E0B50" w:rsidP="00FF05C8">
            <w:pPr>
              <w:pStyle w:val="142"/>
              <w:ind w:left="580" w:hanging="580"/>
              <w:jc w:val="right"/>
              <w:rPr>
                <w:rFonts w:ascii="標楷體" w:hAnsi="標楷體"/>
              </w:rPr>
            </w:pPr>
            <w:r>
              <w:rPr>
                <w:rFonts w:ascii="標楷體" w:hAnsi="標楷體" w:hint="eastAsia"/>
              </w:rPr>
              <w:t>63.82</w:t>
            </w:r>
          </w:p>
        </w:tc>
        <w:tc>
          <w:tcPr>
            <w:tcW w:w="1365" w:type="dxa"/>
            <w:tcBorders>
              <w:top w:val="single" w:sz="6" w:space="0" w:color="auto"/>
              <w:bottom w:val="single" w:sz="6" w:space="0" w:color="auto"/>
              <w:right w:val="single" w:sz="6" w:space="0" w:color="auto"/>
              <w:tl2br w:val="single" w:sz="6" w:space="0" w:color="auto"/>
              <w:tr2bl w:val="nil"/>
            </w:tcBorders>
            <w:shd w:val="clear" w:color="auto" w:fill="auto"/>
          </w:tcPr>
          <w:p w:rsidR="00377158" w:rsidRPr="00B85303" w:rsidRDefault="00377158" w:rsidP="00FF05C8">
            <w:pPr>
              <w:pStyle w:val="142"/>
              <w:ind w:left="580" w:hanging="580"/>
              <w:jc w:val="right"/>
              <w:rPr>
                <w:rFonts w:ascii="標楷體" w:hAnsi="標楷體" w:hint="eastAsia"/>
              </w:rPr>
            </w:pPr>
          </w:p>
        </w:tc>
      </w:tr>
      <w:tr w:rsidR="00AC611C" w:rsidRPr="00B85303" w:rsidTr="002D6189">
        <w:tc>
          <w:tcPr>
            <w:tcW w:w="709" w:type="dxa"/>
            <w:vMerge/>
            <w:shd w:val="clear" w:color="auto" w:fill="auto"/>
          </w:tcPr>
          <w:p w:rsidR="00AC611C" w:rsidRPr="009B0472" w:rsidRDefault="00AC611C" w:rsidP="009B0472">
            <w:pPr>
              <w:pStyle w:val="142"/>
              <w:rPr>
                <w:rFonts w:ascii="標楷體" w:hAnsi="標楷體" w:hint="eastAsia"/>
              </w:rPr>
            </w:pPr>
          </w:p>
        </w:tc>
        <w:tc>
          <w:tcPr>
            <w:tcW w:w="1940" w:type="dxa"/>
            <w:shd w:val="clear" w:color="auto" w:fill="auto"/>
          </w:tcPr>
          <w:p w:rsidR="00AC611C" w:rsidRPr="00B85303" w:rsidRDefault="00AC611C" w:rsidP="00FF05C8">
            <w:pPr>
              <w:pStyle w:val="142"/>
              <w:ind w:left="580" w:hanging="580"/>
              <w:rPr>
                <w:rFonts w:ascii="標楷體" w:hAnsi="標楷體" w:hint="eastAsia"/>
              </w:rPr>
            </w:pPr>
            <w:r w:rsidRPr="00B85303">
              <w:rPr>
                <w:rFonts w:ascii="標楷體" w:hAnsi="標楷體" w:hint="eastAsia"/>
              </w:rPr>
              <w:t>預算員額A</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8</w:t>
            </w:r>
            <w:r w:rsidRPr="00B85303">
              <w:rPr>
                <w:rFonts w:ascii="標楷體" w:hAnsi="標楷體"/>
              </w:rPr>
              <w:t>0</w:t>
            </w:r>
            <w:r w:rsidRPr="00B85303">
              <w:rPr>
                <w:rFonts w:ascii="標楷體" w:hAnsi="標楷體" w:hint="eastAsia"/>
              </w:rPr>
              <w:t>(+10)</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90</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90</w:t>
            </w:r>
          </w:p>
        </w:tc>
        <w:tc>
          <w:tcPr>
            <w:tcW w:w="1365" w:type="dxa"/>
            <w:tcBorders>
              <w:top w:val="single" w:sz="6" w:space="0" w:color="auto"/>
              <w:bottom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90</w:t>
            </w:r>
          </w:p>
        </w:tc>
      </w:tr>
      <w:tr w:rsidR="00AC611C" w:rsidRPr="00B85303" w:rsidTr="002D6189">
        <w:tc>
          <w:tcPr>
            <w:tcW w:w="709" w:type="dxa"/>
            <w:vMerge/>
            <w:shd w:val="clear" w:color="auto" w:fill="auto"/>
          </w:tcPr>
          <w:p w:rsidR="00AC611C" w:rsidRPr="009B0472" w:rsidRDefault="00AC611C" w:rsidP="009B0472">
            <w:pPr>
              <w:pStyle w:val="142"/>
              <w:rPr>
                <w:rFonts w:ascii="標楷體" w:hAnsi="標楷體" w:hint="eastAsia"/>
              </w:rPr>
            </w:pPr>
          </w:p>
        </w:tc>
        <w:tc>
          <w:tcPr>
            <w:tcW w:w="1940" w:type="dxa"/>
            <w:shd w:val="clear" w:color="auto" w:fill="D9D9D9"/>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實際員額B</w:t>
            </w:r>
          </w:p>
        </w:tc>
        <w:tc>
          <w:tcPr>
            <w:tcW w:w="1471"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84</w:t>
            </w:r>
          </w:p>
        </w:tc>
        <w:tc>
          <w:tcPr>
            <w:tcW w:w="1472"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83</w:t>
            </w:r>
          </w:p>
        </w:tc>
        <w:tc>
          <w:tcPr>
            <w:tcW w:w="1548"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80</w:t>
            </w:r>
          </w:p>
        </w:tc>
        <w:tc>
          <w:tcPr>
            <w:tcW w:w="1365" w:type="dxa"/>
            <w:tcBorders>
              <w:top w:val="single" w:sz="6" w:space="0" w:color="auto"/>
              <w:bottom w:val="single" w:sz="6" w:space="0" w:color="auto"/>
              <w:tl2br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2D6189">
        <w:tc>
          <w:tcPr>
            <w:tcW w:w="709" w:type="dxa"/>
            <w:vMerge/>
            <w:shd w:val="clear" w:color="auto" w:fill="auto"/>
          </w:tcPr>
          <w:p w:rsidR="00AC611C" w:rsidRPr="009B0472" w:rsidRDefault="00AC611C" w:rsidP="009B0472">
            <w:pPr>
              <w:pStyle w:val="142"/>
              <w:rPr>
                <w:rFonts w:ascii="標楷體" w:hAnsi="標楷體" w:hint="eastAsia"/>
              </w:rPr>
            </w:pPr>
          </w:p>
        </w:tc>
        <w:tc>
          <w:tcPr>
            <w:tcW w:w="1940" w:type="dxa"/>
            <w:shd w:val="clear" w:color="auto" w:fill="D9D9D9"/>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缺額A-B</w:t>
            </w:r>
          </w:p>
        </w:tc>
        <w:tc>
          <w:tcPr>
            <w:tcW w:w="1471"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w:t>
            </w:r>
          </w:p>
        </w:tc>
        <w:tc>
          <w:tcPr>
            <w:tcW w:w="1472"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7</w:t>
            </w:r>
          </w:p>
        </w:tc>
        <w:tc>
          <w:tcPr>
            <w:tcW w:w="1548"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10</w:t>
            </w:r>
          </w:p>
        </w:tc>
        <w:tc>
          <w:tcPr>
            <w:tcW w:w="1365" w:type="dxa"/>
            <w:tcBorders>
              <w:top w:val="single" w:sz="6" w:space="0" w:color="auto"/>
              <w:bottom w:val="single" w:sz="6" w:space="0" w:color="auto"/>
              <w:tl2br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2D6189">
        <w:tc>
          <w:tcPr>
            <w:tcW w:w="709" w:type="dxa"/>
            <w:vMerge/>
            <w:shd w:val="clear" w:color="auto" w:fill="auto"/>
          </w:tcPr>
          <w:p w:rsidR="00AC611C" w:rsidRPr="009B0472" w:rsidRDefault="00AC611C" w:rsidP="009B0472">
            <w:pPr>
              <w:pStyle w:val="142"/>
              <w:rPr>
                <w:rFonts w:ascii="標楷體" w:hAnsi="標楷體" w:hint="eastAsia"/>
              </w:rPr>
            </w:pPr>
          </w:p>
        </w:tc>
        <w:tc>
          <w:tcPr>
            <w:tcW w:w="1940" w:type="dxa"/>
            <w:shd w:val="clear" w:color="auto" w:fill="auto"/>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新進到職人數</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12</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7</w:t>
            </w:r>
          </w:p>
        </w:tc>
        <w:tc>
          <w:tcPr>
            <w:tcW w:w="1365" w:type="dxa"/>
            <w:tcBorders>
              <w:top w:val="single" w:sz="6" w:space="0" w:color="auto"/>
              <w:bottom w:val="single" w:sz="6" w:space="0" w:color="auto"/>
              <w:tl2br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2D6189">
        <w:tc>
          <w:tcPr>
            <w:tcW w:w="709" w:type="dxa"/>
            <w:vMerge/>
            <w:shd w:val="clear" w:color="auto" w:fill="auto"/>
          </w:tcPr>
          <w:p w:rsidR="00AC611C" w:rsidRPr="009B0472" w:rsidRDefault="00AC611C" w:rsidP="009B0472">
            <w:pPr>
              <w:pStyle w:val="142"/>
              <w:rPr>
                <w:rFonts w:ascii="標楷體" w:hAnsi="標楷體" w:hint="eastAsia"/>
              </w:rPr>
            </w:pPr>
          </w:p>
        </w:tc>
        <w:tc>
          <w:tcPr>
            <w:tcW w:w="1940" w:type="dxa"/>
            <w:shd w:val="clear" w:color="auto" w:fill="auto"/>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調離職退休人數</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7</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10</w:t>
            </w:r>
          </w:p>
        </w:tc>
        <w:tc>
          <w:tcPr>
            <w:tcW w:w="1365" w:type="dxa"/>
            <w:tcBorders>
              <w:top w:val="single" w:sz="6" w:space="0" w:color="auto"/>
              <w:bottom w:val="single" w:sz="6" w:space="0" w:color="auto"/>
              <w:tl2br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FF05C8">
        <w:tc>
          <w:tcPr>
            <w:tcW w:w="709" w:type="dxa"/>
            <w:vMerge w:val="restart"/>
            <w:shd w:val="clear" w:color="auto" w:fill="auto"/>
          </w:tcPr>
          <w:p w:rsidR="00AC611C" w:rsidRPr="009B0472" w:rsidRDefault="00AC611C" w:rsidP="00D75142">
            <w:pPr>
              <w:pStyle w:val="142"/>
              <w:jc w:val="both"/>
              <w:rPr>
                <w:rFonts w:ascii="標楷體" w:hAnsi="標楷體" w:hint="eastAsia"/>
              </w:rPr>
            </w:pPr>
            <w:r w:rsidRPr="009B0472">
              <w:rPr>
                <w:rFonts w:ascii="標楷體" w:hAnsi="標楷體" w:hint="eastAsia"/>
              </w:rPr>
              <w:t>5個研究中心</w:t>
            </w:r>
          </w:p>
        </w:tc>
        <w:tc>
          <w:tcPr>
            <w:tcW w:w="1940" w:type="dxa"/>
            <w:shd w:val="clear" w:color="auto" w:fill="auto"/>
          </w:tcPr>
          <w:p w:rsidR="00AC611C" w:rsidRPr="00B85303" w:rsidRDefault="00AC611C" w:rsidP="00FF05C8">
            <w:pPr>
              <w:pStyle w:val="142"/>
              <w:ind w:left="580" w:hanging="580"/>
              <w:rPr>
                <w:rFonts w:ascii="標楷體" w:hAnsi="標楷體" w:hint="eastAsia"/>
              </w:rPr>
            </w:pPr>
            <w:r w:rsidRPr="00B85303">
              <w:rPr>
                <w:rFonts w:ascii="標楷體" w:hAnsi="標楷體" w:hint="eastAsia"/>
              </w:rPr>
              <w:t>預算員額</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56(+10)</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66</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66</w:t>
            </w:r>
          </w:p>
        </w:tc>
        <w:tc>
          <w:tcPr>
            <w:tcW w:w="1365" w:type="dxa"/>
            <w:tcBorders>
              <w:top w:val="single" w:sz="6" w:space="0" w:color="auto"/>
              <w:bottom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66</w:t>
            </w:r>
          </w:p>
        </w:tc>
      </w:tr>
      <w:tr w:rsidR="00AC611C" w:rsidRPr="00B85303" w:rsidTr="00AC611C">
        <w:tc>
          <w:tcPr>
            <w:tcW w:w="709" w:type="dxa"/>
            <w:vMerge/>
            <w:shd w:val="clear" w:color="auto" w:fill="auto"/>
          </w:tcPr>
          <w:p w:rsidR="00AC611C" w:rsidRPr="00B85303" w:rsidRDefault="00AC611C" w:rsidP="00FF05C8">
            <w:pPr>
              <w:pStyle w:val="142"/>
              <w:ind w:left="580" w:hanging="580"/>
              <w:rPr>
                <w:rFonts w:ascii="標楷體" w:hAnsi="標楷體" w:hint="eastAsia"/>
              </w:rPr>
            </w:pPr>
          </w:p>
        </w:tc>
        <w:tc>
          <w:tcPr>
            <w:tcW w:w="1940" w:type="dxa"/>
            <w:shd w:val="clear" w:color="auto" w:fill="D9D9D9"/>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實際員額</w:t>
            </w:r>
          </w:p>
        </w:tc>
        <w:tc>
          <w:tcPr>
            <w:tcW w:w="1471"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53(+9)</w:t>
            </w:r>
          </w:p>
        </w:tc>
        <w:tc>
          <w:tcPr>
            <w:tcW w:w="1472"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61</w:t>
            </w:r>
          </w:p>
        </w:tc>
        <w:tc>
          <w:tcPr>
            <w:tcW w:w="1548"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57</w:t>
            </w:r>
          </w:p>
        </w:tc>
        <w:tc>
          <w:tcPr>
            <w:tcW w:w="1365" w:type="dxa"/>
            <w:tcBorders>
              <w:top w:val="single" w:sz="6" w:space="0" w:color="auto"/>
              <w:bottom w:val="single" w:sz="6" w:space="0" w:color="auto"/>
              <w:tl2br w:val="single" w:sz="4"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AC611C">
        <w:tc>
          <w:tcPr>
            <w:tcW w:w="709" w:type="dxa"/>
            <w:vMerge/>
            <w:shd w:val="clear" w:color="auto" w:fill="auto"/>
          </w:tcPr>
          <w:p w:rsidR="00AC611C" w:rsidRPr="00B85303" w:rsidRDefault="00AC611C" w:rsidP="00FF05C8">
            <w:pPr>
              <w:pStyle w:val="142"/>
              <w:ind w:left="580" w:hanging="580"/>
              <w:rPr>
                <w:rFonts w:ascii="標楷體" w:hAnsi="標楷體" w:hint="eastAsia"/>
              </w:rPr>
            </w:pPr>
          </w:p>
        </w:tc>
        <w:tc>
          <w:tcPr>
            <w:tcW w:w="1940" w:type="dxa"/>
            <w:shd w:val="clear" w:color="auto" w:fill="D9D9D9"/>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缺額A-B</w:t>
            </w:r>
          </w:p>
        </w:tc>
        <w:tc>
          <w:tcPr>
            <w:tcW w:w="1471"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4</w:t>
            </w:r>
          </w:p>
        </w:tc>
        <w:tc>
          <w:tcPr>
            <w:tcW w:w="1472"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5</w:t>
            </w:r>
          </w:p>
        </w:tc>
        <w:tc>
          <w:tcPr>
            <w:tcW w:w="1548"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9</w:t>
            </w:r>
          </w:p>
        </w:tc>
        <w:tc>
          <w:tcPr>
            <w:tcW w:w="1365" w:type="dxa"/>
            <w:tcBorders>
              <w:top w:val="single" w:sz="6" w:space="0" w:color="auto"/>
              <w:bottom w:val="single" w:sz="6" w:space="0" w:color="auto"/>
              <w:tl2br w:val="single" w:sz="4"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FF05C8">
        <w:tc>
          <w:tcPr>
            <w:tcW w:w="709" w:type="dxa"/>
            <w:vMerge/>
            <w:shd w:val="clear" w:color="auto" w:fill="auto"/>
          </w:tcPr>
          <w:p w:rsidR="00AC611C" w:rsidRPr="00B85303" w:rsidRDefault="00AC611C" w:rsidP="00FF05C8">
            <w:pPr>
              <w:pStyle w:val="142"/>
              <w:ind w:left="580" w:hanging="580"/>
              <w:rPr>
                <w:rFonts w:ascii="標楷體" w:hAnsi="標楷體" w:hint="eastAsia"/>
              </w:rPr>
            </w:pPr>
          </w:p>
        </w:tc>
        <w:tc>
          <w:tcPr>
            <w:tcW w:w="1940" w:type="dxa"/>
            <w:shd w:val="clear" w:color="auto" w:fill="auto"/>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新進到職人數</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10</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5</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4</w:t>
            </w:r>
          </w:p>
        </w:tc>
        <w:tc>
          <w:tcPr>
            <w:tcW w:w="1365" w:type="dxa"/>
            <w:tcBorders>
              <w:top w:val="single" w:sz="6" w:space="0" w:color="auto"/>
              <w:bottom w:val="single" w:sz="6" w:space="0" w:color="auto"/>
              <w:tl2br w:val="single" w:sz="4"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FF05C8">
        <w:tc>
          <w:tcPr>
            <w:tcW w:w="709" w:type="dxa"/>
            <w:vMerge/>
            <w:shd w:val="clear" w:color="auto" w:fill="auto"/>
          </w:tcPr>
          <w:p w:rsidR="00AC611C" w:rsidRPr="00B85303" w:rsidRDefault="00AC611C" w:rsidP="00FF05C8">
            <w:pPr>
              <w:pStyle w:val="142"/>
              <w:ind w:left="580" w:hanging="580"/>
              <w:rPr>
                <w:rFonts w:ascii="標楷體" w:hAnsi="標楷體" w:hint="eastAsia"/>
              </w:rPr>
            </w:pPr>
          </w:p>
        </w:tc>
        <w:tc>
          <w:tcPr>
            <w:tcW w:w="1940" w:type="dxa"/>
            <w:shd w:val="clear" w:color="auto" w:fill="auto"/>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調離職退休人數</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3</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7</w:t>
            </w:r>
          </w:p>
        </w:tc>
        <w:tc>
          <w:tcPr>
            <w:tcW w:w="1365" w:type="dxa"/>
            <w:tcBorders>
              <w:top w:val="single" w:sz="6" w:space="0" w:color="auto"/>
              <w:bottom w:val="single" w:sz="12" w:space="0" w:color="auto"/>
              <w:tl2br w:val="single" w:sz="4"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bl>
    <w:p w:rsidR="00AC611C" w:rsidRPr="00B85303" w:rsidRDefault="00AC611C" w:rsidP="00AC611C">
      <w:pPr>
        <w:pStyle w:val="142"/>
        <w:ind w:leftChars="1" w:left="1417" w:right="-1" w:hangingChars="589" w:hanging="1414"/>
        <w:jc w:val="both"/>
        <w:rPr>
          <w:rFonts w:ascii="標楷體" w:hAnsi="標楷體"/>
          <w:color w:val="000000"/>
          <w:szCs w:val="24"/>
        </w:rPr>
      </w:pPr>
      <w:r w:rsidRPr="00B85303">
        <w:rPr>
          <w:rFonts w:ascii="標楷體" w:hAnsi="標楷體" w:hint="eastAsia"/>
          <w:color w:val="000000"/>
          <w:szCs w:val="24"/>
        </w:rPr>
        <w:t xml:space="preserve">說 </w:t>
      </w:r>
      <w:r w:rsidRPr="00B85303">
        <w:rPr>
          <w:rFonts w:ascii="標楷體" w:hAnsi="標楷體"/>
          <w:color w:val="000000"/>
          <w:szCs w:val="24"/>
        </w:rPr>
        <w:t xml:space="preserve">   </w:t>
      </w:r>
      <w:r w:rsidRPr="00B85303">
        <w:rPr>
          <w:rFonts w:ascii="標楷體" w:hAnsi="標楷體" w:hint="eastAsia"/>
          <w:color w:val="000000"/>
          <w:szCs w:val="24"/>
        </w:rPr>
        <w:t>明：1.114年度</w:t>
      </w:r>
      <w:r w:rsidR="00417066">
        <w:rPr>
          <w:rFonts w:ascii="標楷體" w:hAnsi="標楷體" w:hint="eastAsia"/>
          <w:color w:val="000000"/>
          <w:szCs w:val="24"/>
        </w:rPr>
        <w:t>除預算數及預算員額為全年度統計外，餘</w:t>
      </w:r>
      <w:r w:rsidRPr="00B85303">
        <w:rPr>
          <w:rFonts w:ascii="標楷體" w:hAnsi="標楷體" w:hint="eastAsia"/>
          <w:color w:val="000000"/>
          <w:szCs w:val="24"/>
        </w:rPr>
        <w:t>為截至8月底統計。</w:t>
      </w:r>
    </w:p>
    <w:p w:rsidR="00AC611C" w:rsidRPr="00B85303" w:rsidRDefault="00AC611C" w:rsidP="00417066">
      <w:pPr>
        <w:pStyle w:val="142"/>
        <w:ind w:firstLineChars="515" w:firstLine="1133"/>
        <w:rPr>
          <w:rFonts w:ascii="標楷體" w:hAnsi="標楷體"/>
          <w:color w:val="000000"/>
          <w:spacing w:val="-10"/>
          <w:szCs w:val="24"/>
        </w:rPr>
      </w:pPr>
      <w:r w:rsidRPr="00B85303">
        <w:rPr>
          <w:rFonts w:ascii="標楷體" w:hAnsi="標楷體" w:hint="eastAsia"/>
          <w:color w:val="000000"/>
          <w:spacing w:val="-10"/>
          <w:szCs w:val="24"/>
        </w:rPr>
        <w:t>2.行政院111年9月8日核增聘用預算員額10人。</w:t>
      </w:r>
    </w:p>
    <w:p w:rsidR="00AC611C" w:rsidRPr="00B85303" w:rsidRDefault="00AC611C" w:rsidP="00417066">
      <w:pPr>
        <w:pStyle w:val="142"/>
        <w:ind w:leftChars="405" w:left="1418" w:hangingChars="129" w:hanging="284"/>
        <w:jc w:val="both"/>
        <w:rPr>
          <w:rFonts w:ascii="標楷體" w:hAnsi="標楷體" w:hint="eastAsia"/>
          <w:color w:val="000000"/>
          <w:spacing w:val="-10"/>
          <w:szCs w:val="24"/>
        </w:rPr>
      </w:pPr>
      <w:r w:rsidRPr="00B85303">
        <w:rPr>
          <w:rFonts w:ascii="標楷體" w:hAnsi="標楷體" w:hint="eastAsia"/>
          <w:color w:val="000000"/>
          <w:spacing w:val="-10"/>
          <w:szCs w:val="24"/>
        </w:rPr>
        <w:lastRenderedPageBreak/>
        <w:t>3.5個研究中心為國海院之綜合規劃及人力培訓中心、海洋政策及文化研究中心、海洋科學及資訊研究中心、海洋生態及保育研究中心、海洋產業及工程研究中心。</w:t>
      </w:r>
    </w:p>
    <w:p w:rsidR="00AC611C" w:rsidRPr="00B85303" w:rsidRDefault="00AC611C" w:rsidP="00AC611C">
      <w:pPr>
        <w:pStyle w:val="142"/>
        <w:ind w:left="580" w:hanging="580"/>
        <w:rPr>
          <w:rFonts w:ascii="標楷體" w:hAnsi="標楷體"/>
          <w:color w:val="000000"/>
          <w:szCs w:val="24"/>
        </w:rPr>
      </w:pPr>
      <w:r w:rsidRPr="00B85303">
        <w:rPr>
          <w:rFonts w:ascii="標楷體" w:hAnsi="標楷體" w:hint="eastAsia"/>
          <w:color w:val="000000"/>
          <w:szCs w:val="24"/>
        </w:rPr>
        <w:t>資料來源：國海院。</w:t>
      </w:r>
    </w:p>
    <w:bookmarkEnd w:id="1"/>
    <w:sectPr w:rsidR="00AC611C"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dobe Devanagari">
    <w:panose1 w:val="02040503050201020203"/>
    <w:charset w:val="00"/>
    <w:family w:val="roman"/>
    <w:notTrueType/>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B129E3" w:rsidRPr="00B129E3">
      <w:rPr>
        <w:rFonts w:ascii="標楷體" w:hAnsi="標楷體"/>
        <w:noProof/>
        <w:sz w:val="20"/>
        <w:lang w:val="zh-TW"/>
      </w:rPr>
      <w:t>3</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AC611C" w:rsidRPr="00024F57" w:rsidRDefault="00AC611C" w:rsidP="00AC611C">
      <w:pPr>
        <w:pStyle w:val="afd"/>
        <w:ind w:leftChars="0" w:left="139" w:hangingChars="58" w:hanging="139"/>
        <w:jc w:val="both"/>
        <w:rPr>
          <w:rFonts w:ascii="標楷體" w:hAnsi="標楷體" w:hint="eastAsia"/>
          <w:lang w:eastAsia="zh-TW"/>
        </w:rPr>
      </w:pPr>
      <w:r w:rsidRPr="00024F57">
        <w:rPr>
          <w:rStyle w:val="aff"/>
          <w:rFonts w:ascii="標楷體" w:hAnsi="標楷體"/>
        </w:rPr>
        <w:footnoteRef/>
      </w:r>
      <w:r>
        <w:rPr>
          <w:rFonts w:ascii="標楷體" w:hAnsi="標楷體" w:hint="eastAsia"/>
          <w:lang w:eastAsia="zh-TW"/>
        </w:rPr>
        <w:t>國海院表示，</w:t>
      </w:r>
      <w:r w:rsidRPr="00024F57">
        <w:rPr>
          <w:rFonts w:ascii="標楷體" w:hAnsi="標楷體" w:hint="eastAsia"/>
        </w:rPr>
        <w:t>研究人員</w:t>
      </w:r>
      <w:r>
        <w:rPr>
          <w:rFonts w:ascii="標楷體" w:hAnsi="標楷體" w:hint="eastAsia"/>
          <w:lang w:eastAsia="zh-TW"/>
        </w:rPr>
        <w:t>異動之主因，係該</w:t>
      </w:r>
      <w:r w:rsidRPr="00024F57">
        <w:rPr>
          <w:rFonts w:ascii="標楷體" w:hAnsi="標楷體" w:hint="eastAsia"/>
        </w:rPr>
        <w:t>院研究人員係比照大專校院教師資格聘任，研究人員之異動主係應聘至大專校院擔任專任教師，或應聘其他研究機構擔任較高職務所致，人員之異動有助於學術人才交流。且為確保</w:t>
      </w:r>
      <w:r>
        <w:rPr>
          <w:rFonts w:ascii="標楷體" w:hAnsi="標楷體" w:hint="eastAsia"/>
        </w:rPr>
        <w:t>該院</w:t>
      </w:r>
      <w:r w:rsidRPr="00024F57">
        <w:rPr>
          <w:rFonts w:ascii="標楷體" w:hAnsi="標楷體" w:hint="eastAsia"/>
        </w:rPr>
        <w:t>作為政府海洋政策智庫之學術地位，對於研究人員聘任及升等有較嚴謹之審查，爰人員退離後之甄補程序亦較冗長。又</w:t>
      </w:r>
      <w:r>
        <w:rPr>
          <w:rFonts w:ascii="標楷體" w:hAnsi="標楷體" w:hint="eastAsia"/>
        </w:rPr>
        <w:t>該院</w:t>
      </w:r>
      <w:r w:rsidRPr="00024F57">
        <w:rPr>
          <w:rFonts w:ascii="標楷體" w:hAnsi="標楷體" w:hint="eastAsia"/>
        </w:rPr>
        <w:t>擔任主任職務以上之研究人員部分係自大專校院借調，受各該學校借調期限之限制</w:t>
      </w:r>
      <w:r w:rsidR="00B32D99">
        <w:rPr>
          <w:rFonts w:ascii="標楷體" w:hAnsi="標楷體" w:hint="eastAsia"/>
          <w:lang w:eastAsia="zh-TW"/>
        </w:rPr>
        <w:t>等</w:t>
      </w:r>
      <w:r w:rsidRPr="00024F57">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9E3"/>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B81D4A44-53F8-4453-B742-722AC129D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3205B-D94C-4838-86B9-EBC60002F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260</Words>
  <Characters>1483</Characters>
  <Application>Microsoft Office Word</Application>
  <DocSecurity>0</DocSecurity>
  <Lines>12</Lines>
  <Paragraphs>3</Paragraphs>
  <ScaleCrop>false</ScaleCrop>
  <Company/>
  <LinksUpToDate>false</LinksUpToDate>
  <CharactersWithSpaces>1740</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