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rPr>
          <w:rFonts w:hint="eastAsia"/>
        </w:rPr>
      </w:pPr>
      <w:bookmarkStart w:id="2" w:name="_Toc52959314"/>
      <w:bookmarkStart w:id="3" w:name="_Toc147082295"/>
      <w:bookmarkStart w:id="4" w:name="_Toc147066786"/>
      <w:bookmarkStart w:id="5" w:name="_Toc52959313"/>
      <w:bookmarkStart w:id="6" w:name="_Toc180675917"/>
      <w:bookmarkStart w:id="7" w:name="_Toc212650413"/>
      <w:bookmarkEnd w:id="0"/>
      <w:r w:rsidRPr="007B014E">
        <w:rPr>
          <w:rFonts w:hint="eastAsia"/>
        </w:rPr>
        <w:t>六、</w:t>
      </w:r>
      <w:bookmarkEnd w:id="6"/>
      <w:r w:rsidR="00C260A6" w:rsidRPr="007B014E">
        <w:rPr>
          <w:rFonts w:hint="eastAsia"/>
        </w:rPr>
        <w:t>隨著交通事故頻率</w:t>
      </w:r>
      <w:r w:rsidR="00766AF5" w:rsidRPr="007B014E">
        <w:rPr>
          <w:rFonts w:hint="eastAsia"/>
        </w:rPr>
        <w:t>及</w:t>
      </w:r>
      <w:r w:rsidR="00C260A6" w:rsidRPr="007B014E">
        <w:rPr>
          <w:rFonts w:hint="eastAsia"/>
        </w:rPr>
        <w:t>高齡化問題，</w:t>
      </w:r>
      <w:r w:rsidR="00766AF5" w:rsidRPr="007B014E">
        <w:rPr>
          <w:rFonts w:hint="eastAsia"/>
        </w:rPr>
        <w:t>現行駕照制度面臨許多挑戰</w:t>
      </w:r>
      <w:r w:rsidR="00766AF5" w:rsidRPr="007B014E">
        <w:rPr>
          <w:rFonts w:ascii="新細明體" w:eastAsia="新細明體" w:hAnsi="新細明體" w:hint="eastAsia"/>
        </w:rPr>
        <w:t>，</w:t>
      </w:r>
      <w:r w:rsidR="004153D1" w:rsidRPr="007B014E">
        <w:rPr>
          <w:rFonts w:hint="eastAsia"/>
        </w:rPr>
        <w:t>允宜</w:t>
      </w:r>
      <w:r w:rsidR="009832BF" w:rsidRPr="007B014E">
        <w:rPr>
          <w:rFonts w:hint="eastAsia"/>
        </w:rPr>
        <w:t>於</w:t>
      </w:r>
      <w:r w:rsidR="004153D1" w:rsidRPr="007B014E">
        <w:rPr>
          <w:rFonts w:hint="eastAsia"/>
        </w:rPr>
        <w:t>高齡者移動權益</w:t>
      </w:r>
      <w:r w:rsidR="00A969C7" w:rsidRPr="007B014E">
        <w:rPr>
          <w:rFonts w:hint="eastAsia"/>
        </w:rPr>
        <w:t>及</w:t>
      </w:r>
      <w:r w:rsidR="004153D1" w:rsidRPr="007B014E">
        <w:rPr>
          <w:rFonts w:hint="eastAsia"/>
        </w:rPr>
        <w:t>整體交通安全</w:t>
      </w:r>
      <w:r w:rsidR="009832BF" w:rsidRPr="007B014E">
        <w:rPr>
          <w:rFonts w:hint="eastAsia"/>
        </w:rPr>
        <w:t>間取得</w:t>
      </w:r>
      <w:r w:rsidR="004153D1" w:rsidRPr="007B014E">
        <w:rPr>
          <w:rFonts w:hint="eastAsia"/>
        </w:rPr>
        <w:t>平衡</w:t>
      </w:r>
      <w:bookmarkEnd w:id="7"/>
    </w:p>
    <w:p w:rsidR="006A15FC" w:rsidRPr="007B014E" w:rsidRDefault="006A15FC" w:rsidP="006A15FC">
      <w:pPr>
        <w:ind w:left="566" w:firstLine="566"/>
        <w:rPr>
          <w:rFonts w:hint="eastAsia"/>
        </w:rPr>
      </w:pPr>
      <w:r w:rsidRPr="007B014E">
        <w:rPr>
          <w:rFonts w:hAnsi="標楷體" w:hint="eastAsia"/>
        </w:rPr>
        <w:t>公路局</w:t>
      </w:r>
      <w:r w:rsidR="00D13865" w:rsidRPr="007B014E">
        <w:rPr>
          <w:rFonts w:hAnsi="標楷體" w:hint="eastAsia"/>
        </w:rPr>
        <w:t>115年度</w:t>
      </w:r>
      <w:r w:rsidRPr="007B014E">
        <w:rPr>
          <w:rFonts w:hAnsi="標楷體" w:hint="eastAsia"/>
        </w:rPr>
        <w:t>預算案於「公路及監理業務管理-0</w:t>
      </w:r>
      <w:r w:rsidR="00526A66" w:rsidRPr="007B014E">
        <w:rPr>
          <w:rFonts w:hAnsi="標楷體" w:hint="eastAsia"/>
        </w:rPr>
        <w:t>1監理業務</w:t>
      </w:r>
      <w:r w:rsidRPr="007B014E">
        <w:rPr>
          <w:rFonts w:hAnsi="標楷體" w:hint="eastAsia"/>
        </w:rPr>
        <w:t>」項下編列</w:t>
      </w:r>
      <w:r w:rsidR="00526A66" w:rsidRPr="007B014E">
        <w:rPr>
          <w:rFonts w:hAnsi="標楷體" w:hint="eastAsia"/>
        </w:rPr>
        <w:t>辦理公路監理業務經費16億6,211萬9千元</w:t>
      </w:r>
      <w:r w:rsidRPr="007B014E">
        <w:rPr>
          <w:rFonts w:hAnsi="標楷體" w:hint="eastAsia"/>
        </w:rPr>
        <w:t>。</w:t>
      </w:r>
      <w:r w:rsidRPr="007B014E">
        <w:rPr>
          <w:rFonts w:hint="eastAsia"/>
        </w:rPr>
        <w:t>經查：</w:t>
      </w:r>
    </w:p>
    <w:p w:rsidR="00FE7E13" w:rsidRPr="007B014E" w:rsidRDefault="009C3399" w:rsidP="009C3399">
      <w:pPr>
        <w:ind w:left="849" w:hangingChars="100" w:hanging="283"/>
        <w:outlineLvl w:val="1"/>
        <w:rPr>
          <w:rFonts w:hAnsi="標楷體"/>
          <w:b/>
        </w:rPr>
      </w:pPr>
      <w:bookmarkStart w:id="8" w:name="_Hlk211707699"/>
      <w:r w:rsidRPr="007B014E">
        <w:rPr>
          <w:rFonts w:hAnsi="標楷體" w:hint="eastAsia"/>
          <w:b/>
        </w:rPr>
        <w:t>(一)</w:t>
      </w:r>
      <w:r w:rsidR="00FE7E13" w:rsidRPr="007B014E">
        <w:rPr>
          <w:rFonts w:hAnsi="標楷體" w:hint="eastAsia"/>
          <w:b/>
        </w:rPr>
        <w:t>隨著交通事故頻率及高齡化問題</w:t>
      </w:r>
      <w:r w:rsidR="00162638" w:rsidRPr="007B014E">
        <w:rPr>
          <w:rFonts w:hAnsi="標楷體" w:hint="eastAsia"/>
          <w:b/>
        </w:rPr>
        <w:t>，</w:t>
      </w:r>
      <w:r w:rsidR="00897FE6" w:rsidRPr="007B014E">
        <w:rPr>
          <w:rFonts w:hAnsi="標楷體" w:hint="eastAsia"/>
          <w:b/>
        </w:rPr>
        <w:t>雖</w:t>
      </w:r>
      <w:r w:rsidR="003F44DB" w:rsidRPr="007B014E">
        <w:rPr>
          <w:rFonts w:hAnsi="標楷體" w:hint="eastAsia"/>
          <w:b/>
        </w:rPr>
        <w:t>已持</w:t>
      </w:r>
      <w:r w:rsidR="00162638" w:rsidRPr="007B014E">
        <w:rPr>
          <w:rFonts w:hAnsi="標楷體" w:hint="eastAsia"/>
          <w:b/>
        </w:rPr>
        <w:t>續提出相關改善方案，</w:t>
      </w:r>
      <w:r w:rsidR="003F44DB" w:rsidRPr="007B014E">
        <w:rPr>
          <w:rFonts w:hAnsi="標楷體" w:hint="eastAsia"/>
          <w:b/>
        </w:rPr>
        <w:t>惟</w:t>
      </w:r>
      <w:r w:rsidR="00162638" w:rsidRPr="007B014E">
        <w:rPr>
          <w:rFonts w:hAnsi="標楷體" w:hint="eastAsia"/>
          <w:b/>
        </w:rPr>
        <w:t>成效未如預期，允宜研謀改善</w:t>
      </w:r>
    </w:p>
    <w:p w:rsidR="009C3399" w:rsidRPr="007B014E" w:rsidRDefault="00A65149" w:rsidP="00ED63E4">
      <w:pPr>
        <w:pStyle w:val="21"/>
        <w:ind w:left="850" w:firstLine="566"/>
      </w:pPr>
      <w:r w:rsidRPr="007B014E">
        <w:rPr>
          <w:rFonts w:hint="eastAsia"/>
        </w:rPr>
        <w:t>隨著交通事故頻率及高齡化問題</w:t>
      </w:r>
      <w:r w:rsidRPr="007B014E">
        <w:rPr>
          <w:rFonts w:ascii="新細明體" w:eastAsia="新細明體" w:hAnsi="新細明體" w:hint="eastAsia"/>
        </w:rPr>
        <w:t>，</w:t>
      </w:r>
      <w:r w:rsidRPr="007B014E">
        <w:rPr>
          <w:rFonts w:hint="eastAsia"/>
        </w:rPr>
        <w:t>交通部</w:t>
      </w:r>
      <w:r w:rsidR="00897FE6" w:rsidRPr="007B014E">
        <w:rPr>
          <w:rFonts w:hint="eastAsia"/>
        </w:rPr>
        <w:t>雖</w:t>
      </w:r>
      <w:r w:rsidRPr="007B014E">
        <w:rPr>
          <w:rFonts w:hint="eastAsia"/>
        </w:rPr>
        <w:t>已持續提出改善方案</w:t>
      </w:r>
      <w:r w:rsidR="00ED63E4" w:rsidRPr="007B014E">
        <w:rPr>
          <w:rStyle w:val="af9"/>
        </w:rPr>
        <w:footnoteReference w:id="1"/>
      </w:r>
      <w:r w:rsidRPr="007B014E">
        <w:rPr>
          <w:rFonts w:hint="eastAsia"/>
        </w:rPr>
        <w:t>，</w:t>
      </w:r>
      <w:r w:rsidR="00B93CEF" w:rsidRPr="007B014E">
        <w:rPr>
          <w:rFonts w:hint="eastAsia"/>
        </w:rPr>
        <w:t>據交通部統計</w:t>
      </w:r>
      <w:r w:rsidR="00B93CEF" w:rsidRPr="007B014E">
        <w:rPr>
          <w:rFonts w:ascii="新細明體" w:eastAsia="新細明體" w:hAnsi="新細明體" w:hint="eastAsia"/>
        </w:rPr>
        <w:t>，</w:t>
      </w:r>
      <w:r w:rsidR="009C3399" w:rsidRPr="007B014E">
        <w:rPr>
          <w:rFonts w:hint="eastAsia"/>
        </w:rPr>
        <w:t>109</w:t>
      </w:r>
      <w:r w:rsidR="00FE7E13" w:rsidRPr="007B014E">
        <w:rPr>
          <w:rFonts w:hint="eastAsia"/>
        </w:rPr>
        <w:t>至11</w:t>
      </w:r>
      <w:r w:rsidR="00512068" w:rsidRPr="007B014E">
        <w:rPr>
          <w:rFonts w:hint="eastAsia"/>
        </w:rPr>
        <w:t>3</w:t>
      </w:r>
      <w:r w:rsidR="00FE7E13" w:rsidRPr="007B014E">
        <w:rPr>
          <w:rFonts w:hint="eastAsia"/>
        </w:rPr>
        <w:t>年</w:t>
      </w:r>
      <w:r w:rsidR="00512068" w:rsidRPr="007B014E">
        <w:rPr>
          <w:rFonts w:hint="eastAsia"/>
        </w:rPr>
        <w:t>道路交通事故總件數介於3</w:t>
      </w:r>
      <w:r w:rsidR="00897FE6" w:rsidRPr="007B014E">
        <w:rPr>
          <w:rFonts w:hint="eastAsia"/>
        </w:rPr>
        <w:t>5</w:t>
      </w:r>
      <w:r w:rsidR="00512068" w:rsidRPr="007B014E">
        <w:rPr>
          <w:rFonts w:hint="eastAsia"/>
        </w:rPr>
        <w:t>萬</w:t>
      </w:r>
      <w:r w:rsidR="00897FE6" w:rsidRPr="007B014E">
        <w:rPr>
          <w:rFonts w:hint="eastAsia"/>
        </w:rPr>
        <w:t>8</w:t>
      </w:r>
      <w:r w:rsidR="00512068" w:rsidRPr="007B014E">
        <w:rPr>
          <w:rFonts w:hint="eastAsia"/>
        </w:rPr>
        <w:t>,</w:t>
      </w:r>
      <w:r w:rsidR="00897FE6" w:rsidRPr="007B014E">
        <w:rPr>
          <w:rFonts w:hint="eastAsia"/>
        </w:rPr>
        <w:t>221</w:t>
      </w:r>
      <w:r w:rsidR="00512068" w:rsidRPr="007B014E">
        <w:rPr>
          <w:rFonts w:hAnsi="標楷體" w:cs="新細明體" w:hint="eastAsia"/>
          <w:snapToGrid/>
          <w:color w:val="000000"/>
          <w:spacing w:val="-10"/>
          <w:kern w:val="0"/>
          <w:sz w:val="24"/>
          <w:szCs w:val="24"/>
        </w:rPr>
        <w:t>至</w:t>
      </w:r>
      <w:r w:rsidR="00512068" w:rsidRPr="007B014E">
        <w:rPr>
          <w:rFonts w:hint="eastAsia"/>
        </w:rPr>
        <w:t>40萬2,926件間</w:t>
      </w:r>
      <w:r w:rsidR="00512068" w:rsidRPr="007B014E">
        <w:rPr>
          <w:rFonts w:ascii="新細明體" w:eastAsia="新細明體" w:hAnsi="新細明體" w:hint="eastAsia"/>
        </w:rPr>
        <w:t>，</w:t>
      </w:r>
      <w:r w:rsidR="00512068" w:rsidRPr="007B014E">
        <w:rPr>
          <w:rFonts w:hint="eastAsia"/>
        </w:rPr>
        <w:t>除113年略</w:t>
      </w:r>
      <w:r w:rsidR="00F116F4" w:rsidRPr="007B014E">
        <w:rPr>
          <w:rFonts w:hint="eastAsia"/>
        </w:rPr>
        <w:t>低於</w:t>
      </w:r>
      <w:r w:rsidR="00512068" w:rsidRPr="007B014E">
        <w:rPr>
          <w:rFonts w:hint="eastAsia"/>
        </w:rPr>
        <w:t>11</w:t>
      </w:r>
      <w:r w:rsidR="00F116F4" w:rsidRPr="007B014E">
        <w:rPr>
          <w:rFonts w:hint="eastAsia"/>
        </w:rPr>
        <w:t>2</w:t>
      </w:r>
      <w:r w:rsidR="00512068" w:rsidRPr="007B014E">
        <w:rPr>
          <w:rFonts w:hint="eastAsia"/>
        </w:rPr>
        <w:t>年</w:t>
      </w:r>
      <w:r w:rsidR="00897FE6" w:rsidRPr="007B014E">
        <w:rPr>
          <w:rFonts w:hint="eastAsia"/>
        </w:rPr>
        <w:t>外</w:t>
      </w:r>
      <w:r w:rsidR="00512068" w:rsidRPr="007B014E">
        <w:rPr>
          <w:rFonts w:ascii="新細明體" w:eastAsia="新細明體" w:hAnsi="新細明體" w:hint="eastAsia"/>
        </w:rPr>
        <w:t>，</w:t>
      </w:r>
      <w:r w:rsidR="00512068" w:rsidRPr="007B014E">
        <w:rPr>
          <w:rFonts w:hint="eastAsia"/>
        </w:rPr>
        <w:lastRenderedPageBreak/>
        <w:t>概呈增加之趨勢</w:t>
      </w:r>
      <w:r w:rsidR="00512068" w:rsidRPr="007B014E">
        <w:rPr>
          <w:rFonts w:hAnsi="標楷體" w:hint="eastAsia"/>
        </w:rPr>
        <w:t>；</w:t>
      </w:r>
      <w:r w:rsidR="00512068" w:rsidRPr="007B014E">
        <w:rPr>
          <w:rFonts w:hint="eastAsia"/>
        </w:rPr>
        <w:t>另</w:t>
      </w:r>
      <w:r w:rsidR="00F116F4" w:rsidRPr="007B014E">
        <w:rPr>
          <w:rFonts w:hint="eastAsia"/>
        </w:rPr>
        <w:t>觀諸</w:t>
      </w:r>
      <w:r w:rsidR="009C3399" w:rsidRPr="007B014E">
        <w:rPr>
          <w:rFonts w:hint="eastAsia"/>
        </w:rPr>
        <w:t>75歲以上高齡</w:t>
      </w:r>
      <w:r w:rsidR="00F116F4" w:rsidRPr="007B014E">
        <w:rPr>
          <w:rFonts w:hint="eastAsia"/>
        </w:rPr>
        <w:t>駕駛人</w:t>
      </w:r>
      <w:r w:rsidR="009C3399" w:rsidRPr="007B014E">
        <w:rPr>
          <w:rFonts w:hint="eastAsia"/>
        </w:rPr>
        <w:t>為第一當事人</w:t>
      </w:r>
      <w:r w:rsidR="00F116F4" w:rsidRPr="007B014E">
        <w:rPr>
          <w:rFonts w:hint="eastAsia"/>
        </w:rPr>
        <w:t>之事故數、肇事率及死傷人數，</w:t>
      </w:r>
      <w:r w:rsidR="009C3399" w:rsidRPr="007B014E">
        <w:rPr>
          <w:rFonts w:hint="eastAsia"/>
        </w:rPr>
        <w:t>均呈增加之趨勢(詳表1），顯示隨著人口老化，高齡駕駛人肇事風險上升，漸成道安隱憂</w:t>
      </w:r>
      <w:r w:rsidR="00F116F4" w:rsidRPr="007B014E">
        <w:rPr>
          <w:rFonts w:ascii="新細明體" w:eastAsia="新細明體" w:hAnsi="新細明體" w:hint="eastAsia"/>
        </w:rPr>
        <w:t>；</w:t>
      </w:r>
      <w:r w:rsidR="00D3403A" w:rsidRPr="007B014E">
        <w:rPr>
          <w:rFonts w:hint="eastAsia"/>
        </w:rPr>
        <w:t>另審計部於113年度中央政府總決算審核報告中指出</w:t>
      </w:r>
      <w:r w:rsidR="00D3403A" w:rsidRPr="007B014E">
        <w:rPr>
          <w:rFonts w:ascii="新細明體" w:eastAsia="新細明體" w:hAnsi="新細明體" w:hint="eastAsia"/>
        </w:rPr>
        <w:t>，</w:t>
      </w:r>
      <w:r w:rsidR="009C3399" w:rsidRPr="007B014E">
        <w:rPr>
          <w:rFonts w:hint="eastAsia"/>
        </w:rPr>
        <w:t>換照檢測項目、換照年齡及定期換照年限等容有精進空間</w:t>
      </w:r>
      <w:r w:rsidR="00117025" w:rsidRPr="007B014E">
        <w:rPr>
          <w:rStyle w:val="af9"/>
        </w:rPr>
        <w:footnoteReference w:id="2"/>
      </w:r>
      <w:r w:rsidR="00E120D7" w:rsidRPr="007B014E">
        <w:rPr>
          <w:rFonts w:hAnsi="標楷體" w:hint="eastAsia"/>
        </w:rPr>
        <w:t>。</w:t>
      </w:r>
      <w:r w:rsidR="00F116F4" w:rsidRPr="007B014E">
        <w:rPr>
          <w:rFonts w:hAnsi="標楷體" w:hint="eastAsia"/>
        </w:rPr>
        <w:t>鑑此</w:t>
      </w:r>
      <w:r w:rsidR="00F116F4" w:rsidRPr="007B014E">
        <w:rPr>
          <w:rFonts w:ascii="新細明體" w:eastAsia="新細明體" w:hAnsi="新細明體" w:hint="eastAsia"/>
        </w:rPr>
        <w:t>，</w:t>
      </w:r>
      <w:r w:rsidR="00E120D7" w:rsidRPr="007B014E">
        <w:rPr>
          <w:rFonts w:hAnsi="標楷體" w:hint="eastAsia"/>
        </w:rPr>
        <w:t>交通部雖已陸續推動多項高齡駕駛人管理及交通安全改善措施，惟整體事故發生情形仍未明顯改善，成效未如預期，允宜研謀改善。</w:t>
      </w:r>
    </w:p>
    <w:p w:rsidR="009C3399" w:rsidRPr="007B014E" w:rsidRDefault="009C3399" w:rsidP="009C3399">
      <w:pPr>
        <w:pStyle w:val="200"/>
        <w:ind w:left="780" w:hangingChars="275" w:hanging="780"/>
        <w:rPr>
          <w:rStyle w:val="201"/>
          <w:b/>
          <w:bCs/>
          <w:snapToGrid w:val="0"/>
          <w:sz w:val="28"/>
        </w:rPr>
      </w:pPr>
      <w:r w:rsidRPr="007B014E">
        <w:rPr>
          <w:rStyle w:val="201"/>
          <w:rFonts w:hint="eastAsia"/>
          <w:b/>
          <w:bCs/>
          <w:sz w:val="28"/>
        </w:rPr>
        <w:t>表1</w:t>
      </w:r>
      <w:r w:rsidRPr="007B014E">
        <w:rPr>
          <w:rStyle w:val="201"/>
          <w:rFonts w:hint="eastAsia"/>
          <w:b/>
          <w:bCs/>
          <w:snapToGrid w:val="0"/>
          <w:sz w:val="28"/>
        </w:rPr>
        <w:t xml:space="preserve">　109至113年</w:t>
      </w:r>
      <w:r w:rsidRPr="007B014E">
        <w:rPr>
          <w:rStyle w:val="201"/>
          <w:rFonts w:hint="eastAsia"/>
          <w:b/>
          <w:bCs/>
          <w:sz w:val="28"/>
        </w:rPr>
        <w:t>高齡者</w:t>
      </w:r>
      <w:r w:rsidRPr="007B014E">
        <w:rPr>
          <w:rStyle w:val="201"/>
          <w:rFonts w:hint="eastAsia"/>
          <w:b/>
          <w:bCs/>
          <w:snapToGrid w:val="0"/>
          <w:sz w:val="28"/>
        </w:rPr>
        <w:t>駕駛人為第1當事者之交通事故概況表</w:t>
      </w:r>
    </w:p>
    <w:p w:rsidR="009C3399" w:rsidRPr="007B014E" w:rsidRDefault="009C3399" w:rsidP="00117025">
      <w:pPr>
        <w:pStyle w:val="200"/>
        <w:spacing w:line="280" w:lineRule="exact"/>
        <w:ind w:left="669" w:hangingChars="275" w:hanging="669"/>
        <w:jc w:val="right"/>
        <w:rPr>
          <w:rStyle w:val="201"/>
          <w:snapToGrid w:val="0"/>
          <w:szCs w:val="24"/>
        </w:rPr>
      </w:pPr>
      <w:r w:rsidRPr="007B014E">
        <w:rPr>
          <w:rStyle w:val="201"/>
          <w:rFonts w:hint="eastAsia"/>
          <w:snapToGrid w:val="0"/>
          <w:szCs w:val="24"/>
        </w:rPr>
        <w:t>單位：件；人</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2"/>
        <w:gridCol w:w="1498"/>
        <w:gridCol w:w="1498"/>
        <w:gridCol w:w="1372"/>
        <w:gridCol w:w="1147"/>
        <w:gridCol w:w="1148"/>
        <w:gridCol w:w="1204"/>
      </w:tblGrid>
      <w:tr w:rsidR="009C3399" w:rsidRPr="007B014E" w:rsidTr="002167B5">
        <w:trPr>
          <w:trHeight w:val="440"/>
          <w:tblHeader/>
        </w:trPr>
        <w:tc>
          <w:tcPr>
            <w:tcW w:w="672"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年</w:t>
            </w:r>
          </w:p>
        </w:tc>
        <w:tc>
          <w:tcPr>
            <w:tcW w:w="1498"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道路交通事故</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總件數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A</w:t>
            </w:r>
          </w:p>
        </w:tc>
        <w:tc>
          <w:tcPr>
            <w:tcW w:w="1498"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高齡者</w:t>
            </w:r>
            <w:r w:rsidRPr="007B014E">
              <w:rPr>
                <w:rFonts w:hAnsi="標楷體" w:cs="新細明體" w:hint="eastAsia"/>
                <w:color w:val="000000"/>
                <w:spacing w:val="-10"/>
                <w:kern w:val="0"/>
                <w:sz w:val="24"/>
                <w:szCs w:val="24"/>
              </w:rPr>
              <w:t>駕駛</w:t>
            </w:r>
            <w:r w:rsidRPr="007B014E">
              <w:rPr>
                <w:rFonts w:hAnsi="標楷體" w:cs="新細明體" w:hint="eastAsia"/>
                <w:snapToGrid/>
                <w:color w:val="000000"/>
                <w:spacing w:val="-10"/>
                <w:kern w:val="0"/>
                <w:sz w:val="24"/>
                <w:szCs w:val="24"/>
              </w:rPr>
              <w:t>人</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交通事故件數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B</w:t>
            </w:r>
          </w:p>
        </w:tc>
        <w:tc>
          <w:tcPr>
            <w:tcW w:w="1372" w:type="dxa"/>
            <w:vMerge w:val="restart"/>
            <w:tcBorders>
              <w:top w:val="single" w:sz="12" w:space="0" w:color="auto"/>
              <w:right w:val="single" w:sz="8"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高齡者</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肇事率C</w:t>
            </w:r>
            <w:r w:rsidRPr="007B014E">
              <w:rPr>
                <w:rFonts w:hAnsi="標楷體" w:cs="新細明體"/>
                <w:snapToGrid/>
                <w:color w:val="000000"/>
                <w:spacing w:val="-10"/>
                <w:kern w:val="0"/>
                <w:sz w:val="24"/>
                <w:szCs w:val="24"/>
              </w:rPr>
              <w:t>=B/A</w:t>
            </w:r>
          </w:p>
        </w:tc>
        <w:tc>
          <w:tcPr>
            <w:tcW w:w="3499" w:type="dxa"/>
            <w:gridSpan w:val="3"/>
            <w:tcBorders>
              <w:left w:val="single" w:sz="8" w:space="0" w:color="auto"/>
            </w:tcBorders>
            <w:noWrap/>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高齡駕駛人交通事故</w:t>
            </w:r>
          </w:p>
        </w:tc>
      </w:tr>
      <w:tr w:rsidR="009C3399" w:rsidRPr="007B014E" w:rsidTr="002167B5">
        <w:trPr>
          <w:trHeight w:val="702"/>
          <w:tblHeader/>
        </w:trPr>
        <w:tc>
          <w:tcPr>
            <w:tcW w:w="672"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498"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498"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372" w:type="dxa"/>
            <w:vMerge/>
            <w:tcBorders>
              <w:bottom w:val="double" w:sz="4" w:space="0" w:color="auto"/>
              <w:right w:val="single" w:sz="8"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147" w:type="dxa"/>
            <w:tcBorders>
              <w:left w:val="single" w:sz="8" w:space="0" w:color="auto"/>
              <w:bottom w:val="double" w:sz="4" w:space="0" w:color="auto"/>
            </w:tcBorders>
            <w:noWrap/>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死亡人數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D</w:t>
            </w:r>
          </w:p>
        </w:tc>
        <w:tc>
          <w:tcPr>
            <w:tcW w:w="1148" w:type="dxa"/>
            <w:tcBorders>
              <w:bottom w:val="double" w:sz="4" w:space="0" w:color="auto"/>
            </w:tcBorders>
            <w:noWrap/>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受傷人數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E</w:t>
            </w:r>
          </w:p>
        </w:tc>
        <w:tc>
          <w:tcPr>
            <w:tcW w:w="1204" w:type="dxa"/>
            <w:tcBorders>
              <w:bottom w:val="double" w:sz="4" w:space="0" w:color="auto"/>
            </w:tcBorders>
            <w:noWrap/>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死傷人數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F</w:t>
            </w:r>
            <w:r w:rsidRPr="007B014E">
              <w:rPr>
                <w:rFonts w:hAnsi="標楷體" w:cs="新細明體"/>
                <w:snapToGrid/>
                <w:color w:val="000000"/>
                <w:spacing w:val="-10"/>
                <w:kern w:val="0"/>
                <w:sz w:val="24"/>
                <w:szCs w:val="24"/>
              </w:rPr>
              <w:t>=D+E</w:t>
            </w:r>
          </w:p>
        </w:tc>
      </w:tr>
      <w:tr w:rsidR="009C3399" w:rsidRPr="007B014E" w:rsidTr="002167B5">
        <w:trPr>
          <w:trHeight w:val="425"/>
        </w:trPr>
        <w:tc>
          <w:tcPr>
            <w:tcW w:w="672"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109</w:t>
            </w:r>
          </w:p>
        </w:tc>
        <w:tc>
          <w:tcPr>
            <w:tcW w:w="1498"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362,393</w:t>
            </w:r>
          </w:p>
        </w:tc>
        <w:tc>
          <w:tcPr>
            <w:tcW w:w="1498"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44,512</w:t>
            </w:r>
          </w:p>
        </w:tc>
        <w:tc>
          <w:tcPr>
            <w:tcW w:w="1372" w:type="dxa"/>
            <w:tcBorders>
              <w:top w:val="double" w:sz="4" w:space="0" w:color="auto"/>
              <w:bottom w:val="single" w:sz="4"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12.28</w:t>
            </w:r>
          </w:p>
        </w:tc>
        <w:tc>
          <w:tcPr>
            <w:tcW w:w="1147" w:type="dxa"/>
            <w:tcBorders>
              <w:top w:val="double" w:sz="4" w:space="0" w:color="auto"/>
              <w:left w:val="single" w:sz="8" w:space="0" w:color="auto"/>
              <w:bottom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751</w:t>
            </w:r>
          </w:p>
        </w:tc>
        <w:tc>
          <w:tcPr>
            <w:tcW w:w="1148" w:type="dxa"/>
            <w:tcBorders>
              <w:top w:val="double" w:sz="4" w:space="0" w:color="auto"/>
              <w:bottom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59,173</w:t>
            </w:r>
          </w:p>
        </w:tc>
        <w:tc>
          <w:tcPr>
            <w:tcW w:w="1204"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59,</w:t>
            </w:r>
            <w:r w:rsidR="009B271E" w:rsidRPr="007B014E">
              <w:rPr>
                <w:rFonts w:hAnsi="標楷體" w:cs="新細明體"/>
                <w:snapToGrid/>
                <w:color w:val="000000"/>
                <w:spacing w:val="-10"/>
                <w:kern w:val="0"/>
                <w:sz w:val="24"/>
                <w:szCs w:val="24"/>
              </w:rPr>
              <w:t>924</w:t>
            </w:r>
          </w:p>
        </w:tc>
      </w:tr>
      <w:tr w:rsidR="009C3399" w:rsidRPr="007B014E" w:rsidTr="002167B5">
        <w:trPr>
          <w:trHeight w:val="425"/>
        </w:trPr>
        <w:tc>
          <w:tcPr>
            <w:tcW w:w="672"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lastRenderedPageBreak/>
              <w:t>110</w:t>
            </w:r>
          </w:p>
        </w:tc>
        <w:tc>
          <w:tcPr>
            <w:tcW w:w="1498"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358,221</w:t>
            </w:r>
          </w:p>
        </w:tc>
        <w:tc>
          <w:tcPr>
            <w:tcW w:w="1498"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46,497</w:t>
            </w:r>
          </w:p>
        </w:tc>
        <w:tc>
          <w:tcPr>
            <w:tcW w:w="1372" w:type="dxa"/>
            <w:tcBorders>
              <w:top w:val="single" w:sz="4"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12.98</w:t>
            </w:r>
          </w:p>
        </w:tc>
        <w:tc>
          <w:tcPr>
            <w:tcW w:w="1147" w:type="dxa"/>
            <w:tcBorders>
              <w:top w:val="single" w:sz="4" w:space="0" w:color="auto"/>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795</w:t>
            </w:r>
          </w:p>
        </w:tc>
        <w:tc>
          <w:tcPr>
            <w:tcW w:w="1148" w:type="dxa"/>
            <w:tcBorders>
              <w:top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62,042</w:t>
            </w:r>
          </w:p>
        </w:tc>
        <w:tc>
          <w:tcPr>
            <w:tcW w:w="1204"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62,</w:t>
            </w:r>
            <w:r w:rsidR="009B271E" w:rsidRPr="007B014E">
              <w:rPr>
                <w:rFonts w:hAnsi="標楷體" w:cs="新細明體"/>
                <w:snapToGrid/>
                <w:color w:val="000000"/>
                <w:spacing w:val="-10"/>
                <w:kern w:val="0"/>
                <w:sz w:val="24"/>
                <w:szCs w:val="24"/>
              </w:rPr>
              <w:t>837</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111</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375,844</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49,771</w:t>
            </w:r>
          </w:p>
        </w:tc>
        <w:tc>
          <w:tcPr>
            <w:tcW w:w="1372" w:type="dxa"/>
            <w:tcBorders>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13.24</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863</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65,839</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6</w:t>
            </w:r>
            <w:r w:rsidR="009B271E" w:rsidRPr="007B014E">
              <w:rPr>
                <w:rFonts w:hAnsi="標楷體" w:cs="新細明體"/>
                <w:snapToGrid/>
                <w:color w:val="000000"/>
                <w:spacing w:val="-10"/>
                <w:kern w:val="0"/>
                <w:sz w:val="24"/>
                <w:szCs w:val="24"/>
              </w:rPr>
              <w:t>6</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702</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112</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402,926</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56,074</w:t>
            </w:r>
          </w:p>
        </w:tc>
        <w:tc>
          <w:tcPr>
            <w:tcW w:w="1372" w:type="dxa"/>
            <w:tcBorders>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13.92</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873</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74,735</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7</w:t>
            </w:r>
            <w:r w:rsidR="009B271E" w:rsidRPr="007B014E">
              <w:rPr>
                <w:rFonts w:hAnsi="標楷體" w:cs="新細明體"/>
                <w:snapToGrid/>
                <w:color w:val="000000"/>
                <w:spacing w:val="-10"/>
                <w:kern w:val="0"/>
                <w:sz w:val="24"/>
                <w:szCs w:val="24"/>
              </w:rPr>
              <w:t>5</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608</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113</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393,882</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58,822</w:t>
            </w:r>
          </w:p>
        </w:tc>
        <w:tc>
          <w:tcPr>
            <w:tcW w:w="1372" w:type="dxa"/>
            <w:tcBorders>
              <w:bottom w:val="single" w:sz="12"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14.93</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824</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78,310</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7</w:t>
            </w:r>
            <w:r w:rsidR="009B271E" w:rsidRPr="007B014E">
              <w:rPr>
                <w:rFonts w:hAnsi="標楷體" w:cs="新細明體"/>
                <w:snapToGrid/>
                <w:color w:val="000000"/>
                <w:spacing w:val="-10"/>
                <w:kern w:val="0"/>
                <w:sz w:val="24"/>
                <w:szCs w:val="24"/>
              </w:rPr>
              <w:t>9</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134</w:t>
            </w:r>
          </w:p>
        </w:tc>
      </w:tr>
    </w:tbl>
    <w:p w:rsidR="009C3399" w:rsidRPr="007B014E" w:rsidRDefault="009C3399" w:rsidP="009C3399">
      <w:pPr>
        <w:overflowPunct w:val="0"/>
        <w:spacing w:line="280" w:lineRule="exact"/>
        <w:ind w:leftChars="14" w:left="1246" w:hangingChars="496" w:hanging="1206"/>
        <w:rPr>
          <w:color w:val="000000"/>
          <w:sz w:val="24"/>
        </w:rPr>
      </w:pPr>
      <w:r w:rsidRPr="007B014E">
        <w:rPr>
          <w:rFonts w:hint="eastAsia"/>
          <w:color w:val="000000"/>
          <w:sz w:val="24"/>
        </w:rPr>
        <w:t>說</w:t>
      </w:r>
      <w:r w:rsidRPr="007B014E">
        <w:rPr>
          <w:rFonts w:hint="eastAsia"/>
          <w:sz w:val="24"/>
          <w:szCs w:val="24"/>
        </w:rPr>
        <w:t xml:space="preserve">　　</w:t>
      </w:r>
      <w:r w:rsidRPr="007B014E">
        <w:rPr>
          <w:rFonts w:hint="eastAsia"/>
          <w:color w:val="000000"/>
          <w:sz w:val="24"/>
        </w:rPr>
        <w:t>明：1.高齡者係指</w:t>
      </w:r>
      <w:r w:rsidR="00521458">
        <w:rPr>
          <w:rFonts w:hint="eastAsia"/>
          <w:color w:val="000000"/>
          <w:sz w:val="24"/>
        </w:rPr>
        <w:t>6</w:t>
      </w:r>
      <w:r w:rsidRPr="007B014E">
        <w:rPr>
          <w:rFonts w:hint="eastAsia"/>
          <w:color w:val="000000"/>
          <w:sz w:val="24"/>
        </w:rPr>
        <w:t>5歲以上</w:t>
      </w:r>
      <w:r w:rsidRPr="007B014E">
        <w:rPr>
          <w:rFonts w:hAnsi="標楷體" w:hint="eastAsia"/>
          <w:color w:val="000000"/>
          <w:sz w:val="24"/>
        </w:rPr>
        <w:t>。</w:t>
      </w:r>
    </w:p>
    <w:p w:rsidR="009C3399" w:rsidRPr="007B014E" w:rsidRDefault="009C3399" w:rsidP="009C3399">
      <w:pPr>
        <w:wordWrap w:val="0"/>
        <w:overflowPunct w:val="0"/>
        <w:spacing w:line="280" w:lineRule="exact"/>
        <w:ind w:leftChars="435" w:left="1244" w:hangingChars="5" w:hanging="12"/>
        <w:rPr>
          <w:rFonts w:hint="eastAsia"/>
          <w:color w:val="000000"/>
          <w:sz w:val="24"/>
        </w:rPr>
      </w:pPr>
      <w:r w:rsidRPr="007B014E">
        <w:rPr>
          <w:rFonts w:hint="eastAsia"/>
          <w:color w:val="000000"/>
          <w:sz w:val="24"/>
        </w:rPr>
        <w:t>2.第1當事者，係指交通事故責任較大之一方，即主要肇事者。</w:t>
      </w:r>
    </w:p>
    <w:p w:rsidR="009C3399" w:rsidRPr="007B014E" w:rsidRDefault="009C3399" w:rsidP="009C3399">
      <w:pPr>
        <w:wordWrap w:val="0"/>
        <w:overflowPunct w:val="0"/>
        <w:spacing w:line="280" w:lineRule="exact"/>
        <w:ind w:leftChars="435" w:left="1244" w:hangingChars="5" w:hanging="12"/>
        <w:rPr>
          <w:rFonts w:hint="eastAsia"/>
          <w:color w:val="000000"/>
          <w:sz w:val="24"/>
        </w:rPr>
      </w:pPr>
      <w:r w:rsidRPr="007B014E">
        <w:rPr>
          <w:rFonts w:hint="eastAsia"/>
          <w:color w:val="000000"/>
          <w:sz w:val="24"/>
        </w:rPr>
        <w:t>3.死亡人數，係指交通事故造成人員當場或30日內死亡之人數。</w:t>
      </w:r>
    </w:p>
    <w:p w:rsidR="009C3399" w:rsidRPr="007B014E" w:rsidRDefault="009C3399" w:rsidP="009C3399">
      <w:pPr>
        <w:overflowPunct w:val="0"/>
        <w:spacing w:line="240" w:lineRule="exact"/>
        <w:ind w:leftChars="435" w:left="1475" w:right="-1" w:hangingChars="100" w:hanging="243"/>
        <w:rPr>
          <w:color w:val="000000"/>
          <w:sz w:val="24"/>
        </w:rPr>
      </w:pPr>
      <w:r w:rsidRPr="007B014E">
        <w:rPr>
          <w:rFonts w:hint="eastAsia"/>
          <w:color w:val="000000"/>
          <w:sz w:val="24"/>
        </w:rPr>
        <w:t>4.本表死亡及受傷人數係指第1當事者所引起道路交通事故，導致自身或其他人員死亡或受傷人數。</w:t>
      </w:r>
    </w:p>
    <w:p w:rsidR="009C3399" w:rsidRPr="007B014E" w:rsidRDefault="009C3399" w:rsidP="00117025">
      <w:pPr>
        <w:wordWrap w:val="0"/>
        <w:overflowPunct w:val="0"/>
        <w:spacing w:line="280" w:lineRule="exact"/>
        <w:ind w:leftChars="14" w:left="1246" w:hangingChars="496" w:hanging="1206"/>
        <w:rPr>
          <w:sz w:val="24"/>
        </w:rPr>
      </w:pPr>
      <w:r w:rsidRPr="007B014E">
        <w:rPr>
          <w:rFonts w:hint="eastAsia"/>
          <w:sz w:val="24"/>
        </w:rPr>
        <w:t>資料來源：交通部</w:t>
      </w:r>
      <w:r w:rsidR="00D3403A" w:rsidRPr="007B014E">
        <w:rPr>
          <w:rFonts w:hint="eastAsia"/>
          <w:sz w:val="24"/>
        </w:rPr>
        <w:t>提供之資料</w:t>
      </w:r>
      <w:r w:rsidRPr="007B014E">
        <w:rPr>
          <w:rFonts w:hAnsi="標楷體" w:hint="eastAsia"/>
          <w:sz w:val="24"/>
        </w:rPr>
        <w:t>；</w:t>
      </w:r>
      <w:r w:rsidRPr="007B014E">
        <w:rPr>
          <w:rFonts w:hint="eastAsia"/>
          <w:sz w:val="24"/>
        </w:rPr>
        <w:t>本中心製表</w:t>
      </w:r>
      <w:r w:rsidRPr="007B014E">
        <w:rPr>
          <w:rFonts w:hAnsi="標楷體" w:hint="eastAsia"/>
          <w:sz w:val="24"/>
        </w:rPr>
        <w:t>。</w:t>
      </w:r>
    </w:p>
    <w:bookmarkEnd w:id="8"/>
    <w:p w:rsidR="00D07E2E" w:rsidRPr="007B014E" w:rsidRDefault="006A15FC" w:rsidP="00D07E2E">
      <w:pPr>
        <w:ind w:left="849" w:hangingChars="100" w:hanging="283"/>
        <w:outlineLvl w:val="1"/>
        <w:rPr>
          <w:rFonts w:hAnsi="標楷體"/>
          <w:b/>
          <w:color w:val="000000"/>
        </w:rPr>
      </w:pPr>
      <w:r w:rsidRPr="007B014E">
        <w:rPr>
          <w:rFonts w:hint="eastAsia"/>
          <w:b/>
        </w:rPr>
        <w:t>(</w:t>
      </w:r>
      <w:r w:rsidR="00967675" w:rsidRPr="007B014E">
        <w:rPr>
          <w:rFonts w:hint="eastAsia"/>
          <w:b/>
        </w:rPr>
        <w:t>二</w:t>
      </w:r>
      <w:r w:rsidRPr="007B014E">
        <w:rPr>
          <w:rFonts w:hint="eastAsia"/>
          <w:b/>
        </w:rPr>
        <w:t>)</w:t>
      </w:r>
      <w:r w:rsidR="00766AF5" w:rsidRPr="007B014E">
        <w:rPr>
          <w:rFonts w:hAnsi="標楷體" w:hint="eastAsia"/>
          <w:b/>
          <w:color w:val="000000"/>
        </w:rPr>
        <w:t>現行駕照制度面臨許多挑戰，為提升用路人之交通安全，</w:t>
      </w:r>
      <w:bookmarkStart w:id="9" w:name="_Hlk177828230"/>
      <w:r w:rsidR="00D07E2E" w:rsidRPr="007B014E">
        <w:rPr>
          <w:rFonts w:hAnsi="標楷體" w:hint="eastAsia"/>
          <w:b/>
          <w:color w:val="000000"/>
        </w:rPr>
        <w:t>允宜及早規劃相關配套措施，以發揮政策推動效益</w:t>
      </w:r>
    </w:p>
    <w:p w:rsidR="001D58EB" w:rsidRPr="007B014E" w:rsidRDefault="00C260A6" w:rsidP="00D07E2E">
      <w:pPr>
        <w:pStyle w:val="21"/>
        <w:ind w:left="850" w:firstLine="566"/>
      </w:pPr>
      <w:r w:rsidRPr="007B014E">
        <w:t>隨著交通事故頻率</w:t>
      </w:r>
      <w:r w:rsidR="00C976D5" w:rsidRPr="007B014E">
        <w:rPr>
          <w:rFonts w:hint="eastAsia"/>
        </w:rPr>
        <w:t>及</w:t>
      </w:r>
      <w:r w:rsidRPr="007B014E">
        <w:t>用路人高齡化問題加劇</w:t>
      </w:r>
      <w:r w:rsidRPr="007B014E">
        <w:rPr>
          <w:rFonts w:hint="eastAsia"/>
          <w:color w:val="000000"/>
        </w:rPr>
        <w:t>，現行駕照制度面臨許多挑戰</w:t>
      </w:r>
      <w:r w:rsidRPr="007B014E">
        <w:rPr>
          <w:rFonts w:ascii="新細明體" w:eastAsia="新細明體" w:hAnsi="新細明體" w:hint="eastAsia"/>
          <w:color w:val="000000"/>
        </w:rPr>
        <w:t>，</w:t>
      </w:r>
      <w:r w:rsidRPr="007B014E">
        <w:rPr>
          <w:rFonts w:hint="eastAsia"/>
        </w:rPr>
        <w:t>為提升用路人之交通安全，</w:t>
      </w:r>
      <w:r w:rsidR="003517F6" w:rsidRPr="007B014E">
        <w:rPr>
          <w:rFonts w:hint="eastAsia"/>
        </w:rPr>
        <w:t>詢據交通部表示</w:t>
      </w:r>
      <w:r w:rsidR="00766AF5" w:rsidRPr="007B014E">
        <w:rPr>
          <w:rFonts w:ascii="新細明體" w:eastAsia="新細明體" w:hAnsi="新細明體" w:hint="eastAsia"/>
        </w:rPr>
        <w:t>，</w:t>
      </w:r>
      <w:r w:rsidR="00897FE6" w:rsidRPr="007B014E">
        <w:rPr>
          <w:rFonts w:hint="eastAsia"/>
          <w:color w:val="000000"/>
        </w:rPr>
        <w:t>將</w:t>
      </w:r>
      <w:r w:rsidR="00766AF5" w:rsidRPr="007B014E">
        <w:rPr>
          <w:rFonts w:hint="eastAsia"/>
        </w:rPr>
        <w:t>針對駕照管理已規劃三大策略，以精進整體駕照管理</w:t>
      </w:r>
      <w:r w:rsidR="00C976D5" w:rsidRPr="007B014E">
        <w:rPr>
          <w:rFonts w:hint="eastAsia"/>
        </w:rPr>
        <w:t>及</w:t>
      </w:r>
      <w:r w:rsidR="00766AF5" w:rsidRPr="007B014E">
        <w:rPr>
          <w:rFonts w:hint="eastAsia"/>
        </w:rPr>
        <w:t>法規制度，說明如次：</w:t>
      </w:r>
    </w:p>
    <w:p w:rsidR="00766AF5" w:rsidRPr="007B014E" w:rsidRDefault="00766AF5" w:rsidP="00766AF5">
      <w:pPr>
        <w:pStyle w:val="123"/>
        <w:ind w:left="1133" w:hanging="283"/>
        <w:rPr>
          <w:color w:val="000000"/>
        </w:rPr>
      </w:pPr>
      <w:r w:rsidRPr="007B014E">
        <w:rPr>
          <w:rFonts w:hint="eastAsia"/>
        </w:rPr>
        <w:t>1.</w:t>
      </w:r>
      <w:r w:rsidRPr="007B014E">
        <w:rPr>
          <w:b/>
          <w:bCs/>
          <w:color w:val="000000"/>
        </w:rPr>
        <w:t>考照制度</w:t>
      </w:r>
      <w:r w:rsidR="00C976D5" w:rsidRPr="007B014E">
        <w:rPr>
          <w:rFonts w:hAnsi="標楷體" w:hint="eastAsia"/>
          <w:b/>
          <w:bCs/>
          <w:color w:val="000000"/>
        </w:rPr>
        <w:t>-</w:t>
      </w:r>
      <w:r w:rsidRPr="007B014E">
        <w:rPr>
          <w:b/>
          <w:bCs/>
          <w:color w:val="000000"/>
        </w:rPr>
        <w:t>加嚴增加鑑別度</w:t>
      </w:r>
      <w:r w:rsidR="00BA4C34" w:rsidRPr="007B014E">
        <w:rPr>
          <w:rFonts w:ascii="新細明體" w:eastAsia="新細明體" w:hAnsi="新細明體" w:hint="eastAsia"/>
          <w:b/>
          <w:bCs/>
          <w:color w:val="000000"/>
        </w:rPr>
        <w:t>：</w:t>
      </w:r>
      <w:r w:rsidRPr="007B014E">
        <w:rPr>
          <w:rFonts w:hint="eastAsia"/>
          <w:color w:val="000000"/>
        </w:rPr>
        <w:t>將筆試提高鑑別難度、路考加嚴</w:t>
      </w:r>
      <w:r w:rsidRPr="007B014E">
        <w:rPr>
          <w:rFonts w:hint="eastAsia"/>
          <w:color w:val="000000"/>
        </w:rPr>
        <w:lastRenderedPageBreak/>
        <w:t>安全駕駛及駕訓完善配套訓練等方案。</w:t>
      </w:r>
    </w:p>
    <w:p w:rsidR="00766AF5" w:rsidRPr="007B014E" w:rsidRDefault="00766AF5" w:rsidP="00766AF5">
      <w:pPr>
        <w:pStyle w:val="123"/>
        <w:ind w:left="1133" w:hanging="283"/>
      </w:pPr>
      <w:r w:rsidRPr="007B014E">
        <w:rPr>
          <w:rFonts w:hint="eastAsia"/>
        </w:rPr>
        <w:t>2.</w:t>
      </w:r>
      <w:r w:rsidRPr="007B014E">
        <w:rPr>
          <w:rFonts w:hint="eastAsia"/>
          <w:b/>
          <w:bCs/>
        </w:rPr>
        <w:t>回訓制度</w:t>
      </w:r>
      <w:r w:rsidR="00C976D5" w:rsidRPr="007B014E">
        <w:rPr>
          <w:rFonts w:hAnsi="標楷體" w:hint="eastAsia"/>
          <w:b/>
          <w:bCs/>
        </w:rPr>
        <w:t>-</w:t>
      </w:r>
      <w:r w:rsidRPr="007B014E">
        <w:rPr>
          <w:rFonts w:hint="eastAsia"/>
          <w:b/>
          <w:bCs/>
        </w:rPr>
        <w:t>強化違規者安全駕駛風險意識</w:t>
      </w:r>
      <w:r w:rsidR="00BA4C34" w:rsidRPr="007B014E">
        <w:rPr>
          <w:rFonts w:hAnsi="標楷體" w:hint="eastAsia"/>
          <w:b/>
          <w:bCs/>
        </w:rPr>
        <w:t>：</w:t>
      </w:r>
      <w:r w:rsidR="00BA4C34" w:rsidRPr="007B014E">
        <w:rPr>
          <w:rFonts w:hint="eastAsia"/>
        </w:rPr>
        <w:t>特定累犯矯正新增講習對象</w:t>
      </w:r>
      <w:r w:rsidR="00BA4C34" w:rsidRPr="007B014E">
        <w:rPr>
          <w:rFonts w:hAnsi="標楷體" w:hint="eastAsia"/>
        </w:rPr>
        <w:t>、</w:t>
      </w:r>
      <w:r w:rsidR="00BA4C34" w:rsidRPr="007B014E">
        <w:t>重大再犯加嚴加重時數</w:t>
      </w:r>
      <w:r w:rsidR="00BA4C34" w:rsidRPr="007B014E">
        <w:rPr>
          <w:rFonts w:hint="eastAsia"/>
        </w:rPr>
        <w:t>及加嚴吊銷重考強制駕駛訓練等方案</w:t>
      </w:r>
      <w:r w:rsidR="00BA4C34" w:rsidRPr="007B014E">
        <w:rPr>
          <w:rFonts w:hAnsi="標楷體" w:hint="eastAsia"/>
        </w:rPr>
        <w:t>。</w:t>
      </w:r>
    </w:p>
    <w:p w:rsidR="00766AF5" w:rsidRPr="007B014E" w:rsidRDefault="00766AF5" w:rsidP="00766AF5">
      <w:pPr>
        <w:pStyle w:val="123"/>
        <w:ind w:left="1133" w:hanging="283"/>
      </w:pPr>
      <w:r w:rsidRPr="007B014E">
        <w:rPr>
          <w:rFonts w:hint="eastAsia"/>
        </w:rPr>
        <w:t>3.</w:t>
      </w:r>
      <w:r w:rsidRPr="007B014E">
        <w:rPr>
          <w:b/>
          <w:bCs/>
          <w:color w:val="000000"/>
        </w:rPr>
        <w:t>換照制度</w:t>
      </w:r>
      <w:r w:rsidR="00C976D5" w:rsidRPr="007B014E">
        <w:rPr>
          <w:rFonts w:hAnsi="標楷體" w:hint="eastAsia"/>
          <w:b/>
          <w:bCs/>
          <w:color w:val="000000"/>
        </w:rPr>
        <w:t>-</w:t>
      </w:r>
      <w:r w:rsidRPr="007B014E">
        <w:rPr>
          <w:b/>
          <w:bCs/>
          <w:color w:val="000000"/>
        </w:rPr>
        <w:t>協助高齡者安全駕駛</w:t>
      </w:r>
      <w:r w:rsidR="00BA4C34" w:rsidRPr="007B014E">
        <w:rPr>
          <w:rFonts w:ascii="新細明體" w:eastAsia="新細明體" w:hAnsi="新細明體" w:hint="eastAsia"/>
          <w:b/>
          <w:bCs/>
          <w:color w:val="000000"/>
        </w:rPr>
        <w:t>：</w:t>
      </w:r>
      <w:r w:rsidR="00BA4C34" w:rsidRPr="007B014E">
        <w:rPr>
          <w:rFonts w:hint="eastAsia"/>
        </w:rPr>
        <w:t>提前分級關懷、免費教育課程、完善配套措施及持續檢討檢測項目</w:t>
      </w:r>
      <w:r w:rsidR="00582407" w:rsidRPr="007B014E">
        <w:rPr>
          <w:rFonts w:ascii="新細明體" w:eastAsia="新細明體" w:hAnsi="新細明體" w:hint="eastAsia"/>
        </w:rPr>
        <w:t>，</w:t>
      </w:r>
      <w:r w:rsidR="00582407" w:rsidRPr="007B014E">
        <w:rPr>
          <w:rFonts w:hint="eastAsia"/>
        </w:rPr>
        <w:t>提出</w:t>
      </w:r>
      <w:r w:rsidR="00DC7AC9" w:rsidRPr="007B014E">
        <w:rPr>
          <w:rFonts w:hint="eastAsia"/>
        </w:rPr>
        <w:t>高齡關懷協助精進計畫(詳表2)</w:t>
      </w:r>
      <w:r w:rsidR="00BA4C34" w:rsidRPr="007B014E">
        <w:rPr>
          <w:rFonts w:hint="eastAsia"/>
        </w:rPr>
        <w:t>。</w:t>
      </w:r>
    </w:p>
    <w:p w:rsidR="00E3070D" w:rsidRPr="007B014E" w:rsidRDefault="00117025" w:rsidP="00E3070D">
      <w:pPr>
        <w:pStyle w:val="21"/>
        <w:ind w:left="850" w:firstLine="566"/>
        <w:rPr>
          <w:rFonts w:hAnsi="標楷體"/>
          <w:color w:val="404040"/>
          <w:shd w:val="clear" w:color="auto" w:fill="FFFFFF"/>
        </w:rPr>
      </w:pPr>
      <w:bookmarkStart w:id="10" w:name="_Hlk211662250"/>
      <w:r w:rsidRPr="007B014E">
        <w:rPr>
          <w:rFonts w:hAnsi="標楷體" w:hint="eastAsia"/>
          <w:color w:val="404040"/>
          <w:shd w:val="clear" w:color="auto" w:fill="FFFFFF"/>
        </w:rPr>
        <w:t>觀諸111至115年度駕照管理相關預算介於</w:t>
      </w:r>
      <w:r w:rsidRPr="007B014E">
        <w:rPr>
          <w:rFonts w:hAnsi="標楷體"/>
          <w:color w:val="404040"/>
          <w:shd w:val="clear" w:color="auto" w:fill="FFFFFF"/>
        </w:rPr>
        <w:t>2</w:t>
      </w:r>
      <w:r w:rsidRPr="007B014E">
        <w:rPr>
          <w:rFonts w:hAnsi="標楷體" w:hint="eastAsia"/>
          <w:color w:val="404040"/>
          <w:shd w:val="clear" w:color="auto" w:fill="FFFFFF"/>
        </w:rPr>
        <w:t>億</w:t>
      </w:r>
      <w:r w:rsidRPr="007B014E">
        <w:rPr>
          <w:rFonts w:hAnsi="標楷體"/>
          <w:color w:val="404040"/>
          <w:shd w:val="clear" w:color="auto" w:fill="FFFFFF"/>
        </w:rPr>
        <w:t>1</w:t>
      </w:r>
      <w:r w:rsidR="00897FE6" w:rsidRPr="007B014E">
        <w:rPr>
          <w:rFonts w:hAnsi="標楷體"/>
          <w:color w:val="404040"/>
          <w:shd w:val="clear" w:color="auto" w:fill="FFFFFF"/>
        </w:rPr>
        <w:t>,</w:t>
      </w:r>
      <w:r w:rsidRPr="007B014E">
        <w:rPr>
          <w:rFonts w:hAnsi="標楷體"/>
          <w:color w:val="404040"/>
          <w:shd w:val="clear" w:color="auto" w:fill="FFFFFF"/>
        </w:rPr>
        <w:t>722</w:t>
      </w:r>
      <w:r w:rsidRPr="007B014E">
        <w:rPr>
          <w:rFonts w:hAnsi="標楷體" w:hint="eastAsia"/>
          <w:color w:val="404040"/>
          <w:shd w:val="clear" w:color="auto" w:fill="FFFFFF"/>
        </w:rPr>
        <w:t>萬元至</w:t>
      </w:r>
      <w:r w:rsidR="00F76F9D" w:rsidRPr="007B014E">
        <w:rPr>
          <w:rFonts w:hAnsi="標楷體" w:hint="eastAsia"/>
          <w:color w:val="404040"/>
          <w:shd w:val="clear" w:color="auto" w:fill="FFFFFF"/>
        </w:rPr>
        <w:t>(預計)</w:t>
      </w:r>
      <w:r w:rsidRPr="007B014E">
        <w:rPr>
          <w:rFonts w:hAnsi="標楷體"/>
          <w:color w:val="404040"/>
          <w:shd w:val="clear" w:color="auto" w:fill="FFFFFF"/>
        </w:rPr>
        <w:t>3</w:t>
      </w:r>
      <w:r w:rsidRPr="007B014E">
        <w:rPr>
          <w:rFonts w:hAnsi="標楷體" w:hint="eastAsia"/>
          <w:color w:val="404040"/>
          <w:shd w:val="clear" w:color="auto" w:fill="FFFFFF"/>
        </w:rPr>
        <w:t>億</w:t>
      </w:r>
      <w:r w:rsidRPr="007B014E">
        <w:rPr>
          <w:rFonts w:hAnsi="標楷體"/>
          <w:color w:val="404040"/>
          <w:shd w:val="clear" w:color="auto" w:fill="FFFFFF"/>
        </w:rPr>
        <w:t>6</w:t>
      </w:r>
      <w:r w:rsidR="00897FE6" w:rsidRPr="007B014E">
        <w:rPr>
          <w:rFonts w:hAnsi="標楷體"/>
          <w:color w:val="404040"/>
          <w:shd w:val="clear" w:color="auto" w:fill="FFFFFF"/>
        </w:rPr>
        <w:t>,</w:t>
      </w:r>
      <w:r w:rsidRPr="007B014E">
        <w:rPr>
          <w:rFonts w:hAnsi="標楷體"/>
          <w:color w:val="404040"/>
          <w:shd w:val="clear" w:color="auto" w:fill="FFFFFF"/>
        </w:rPr>
        <w:t>448</w:t>
      </w:r>
      <w:r w:rsidR="00897FE6" w:rsidRPr="007B014E">
        <w:rPr>
          <w:rFonts w:hAnsi="標楷體" w:hint="eastAsia"/>
          <w:color w:val="404040"/>
          <w:shd w:val="clear" w:color="auto" w:fill="FFFFFF"/>
        </w:rPr>
        <w:t>萬</w:t>
      </w:r>
      <w:r w:rsidRPr="007B014E">
        <w:rPr>
          <w:rFonts w:hAnsi="標楷體"/>
          <w:color w:val="404040"/>
          <w:shd w:val="clear" w:color="auto" w:fill="FFFFFF"/>
        </w:rPr>
        <w:t>4</w:t>
      </w:r>
      <w:r w:rsidRPr="007B014E">
        <w:rPr>
          <w:rFonts w:hAnsi="標楷體" w:hint="eastAsia"/>
          <w:color w:val="404040"/>
          <w:shd w:val="clear" w:color="auto" w:fill="FFFFFF"/>
        </w:rPr>
        <w:t>千元間</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概呈逐年增加之趨勢</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據公路局推估</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115年度</w:t>
      </w:r>
      <w:r w:rsidR="00897FE6" w:rsidRPr="007B014E">
        <w:rPr>
          <w:rFonts w:hAnsi="標楷體" w:hint="eastAsia"/>
          <w:color w:val="404040"/>
          <w:shd w:val="clear" w:color="auto" w:fill="FFFFFF"/>
        </w:rPr>
        <w:t>為</w:t>
      </w:r>
      <w:r w:rsidR="00290E5F" w:rsidRPr="007B014E">
        <w:rPr>
          <w:rFonts w:hAnsi="標楷體" w:hint="eastAsia"/>
          <w:color w:val="404040"/>
          <w:shd w:val="clear" w:color="auto" w:fill="FFFFFF"/>
        </w:rPr>
        <w:t>因應新制度之推行</w:t>
      </w:r>
      <w:r w:rsidR="00897FE6"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預計</w:t>
      </w:r>
      <w:r w:rsidR="002263D1" w:rsidRPr="007B014E">
        <w:rPr>
          <w:rFonts w:hAnsi="標楷體" w:hint="eastAsia"/>
          <w:color w:val="404040"/>
          <w:shd w:val="clear" w:color="auto" w:fill="FFFFFF"/>
        </w:rPr>
        <w:t>再</w:t>
      </w:r>
      <w:r w:rsidR="00290E5F" w:rsidRPr="007B014E">
        <w:rPr>
          <w:rFonts w:hAnsi="標楷體" w:hint="eastAsia"/>
          <w:color w:val="404040"/>
          <w:shd w:val="clear" w:color="auto" w:fill="FFFFFF"/>
        </w:rPr>
        <w:t>需</w:t>
      </w:r>
      <w:r w:rsidR="00F76F9D" w:rsidRPr="007B014E">
        <w:rPr>
          <w:rFonts w:hAnsi="標楷體" w:hint="eastAsia"/>
          <w:color w:val="404040"/>
          <w:shd w:val="clear" w:color="auto" w:fill="FFFFFF"/>
        </w:rPr>
        <w:t>再</w:t>
      </w:r>
      <w:r w:rsidR="00290E5F" w:rsidRPr="007B014E">
        <w:rPr>
          <w:rFonts w:hAnsi="標楷體" w:hint="eastAsia"/>
          <w:color w:val="404040"/>
          <w:shd w:val="clear" w:color="auto" w:fill="FFFFFF"/>
        </w:rPr>
        <w:t>增加</w:t>
      </w:r>
      <w:r w:rsidR="006764B1">
        <w:rPr>
          <w:rFonts w:hAnsi="標楷體" w:hint="eastAsia"/>
          <w:color w:val="404040"/>
          <w:shd w:val="clear" w:color="auto" w:fill="FFFFFF"/>
        </w:rPr>
        <w:t>5</w:t>
      </w:r>
      <w:r w:rsidR="00290E5F" w:rsidRPr="007B014E">
        <w:rPr>
          <w:rFonts w:hAnsi="標楷體" w:hint="eastAsia"/>
          <w:color w:val="404040"/>
          <w:shd w:val="clear" w:color="auto" w:fill="FFFFFF"/>
        </w:rPr>
        <w:lastRenderedPageBreak/>
        <w:t>億</w:t>
      </w:r>
      <w:r w:rsidR="006764B1">
        <w:rPr>
          <w:rFonts w:hAnsi="標楷體" w:hint="eastAsia"/>
          <w:color w:val="404040"/>
          <w:shd w:val="clear" w:color="auto" w:fill="FFFFFF"/>
        </w:rPr>
        <w:t>120</w:t>
      </w:r>
      <w:r w:rsidR="00290E5F" w:rsidRPr="007B014E">
        <w:rPr>
          <w:rFonts w:hAnsi="標楷體" w:hint="eastAsia"/>
          <w:color w:val="404040"/>
          <w:shd w:val="clear" w:color="auto" w:fill="FFFFFF"/>
        </w:rPr>
        <w:t>萬</w:t>
      </w:r>
      <w:r w:rsidR="00F76F9D" w:rsidRPr="007B014E">
        <w:rPr>
          <w:rFonts w:hAnsi="標楷體" w:hint="eastAsia"/>
          <w:color w:val="404040"/>
          <w:shd w:val="clear" w:color="auto" w:fill="FFFFFF"/>
        </w:rPr>
        <w:t>元</w:t>
      </w:r>
      <w:r w:rsidR="00190126">
        <w:rPr>
          <w:rStyle w:val="af9"/>
          <w:rFonts w:hAnsi="標楷體"/>
          <w:color w:val="404040"/>
          <w:shd w:val="clear" w:color="auto" w:fill="FFFFFF"/>
        </w:rPr>
        <w:footnoteReference w:id="3"/>
      </w:r>
      <w:r w:rsidR="00DC7AC9" w:rsidRPr="007B014E">
        <w:rPr>
          <w:rFonts w:hAnsi="標楷體" w:hint="eastAsia"/>
          <w:color w:val="404040"/>
          <w:shd w:val="clear" w:color="auto" w:fill="FFFFFF"/>
        </w:rPr>
        <w:t>(詳表3)</w:t>
      </w:r>
      <w:r w:rsidR="00897FE6" w:rsidRPr="007B014E">
        <w:rPr>
          <w:rFonts w:hAnsi="標楷體" w:hint="eastAsia"/>
          <w:color w:val="404040"/>
          <w:shd w:val="clear" w:color="auto" w:fill="FFFFFF"/>
        </w:rPr>
        <w:t>。鑑此</w:t>
      </w:r>
      <w:r w:rsidR="00897FE6"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允宜及早規劃相關配套措施，俾能確保新制推行順利</w:t>
      </w:r>
      <w:r w:rsidR="00D07E2E" w:rsidRPr="007B014E">
        <w:rPr>
          <w:rFonts w:ascii="新細明體" w:eastAsia="新細明體" w:hAnsi="新細明體" w:hint="eastAsia"/>
          <w:color w:val="404040"/>
          <w:shd w:val="clear" w:color="auto" w:fill="FFFFFF"/>
        </w:rPr>
        <w:t>，</w:t>
      </w:r>
      <w:r w:rsidR="00D07E2E" w:rsidRPr="007B014E">
        <w:rPr>
          <w:rFonts w:hAnsi="標楷體" w:hint="eastAsia"/>
          <w:color w:val="404040"/>
          <w:shd w:val="clear" w:color="auto" w:fill="FFFFFF"/>
        </w:rPr>
        <w:t>以發揮政策推動效益</w:t>
      </w:r>
      <w:r w:rsidR="00E3070D" w:rsidRPr="007B014E">
        <w:rPr>
          <w:rFonts w:hAnsi="標楷體"/>
          <w:color w:val="404040"/>
          <w:shd w:val="clear" w:color="auto" w:fill="FFFFFF"/>
        </w:rPr>
        <w:t>。</w:t>
      </w:r>
    </w:p>
    <w:p w:rsidR="00DC7AC9" w:rsidRPr="007B014E" w:rsidRDefault="00DC7AC9" w:rsidP="00DC7AC9">
      <w:pPr>
        <w:pStyle w:val="200"/>
        <w:ind w:left="758" w:hangingChars="275" w:hanging="758"/>
        <w:rPr>
          <w:rStyle w:val="201"/>
          <w:b/>
          <w:bCs/>
          <w:spacing w:val="-4"/>
          <w:sz w:val="28"/>
        </w:rPr>
      </w:pPr>
      <w:bookmarkStart w:id="11" w:name="_Hlk211593176"/>
      <w:bookmarkStart w:id="12" w:name="_Hlk211662317"/>
      <w:bookmarkStart w:id="13" w:name="_Hlk211819555"/>
      <w:bookmarkEnd w:id="10"/>
      <w:r w:rsidRPr="007B014E">
        <w:rPr>
          <w:rStyle w:val="201"/>
          <w:rFonts w:hint="eastAsia"/>
          <w:b/>
          <w:bCs/>
          <w:spacing w:val="-4"/>
          <w:sz w:val="28"/>
        </w:rPr>
        <w:t>表</w:t>
      </w:r>
      <w:r w:rsidRPr="007B014E">
        <w:rPr>
          <w:rStyle w:val="201"/>
          <w:b/>
          <w:bCs/>
          <w:spacing w:val="-4"/>
          <w:sz w:val="28"/>
        </w:rPr>
        <w:t>2</w:t>
      </w:r>
      <w:r w:rsidRPr="007B014E">
        <w:rPr>
          <w:rStyle w:val="201"/>
          <w:rFonts w:hint="eastAsia"/>
          <w:b/>
          <w:bCs/>
          <w:snapToGrid w:val="0"/>
          <w:spacing w:val="-4"/>
          <w:sz w:val="28"/>
        </w:rPr>
        <w:t xml:space="preserve">　</w:t>
      </w:r>
      <w:r w:rsidR="008C5C26" w:rsidRPr="007B014E">
        <w:rPr>
          <w:rStyle w:val="201"/>
          <w:rFonts w:hint="eastAsia"/>
          <w:b/>
          <w:bCs/>
          <w:snapToGrid w:val="0"/>
          <w:spacing w:val="-4"/>
          <w:sz w:val="28"/>
        </w:rPr>
        <w:t>公路局預計推行</w:t>
      </w:r>
      <w:r w:rsidRPr="007B014E">
        <w:rPr>
          <w:rStyle w:val="201"/>
          <w:rFonts w:hint="eastAsia"/>
          <w:b/>
          <w:bCs/>
          <w:spacing w:val="-4"/>
          <w:sz w:val="28"/>
        </w:rPr>
        <w:t>高齡關懷協助精進計畫</w:t>
      </w:r>
      <w:r w:rsidR="00860272" w:rsidRPr="007B014E">
        <w:rPr>
          <w:rStyle w:val="201"/>
          <w:rFonts w:hint="eastAsia"/>
          <w:b/>
          <w:bCs/>
          <w:spacing w:val="-4"/>
          <w:sz w:val="28"/>
        </w:rPr>
        <w:t>之執行方案與措施概況表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57"/>
        <w:gridCol w:w="6668"/>
      </w:tblGrid>
      <w:tr w:rsidR="00DC7AC9" w:rsidRPr="007B014E" w:rsidTr="00897FE6">
        <w:trPr>
          <w:tblHeader/>
        </w:trPr>
        <w:tc>
          <w:tcPr>
            <w:tcW w:w="1857" w:type="dxa"/>
            <w:tcBorders>
              <w:top w:val="single" w:sz="12" w:space="0" w:color="auto"/>
              <w:bottom w:val="double" w:sz="4" w:space="0" w:color="auto"/>
            </w:tcBorders>
            <w:shd w:val="clear" w:color="auto" w:fill="auto"/>
          </w:tcPr>
          <w:p w:rsidR="00DC7AC9" w:rsidRPr="007B014E" w:rsidRDefault="00DC7AC9" w:rsidP="0091682A">
            <w:pPr>
              <w:snapToGrid w:val="0"/>
              <w:spacing w:line="400" w:lineRule="exact"/>
              <w:ind w:leftChars="0" w:left="0" w:firstLineChars="0" w:firstLine="0"/>
              <w:jc w:val="center"/>
              <w:rPr>
                <w:bCs/>
                <w:sz w:val="24"/>
                <w:szCs w:val="24"/>
              </w:rPr>
            </w:pPr>
            <w:r w:rsidRPr="007B014E">
              <w:rPr>
                <w:rFonts w:hint="eastAsia"/>
                <w:bCs/>
                <w:sz w:val="24"/>
                <w:szCs w:val="24"/>
              </w:rPr>
              <w:t>方案</w:t>
            </w:r>
          </w:p>
        </w:tc>
        <w:tc>
          <w:tcPr>
            <w:tcW w:w="6668" w:type="dxa"/>
            <w:tcBorders>
              <w:top w:val="single" w:sz="12" w:space="0" w:color="auto"/>
              <w:bottom w:val="double" w:sz="4" w:space="0" w:color="auto"/>
            </w:tcBorders>
            <w:shd w:val="clear" w:color="auto" w:fill="auto"/>
          </w:tcPr>
          <w:p w:rsidR="00DC7AC9" w:rsidRPr="007B014E" w:rsidRDefault="00C64872" w:rsidP="0091682A">
            <w:pPr>
              <w:snapToGrid w:val="0"/>
              <w:spacing w:line="400" w:lineRule="exact"/>
              <w:ind w:leftChars="0" w:left="0" w:firstLineChars="0" w:firstLine="0"/>
              <w:jc w:val="center"/>
              <w:rPr>
                <w:bCs/>
                <w:sz w:val="24"/>
                <w:szCs w:val="24"/>
              </w:rPr>
            </w:pPr>
            <w:r w:rsidRPr="007B014E">
              <w:rPr>
                <w:rFonts w:hAnsi="標楷體" w:hint="eastAsia"/>
                <w:bCs/>
                <w:sz w:val="24"/>
                <w:szCs w:val="24"/>
              </w:rPr>
              <w:t>執行措施</w:t>
            </w:r>
          </w:p>
        </w:tc>
      </w:tr>
      <w:tr w:rsidR="00DC7AC9" w:rsidRPr="007B014E" w:rsidTr="0091682A">
        <w:tc>
          <w:tcPr>
            <w:tcW w:w="1857" w:type="dxa"/>
            <w:tcBorders>
              <w:top w:val="double" w:sz="4" w:space="0" w:color="auto"/>
            </w:tcBorders>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提前分級關懷</w:t>
            </w:r>
          </w:p>
        </w:tc>
        <w:tc>
          <w:tcPr>
            <w:tcW w:w="6668" w:type="dxa"/>
            <w:tcBorders>
              <w:top w:val="double" w:sz="4" w:space="0" w:color="auto"/>
            </w:tcBorders>
            <w:shd w:val="clear" w:color="auto" w:fill="auto"/>
          </w:tcPr>
          <w:p w:rsidR="00DC7AC9" w:rsidRPr="007B014E" w:rsidRDefault="00DC7AC9" w:rsidP="0091682A">
            <w:pPr>
              <w:snapToGrid w:val="0"/>
              <w:spacing w:line="400" w:lineRule="exact"/>
              <w:ind w:leftChars="0" w:left="0" w:firstLineChars="0" w:firstLine="0"/>
              <w:rPr>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sz w:val="24"/>
                <w:szCs w:val="24"/>
              </w:rPr>
              <w:t>70歲一換駕照到75歲，75歲維持3年一換</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75歲以上違規致肇事者須實地駕駛訓練(自費至駕訓班)</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免費教育課程</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免費提供最新交通安全法規教育訓練</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免費提供道路危險感知體驗</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完善配套措施</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主動繳回駕照補助TPASS乘車優惠</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提升偏鄉公共運輸服務</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三</w:t>
            </w:r>
            <w:r w:rsidRPr="007B014E">
              <w:rPr>
                <w:rFonts w:hAnsi="標楷體" w:hint="eastAsia"/>
                <w:bCs/>
                <w:sz w:val="24"/>
                <w:szCs w:val="24"/>
              </w:rPr>
              <w:t>、</w:t>
            </w:r>
            <w:r w:rsidRPr="007B014E">
              <w:rPr>
                <w:rFonts w:hint="eastAsia"/>
                <w:bCs/>
                <w:sz w:val="24"/>
                <w:szCs w:val="24"/>
              </w:rPr>
              <w:t>擴大主動關懷常見違規、事故第一當事人</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四</w:t>
            </w:r>
            <w:r w:rsidRPr="007B014E">
              <w:rPr>
                <w:rFonts w:hAnsi="標楷體" w:hint="eastAsia"/>
                <w:bCs/>
                <w:sz w:val="24"/>
                <w:szCs w:val="24"/>
              </w:rPr>
              <w:t>、</w:t>
            </w:r>
            <w:r w:rsidRPr="007B014E">
              <w:rPr>
                <w:rFonts w:hint="eastAsia"/>
                <w:bCs/>
                <w:sz w:val="24"/>
                <w:szCs w:val="24"/>
              </w:rPr>
              <w:t>轉介職能治療體系服務作業計畫</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檢討檢測項目</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納入專業醫師評估體檢適性駕駛</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調整認知功能測驗通過標準</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三</w:t>
            </w:r>
            <w:r w:rsidRPr="007B014E">
              <w:rPr>
                <w:rFonts w:hAnsi="標楷體" w:hint="eastAsia"/>
                <w:bCs/>
                <w:sz w:val="24"/>
                <w:szCs w:val="24"/>
              </w:rPr>
              <w:t>、</w:t>
            </w:r>
            <w:r w:rsidRPr="007B014E">
              <w:rPr>
                <w:rFonts w:hAnsi="標楷體" w:hint="eastAsia"/>
                <w:sz w:val="24"/>
                <w:szCs w:val="24"/>
              </w:rPr>
              <w:t>同步洽談衛福部結合老人健檢。</w:t>
            </w:r>
          </w:p>
        </w:tc>
      </w:tr>
    </w:tbl>
    <w:bookmarkEnd w:id="13"/>
    <w:p w:rsidR="00DC7AC9" w:rsidRPr="007B014E" w:rsidRDefault="00DC7AC9" w:rsidP="00DC7AC9">
      <w:pPr>
        <w:snapToGrid w:val="0"/>
        <w:spacing w:line="280" w:lineRule="exact"/>
        <w:ind w:leftChars="0" w:left="1160" w:hangingChars="477" w:hanging="1160"/>
        <w:rPr>
          <w:snapToGrid/>
          <w:kern w:val="0"/>
          <w:sz w:val="24"/>
          <w:szCs w:val="24"/>
        </w:rPr>
      </w:pPr>
      <w:r w:rsidRPr="007B014E">
        <w:rPr>
          <w:rFonts w:hint="eastAsia"/>
          <w:snapToGrid/>
          <w:kern w:val="0"/>
          <w:sz w:val="24"/>
          <w:szCs w:val="24"/>
        </w:rPr>
        <w:t>資料來源：公路局提供之資料；本中心整理。</w:t>
      </w:r>
    </w:p>
    <w:p w:rsidR="002776C5" w:rsidRPr="007B014E" w:rsidRDefault="005853B5" w:rsidP="002776C5">
      <w:pPr>
        <w:pStyle w:val="21"/>
        <w:spacing w:line="400" w:lineRule="exact"/>
        <w:ind w:leftChars="0" w:left="850" w:hangingChars="300" w:hanging="850"/>
        <w:rPr>
          <w:rFonts w:hAnsi="標楷體"/>
          <w:b/>
          <w:bCs/>
        </w:rPr>
      </w:pPr>
      <w:r>
        <w:rPr>
          <w:rFonts w:hAnsi="標楷體"/>
          <w:b/>
          <w:bCs/>
        </w:rPr>
        <w:br w:type="page"/>
      </w:r>
      <w:r w:rsidR="002776C5" w:rsidRPr="007B014E">
        <w:rPr>
          <w:rFonts w:hAnsi="標楷體" w:hint="eastAsia"/>
          <w:b/>
          <w:bCs/>
        </w:rPr>
        <w:lastRenderedPageBreak/>
        <w:t>表</w:t>
      </w:r>
      <w:r w:rsidR="00582407" w:rsidRPr="007B014E">
        <w:rPr>
          <w:rFonts w:hAnsi="標楷體" w:hint="eastAsia"/>
          <w:b/>
          <w:bCs/>
        </w:rPr>
        <w:t>3</w:t>
      </w:r>
      <w:r w:rsidR="002776C5" w:rsidRPr="007B014E">
        <w:rPr>
          <w:rFonts w:hAnsi="標楷體" w:hint="eastAsia"/>
          <w:b/>
          <w:bCs/>
        </w:rPr>
        <w:t xml:space="preserve">　</w:t>
      </w:r>
      <w:r w:rsidR="00860272" w:rsidRPr="007B014E">
        <w:rPr>
          <w:rFonts w:hAnsi="標楷體" w:hint="eastAsia"/>
          <w:b/>
          <w:bCs/>
        </w:rPr>
        <w:t>公路局</w:t>
      </w:r>
      <w:r w:rsidR="002776C5" w:rsidRPr="007B014E">
        <w:rPr>
          <w:rFonts w:hAnsi="標楷體" w:hint="eastAsia"/>
          <w:b/>
          <w:bCs/>
        </w:rPr>
        <w:t>111至115年度駕照管理相關預算編列及執行概況表</w:t>
      </w:r>
    </w:p>
    <w:p w:rsidR="002776C5" w:rsidRPr="007B014E" w:rsidRDefault="002776C5" w:rsidP="002776C5">
      <w:pPr>
        <w:pStyle w:val="21"/>
        <w:spacing w:line="280" w:lineRule="exact"/>
        <w:ind w:left="850" w:firstLine="486"/>
        <w:jc w:val="right"/>
        <w:rPr>
          <w:rFonts w:hAnsi="標楷體"/>
          <w:sz w:val="24"/>
          <w:szCs w:val="24"/>
        </w:rPr>
      </w:pPr>
      <w:r w:rsidRPr="007B014E">
        <w:rPr>
          <w:rFonts w:hAnsi="標楷體" w:hint="eastAsia"/>
          <w:sz w:val="24"/>
          <w:szCs w:val="24"/>
        </w:rPr>
        <w:t>單位：新臺幣千元</w:t>
      </w:r>
      <w:r w:rsidR="00A07586" w:rsidRPr="007B014E">
        <w:rPr>
          <w:rFonts w:hAnsi="標楷體" w:hint="eastAsia"/>
          <w:sz w:val="24"/>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88"/>
        <w:gridCol w:w="1113"/>
        <w:gridCol w:w="993"/>
        <w:gridCol w:w="652"/>
        <w:gridCol w:w="896"/>
        <w:gridCol w:w="4269"/>
      </w:tblGrid>
      <w:tr w:rsidR="00395F3E" w:rsidRPr="007B014E" w:rsidTr="00F363D6">
        <w:trPr>
          <w:cantSplit/>
          <w:trHeight w:val="247"/>
          <w:tblHeader/>
        </w:trPr>
        <w:tc>
          <w:tcPr>
            <w:tcW w:w="588" w:type="dxa"/>
            <w:tcBorders>
              <w:top w:val="single" w:sz="12" w:space="0" w:color="auto"/>
              <w:left w:val="single" w:sz="12" w:space="0" w:color="auto"/>
              <w:bottom w:val="double" w:sz="4" w:space="0" w:color="auto"/>
              <w:right w:val="single" w:sz="4" w:space="0" w:color="auto"/>
            </w:tcBorders>
            <w:vAlign w:val="center"/>
            <w:hideMark/>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spacing w:val="-10"/>
                <w:sz w:val="24"/>
                <w:szCs w:val="24"/>
              </w:rPr>
            </w:pPr>
            <w:r w:rsidRPr="007B014E">
              <w:rPr>
                <w:rFonts w:hAnsi="標楷體" w:hint="eastAsia"/>
                <w:spacing w:val="-10"/>
                <w:sz w:val="24"/>
                <w:szCs w:val="24"/>
              </w:rPr>
              <w:t>年度</w:t>
            </w:r>
          </w:p>
        </w:tc>
        <w:tc>
          <w:tcPr>
            <w:tcW w:w="1113" w:type="dxa"/>
            <w:tcBorders>
              <w:top w:val="single" w:sz="12" w:space="0" w:color="auto"/>
              <w:left w:val="single" w:sz="4" w:space="0" w:color="auto"/>
              <w:bottom w:val="double" w:sz="4" w:space="0" w:color="auto"/>
              <w:right w:val="single" w:sz="4" w:space="0" w:color="auto"/>
            </w:tcBorders>
            <w:vAlign w:val="center"/>
            <w:hideMark/>
          </w:tcPr>
          <w:p w:rsidR="00395F3E" w:rsidRPr="007B014E" w:rsidRDefault="00395F3E" w:rsidP="00A07586">
            <w:pPr>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預算數</w:t>
            </w:r>
          </w:p>
        </w:tc>
        <w:tc>
          <w:tcPr>
            <w:tcW w:w="993" w:type="dxa"/>
            <w:tcBorders>
              <w:top w:val="single" w:sz="12" w:space="0" w:color="auto"/>
              <w:left w:val="single" w:sz="4" w:space="0" w:color="auto"/>
              <w:bottom w:val="double" w:sz="4" w:space="0" w:color="auto"/>
              <w:right w:val="single" w:sz="4" w:space="0" w:color="auto"/>
            </w:tcBorders>
            <w:vAlign w:val="center"/>
            <w:hideMark/>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spacing w:val="-10"/>
                <w:sz w:val="24"/>
                <w:szCs w:val="24"/>
              </w:rPr>
            </w:pPr>
            <w:r w:rsidRPr="007B014E">
              <w:rPr>
                <w:rFonts w:hAnsi="標楷體" w:hint="eastAsia"/>
                <w:spacing w:val="-10"/>
                <w:sz w:val="24"/>
                <w:szCs w:val="24"/>
              </w:rPr>
              <w:t>決算數/</w:t>
            </w:r>
          </w:p>
          <w:p w:rsidR="00395F3E" w:rsidRPr="007B014E" w:rsidRDefault="00395F3E" w:rsidP="00A07586">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執行數</w:t>
            </w:r>
          </w:p>
        </w:tc>
        <w:tc>
          <w:tcPr>
            <w:tcW w:w="652" w:type="dxa"/>
            <w:tcBorders>
              <w:top w:val="single" w:sz="12" w:space="0" w:color="auto"/>
              <w:left w:val="single" w:sz="4" w:space="0" w:color="auto"/>
              <w:bottom w:val="double" w:sz="4" w:space="0" w:color="auto"/>
              <w:right w:val="single" w:sz="4" w:space="0" w:color="auto"/>
            </w:tcBorders>
            <w:vAlign w:val="center"/>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執行率</w:t>
            </w:r>
          </w:p>
        </w:tc>
        <w:tc>
          <w:tcPr>
            <w:tcW w:w="5165" w:type="dxa"/>
            <w:gridSpan w:val="2"/>
            <w:tcBorders>
              <w:top w:val="single" w:sz="12" w:space="0" w:color="auto"/>
              <w:left w:val="single" w:sz="4" w:space="0" w:color="auto"/>
              <w:bottom w:val="double" w:sz="4" w:space="0" w:color="auto"/>
              <w:right w:val="single" w:sz="12" w:space="0" w:color="auto"/>
            </w:tcBorders>
            <w:vAlign w:val="center"/>
          </w:tcPr>
          <w:p w:rsidR="00395F3E" w:rsidRPr="007B014E" w:rsidRDefault="00395F3E" w:rsidP="00395F3E">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115年度因應新制預估所需經費及說明</w:t>
            </w:r>
          </w:p>
        </w:tc>
      </w:tr>
      <w:tr w:rsidR="00F363D6" w:rsidRPr="007B014E" w:rsidTr="00F363D6">
        <w:trPr>
          <w:cantSplit/>
          <w:trHeight w:val="266"/>
        </w:trPr>
        <w:tc>
          <w:tcPr>
            <w:tcW w:w="588" w:type="dxa"/>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111</w:t>
            </w:r>
          </w:p>
        </w:tc>
        <w:tc>
          <w:tcPr>
            <w:tcW w:w="1113"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250,933</w:t>
            </w:r>
          </w:p>
        </w:tc>
        <w:tc>
          <w:tcPr>
            <w:tcW w:w="993"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250,657</w:t>
            </w:r>
          </w:p>
        </w:tc>
        <w:tc>
          <w:tcPr>
            <w:tcW w:w="652"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99.89</w:t>
            </w:r>
          </w:p>
        </w:tc>
        <w:tc>
          <w:tcPr>
            <w:tcW w:w="5165" w:type="dxa"/>
            <w:gridSpan w:val="2"/>
            <w:vMerge w:val="restart"/>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w:t>
            </w: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112</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217,220</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216,944</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99.87</w:t>
            </w:r>
          </w:p>
        </w:tc>
        <w:tc>
          <w:tcPr>
            <w:tcW w:w="5165" w:type="dxa"/>
            <w:gridSpan w:val="2"/>
            <w:vMerge/>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113</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324,516</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323,996</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99.84</w:t>
            </w:r>
          </w:p>
        </w:tc>
        <w:tc>
          <w:tcPr>
            <w:tcW w:w="5165" w:type="dxa"/>
            <w:gridSpan w:val="2"/>
            <w:vMerge/>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114</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332,926</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206,980</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62.17</w:t>
            </w:r>
          </w:p>
        </w:tc>
        <w:tc>
          <w:tcPr>
            <w:tcW w:w="5165" w:type="dxa"/>
            <w:gridSpan w:val="2"/>
            <w:vMerge/>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1066"/>
        </w:trPr>
        <w:tc>
          <w:tcPr>
            <w:tcW w:w="588"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115</w:t>
            </w:r>
          </w:p>
        </w:tc>
        <w:tc>
          <w:tcPr>
            <w:tcW w:w="1113"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364,484</w:t>
            </w:r>
          </w:p>
        </w:tc>
        <w:tc>
          <w:tcPr>
            <w:tcW w:w="1645" w:type="dxa"/>
            <w:gridSpan w:val="2"/>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bCs/>
                <w:spacing w:val="-10"/>
                <w:sz w:val="24"/>
                <w:szCs w:val="24"/>
              </w:rPr>
            </w:pPr>
            <w:r w:rsidRPr="007B014E">
              <w:rPr>
                <w:rFonts w:hAnsi="標楷體" w:hint="eastAsia"/>
                <w:bCs/>
                <w:spacing w:val="-10"/>
                <w:sz w:val="24"/>
                <w:szCs w:val="24"/>
              </w:rPr>
              <w:t>-</w:t>
            </w:r>
          </w:p>
        </w:tc>
        <w:tc>
          <w:tcPr>
            <w:tcW w:w="896" w:type="dxa"/>
            <w:tcBorders>
              <w:bottom w:val="single" w:sz="12" w:space="0" w:color="auto"/>
            </w:tcBorders>
            <w:vAlign w:val="center"/>
          </w:tcPr>
          <w:p w:rsidR="00F363D6" w:rsidRPr="007B014E" w:rsidRDefault="006764B1" w:rsidP="00F363D6">
            <w:pPr>
              <w:spacing w:line="400" w:lineRule="exact"/>
              <w:ind w:leftChars="-25" w:left="-71" w:rightChars="-25" w:right="-71" w:firstLineChars="0" w:firstLine="0"/>
              <w:jc w:val="right"/>
              <w:rPr>
                <w:rFonts w:hAnsi="標楷體" w:hint="eastAsia"/>
                <w:spacing w:val="-10"/>
                <w:sz w:val="24"/>
                <w:szCs w:val="24"/>
              </w:rPr>
            </w:pPr>
            <w:r>
              <w:rPr>
                <w:rFonts w:hAnsi="標楷體" w:hint="eastAsia"/>
                <w:spacing w:val="-10"/>
                <w:sz w:val="24"/>
                <w:szCs w:val="24"/>
              </w:rPr>
              <w:t>501</w:t>
            </w:r>
            <w:r w:rsidR="00F363D6" w:rsidRPr="007B014E">
              <w:rPr>
                <w:rFonts w:hAnsi="標楷體" w:hint="eastAsia"/>
                <w:spacing w:val="-10"/>
                <w:sz w:val="24"/>
                <w:szCs w:val="24"/>
              </w:rPr>
              <w:t>,200</w:t>
            </w:r>
          </w:p>
        </w:tc>
        <w:tc>
          <w:tcPr>
            <w:tcW w:w="4269"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1.考照制度，預估需增加</w:t>
            </w:r>
            <w:r w:rsidR="006764B1">
              <w:rPr>
                <w:rFonts w:hAnsi="標楷體" w:hint="eastAsia"/>
                <w:spacing w:val="-10"/>
                <w:sz w:val="24"/>
                <w:szCs w:val="24"/>
              </w:rPr>
              <w:t>2</w:t>
            </w:r>
            <w:r w:rsidRPr="007B014E">
              <w:rPr>
                <w:rFonts w:hAnsi="標楷體" w:hint="eastAsia"/>
                <w:spacing w:val="-10"/>
                <w:sz w:val="24"/>
                <w:szCs w:val="24"/>
              </w:rPr>
              <w:t>億</w:t>
            </w:r>
            <w:r w:rsidR="006764B1">
              <w:rPr>
                <w:rFonts w:hAnsi="標楷體" w:hint="eastAsia"/>
                <w:spacing w:val="-10"/>
                <w:sz w:val="24"/>
                <w:szCs w:val="24"/>
              </w:rPr>
              <w:t>4</w:t>
            </w:r>
            <w:r w:rsidRPr="007B014E">
              <w:rPr>
                <w:rFonts w:hAnsi="標楷體" w:hint="eastAsia"/>
                <w:spacing w:val="-10"/>
                <w:sz w:val="24"/>
                <w:szCs w:val="24"/>
              </w:rPr>
              <w:t>,</w:t>
            </w:r>
            <w:r w:rsidR="006764B1">
              <w:rPr>
                <w:rFonts w:hAnsi="標楷體" w:hint="eastAsia"/>
                <w:spacing w:val="-10"/>
                <w:sz w:val="24"/>
                <w:szCs w:val="24"/>
              </w:rPr>
              <w:t>8</w:t>
            </w:r>
            <w:r w:rsidRPr="007B014E">
              <w:rPr>
                <w:rFonts w:hAnsi="標楷體" w:hint="eastAsia"/>
                <w:spacing w:val="-10"/>
                <w:sz w:val="24"/>
                <w:szCs w:val="24"/>
              </w:rPr>
              <w:t>60萬元。</w:t>
            </w:r>
          </w:p>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2.回訓制度，預估需增加780萬元。</w:t>
            </w:r>
          </w:p>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3.換照制度，預估需增加2億4,480萬元。</w:t>
            </w:r>
          </w:p>
        </w:tc>
      </w:tr>
    </w:tbl>
    <w:bookmarkEnd w:id="11"/>
    <w:p w:rsidR="00A07586" w:rsidRPr="007B014E" w:rsidRDefault="00A07586" w:rsidP="00A07586">
      <w:pPr>
        <w:snapToGrid w:val="0"/>
        <w:spacing w:line="280" w:lineRule="exact"/>
        <w:ind w:leftChars="0" w:left="1216" w:hangingChars="500" w:hanging="1216"/>
        <w:rPr>
          <w:rFonts w:hint="eastAsia"/>
          <w:snapToGrid/>
          <w:sz w:val="24"/>
          <w:szCs w:val="24"/>
        </w:rPr>
      </w:pPr>
      <w:r w:rsidRPr="007B014E">
        <w:rPr>
          <w:rFonts w:hint="eastAsia"/>
          <w:snapToGrid/>
          <w:kern w:val="0"/>
          <w:sz w:val="24"/>
          <w:szCs w:val="24"/>
        </w:rPr>
        <w:t>說</w:t>
      </w:r>
      <w:r w:rsidRPr="007B014E">
        <w:rPr>
          <w:rStyle w:val="201"/>
          <w:rFonts w:hint="eastAsia"/>
          <w:szCs w:val="24"/>
        </w:rPr>
        <w:t xml:space="preserve">　　</w:t>
      </w:r>
      <w:r w:rsidRPr="007B014E">
        <w:rPr>
          <w:rFonts w:hint="eastAsia"/>
          <w:snapToGrid/>
          <w:kern w:val="0"/>
          <w:sz w:val="24"/>
          <w:szCs w:val="24"/>
        </w:rPr>
        <w:t>明：114年度執行數係1至8月累計執行數</w:t>
      </w:r>
      <w:r w:rsidR="003330CB" w:rsidRPr="007B014E">
        <w:rPr>
          <w:rFonts w:hAnsi="標楷體" w:hint="eastAsia"/>
          <w:snapToGrid/>
          <w:kern w:val="0"/>
          <w:sz w:val="24"/>
          <w:szCs w:val="24"/>
        </w:rPr>
        <w:t>；</w:t>
      </w:r>
      <w:r w:rsidR="003330CB" w:rsidRPr="007B014E">
        <w:rPr>
          <w:rFonts w:hint="eastAsia"/>
          <w:snapToGrid/>
          <w:kern w:val="0"/>
          <w:sz w:val="24"/>
          <w:szCs w:val="24"/>
        </w:rPr>
        <w:t>115年度為預算案數</w:t>
      </w:r>
      <w:r w:rsidRPr="007B014E">
        <w:rPr>
          <w:rFonts w:hint="eastAsia"/>
          <w:snapToGrid/>
          <w:kern w:val="0"/>
          <w:sz w:val="24"/>
          <w:szCs w:val="24"/>
        </w:rPr>
        <w:t>。</w:t>
      </w:r>
    </w:p>
    <w:bookmarkEnd w:id="12"/>
    <w:p w:rsidR="002776C5" w:rsidRPr="007B014E" w:rsidRDefault="00A07586" w:rsidP="00A07586">
      <w:pPr>
        <w:snapToGrid w:val="0"/>
        <w:spacing w:line="280" w:lineRule="exact"/>
        <w:ind w:leftChars="0" w:left="1160" w:hangingChars="477" w:hanging="1160"/>
        <w:rPr>
          <w:rFonts w:hAnsi="標楷體" w:hint="eastAsia"/>
        </w:rPr>
      </w:pPr>
      <w:r w:rsidRPr="007B014E">
        <w:rPr>
          <w:rFonts w:hint="eastAsia"/>
          <w:snapToGrid/>
          <w:kern w:val="0"/>
          <w:sz w:val="24"/>
          <w:szCs w:val="24"/>
        </w:rPr>
        <w:t>資料來源：公路局提供之資料；本中心整理。</w:t>
      </w:r>
    </w:p>
    <w:p w:rsidR="00523729" w:rsidRPr="007B014E" w:rsidRDefault="006A15FC" w:rsidP="00523729">
      <w:pPr>
        <w:ind w:left="849" w:hangingChars="100" w:hanging="283"/>
        <w:outlineLvl w:val="1"/>
        <w:rPr>
          <w:rFonts w:hAnsi="標楷體"/>
          <w:b/>
        </w:rPr>
      </w:pPr>
      <w:bookmarkStart w:id="14" w:name="_Hlk211663735"/>
      <w:bookmarkStart w:id="15" w:name="_Hlk211663755"/>
      <w:r w:rsidRPr="007B014E">
        <w:rPr>
          <w:rFonts w:hint="eastAsia"/>
          <w:b/>
        </w:rPr>
        <w:t>(三)</w:t>
      </w:r>
      <w:r w:rsidR="009C3399" w:rsidRPr="007B014E">
        <w:rPr>
          <w:rFonts w:hAnsi="標楷體" w:hint="eastAsia"/>
          <w:b/>
        </w:rPr>
        <w:t>允宜於高齡者移動權益及整體交通安全間取得平衡</w:t>
      </w:r>
      <w:r w:rsidR="00D07E2E" w:rsidRPr="007B014E">
        <w:rPr>
          <w:rFonts w:ascii="新細明體" w:eastAsia="新細明體" w:hAnsi="新細明體" w:hint="eastAsia"/>
          <w:b/>
        </w:rPr>
        <w:t>，</w:t>
      </w:r>
      <w:r w:rsidR="00523729" w:rsidRPr="007B014E">
        <w:rPr>
          <w:rFonts w:hAnsi="標楷體" w:hint="eastAsia"/>
          <w:b/>
        </w:rPr>
        <w:t>完善友善之公共運輸環境</w:t>
      </w:r>
    </w:p>
    <w:p w:rsidR="009A6599" w:rsidRPr="007B014E" w:rsidRDefault="00DC7AC9" w:rsidP="00523729">
      <w:pPr>
        <w:pStyle w:val="21"/>
        <w:ind w:left="850" w:firstLine="566"/>
        <w:rPr>
          <w:rStyle w:val="201"/>
          <w:sz w:val="28"/>
        </w:rPr>
      </w:pPr>
      <w:r w:rsidRPr="007B014E">
        <w:rPr>
          <w:rStyle w:val="201"/>
          <w:rFonts w:hint="eastAsia"/>
          <w:sz w:val="28"/>
        </w:rPr>
        <w:t>據公路局統計資料顯示</w:t>
      </w:r>
      <w:r w:rsidRPr="007B014E">
        <w:rPr>
          <w:rStyle w:val="201"/>
          <w:rFonts w:ascii="新細明體" w:eastAsia="新細明體" w:hAnsi="新細明體" w:hint="eastAsia"/>
          <w:sz w:val="28"/>
        </w:rPr>
        <w:t>，</w:t>
      </w:r>
      <w:bookmarkStart w:id="16" w:name="_Hlk211945810"/>
      <w:r w:rsidRPr="007B014E">
        <w:rPr>
          <w:rStyle w:val="201"/>
          <w:rFonts w:hint="eastAsia"/>
          <w:sz w:val="28"/>
        </w:rPr>
        <w:t>115年度推行之</w:t>
      </w:r>
      <w:r w:rsidR="00E120D7" w:rsidRPr="007B014E">
        <w:rPr>
          <w:rStyle w:val="201"/>
          <w:sz w:val="28"/>
        </w:rPr>
        <w:t>換照</w:t>
      </w:r>
      <w:r w:rsidRPr="007B014E">
        <w:rPr>
          <w:rStyle w:val="201"/>
          <w:rFonts w:hint="eastAsia"/>
          <w:sz w:val="28"/>
        </w:rPr>
        <w:t>新制度</w:t>
      </w:r>
      <w:bookmarkEnd w:id="16"/>
      <w:r w:rsidR="00E120D7" w:rsidRPr="007B014E">
        <w:rPr>
          <w:rStyle w:val="201"/>
          <w:rFonts w:hint="eastAsia"/>
          <w:sz w:val="28"/>
        </w:rPr>
        <w:t>中</w:t>
      </w:r>
      <w:r w:rsidR="00E120D7" w:rsidRPr="007B014E">
        <w:rPr>
          <w:rStyle w:val="201"/>
          <w:rFonts w:ascii="新細明體" w:eastAsia="新細明體" w:hAnsi="新細明體" w:hint="eastAsia"/>
          <w:sz w:val="28"/>
        </w:rPr>
        <w:t>，</w:t>
      </w:r>
      <w:r w:rsidRPr="007B014E">
        <w:rPr>
          <w:rStyle w:val="201"/>
          <w:rFonts w:hint="eastAsia"/>
          <w:sz w:val="28"/>
        </w:rPr>
        <w:t>70至75歲首年需通知換照人數</w:t>
      </w:r>
      <w:r w:rsidR="00E120D7" w:rsidRPr="007B014E">
        <w:rPr>
          <w:rStyle w:val="201"/>
          <w:rFonts w:hint="eastAsia"/>
          <w:sz w:val="28"/>
        </w:rPr>
        <w:t>達</w:t>
      </w:r>
      <w:r w:rsidRPr="007B014E">
        <w:rPr>
          <w:rStyle w:val="201"/>
          <w:sz w:val="28"/>
        </w:rPr>
        <w:t>128.8</w:t>
      </w:r>
      <w:r w:rsidRPr="007B014E">
        <w:rPr>
          <w:rStyle w:val="201"/>
          <w:rFonts w:hint="eastAsia"/>
          <w:sz w:val="28"/>
        </w:rPr>
        <w:t>萬人</w:t>
      </w:r>
      <w:r w:rsidRPr="007B014E">
        <w:rPr>
          <w:rStyle w:val="201"/>
          <w:rFonts w:ascii="新細明體" w:eastAsia="新細明體" w:hAnsi="新細明體" w:hint="eastAsia"/>
          <w:sz w:val="28"/>
        </w:rPr>
        <w:t>，</w:t>
      </w:r>
      <w:r w:rsidRPr="007B014E">
        <w:rPr>
          <w:rStyle w:val="201"/>
          <w:rFonts w:hint="eastAsia"/>
          <w:sz w:val="28"/>
        </w:rPr>
        <w:t>依歷年換照率推估換照人數</w:t>
      </w:r>
      <w:r w:rsidR="00E120D7" w:rsidRPr="007B014E">
        <w:rPr>
          <w:rStyle w:val="201"/>
          <w:rFonts w:hint="eastAsia"/>
          <w:sz w:val="28"/>
        </w:rPr>
        <w:t>約</w:t>
      </w:r>
      <w:r w:rsidRPr="007B014E">
        <w:rPr>
          <w:rStyle w:val="201"/>
          <w:rFonts w:hint="eastAsia"/>
          <w:sz w:val="28"/>
        </w:rPr>
        <w:t>為</w:t>
      </w:r>
      <w:r w:rsidRPr="007B014E">
        <w:rPr>
          <w:rStyle w:val="201"/>
          <w:sz w:val="28"/>
        </w:rPr>
        <w:t>56.9</w:t>
      </w:r>
      <w:r w:rsidRPr="007B014E">
        <w:rPr>
          <w:rStyle w:val="201"/>
          <w:rFonts w:hint="eastAsia"/>
          <w:sz w:val="28"/>
        </w:rPr>
        <w:t>萬人(詳表4)</w:t>
      </w:r>
      <w:r w:rsidRPr="007B014E">
        <w:rPr>
          <w:rStyle w:val="201"/>
          <w:rFonts w:ascii="新細明體" w:eastAsia="新細明體" w:hAnsi="新細明體" w:hint="eastAsia"/>
          <w:sz w:val="28"/>
        </w:rPr>
        <w:t>，</w:t>
      </w:r>
      <w:r w:rsidRPr="007B014E">
        <w:rPr>
          <w:rStyle w:val="201"/>
          <w:rFonts w:hint="eastAsia"/>
          <w:sz w:val="28"/>
        </w:rPr>
        <w:t>惟</w:t>
      </w:r>
      <w:r w:rsidR="009A6599" w:rsidRPr="007B014E">
        <w:rPr>
          <w:rStyle w:val="201"/>
          <w:rFonts w:hint="eastAsia"/>
          <w:sz w:val="28"/>
        </w:rPr>
        <w:t>為滿足高齡者外出行</w:t>
      </w:r>
      <w:r w:rsidR="00E120D7" w:rsidRPr="007B014E">
        <w:rPr>
          <w:rStyle w:val="201"/>
          <w:rFonts w:hint="eastAsia"/>
          <w:sz w:val="28"/>
        </w:rPr>
        <w:t>之</w:t>
      </w:r>
      <w:r w:rsidR="009A6599" w:rsidRPr="007B014E">
        <w:rPr>
          <w:rStyle w:val="201"/>
          <w:rFonts w:hint="eastAsia"/>
          <w:sz w:val="28"/>
        </w:rPr>
        <w:t>需求及減輕交通支出負擔，針對70歲以上繳回駕照之高齡者，將提供補助TPASS乘車優惠回饋（包括計程車）</w:t>
      </w:r>
      <w:r w:rsidR="00E120D7" w:rsidRPr="007B014E">
        <w:rPr>
          <w:rStyle w:val="201"/>
          <w:rFonts w:hAnsi="標楷體" w:hint="eastAsia"/>
          <w:sz w:val="28"/>
        </w:rPr>
        <w:t>；</w:t>
      </w:r>
      <w:r w:rsidR="00E120D7" w:rsidRPr="007B014E">
        <w:rPr>
          <w:rStyle w:val="201"/>
          <w:rFonts w:hint="eastAsia"/>
          <w:sz w:val="28"/>
        </w:rPr>
        <w:t>另</w:t>
      </w:r>
      <w:r w:rsidR="009A6599" w:rsidRPr="007B014E">
        <w:rPr>
          <w:rStyle w:val="201"/>
          <w:rFonts w:hint="eastAsia"/>
          <w:sz w:val="28"/>
        </w:rPr>
        <w:t>持續透過公運計畫經費，協助及輔導地方政府完善公共運輸路網，與提升偏鄉公共運輸服務，</w:t>
      </w:r>
      <w:r w:rsidR="00F76F9D" w:rsidRPr="007B014E">
        <w:rPr>
          <w:rStyle w:val="201"/>
          <w:rFonts w:hint="eastAsia"/>
          <w:sz w:val="28"/>
        </w:rPr>
        <w:t>爰</w:t>
      </w:r>
      <w:r w:rsidRPr="007B014E">
        <w:rPr>
          <w:rStyle w:val="201"/>
          <w:rFonts w:hint="eastAsia"/>
          <w:sz w:val="28"/>
        </w:rPr>
        <w:t>允宜於高齡者移動權益及整體交通安全間取得平衡，提供更友善</w:t>
      </w:r>
      <w:r w:rsidR="00F76F9D" w:rsidRPr="007B014E">
        <w:rPr>
          <w:rStyle w:val="201"/>
          <w:rFonts w:hint="eastAsia"/>
          <w:sz w:val="28"/>
        </w:rPr>
        <w:t>之</w:t>
      </w:r>
      <w:r w:rsidRPr="007B014E">
        <w:rPr>
          <w:rStyle w:val="201"/>
          <w:rFonts w:hint="eastAsia"/>
          <w:sz w:val="28"/>
        </w:rPr>
        <w:t>公共運輸使用環境</w:t>
      </w:r>
      <w:r w:rsidRPr="007B014E">
        <w:rPr>
          <w:rStyle w:val="201"/>
          <w:rFonts w:hAnsi="標楷體" w:hint="eastAsia"/>
          <w:sz w:val="28"/>
        </w:rPr>
        <w:t>。</w:t>
      </w:r>
    </w:p>
    <w:p w:rsidR="00784046" w:rsidRPr="007B014E" w:rsidRDefault="00784046" w:rsidP="00860272">
      <w:pPr>
        <w:pStyle w:val="200"/>
        <w:ind w:left="780" w:hangingChars="275" w:hanging="780"/>
        <w:rPr>
          <w:rStyle w:val="201"/>
          <w:rFonts w:hint="eastAsia"/>
          <w:snapToGrid w:val="0"/>
          <w:szCs w:val="24"/>
        </w:rPr>
      </w:pPr>
      <w:bookmarkStart w:id="17" w:name="_Hlk211819576"/>
      <w:r w:rsidRPr="007B014E">
        <w:rPr>
          <w:rStyle w:val="201"/>
          <w:rFonts w:hint="eastAsia"/>
          <w:b/>
          <w:bCs/>
          <w:sz w:val="28"/>
        </w:rPr>
        <w:t>表</w:t>
      </w:r>
      <w:r w:rsidR="00DC7AC9" w:rsidRPr="007B014E">
        <w:rPr>
          <w:rStyle w:val="201"/>
          <w:rFonts w:hint="eastAsia"/>
          <w:b/>
          <w:bCs/>
          <w:sz w:val="28"/>
        </w:rPr>
        <w:t>4</w:t>
      </w:r>
      <w:r w:rsidRPr="007B014E">
        <w:rPr>
          <w:rStyle w:val="201"/>
          <w:rFonts w:hint="eastAsia"/>
          <w:b/>
          <w:bCs/>
          <w:snapToGrid w:val="0"/>
          <w:sz w:val="28"/>
        </w:rPr>
        <w:t xml:space="preserve">　</w:t>
      </w:r>
      <w:r w:rsidR="00860272" w:rsidRPr="007B014E">
        <w:rPr>
          <w:rStyle w:val="201"/>
          <w:rFonts w:hint="eastAsia"/>
          <w:b/>
          <w:bCs/>
          <w:snapToGrid w:val="0"/>
          <w:sz w:val="28"/>
        </w:rPr>
        <w:t>公路局115年度預計推行換照新制度-</w:t>
      </w:r>
      <w:r w:rsidRPr="007B014E">
        <w:rPr>
          <w:rStyle w:val="201"/>
          <w:rFonts w:hint="eastAsia"/>
          <w:b/>
          <w:bCs/>
          <w:snapToGrid w:val="0"/>
          <w:sz w:val="28"/>
        </w:rPr>
        <w:t>70至75歲首年換照人數預估統計表</w:t>
      </w:r>
      <w:r w:rsidR="00860272" w:rsidRPr="007B014E">
        <w:rPr>
          <w:rStyle w:val="201"/>
          <w:rFonts w:hint="eastAsia"/>
          <w:snapToGrid w:val="0"/>
          <w:szCs w:val="24"/>
        </w:rPr>
        <w:t xml:space="preserve">　　　　　　　　　　　　　　　　　　　　　</w:t>
      </w:r>
      <w:r w:rsidR="00860272" w:rsidRPr="007B014E">
        <w:rPr>
          <w:rStyle w:val="201"/>
          <w:rFonts w:hint="eastAsia"/>
          <w:snapToGrid w:val="0"/>
          <w:sz w:val="18"/>
          <w:szCs w:val="18"/>
        </w:rPr>
        <w:t xml:space="preserve">　</w:t>
      </w:r>
      <w:r w:rsidRPr="007B014E">
        <w:rPr>
          <w:rStyle w:val="201"/>
          <w:rFonts w:hint="eastAsia"/>
          <w:snapToGrid w:val="0"/>
          <w:szCs w:val="24"/>
        </w:rPr>
        <w:t>單位</w:t>
      </w:r>
      <w:r w:rsidRPr="007B014E">
        <w:rPr>
          <w:rStyle w:val="201"/>
          <w:rFonts w:hAnsi="標楷體" w:hint="eastAsia"/>
          <w:snapToGrid w:val="0"/>
          <w:szCs w:val="24"/>
        </w:rPr>
        <w:t>：</w:t>
      </w:r>
      <w:r w:rsidRPr="007B014E">
        <w:rPr>
          <w:rStyle w:val="201"/>
          <w:rFonts w:hint="eastAsia"/>
          <w:snapToGrid w:val="0"/>
          <w:szCs w:val="24"/>
        </w:rPr>
        <w:t>萬人</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41"/>
        <w:gridCol w:w="926"/>
        <w:gridCol w:w="926"/>
        <w:gridCol w:w="927"/>
        <w:gridCol w:w="926"/>
        <w:gridCol w:w="927"/>
        <w:gridCol w:w="926"/>
        <w:gridCol w:w="840"/>
      </w:tblGrid>
      <w:tr w:rsidR="00784046" w:rsidRPr="007B014E" w:rsidTr="002167B5">
        <w:tc>
          <w:tcPr>
            <w:tcW w:w="2141"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年紀</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70歲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71歲</w:t>
            </w:r>
          </w:p>
        </w:tc>
        <w:tc>
          <w:tcPr>
            <w:tcW w:w="927"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72歲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73歲</w:t>
            </w:r>
          </w:p>
        </w:tc>
        <w:tc>
          <w:tcPr>
            <w:tcW w:w="927"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74歲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75歲</w:t>
            </w:r>
          </w:p>
        </w:tc>
        <w:tc>
          <w:tcPr>
            <w:tcW w:w="840" w:type="dxa"/>
            <w:tcBorders>
              <w:top w:val="single" w:sz="12" w:space="0" w:color="auto"/>
              <w:bottom w:val="double" w:sz="4" w:space="0" w:color="auto"/>
            </w:tcBorders>
            <w:shd w:val="clear" w:color="auto" w:fill="auto"/>
          </w:tcPr>
          <w:p w:rsidR="00784046" w:rsidRPr="007B014E" w:rsidRDefault="00D601F0" w:rsidP="00BE0F4B">
            <w:pPr>
              <w:pStyle w:val="200"/>
              <w:jc w:val="center"/>
              <w:rPr>
                <w:rStyle w:val="201"/>
                <w:rFonts w:hint="eastAsia"/>
                <w:b/>
                <w:bCs/>
                <w:snapToGrid w:val="0"/>
                <w:szCs w:val="24"/>
              </w:rPr>
            </w:pPr>
            <w:r w:rsidRPr="007B014E">
              <w:rPr>
                <w:rStyle w:val="201"/>
                <w:rFonts w:hint="eastAsia"/>
                <w:b/>
                <w:bCs/>
                <w:snapToGrid w:val="0"/>
                <w:szCs w:val="24"/>
              </w:rPr>
              <w:t>合</w:t>
            </w:r>
            <w:r w:rsidR="00784046" w:rsidRPr="007B014E">
              <w:rPr>
                <w:rStyle w:val="201"/>
                <w:rFonts w:hint="eastAsia"/>
                <w:b/>
                <w:bCs/>
                <w:snapToGrid w:val="0"/>
                <w:szCs w:val="24"/>
              </w:rPr>
              <w:t>計</w:t>
            </w:r>
          </w:p>
        </w:tc>
      </w:tr>
      <w:tr w:rsidR="00784046" w:rsidRPr="007B014E" w:rsidTr="002167B5">
        <w:tc>
          <w:tcPr>
            <w:tcW w:w="2141" w:type="dxa"/>
            <w:tcBorders>
              <w:top w:val="double" w:sz="4" w:space="0" w:color="auto"/>
            </w:tcBorders>
            <w:shd w:val="clear" w:color="auto" w:fill="auto"/>
          </w:tcPr>
          <w:p w:rsidR="00784046" w:rsidRPr="007B014E" w:rsidRDefault="00784046" w:rsidP="00784046">
            <w:pPr>
              <w:pStyle w:val="200"/>
              <w:rPr>
                <w:rStyle w:val="201"/>
                <w:rFonts w:hint="eastAsia"/>
                <w:snapToGrid w:val="0"/>
                <w:szCs w:val="24"/>
              </w:rPr>
            </w:pPr>
            <w:bookmarkStart w:id="18" w:name="_Hlk211663549"/>
            <w:r w:rsidRPr="007B014E">
              <w:rPr>
                <w:rStyle w:val="201"/>
                <w:rFonts w:hint="eastAsia"/>
                <w:snapToGrid w:val="0"/>
                <w:szCs w:val="24"/>
              </w:rPr>
              <w:t>需通知換照人數</w:t>
            </w:r>
            <w:bookmarkEnd w:id="18"/>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25</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23.8</w:t>
            </w:r>
          </w:p>
        </w:tc>
        <w:tc>
          <w:tcPr>
            <w:tcW w:w="927"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21.7</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20.3</w:t>
            </w:r>
          </w:p>
        </w:tc>
        <w:tc>
          <w:tcPr>
            <w:tcW w:w="927"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19.2</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18.8</w:t>
            </w:r>
          </w:p>
        </w:tc>
        <w:tc>
          <w:tcPr>
            <w:tcW w:w="840" w:type="dxa"/>
            <w:tcBorders>
              <w:top w:val="double" w:sz="4" w:space="0" w:color="auto"/>
            </w:tcBorders>
            <w:shd w:val="clear" w:color="auto" w:fill="auto"/>
          </w:tcPr>
          <w:p w:rsidR="00784046" w:rsidRPr="007B014E" w:rsidRDefault="00784046" w:rsidP="00BE0F4B">
            <w:pPr>
              <w:pStyle w:val="200"/>
              <w:jc w:val="right"/>
              <w:rPr>
                <w:rStyle w:val="201"/>
                <w:rFonts w:hint="eastAsia"/>
                <w:b/>
                <w:bCs/>
                <w:snapToGrid w:val="0"/>
                <w:szCs w:val="24"/>
              </w:rPr>
            </w:pPr>
            <w:r w:rsidRPr="007B014E">
              <w:rPr>
                <w:rStyle w:val="201"/>
                <w:rFonts w:hint="eastAsia"/>
                <w:b/>
                <w:bCs/>
                <w:snapToGrid w:val="0"/>
                <w:szCs w:val="24"/>
              </w:rPr>
              <w:t>128.8</w:t>
            </w:r>
          </w:p>
        </w:tc>
      </w:tr>
      <w:tr w:rsidR="00784046" w:rsidRPr="007B014E" w:rsidTr="002167B5">
        <w:tc>
          <w:tcPr>
            <w:tcW w:w="2141" w:type="dxa"/>
            <w:shd w:val="clear" w:color="auto" w:fill="auto"/>
          </w:tcPr>
          <w:p w:rsidR="00784046" w:rsidRPr="007B014E" w:rsidRDefault="00784046" w:rsidP="00784046">
            <w:pPr>
              <w:pStyle w:val="200"/>
              <w:rPr>
                <w:rStyle w:val="201"/>
                <w:rFonts w:hint="eastAsia"/>
                <w:snapToGrid w:val="0"/>
                <w:szCs w:val="24"/>
              </w:rPr>
            </w:pPr>
            <w:r w:rsidRPr="007B014E">
              <w:rPr>
                <w:rStyle w:val="201"/>
                <w:rFonts w:hint="eastAsia"/>
                <w:snapToGrid w:val="0"/>
                <w:szCs w:val="24"/>
              </w:rPr>
              <w:t>預估換照人數</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11</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10.5</w:t>
            </w:r>
          </w:p>
        </w:tc>
        <w:tc>
          <w:tcPr>
            <w:tcW w:w="927"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9.6</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9</w:t>
            </w:r>
          </w:p>
        </w:tc>
        <w:tc>
          <w:tcPr>
            <w:tcW w:w="927"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8.5</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8.3</w:t>
            </w:r>
          </w:p>
        </w:tc>
        <w:tc>
          <w:tcPr>
            <w:tcW w:w="840" w:type="dxa"/>
            <w:shd w:val="clear" w:color="auto" w:fill="auto"/>
          </w:tcPr>
          <w:p w:rsidR="00784046" w:rsidRPr="007B014E" w:rsidRDefault="007E6155" w:rsidP="00BE0F4B">
            <w:pPr>
              <w:pStyle w:val="200"/>
              <w:jc w:val="right"/>
              <w:rPr>
                <w:rStyle w:val="201"/>
                <w:rFonts w:hint="eastAsia"/>
                <w:b/>
                <w:bCs/>
                <w:snapToGrid w:val="0"/>
                <w:szCs w:val="24"/>
              </w:rPr>
            </w:pPr>
            <w:r w:rsidRPr="007B014E">
              <w:rPr>
                <w:rStyle w:val="201"/>
                <w:rFonts w:hint="eastAsia"/>
                <w:b/>
                <w:bCs/>
                <w:snapToGrid w:val="0"/>
                <w:szCs w:val="24"/>
              </w:rPr>
              <w:t>56.9</w:t>
            </w:r>
          </w:p>
        </w:tc>
      </w:tr>
    </w:tbl>
    <w:p w:rsidR="009E110B" w:rsidRPr="007B014E" w:rsidRDefault="009E110B" w:rsidP="007E6155">
      <w:pPr>
        <w:snapToGrid w:val="0"/>
        <w:spacing w:line="280" w:lineRule="exact"/>
        <w:ind w:leftChars="0" w:left="1160" w:hangingChars="477" w:hanging="1160"/>
        <w:rPr>
          <w:color w:val="000000"/>
          <w:sz w:val="24"/>
        </w:rPr>
      </w:pPr>
      <w:r w:rsidRPr="007B014E">
        <w:rPr>
          <w:rFonts w:hint="eastAsia"/>
          <w:color w:val="000000"/>
          <w:sz w:val="24"/>
        </w:rPr>
        <w:t>說</w:t>
      </w:r>
      <w:r w:rsidRPr="007B014E">
        <w:rPr>
          <w:rFonts w:hint="eastAsia"/>
          <w:sz w:val="24"/>
          <w:szCs w:val="24"/>
        </w:rPr>
        <w:t xml:space="preserve">　　</w:t>
      </w:r>
      <w:r w:rsidRPr="007B014E">
        <w:rPr>
          <w:rFonts w:hint="eastAsia"/>
          <w:color w:val="000000"/>
          <w:sz w:val="24"/>
        </w:rPr>
        <w:t>明：1.需通知換照人數=(114年n-1歲)持照人數＊(1-平均死亡率8.6‰)</w:t>
      </w:r>
      <w:r w:rsidR="00C64872" w:rsidRPr="007B014E">
        <w:rPr>
          <w:rFonts w:hAnsi="標楷體" w:hint="eastAsia"/>
          <w:color w:val="000000"/>
          <w:sz w:val="24"/>
        </w:rPr>
        <w:t>。</w:t>
      </w:r>
    </w:p>
    <w:p w:rsidR="009E110B" w:rsidRPr="007B014E" w:rsidRDefault="009E110B" w:rsidP="00DC7AC9">
      <w:pPr>
        <w:tabs>
          <w:tab w:val="left" w:pos="5954"/>
        </w:tabs>
        <w:snapToGrid w:val="0"/>
        <w:spacing w:line="280" w:lineRule="exact"/>
        <w:ind w:leftChars="409" w:left="1158" w:firstLineChars="18" w:firstLine="44"/>
        <w:rPr>
          <w:snapToGrid/>
          <w:kern w:val="0"/>
          <w:sz w:val="24"/>
          <w:szCs w:val="24"/>
        </w:rPr>
      </w:pPr>
      <w:r w:rsidRPr="007B014E">
        <w:rPr>
          <w:rFonts w:hint="eastAsia"/>
          <w:color w:val="000000"/>
          <w:sz w:val="24"/>
        </w:rPr>
        <w:t>2.預估換照數</w:t>
      </w:r>
      <w:r w:rsidR="00C64872" w:rsidRPr="007B014E">
        <w:rPr>
          <w:rFonts w:hint="eastAsia"/>
          <w:color w:val="000000"/>
          <w:sz w:val="24"/>
        </w:rPr>
        <w:t>=</w:t>
      </w:r>
      <w:r w:rsidRPr="007B014E">
        <w:rPr>
          <w:rFonts w:hint="eastAsia"/>
          <w:color w:val="000000"/>
          <w:sz w:val="24"/>
        </w:rPr>
        <w:t>需通知換照人數＊歷年換照率44.15%</w:t>
      </w:r>
      <w:r w:rsidR="00C64872" w:rsidRPr="007B014E">
        <w:rPr>
          <w:rFonts w:hAnsi="標楷體" w:hint="eastAsia"/>
          <w:color w:val="000000"/>
          <w:sz w:val="24"/>
        </w:rPr>
        <w:t>。</w:t>
      </w:r>
    </w:p>
    <w:p w:rsidR="007E6155" w:rsidRPr="007B014E" w:rsidRDefault="007E6155" w:rsidP="007E6155">
      <w:pPr>
        <w:snapToGrid w:val="0"/>
        <w:spacing w:line="280" w:lineRule="exact"/>
        <w:ind w:leftChars="0" w:left="1160" w:hangingChars="477" w:hanging="1160"/>
        <w:rPr>
          <w:rFonts w:hAnsi="標楷體" w:hint="eastAsia"/>
          <w:snapToGrid/>
          <w:kern w:val="0"/>
          <w:sz w:val="24"/>
          <w:szCs w:val="24"/>
        </w:rPr>
      </w:pPr>
      <w:r w:rsidRPr="007B014E">
        <w:rPr>
          <w:rFonts w:hint="eastAsia"/>
          <w:snapToGrid/>
          <w:kern w:val="0"/>
          <w:sz w:val="24"/>
          <w:szCs w:val="24"/>
        </w:rPr>
        <w:t>資料來源：</w:t>
      </w:r>
      <w:r w:rsidR="00C64872" w:rsidRPr="007B014E">
        <w:rPr>
          <w:rFonts w:hint="eastAsia"/>
          <w:snapToGrid/>
          <w:kern w:val="0"/>
          <w:sz w:val="24"/>
          <w:szCs w:val="24"/>
        </w:rPr>
        <w:t>公路局提供之資料</w:t>
      </w:r>
      <w:r w:rsidRPr="007B014E">
        <w:rPr>
          <w:rFonts w:hint="eastAsia"/>
          <w:snapToGrid/>
          <w:kern w:val="0"/>
          <w:sz w:val="24"/>
          <w:szCs w:val="24"/>
        </w:rPr>
        <w:t>；本中心整理</w:t>
      </w:r>
      <w:bookmarkEnd w:id="17"/>
      <w:r w:rsidRPr="007B014E">
        <w:rPr>
          <w:rFonts w:hint="eastAsia"/>
          <w:snapToGrid/>
          <w:kern w:val="0"/>
          <w:sz w:val="24"/>
          <w:szCs w:val="24"/>
        </w:rPr>
        <w:t>。</w:t>
      </w:r>
      <w:bookmarkEnd w:id="14"/>
    </w:p>
    <w:bookmarkEnd w:id="15"/>
    <w:p w:rsidR="006A15FC" w:rsidRDefault="006A15FC" w:rsidP="0089581D">
      <w:pPr>
        <w:ind w:left="566" w:firstLine="566"/>
        <w:rPr>
          <w:rFonts w:hAnsi="標楷體"/>
        </w:rPr>
      </w:pPr>
      <w:r w:rsidRPr="007B014E">
        <w:rPr>
          <w:rFonts w:hint="eastAsia"/>
        </w:rPr>
        <w:t>綜上，</w:t>
      </w:r>
      <w:r w:rsidR="0089581D" w:rsidRPr="007B014E">
        <w:rPr>
          <w:rFonts w:hint="eastAsia"/>
        </w:rPr>
        <w:t>公路局115年度預算案編列辦理公路監理業務經費16</w:t>
      </w:r>
      <w:r w:rsidR="0089581D" w:rsidRPr="007B014E">
        <w:rPr>
          <w:rFonts w:hint="eastAsia"/>
        </w:rPr>
        <w:lastRenderedPageBreak/>
        <w:t>億6,211萬9千元，</w:t>
      </w:r>
      <w:r w:rsidR="00E120D7" w:rsidRPr="007B014E">
        <w:rPr>
          <w:rFonts w:hint="eastAsia"/>
        </w:rPr>
        <w:t>隨著交通事故頻率及高齡化問題，現行駕照制度面臨許多挑戰</w:t>
      </w:r>
      <w:r w:rsidR="00D80825" w:rsidRPr="007B014E">
        <w:rPr>
          <w:rFonts w:hAnsi="標楷體" w:hint="eastAsia"/>
        </w:rPr>
        <w:t>，</w:t>
      </w:r>
      <w:r w:rsidR="001E25EA" w:rsidRPr="007B014E">
        <w:rPr>
          <w:rFonts w:hAnsi="標楷體" w:hint="eastAsia"/>
        </w:rPr>
        <w:t>雖已持續提出相關改善方案，惟成效未如預期</w:t>
      </w:r>
      <w:r w:rsidR="001E25EA" w:rsidRPr="007B014E">
        <w:rPr>
          <w:rFonts w:ascii="新細明體" w:eastAsia="新細明體" w:hAnsi="新細明體" w:hint="eastAsia"/>
        </w:rPr>
        <w:t>，</w:t>
      </w:r>
      <w:r w:rsidR="00D80825" w:rsidRPr="007B014E">
        <w:rPr>
          <w:rFonts w:hAnsi="標楷體" w:hint="eastAsia"/>
        </w:rPr>
        <w:t>允宜研謀改善；另推行之換照新制度中，70至75歲首年推估換照人數約為56.9萬人</w:t>
      </w:r>
      <w:r w:rsidR="00D80825" w:rsidRPr="007B014E">
        <w:rPr>
          <w:rFonts w:ascii="新細明體" w:eastAsia="新細明體" w:hAnsi="新細明體" w:hint="eastAsia"/>
        </w:rPr>
        <w:t>，</w:t>
      </w:r>
      <w:r w:rsidR="00D80825" w:rsidRPr="007B014E">
        <w:rPr>
          <w:rFonts w:hAnsi="標楷體" w:hint="eastAsia"/>
        </w:rPr>
        <w:t>允宜於高齡者移動權益及整體交通安全間取得平衡，提供更友善</w:t>
      </w:r>
      <w:r w:rsidR="00F76F9D" w:rsidRPr="007B014E">
        <w:rPr>
          <w:rFonts w:hAnsi="標楷體" w:hint="eastAsia"/>
        </w:rPr>
        <w:t>之</w:t>
      </w:r>
      <w:r w:rsidR="00D80825" w:rsidRPr="007B014E">
        <w:rPr>
          <w:rFonts w:hAnsi="標楷體" w:hint="eastAsia"/>
        </w:rPr>
        <w:t>公共運輸使用環境。</w:t>
      </w:r>
    </w:p>
    <w:bookmarkEnd w:id="9"/>
    <w:bookmarkEnd w:id="5"/>
    <w:bookmarkEnd w:id="2"/>
    <w:bookmarkEnd w:id="3"/>
    <w:bookmarkEnd w:id="4"/>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224E32" w:rsidRPr="00224E32">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ED63E4" w:rsidRPr="00ED63E4" w:rsidRDefault="00ED63E4" w:rsidP="00D3403A">
      <w:pPr>
        <w:pStyle w:val="142"/>
        <w:ind w:left="182" w:hangingChars="75" w:hanging="182"/>
        <w:jc w:val="both"/>
        <w:rPr>
          <w:rFonts w:hint="eastAsia"/>
        </w:rPr>
      </w:pPr>
      <w:r w:rsidRPr="00ED63E4">
        <w:rPr>
          <w:rStyle w:val="af9"/>
        </w:rPr>
        <w:footnoteRef/>
      </w:r>
      <w:r w:rsidRPr="003421FE">
        <w:rPr>
          <w:rFonts w:hint="eastAsia"/>
          <w:sz w:val="12"/>
          <w:szCs w:val="12"/>
        </w:rPr>
        <w:t xml:space="preserve">　</w:t>
      </w:r>
      <w:r w:rsidR="001D50CD" w:rsidRPr="00ED63E4">
        <w:rPr>
          <w:rFonts w:hint="eastAsia"/>
        </w:rPr>
        <w:t>行政院112年通過「行人交通安全政策綱領」</w:t>
      </w:r>
      <w:r w:rsidR="00F363D6">
        <w:rPr>
          <w:rFonts w:hAnsi="標楷體" w:hint="eastAsia"/>
        </w:rPr>
        <w:t>及</w:t>
      </w:r>
      <w:r w:rsidR="001D50CD" w:rsidRPr="00ED63E4">
        <w:rPr>
          <w:rFonts w:hint="eastAsia"/>
        </w:rPr>
        <w:t>113年核定「國家道路交通安全綱要計畫」</w:t>
      </w:r>
      <w:r w:rsidR="00F363D6">
        <w:rPr>
          <w:rFonts w:hAnsi="標楷體" w:hint="eastAsia"/>
        </w:rPr>
        <w:t>；</w:t>
      </w:r>
      <w:r w:rsidR="00D3403A" w:rsidRPr="00D3403A">
        <w:rPr>
          <w:rFonts w:hAnsi="標楷體" w:hint="eastAsia"/>
        </w:rPr>
        <w:t>交通部自102年起開始研議此制度，參考國外經驗，建立高齡駕駛人駕駛執照定期審查機制</w:t>
      </w:r>
      <w:r w:rsidR="00D3403A">
        <w:rPr>
          <w:rFonts w:ascii="新細明體" w:eastAsia="新細明體" w:hAnsi="新細明體" w:hint="eastAsia"/>
        </w:rPr>
        <w:t>，</w:t>
      </w:r>
      <w:r w:rsidR="00F363D6">
        <w:rPr>
          <w:rFonts w:hint="eastAsia"/>
        </w:rPr>
        <w:t>公路局</w:t>
      </w:r>
      <w:r w:rsidR="001D50CD" w:rsidRPr="00ED63E4">
        <w:rPr>
          <w:rFonts w:hint="eastAsia"/>
        </w:rPr>
        <w:t>106年</w:t>
      </w:r>
      <w:r w:rsidR="00F363D6">
        <w:rPr>
          <w:rFonts w:hint="eastAsia"/>
        </w:rPr>
        <w:t>7月推出</w:t>
      </w:r>
      <w:r w:rsidR="001D50CD">
        <w:rPr>
          <w:rFonts w:hAnsi="標楷體" w:hint="eastAsia"/>
        </w:rPr>
        <w:t>「</w:t>
      </w:r>
      <w:r w:rsidR="00F363D6" w:rsidRPr="00F363D6">
        <w:rPr>
          <w:rFonts w:hAnsi="標楷體" w:hint="eastAsia"/>
        </w:rPr>
        <w:t>高齡者駕照換照制度</w:t>
      </w:r>
      <w:r w:rsidR="001D50CD">
        <w:rPr>
          <w:rFonts w:hAnsi="標楷體" w:hint="eastAsia"/>
        </w:rPr>
        <w:t>」</w:t>
      </w:r>
      <w:r w:rsidR="00F363D6">
        <w:rPr>
          <w:rFonts w:hAnsi="標楷體" w:hint="eastAsia"/>
        </w:rPr>
        <w:t>及</w:t>
      </w:r>
      <w:r w:rsidR="00F363D6" w:rsidRPr="00F363D6">
        <w:rPr>
          <w:rFonts w:hAnsi="標楷體" w:hint="eastAsia"/>
        </w:rPr>
        <w:t>113</w:t>
      </w:r>
      <w:r w:rsidR="00F363D6">
        <w:rPr>
          <w:rFonts w:hAnsi="標楷體" w:hint="eastAsia"/>
        </w:rPr>
        <w:t>年</w:t>
      </w:r>
      <w:r w:rsidR="00F363D6" w:rsidRPr="00F363D6">
        <w:rPr>
          <w:rFonts w:hAnsi="標楷體" w:hint="eastAsia"/>
        </w:rPr>
        <w:t>7</w:t>
      </w:r>
      <w:r w:rsidR="00F363D6">
        <w:rPr>
          <w:rFonts w:hAnsi="標楷體" w:hint="eastAsia"/>
        </w:rPr>
        <w:t>月</w:t>
      </w:r>
      <w:r w:rsidR="00F363D6" w:rsidRPr="00F363D6">
        <w:rPr>
          <w:rFonts w:hAnsi="標楷體" w:hint="eastAsia"/>
        </w:rPr>
        <w:t>高齡關懷與輔導計畫(主動關懷)</w:t>
      </w:r>
      <w:r w:rsidR="001D50CD">
        <w:rPr>
          <w:rFonts w:hAnsi="標楷體" w:hint="eastAsia"/>
        </w:rPr>
        <w:t>。</w:t>
      </w:r>
    </w:p>
  </w:footnote>
  <w:footnote w:id="2">
    <w:p w:rsidR="00117025" w:rsidRPr="00117025" w:rsidRDefault="00117025" w:rsidP="00681455">
      <w:pPr>
        <w:pStyle w:val="142"/>
        <w:jc w:val="both"/>
        <w:rPr>
          <w:rFonts w:hint="eastAsia"/>
          <w:szCs w:val="24"/>
        </w:rPr>
      </w:pPr>
      <w:r>
        <w:rPr>
          <w:rStyle w:val="af9"/>
        </w:rPr>
        <w:footnoteRef/>
      </w:r>
      <w:r w:rsidRPr="003421FE">
        <w:rPr>
          <w:rFonts w:hint="eastAsia"/>
          <w:sz w:val="12"/>
          <w:szCs w:val="12"/>
        </w:rPr>
        <w:t xml:space="preserve">　</w:t>
      </w:r>
      <w:r w:rsidRPr="00117025">
        <w:rPr>
          <w:rFonts w:hint="eastAsia"/>
          <w:szCs w:val="24"/>
        </w:rPr>
        <w:t>參據審計部113年度中央政府總決算審核報告(第</w:t>
      </w:r>
      <w:r>
        <w:rPr>
          <w:rFonts w:hint="eastAsia"/>
          <w:szCs w:val="24"/>
        </w:rPr>
        <w:t>2</w:t>
      </w:r>
      <w:r w:rsidRPr="00117025">
        <w:rPr>
          <w:rFonts w:hint="eastAsia"/>
          <w:szCs w:val="24"/>
        </w:rPr>
        <w:t>冊)，</w:t>
      </w:r>
      <w:r>
        <w:rPr>
          <w:rFonts w:hint="eastAsia"/>
          <w:szCs w:val="24"/>
        </w:rPr>
        <w:t>丙</w:t>
      </w:r>
      <w:r w:rsidRPr="00117025">
        <w:rPr>
          <w:rFonts w:hint="eastAsia"/>
          <w:szCs w:val="24"/>
        </w:rPr>
        <w:t>-</w:t>
      </w:r>
      <w:r>
        <w:rPr>
          <w:rFonts w:hint="eastAsia"/>
          <w:szCs w:val="24"/>
        </w:rPr>
        <w:t>412</w:t>
      </w:r>
      <w:r w:rsidRPr="00117025">
        <w:rPr>
          <w:rFonts w:hint="eastAsia"/>
          <w:szCs w:val="24"/>
        </w:rPr>
        <w:t>至</w:t>
      </w:r>
      <w:r>
        <w:rPr>
          <w:rFonts w:hint="eastAsia"/>
          <w:szCs w:val="24"/>
        </w:rPr>
        <w:t>丙</w:t>
      </w:r>
      <w:r w:rsidRPr="00117025">
        <w:rPr>
          <w:rFonts w:hint="eastAsia"/>
          <w:szCs w:val="24"/>
        </w:rPr>
        <w:t>-</w:t>
      </w:r>
      <w:r>
        <w:rPr>
          <w:rFonts w:hint="eastAsia"/>
          <w:szCs w:val="24"/>
        </w:rPr>
        <w:t>413</w:t>
      </w:r>
      <w:r w:rsidRPr="00117025">
        <w:rPr>
          <w:rFonts w:hint="eastAsia"/>
          <w:szCs w:val="24"/>
        </w:rPr>
        <w:t>頁。</w:t>
      </w:r>
    </w:p>
  </w:footnote>
  <w:footnote w:id="3">
    <w:p w:rsidR="00190126" w:rsidRPr="00190126" w:rsidRDefault="00190126" w:rsidP="00807D21">
      <w:pPr>
        <w:pStyle w:val="142"/>
        <w:ind w:left="182" w:hangingChars="75" w:hanging="182"/>
        <w:jc w:val="both"/>
        <w:rPr>
          <w:rFonts w:hint="eastAsia"/>
        </w:rPr>
      </w:pPr>
      <w:r>
        <w:rPr>
          <w:rStyle w:val="af9"/>
        </w:rPr>
        <w:footnoteRef/>
      </w:r>
      <w:r w:rsidRPr="003421FE">
        <w:rPr>
          <w:rFonts w:hint="eastAsia"/>
          <w:sz w:val="12"/>
          <w:szCs w:val="12"/>
        </w:rPr>
        <w:t xml:space="preserve">　</w:t>
      </w:r>
      <w:r w:rsidRPr="00807D21">
        <w:rPr>
          <w:rFonts w:hAnsi="標楷體" w:hint="eastAsia"/>
          <w:szCs w:val="24"/>
        </w:rPr>
        <w:t>據公路局說明，</w:t>
      </w:r>
      <w:r w:rsidR="00807D21">
        <w:rPr>
          <w:rFonts w:hAnsi="標楷體" w:hint="eastAsia"/>
          <w:szCs w:val="24"/>
        </w:rPr>
        <w:t>係因</w:t>
      </w:r>
      <w:r w:rsidR="00807D21" w:rsidRPr="00807D21">
        <w:rPr>
          <w:rFonts w:hAnsi="標楷體" w:hint="eastAsia"/>
          <w:szCs w:val="24"/>
        </w:rPr>
        <w:t>新制度</w:t>
      </w:r>
      <w:r w:rsidR="00807D21">
        <w:rPr>
          <w:rFonts w:hAnsi="標楷體" w:hint="eastAsia"/>
          <w:szCs w:val="24"/>
        </w:rPr>
        <w:t>於</w:t>
      </w:r>
      <w:r w:rsidR="00807D21" w:rsidRPr="00807D21">
        <w:rPr>
          <w:rFonts w:hAnsi="標楷體" w:hint="eastAsia"/>
          <w:szCs w:val="24"/>
        </w:rPr>
        <w:t>114年10月1日</w:t>
      </w:r>
      <w:r w:rsidR="00807D21">
        <w:rPr>
          <w:rFonts w:hAnsi="標楷體" w:hint="eastAsia"/>
          <w:szCs w:val="24"/>
        </w:rPr>
        <w:t>方</w:t>
      </w:r>
      <w:r w:rsidR="00807D21" w:rsidRPr="00807D21">
        <w:rPr>
          <w:rFonts w:hAnsi="標楷體" w:hint="eastAsia"/>
          <w:szCs w:val="24"/>
        </w:rPr>
        <w:t>召開記者會</w:t>
      </w:r>
      <w:r w:rsidR="00807D21">
        <w:rPr>
          <w:rFonts w:ascii="新細明體" w:eastAsia="新細明體" w:hAnsi="新細明體" w:hint="eastAsia"/>
          <w:szCs w:val="24"/>
        </w:rPr>
        <w:t>，</w:t>
      </w:r>
      <w:r w:rsidR="00807D21" w:rsidRPr="00807D21">
        <w:rPr>
          <w:rFonts w:hAnsi="標楷體" w:hint="eastAsia"/>
          <w:szCs w:val="24"/>
        </w:rPr>
        <w:t>對外說明駕照管理三策略，115年度預算案未及納入，所需經費預計提報計畫</w:t>
      </w:r>
      <w:r w:rsidR="00807D21">
        <w:rPr>
          <w:rFonts w:hAnsi="標楷體" w:hint="eastAsia"/>
          <w:szCs w:val="24"/>
        </w:rPr>
        <w:t>函</w:t>
      </w:r>
      <w:r w:rsidR="00807D21" w:rsidRPr="00807D21">
        <w:rPr>
          <w:rFonts w:hAnsi="標楷體" w:hint="eastAsia"/>
          <w:szCs w:val="24"/>
        </w:rPr>
        <w:t>請交通部協助提供經費或動支預備金。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4E32"/>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5812C9-6EB1-48E8-ABED-05AEB258A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C0B0E-3493-4574-B690-D11FB739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27</Pages>
  <Words>415</Words>
  <Characters>2371</Characters>
  <Application>Microsoft Office Word</Application>
  <DocSecurity>0</DocSecurity>
  <Lines>19</Lines>
  <Paragraphs>5</Paragraphs>
  <ScaleCrop>false</ScaleCrop>
  <Company>HOME</Company>
  <LinksUpToDate>false</LinksUpToDate>
  <CharactersWithSpaces>2781</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