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6A15FC" w:rsidRPr="007B014E" w:rsidRDefault="006A15FC" w:rsidP="00A24ED3">
      <w:pPr>
        <w:pStyle w:val="14"/>
        <w:tabs>
          <w:tab w:val="left" w:pos="2898"/>
        </w:tabs>
        <w:overflowPunct w:val="0"/>
        <w:adjustRightInd w:val="0"/>
        <w:snapToGrid w:val="0"/>
        <w:ind w:left="567" w:hanging="567"/>
        <w:outlineLvl w:val="0"/>
      </w:pPr>
      <w:bookmarkStart w:id="2" w:name="_Toc52959314"/>
      <w:bookmarkStart w:id="3" w:name="_Toc147082295"/>
      <w:bookmarkStart w:id="4" w:name="_Toc147066786"/>
      <w:bookmarkStart w:id="5" w:name="_Toc52959313"/>
      <w:bookmarkStart w:id="6" w:name="_Toc180675919"/>
      <w:bookmarkStart w:id="7" w:name="_Toc212650415"/>
      <w:bookmarkEnd w:id="0"/>
      <w:r w:rsidRPr="007B014E">
        <w:rPr>
          <w:rFonts w:hint="eastAsia"/>
        </w:rPr>
        <w:t>八</w:t>
      </w:r>
      <w:r w:rsidRPr="007B014E">
        <w:rPr>
          <w:rFonts w:hAnsi="標楷體" w:hint="eastAsia"/>
        </w:rPr>
        <w:t>、</w:t>
      </w:r>
      <w:bookmarkEnd w:id="6"/>
      <w:r w:rsidR="00A24ED3" w:rsidRPr="007B014E">
        <w:rPr>
          <w:rFonts w:hAnsi="標楷體" w:hint="eastAsia"/>
          <w:bCs/>
        </w:rPr>
        <w:t>為精進</w:t>
      </w:r>
      <w:r w:rsidR="00A24ED3" w:rsidRPr="007B014E">
        <w:rPr>
          <w:rFonts w:hint="eastAsia"/>
          <w:bCs/>
        </w:rPr>
        <w:t>TPASS月票服務，允宜滾動檢討並適時調整配套措施，以提升執行績效及發揮政策效益</w:t>
      </w:r>
      <w:bookmarkEnd w:id="7"/>
    </w:p>
    <w:p w:rsidR="00D21589" w:rsidRPr="007B014E" w:rsidRDefault="00D21589" w:rsidP="00D21589">
      <w:pPr>
        <w:ind w:left="566" w:firstLine="566"/>
      </w:pPr>
      <w:r w:rsidRPr="007B014E">
        <w:rPr>
          <w:rFonts w:hint="eastAsia"/>
        </w:rPr>
        <w:t>公路局115年度預算案於「公路及監理業務管理-06公路公共運輸計畫」項下，新增編列「TPASS行政院通勤月票執行計畫」(以下簡稱</w:t>
      </w:r>
      <w:r w:rsidR="00065BCA" w:rsidRPr="007B014E">
        <w:rPr>
          <w:rFonts w:hint="eastAsia"/>
        </w:rPr>
        <w:t>TPASS執行計畫</w:t>
      </w:r>
      <w:r w:rsidRPr="007B014E">
        <w:rPr>
          <w:rFonts w:hint="eastAsia"/>
        </w:rPr>
        <w:t>)</w:t>
      </w:r>
      <w:r w:rsidR="00DE3FC1" w:rsidRPr="007B014E">
        <w:rPr>
          <w:rFonts w:hint="eastAsia"/>
        </w:rPr>
        <w:t>經費15億8,000萬</w:t>
      </w:r>
      <w:r w:rsidR="00065BCA" w:rsidRPr="007B014E">
        <w:rPr>
          <w:rFonts w:hint="eastAsia"/>
        </w:rPr>
        <w:t>元，</w:t>
      </w:r>
      <w:r w:rsidR="000C35EC" w:rsidRPr="007B014E">
        <w:rPr>
          <w:rFonts w:hint="eastAsia"/>
        </w:rPr>
        <w:t>另於總預算案「直轄市及縣市政府－一般性補助款-公路局及所屬」</w:t>
      </w:r>
      <w:r w:rsidR="00065BCA" w:rsidRPr="007B014E">
        <w:rPr>
          <w:rFonts w:hint="eastAsia"/>
        </w:rPr>
        <w:t>編列59</w:t>
      </w:r>
      <w:r w:rsidR="00DE3FC1" w:rsidRPr="007B014E">
        <w:rPr>
          <w:rFonts w:hint="eastAsia"/>
        </w:rPr>
        <w:t>億</w:t>
      </w:r>
      <w:r w:rsidR="00065BCA" w:rsidRPr="007B014E">
        <w:rPr>
          <w:rFonts w:hint="eastAsia"/>
        </w:rPr>
        <w:t>4</w:t>
      </w:r>
      <w:r w:rsidR="00DE3FC1" w:rsidRPr="007B014E">
        <w:t>,</w:t>
      </w:r>
      <w:r w:rsidR="00065BCA" w:rsidRPr="007B014E">
        <w:rPr>
          <w:rFonts w:hint="eastAsia"/>
        </w:rPr>
        <w:t>0</w:t>
      </w:r>
      <w:r w:rsidR="00DE3FC1" w:rsidRPr="007B014E">
        <w:t>00</w:t>
      </w:r>
      <w:r w:rsidR="00065BCA" w:rsidRPr="007B014E">
        <w:rPr>
          <w:rFonts w:hint="eastAsia"/>
        </w:rPr>
        <w:t>元，合共75</w:t>
      </w:r>
      <w:r w:rsidR="00DE3FC1" w:rsidRPr="007B014E">
        <w:rPr>
          <w:rFonts w:hint="eastAsia"/>
        </w:rPr>
        <w:t>億</w:t>
      </w:r>
      <w:r w:rsidR="00065BCA" w:rsidRPr="007B014E">
        <w:rPr>
          <w:rFonts w:hint="eastAsia"/>
        </w:rPr>
        <w:t>2</w:t>
      </w:r>
      <w:r w:rsidR="00DE3FC1" w:rsidRPr="007B014E">
        <w:t>,</w:t>
      </w:r>
      <w:r w:rsidR="00065BCA" w:rsidRPr="007B014E">
        <w:rPr>
          <w:rFonts w:hint="eastAsia"/>
        </w:rPr>
        <w:t>0</w:t>
      </w:r>
      <w:r w:rsidR="00DE3FC1" w:rsidRPr="007B014E">
        <w:t>00</w:t>
      </w:r>
      <w:r w:rsidR="00DE3FC1" w:rsidRPr="007B014E">
        <w:rPr>
          <w:rFonts w:hint="eastAsia"/>
        </w:rPr>
        <w:t>萬</w:t>
      </w:r>
      <w:r w:rsidR="00065BCA" w:rsidRPr="007B014E">
        <w:rPr>
          <w:rFonts w:hint="eastAsia"/>
        </w:rPr>
        <w:t>元</w:t>
      </w:r>
      <w:r w:rsidRPr="007B014E">
        <w:rPr>
          <w:rFonts w:hAnsi="標楷體" w:hint="eastAsia"/>
        </w:rPr>
        <w:t>，</w:t>
      </w:r>
      <w:r w:rsidR="00683FB0" w:rsidRPr="007B014E">
        <w:rPr>
          <w:rFonts w:hint="eastAsia"/>
        </w:rPr>
        <w:t>賡</w:t>
      </w:r>
      <w:r w:rsidR="00065BCA" w:rsidRPr="007B014E">
        <w:rPr>
          <w:rFonts w:hint="eastAsia"/>
        </w:rPr>
        <w:t>續</w:t>
      </w:r>
      <w:r w:rsidR="00683FB0" w:rsidRPr="007B014E">
        <w:rPr>
          <w:rFonts w:hint="eastAsia"/>
        </w:rPr>
        <w:t>辦理</w:t>
      </w:r>
      <w:r w:rsidR="00065BCA" w:rsidRPr="007B014E">
        <w:rPr>
          <w:rFonts w:hint="eastAsia"/>
        </w:rPr>
        <w:t>推動TPASS月票，並擴大服務，以提供更多元且具吸引力之公共運輸優惠措施，</w:t>
      </w:r>
      <w:r w:rsidR="0047726B" w:rsidRPr="007B014E">
        <w:rPr>
          <w:rFonts w:hint="eastAsia"/>
        </w:rPr>
        <w:t>提升公共運輸便利性及帶動運量成長</w:t>
      </w:r>
      <w:r w:rsidR="00C65136" w:rsidRPr="007B014E">
        <w:rPr>
          <w:rFonts w:ascii="新細明體" w:eastAsia="新細明體" w:hAnsi="新細明體" w:hint="eastAsia"/>
        </w:rPr>
        <w:t>，</w:t>
      </w:r>
      <w:r w:rsidR="00C65136" w:rsidRPr="007B014E">
        <w:rPr>
          <w:rFonts w:hint="eastAsia"/>
          <w:color w:val="000000"/>
        </w:rPr>
        <w:t>其工作項目及分年經費需求詳如表</w:t>
      </w:r>
      <w:r w:rsidR="00902945" w:rsidRPr="007B014E">
        <w:rPr>
          <w:rFonts w:hint="eastAsia"/>
          <w:color w:val="000000"/>
        </w:rPr>
        <w:t>1</w:t>
      </w:r>
      <w:r w:rsidRPr="007B014E">
        <w:rPr>
          <w:rFonts w:hint="eastAsia"/>
        </w:rPr>
        <w:t>。經查：</w:t>
      </w:r>
    </w:p>
    <w:p w:rsidR="00A24ED3" w:rsidRPr="007B014E" w:rsidRDefault="00A24ED3" w:rsidP="00CD75A8">
      <w:pPr>
        <w:spacing w:line="400" w:lineRule="exact"/>
        <w:ind w:leftChars="0" w:left="780" w:hangingChars="275" w:hanging="780"/>
        <w:rPr>
          <w:rFonts w:hint="eastAsia"/>
          <w:color w:val="000000"/>
          <w:sz w:val="24"/>
          <w:szCs w:val="24"/>
        </w:rPr>
      </w:pPr>
      <w:bookmarkStart w:id="8" w:name="_Hlk205975374"/>
      <w:r w:rsidRPr="007B014E">
        <w:rPr>
          <w:rFonts w:hint="eastAsia"/>
          <w:b/>
          <w:color w:val="000000"/>
        </w:rPr>
        <w:t>表1</w:t>
      </w:r>
      <w:r w:rsidRPr="007B014E">
        <w:rPr>
          <w:rFonts w:hint="eastAsia"/>
          <w:b/>
          <w:bCs/>
        </w:rPr>
        <w:t xml:space="preserve">　</w:t>
      </w:r>
      <w:r w:rsidR="00F40730" w:rsidRPr="007B014E">
        <w:rPr>
          <w:rFonts w:hint="eastAsia"/>
          <w:b/>
          <w:bCs/>
        </w:rPr>
        <w:t>公路局</w:t>
      </w:r>
      <w:r w:rsidRPr="007B014E">
        <w:rPr>
          <w:rFonts w:hint="eastAsia"/>
          <w:b/>
          <w:color w:val="000000"/>
        </w:rPr>
        <w:t>「TPASS行政院通勤月票執行計畫」工作項目及分年經費需求概況表</w:t>
      </w:r>
      <w:r w:rsidRPr="007B014E">
        <w:rPr>
          <w:rFonts w:hint="eastAsia"/>
          <w:sz w:val="24"/>
          <w:szCs w:val="24"/>
        </w:rPr>
        <w:t xml:space="preserve">　　　　　　　　　　　　　　　　　　</w:t>
      </w:r>
      <w:r w:rsidRPr="007B014E">
        <w:rPr>
          <w:rFonts w:hint="eastAsia"/>
          <w:color w:val="000000"/>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2394"/>
        <w:gridCol w:w="1193"/>
        <w:gridCol w:w="1200"/>
        <w:gridCol w:w="1274"/>
        <w:gridCol w:w="1257"/>
        <w:gridCol w:w="1207"/>
      </w:tblGrid>
      <w:tr w:rsidR="00A24ED3" w:rsidRPr="007B014E" w:rsidTr="007B2020">
        <w:trPr>
          <w:tblHeader/>
        </w:trPr>
        <w:tc>
          <w:tcPr>
            <w:tcW w:w="2394" w:type="dxa"/>
            <w:vMerge w:val="restart"/>
            <w:tcBorders>
              <w:top w:val="single" w:sz="12" w:space="0" w:color="auto"/>
              <w:bottom w:val="single" w:sz="2"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工作項目</w:t>
            </w:r>
          </w:p>
        </w:tc>
        <w:tc>
          <w:tcPr>
            <w:tcW w:w="1193" w:type="dxa"/>
            <w:vMerge w:val="restart"/>
            <w:tcBorders>
              <w:top w:val="single" w:sz="12" w:space="0" w:color="auto"/>
              <w:bottom w:val="single" w:sz="2"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color w:val="000000"/>
                <w:spacing w:val="-20"/>
                <w:sz w:val="24"/>
              </w:rPr>
            </w:pPr>
            <w:r w:rsidRPr="007B014E">
              <w:rPr>
                <w:rFonts w:hAnsi="標楷體" w:hint="eastAsia"/>
                <w:color w:val="000000"/>
                <w:spacing w:val="-20"/>
                <w:sz w:val="24"/>
              </w:rPr>
              <w:t>總經費</w:t>
            </w:r>
          </w:p>
        </w:tc>
        <w:tc>
          <w:tcPr>
            <w:tcW w:w="4938" w:type="dxa"/>
            <w:gridSpan w:val="4"/>
            <w:tcBorders>
              <w:top w:val="single" w:sz="12" w:space="0" w:color="auto"/>
              <w:bottom w:val="single" w:sz="2"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分年經費需求</w:t>
            </w:r>
          </w:p>
        </w:tc>
      </w:tr>
      <w:tr w:rsidR="00A24ED3" w:rsidRPr="007B014E" w:rsidTr="007B2020">
        <w:trPr>
          <w:tblHeader/>
        </w:trPr>
        <w:tc>
          <w:tcPr>
            <w:tcW w:w="2394" w:type="dxa"/>
            <w:vMerge/>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p>
        </w:tc>
        <w:tc>
          <w:tcPr>
            <w:tcW w:w="1193" w:type="dxa"/>
            <w:vMerge/>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p>
        </w:tc>
        <w:tc>
          <w:tcPr>
            <w:tcW w:w="1200" w:type="dxa"/>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115年度</w:t>
            </w:r>
          </w:p>
        </w:tc>
        <w:tc>
          <w:tcPr>
            <w:tcW w:w="1274" w:type="dxa"/>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116年度</w:t>
            </w:r>
          </w:p>
        </w:tc>
        <w:tc>
          <w:tcPr>
            <w:tcW w:w="1257" w:type="dxa"/>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117年度</w:t>
            </w:r>
          </w:p>
        </w:tc>
        <w:tc>
          <w:tcPr>
            <w:tcW w:w="1207" w:type="dxa"/>
            <w:tcBorders>
              <w:top w:val="single" w:sz="2" w:space="0" w:color="auto"/>
              <w:bottom w:val="double" w:sz="4" w:space="0" w:color="auto"/>
            </w:tcBorders>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118年度</w:t>
            </w:r>
          </w:p>
        </w:tc>
      </w:tr>
      <w:tr w:rsidR="00A24ED3" w:rsidRPr="007B014E" w:rsidTr="007B2020">
        <w:tc>
          <w:tcPr>
            <w:tcW w:w="8525" w:type="dxa"/>
            <w:gridSpan w:val="6"/>
            <w:tcBorders>
              <w:top w:val="double" w:sz="4"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color w:val="000000"/>
                <w:spacing w:val="-20"/>
                <w:sz w:val="24"/>
              </w:rPr>
              <w:t>中央政府支應</w:t>
            </w:r>
          </w:p>
        </w:tc>
      </w:tr>
      <w:tr w:rsidR="005C3A87" w:rsidRPr="007B014E" w:rsidTr="007B2020">
        <w:tc>
          <w:tcPr>
            <w:tcW w:w="2394" w:type="dxa"/>
            <w:tcBorders>
              <w:top w:val="double" w:sz="4" w:space="0" w:color="auto"/>
            </w:tcBorders>
            <w:shd w:val="clear" w:color="auto" w:fill="FFFFFF"/>
          </w:tcPr>
          <w:p w:rsidR="005C3A87" w:rsidRPr="007B014E" w:rsidRDefault="005C3A87" w:rsidP="00D601F0">
            <w:pPr>
              <w:spacing w:line="400" w:lineRule="exact"/>
              <w:ind w:leftChars="-20" w:left="-57" w:rightChars="-20" w:right="-57" w:firstLineChars="0" w:firstLine="0"/>
              <w:rPr>
                <w:rFonts w:hAnsi="標楷體" w:hint="eastAsia"/>
                <w:color w:val="000000"/>
                <w:spacing w:val="-20"/>
                <w:sz w:val="24"/>
                <w:szCs w:val="24"/>
              </w:rPr>
            </w:pPr>
            <w:r w:rsidRPr="007B014E">
              <w:rPr>
                <w:rFonts w:hint="eastAsia"/>
                <w:spacing w:val="-20"/>
                <w:sz w:val="24"/>
                <w:szCs w:val="24"/>
              </w:rPr>
              <w:t>精進TPASS月票服務</w:t>
            </w:r>
          </w:p>
        </w:tc>
        <w:tc>
          <w:tcPr>
            <w:tcW w:w="1193" w:type="dxa"/>
            <w:tcBorders>
              <w:top w:val="double" w:sz="4"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2,7600,000</w:t>
            </w:r>
          </w:p>
        </w:tc>
        <w:tc>
          <w:tcPr>
            <w:tcW w:w="1200" w:type="dxa"/>
            <w:tcBorders>
              <w:top w:val="double" w:sz="4"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5,860,000</w:t>
            </w:r>
          </w:p>
        </w:tc>
        <w:tc>
          <w:tcPr>
            <w:tcW w:w="1274" w:type="dxa"/>
            <w:tcBorders>
              <w:top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6,900,000</w:t>
            </w:r>
          </w:p>
        </w:tc>
        <w:tc>
          <w:tcPr>
            <w:tcW w:w="1257" w:type="dxa"/>
            <w:tcBorders>
              <w:top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7,250,000</w:t>
            </w:r>
          </w:p>
        </w:tc>
        <w:tc>
          <w:tcPr>
            <w:tcW w:w="1207" w:type="dxa"/>
            <w:tcBorders>
              <w:top w:val="double" w:sz="4" w:space="0" w:color="auto"/>
            </w:tcBorders>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7,590,000</w:t>
            </w:r>
          </w:p>
        </w:tc>
      </w:tr>
      <w:tr w:rsidR="005C3A87" w:rsidRPr="007B014E" w:rsidTr="007B2020">
        <w:tc>
          <w:tcPr>
            <w:tcW w:w="2394" w:type="dxa"/>
            <w:shd w:val="clear" w:color="auto" w:fill="FFFFFF"/>
          </w:tcPr>
          <w:p w:rsidR="005C3A87" w:rsidRPr="007B014E" w:rsidRDefault="005C3A87" w:rsidP="00D601F0">
            <w:pPr>
              <w:spacing w:line="400" w:lineRule="exact"/>
              <w:ind w:leftChars="-20" w:left="-57" w:rightChars="-20" w:right="-57" w:firstLineChars="0" w:firstLine="0"/>
              <w:rPr>
                <w:rFonts w:hAnsi="標楷體" w:hint="eastAsia"/>
                <w:color w:val="000000"/>
                <w:spacing w:val="-20"/>
                <w:sz w:val="24"/>
                <w:szCs w:val="24"/>
              </w:rPr>
            </w:pPr>
            <w:r w:rsidRPr="007B014E">
              <w:rPr>
                <w:rFonts w:hint="eastAsia"/>
                <w:spacing w:val="-20"/>
                <w:sz w:val="24"/>
                <w:szCs w:val="24"/>
              </w:rPr>
              <w:t>推動公共運輸常客回饋</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4,330,000</w:t>
            </w:r>
          </w:p>
        </w:tc>
        <w:tc>
          <w:tcPr>
            <w:tcW w:w="1200"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1,020,000</w:t>
            </w:r>
          </w:p>
        </w:tc>
        <w:tc>
          <w:tcPr>
            <w:tcW w:w="1274"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1,060,000</w:t>
            </w:r>
          </w:p>
        </w:tc>
        <w:tc>
          <w:tcPr>
            <w:tcW w:w="1257"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1,100,000</w:t>
            </w:r>
          </w:p>
        </w:tc>
        <w:tc>
          <w:tcPr>
            <w:tcW w:w="1207" w:type="dxa"/>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1,150,000</w:t>
            </w:r>
          </w:p>
        </w:tc>
      </w:tr>
      <w:tr w:rsidR="005C3A87" w:rsidRPr="007B014E" w:rsidTr="007B2020">
        <w:tc>
          <w:tcPr>
            <w:tcW w:w="2394" w:type="dxa"/>
            <w:shd w:val="clear" w:color="auto" w:fill="FFFFFF"/>
          </w:tcPr>
          <w:p w:rsidR="005C3A87" w:rsidRPr="007B014E" w:rsidRDefault="005C3A87" w:rsidP="00D601F0">
            <w:pPr>
              <w:spacing w:line="400" w:lineRule="exact"/>
              <w:ind w:leftChars="-20" w:left="-57" w:rightChars="-20" w:right="-57" w:firstLineChars="0" w:firstLine="0"/>
              <w:rPr>
                <w:rFonts w:hAnsi="標楷體" w:hint="eastAsia"/>
                <w:color w:val="000000"/>
                <w:spacing w:val="-20"/>
                <w:sz w:val="24"/>
                <w:szCs w:val="24"/>
              </w:rPr>
            </w:pPr>
            <w:r w:rsidRPr="007B014E">
              <w:rPr>
                <w:rFonts w:hint="eastAsia"/>
                <w:spacing w:val="-20"/>
                <w:sz w:val="24"/>
                <w:szCs w:val="24"/>
              </w:rPr>
              <w:t>提升TPASS使用配套措施</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4,450,000</w:t>
            </w:r>
          </w:p>
        </w:tc>
        <w:tc>
          <w:tcPr>
            <w:tcW w:w="1200"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640,000</w:t>
            </w:r>
          </w:p>
        </w:tc>
        <w:tc>
          <w:tcPr>
            <w:tcW w:w="1274"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1,290,000</w:t>
            </w:r>
          </w:p>
        </w:tc>
        <w:tc>
          <w:tcPr>
            <w:tcW w:w="1257"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1,260,000</w:t>
            </w:r>
          </w:p>
        </w:tc>
        <w:tc>
          <w:tcPr>
            <w:tcW w:w="1207" w:type="dxa"/>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1,260,000</w:t>
            </w:r>
          </w:p>
        </w:tc>
      </w:tr>
      <w:tr w:rsidR="005C3A87" w:rsidRPr="007B014E" w:rsidTr="007B2020">
        <w:tc>
          <w:tcPr>
            <w:tcW w:w="2394" w:type="dxa"/>
            <w:tcBorders>
              <w:bottom w:val="double" w:sz="4" w:space="0" w:color="auto"/>
            </w:tcBorders>
            <w:shd w:val="clear" w:color="auto" w:fill="auto"/>
            <w:vAlign w:val="center"/>
          </w:tcPr>
          <w:p w:rsidR="005C3A87" w:rsidRPr="007B014E" w:rsidRDefault="005C3A87" w:rsidP="00D601F0">
            <w:pPr>
              <w:spacing w:line="400" w:lineRule="exact"/>
              <w:ind w:leftChars="-20" w:left="-57" w:rightChars="-20" w:right="-57" w:firstLineChars="0" w:firstLine="0"/>
              <w:jc w:val="center"/>
              <w:rPr>
                <w:rFonts w:hAnsi="標楷體" w:hint="eastAsia"/>
                <w:bCs/>
                <w:color w:val="000000"/>
                <w:spacing w:val="-20"/>
                <w:sz w:val="24"/>
              </w:rPr>
            </w:pPr>
            <w:r w:rsidRPr="007B014E">
              <w:rPr>
                <w:rFonts w:hAnsi="標楷體" w:hint="eastAsia"/>
                <w:bCs/>
                <w:color w:val="000000"/>
                <w:spacing w:val="-20"/>
                <w:sz w:val="24"/>
              </w:rPr>
              <w:t>合計</w:t>
            </w:r>
          </w:p>
        </w:tc>
        <w:tc>
          <w:tcPr>
            <w:tcW w:w="1193" w:type="dxa"/>
            <w:tcBorders>
              <w:top w:val="single" w:sz="2" w:space="0" w:color="000000"/>
              <w:left w:val="single" w:sz="6" w:space="0" w:color="000000"/>
              <w:bottom w:val="double" w:sz="4"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36,380,000</w:t>
            </w:r>
          </w:p>
        </w:tc>
        <w:tc>
          <w:tcPr>
            <w:tcW w:w="1200" w:type="dxa"/>
            <w:tcBorders>
              <w:top w:val="single" w:sz="2" w:space="0" w:color="000000"/>
              <w:left w:val="single" w:sz="6" w:space="0" w:color="000000"/>
              <w:bottom w:val="double" w:sz="4"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7,520,000</w:t>
            </w:r>
          </w:p>
        </w:tc>
        <w:tc>
          <w:tcPr>
            <w:tcW w:w="1274" w:type="dxa"/>
            <w:tcBorders>
              <w:bottom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9,250,000</w:t>
            </w:r>
          </w:p>
        </w:tc>
        <w:tc>
          <w:tcPr>
            <w:tcW w:w="1257" w:type="dxa"/>
            <w:tcBorders>
              <w:bottom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9,610,000</w:t>
            </w:r>
          </w:p>
        </w:tc>
        <w:tc>
          <w:tcPr>
            <w:tcW w:w="1207" w:type="dxa"/>
            <w:tcBorders>
              <w:bottom w:val="double" w:sz="4" w:space="0" w:color="auto"/>
            </w:tcBorders>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10,000,000</w:t>
            </w:r>
          </w:p>
        </w:tc>
      </w:tr>
      <w:tr w:rsidR="00A24ED3" w:rsidRPr="007B014E" w:rsidTr="007B2020">
        <w:tc>
          <w:tcPr>
            <w:tcW w:w="8525" w:type="dxa"/>
            <w:gridSpan w:val="6"/>
            <w:tcBorders>
              <w:top w:val="double" w:sz="4"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bCs/>
                <w:color w:val="000000"/>
                <w:spacing w:val="-20"/>
                <w:sz w:val="24"/>
              </w:rPr>
            </w:pPr>
            <w:r w:rsidRPr="007B014E">
              <w:rPr>
                <w:rFonts w:hAnsi="標楷體" w:hint="eastAsia"/>
                <w:bCs/>
                <w:color w:val="000000"/>
                <w:spacing w:val="-20"/>
                <w:sz w:val="24"/>
              </w:rPr>
              <w:lastRenderedPageBreak/>
              <w:t>地方政府自籌</w:t>
            </w:r>
          </w:p>
        </w:tc>
      </w:tr>
      <w:tr w:rsidR="007B2020" w:rsidRPr="007B014E" w:rsidTr="007B2020">
        <w:tc>
          <w:tcPr>
            <w:tcW w:w="2394" w:type="dxa"/>
            <w:tcBorders>
              <w:top w:val="double" w:sz="4" w:space="0" w:color="auto"/>
            </w:tcBorders>
            <w:shd w:val="clear" w:color="auto" w:fill="auto"/>
            <w:vAlign w:val="center"/>
          </w:tcPr>
          <w:p w:rsidR="007B2020" w:rsidRPr="007B014E" w:rsidRDefault="007B2020" w:rsidP="00D601F0">
            <w:pPr>
              <w:spacing w:line="400" w:lineRule="exact"/>
              <w:ind w:leftChars="-20" w:left="-57" w:rightChars="-20" w:right="-57" w:firstLineChars="0" w:firstLine="0"/>
              <w:rPr>
                <w:rFonts w:hint="eastAsia"/>
                <w:spacing w:val="-20"/>
                <w:sz w:val="24"/>
                <w:szCs w:val="24"/>
              </w:rPr>
            </w:pPr>
            <w:r w:rsidRPr="007B014E">
              <w:rPr>
                <w:spacing w:val="-20"/>
                <w:sz w:val="24"/>
                <w:szCs w:val="24"/>
              </w:rPr>
              <w:t>精進TPASS月票服務</w:t>
            </w:r>
          </w:p>
        </w:tc>
        <w:tc>
          <w:tcPr>
            <w:tcW w:w="1193" w:type="dxa"/>
            <w:tcBorders>
              <w:top w:val="double" w:sz="4" w:space="0" w:color="000000"/>
              <w:left w:val="single" w:sz="6" w:space="0" w:color="000000"/>
              <w:bottom w:val="single" w:sz="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15,260,000</w:t>
            </w:r>
          </w:p>
        </w:tc>
        <w:tc>
          <w:tcPr>
            <w:tcW w:w="1200" w:type="dxa"/>
            <w:tcBorders>
              <w:top w:val="double" w:sz="4" w:space="0" w:color="auto"/>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3,440,000</w:t>
            </w:r>
          </w:p>
        </w:tc>
        <w:tc>
          <w:tcPr>
            <w:tcW w:w="1274" w:type="dxa"/>
            <w:tcBorders>
              <w:top w:val="double" w:sz="4" w:space="0" w:color="auto"/>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3,750,000</w:t>
            </w:r>
          </w:p>
        </w:tc>
        <w:tc>
          <w:tcPr>
            <w:tcW w:w="1257" w:type="dxa"/>
            <w:tcBorders>
              <w:top w:val="double" w:sz="4" w:space="0" w:color="auto"/>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3,940,000</w:t>
            </w:r>
          </w:p>
        </w:tc>
        <w:tc>
          <w:tcPr>
            <w:tcW w:w="1207" w:type="dxa"/>
            <w:tcBorders>
              <w:top w:val="double" w:sz="4" w:space="0" w:color="auto"/>
            </w:tcBorders>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4,130,000</w:t>
            </w:r>
          </w:p>
        </w:tc>
      </w:tr>
      <w:tr w:rsidR="007B2020" w:rsidRPr="007B014E" w:rsidTr="007B2020">
        <w:tc>
          <w:tcPr>
            <w:tcW w:w="2394" w:type="dxa"/>
            <w:shd w:val="clear" w:color="auto" w:fill="auto"/>
            <w:vAlign w:val="center"/>
          </w:tcPr>
          <w:p w:rsidR="007B2020" w:rsidRPr="007B014E" w:rsidRDefault="007B2020" w:rsidP="00D601F0">
            <w:pPr>
              <w:spacing w:line="400" w:lineRule="exact"/>
              <w:ind w:leftChars="-20" w:left="-57" w:rightChars="-20" w:right="-57" w:firstLineChars="0" w:firstLine="0"/>
              <w:rPr>
                <w:rFonts w:hint="eastAsia"/>
                <w:spacing w:val="-20"/>
                <w:sz w:val="24"/>
                <w:szCs w:val="24"/>
              </w:rPr>
            </w:pPr>
            <w:r w:rsidRPr="007B014E">
              <w:rPr>
                <w:spacing w:val="-20"/>
                <w:sz w:val="24"/>
                <w:szCs w:val="24"/>
              </w:rPr>
              <w:t>提升TPASS使用配套措施</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420,000</w:t>
            </w:r>
          </w:p>
        </w:tc>
        <w:tc>
          <w:tcPr>
            <w:tcW w:w="1200"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150,000</w:t>
            </w:r>
          </w:p>
        </w:tc>
        <w:tc>
          <w:tcPr>
            <w:tcW w:w="1274"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120,000</w:t>
            </w:r>
          </w:p>
        </w:tc>
        <w:tc>
          <w:tcPr>
            <w:tcW w:w="1257"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90,000</w:t>
            </w:r>
          </w:p>
        </w:tc>
        <w:tc>
          <w:tcPr>
            <w:tcW w:w="1207" w:type="dxa"/>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60,000</w:t>
            </w:r>
          </w:p>
        </w:tc>
      </w:tr>
      <w:tr w:rsidR="007B2020" w:rsidRPr="007B014E" w:rsidTr="007B2020">
        <w:tc>
          <w:tcPr>
            <w:tcW w:w="2394" w:type="dxa"/>
            <w:shd w:val="clear" w:color="auto" w:fill="auto"/>
            <w:vAlign w:val="center"/>
          </w:tcPr>
          <w:p w:rsidR="007B2020" w:rsidRPr="007B014E" w:rsidRDefault="007B2020" w:rsidP="00D601F0">
            <w:pPr>
              <w:spacing w:line="400" w:lineRule="exact"/>
              <w:ind w:leftChars="-20" w:left="-57" w:rightChars="-20" w:right="-57" w:firstLineChars="0" w:firstLine="0"/>
              <w:jc w:val="center"/>
              <w:rPr>
                <w:rFonts w:hAnsi="標楷體" w:hint="eastAsia"/>
                <w:b/>
                <w:color w:val="000000"/>
                <w:spacing w:val="-20"/>
                <w:sz w:val="24"/>
              </w:rPr>
            </w:pPr>
            <w:r w:rsidRPr="007B014E">
              <w:rPr>
                <w:rFonts w:hAnsi="標楷體" w:hint="eastAsia"/>
                <w:bCs/>
                <w:color w:val="000000"/>
                <w:spacing w:val="-20"/>
                <w:sz w:val="24"/>
              </w:rPr>
              <w:t>合計</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15,680,000</w:t>
            </w:r>
          </w:p>
        </w:tc>
        <w:tc>
          <w:tcPr>
            <w:tcW w:w="1200"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3,590,000</w:t>
            </w:r>
          </w:p>
        </w:tc>
        <w:tc>
          <w:tcPr>
            <w:tcW w:w="1274"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3,870,000</w:t>
            </w:r>
          </w:p>
        </w:tc>
        <w:tc>
          <w:tcPr>
            <w:tcW w:w="1257"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4,030,000</w:t>
            </w:r>
          </w:p>
        </w:tc>
        <w:tc>
          <w:tcPr>
            <w:tcW w:w="1207" w:type="dxa"/>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4,190,000</w:t>
            </w:r>
          </w:p>
        </w:tc>
      </w:tr>
      <w:tr w:rsidR="007B2020" w:rsidRPr="007B014E" w:rsidTr="007B2020">
        <w:tc>
          <w:tcPr>
            <w:tcW w:w="2394" w:type="dxa"/>
            <w:shd w:val="clear" w:color="auto" w:fill="auto"/>
            <w:vAlign w:val="center"/>
          </w:tcPr>
          <w:p w:rsidR="007B2020" w:rsidRPr="007B014E" w:rsidRDefault="007B2020" w:rsidP="00D601F0">
            <w:pPr>
              <w:spacing w:line="400" w:lineRule="exact"/>
              <w:ind w:leftChars="-20" w:left="-57" w:rightChars="-20" w:right="-57" w:firstLineChars="0" w:firstLine="0"/>
              <w:jc w:val="center"/>
              <w:rPr>
                <w:rFonts w:hAnsi="標楷體" w:hint="eastAsia"/>
                <w:b/>
                <w:color w:val="000000"/>
                <w:spacing w:val="-20"/>
                <w:sz w:val="24"/>
              </w:rPr>
            </w:pPr>
            <w:r w:rsidRPr="007B014E">
              <w:rPr>
                <w:rFonts w:hAnsi="標楷體" w:hint="eastAsia"/>
                <w:b/>
                <w:color w:val="000000"/>
                <w:spacing w:val="-20"/>
                <w:sz w:val="24"/>
              </w:rPr>
              <w:t>總計</w:t>
            </w:r>
          </w:p>
        </w:tc>
        <w:tc>
          <w:tcPr>
            <w:tcW w:w="1193" w:type="dxa"/>
            <w:tcBorders>
              <w:top w:val="single" w:sz="2" w:space="0" w:color="000000"/>
              <w:left w:val="single" w:sz="6" w:space="0" w:color="000000"/>
              <w:bottom w:val="single" w:sz="1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52,060,000</w:t>
            </w:r>
          </w:p>
        </w:tc>
        <w:tc>
          <w:tcPr>
            <w:tcW w:w="1200"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11,110,000</w:t>
            </w:r>
          </w:p>
        </w:tc>
        <w:tc>
          <w:tcPr>
            <w:tcW w:w="1274"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13,120,000</w:t>
            </w:r>
          </w:p>
        </w:tc>
        <w:tc>
          <w:tcPr>
            <w:tcW w:w="1257"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13,640,000</w:t>
            </w:r>
          </w:p>
        </w:tc>
        <w:tc>
          <w:tcPr>
            <w:tcW w:w="1207" w:type="dxa"/>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14,190,000</w:t>
            </w:r>
          </w:p>
        </w:tc>
      </w:tr>
    </w:tbl>
    <w:bookmarkEnd w:id="8"/>
    <w:p w:rsidR="00A24ED3" w:rsidRPr="007B014E" w:rsidRDefault="00A24ED3" w:rsidP="000A3DB7">
      <w:pPr>
        <w:spacing w:line="280" w:lineRule="exact"/>
        <w:ind w:leftChars="1" w:left="1190" w:hangingChars="488" w:hanging="1187"/>
        <w:rPr>
          <w:color w:val="000000"/>
          <w:sz w:val="24"/>
        </w:rPr>
      </w:pPr>
      <w:r w:rsidRPr="007B014E">
        <w:rPr>
          <w:rFonts w:hint="eastAsia"/>
          <w:color w:val="000000"/>
          <w:sz w:val="24"/>
        </w:rPr>
        <w:t>說　　明：僅推估地方政府申請本計畫補助之方案預計自行負擔經費部分，不包含由其全額負擔自主推動計畫之金額。</w:t>
      </w:r>
    </w:p>
    <w:p w:rsidR="00A24ED3" w:rsidRPr="007B014E" w:rsidRDefault="00A24ED3" w:rsidP="000A3DB7">
      <w:pPr>
        <w:spacing w:line="280" w:lineRule="exact"/>
        <w:ind w:leftChars="1" w:left="1190" w:hangingChars="488" w:hanging="1187"/>
        <w:rPr>
          <w:color w:val="000000"/>
          <w:sz w:val="24"/>
        </w:rPr>
      </w:pPr>
      <w:r w:rsidRPr="007B014E">
        <w:rPr>
          <w:rFonts w:hint="eastAsia"/>
          <w:color w:val="000000"/>
          <w:sz w:val="24"/>
        </w:rPr>
        <w:t>資料來源：</w:t>
      </w:r>
      <w:r w:rsidR="003611C1" w:rsidRPr="007B014E">
        <w:rPr>
          <w:rFonts w:hint="eastAsia"/>
          <w:color w:val="000000"/>
          <w:sz w:val="24"/>
        </w:rPr>
        <w:t>整理自「TPASS行政院通勤月票執行計畫」(115</w:t>
      </w:r>
      <w:r w:rsidR="00E41A27" w:rsidRPr="007B014E">
        <w:rPr>
          <w:rFonts w:hint="eastAsia"/>
          <w:color w:val="000000"/>
          <w:sz w:val="24"/>
        </w:rPr>
        <w:t>至</w:t>
      </w:r>
      <w:r w:rsidR="003611C1" w:rsidRPr="007B014E">
        <w:rPr>
          <w:rFonts w:hint="eastAsia"/>
          <w:color w:val="000000"/>
          <w:sz w:val="24"/>
        </w:rPr>
        <w:t>118年)核定本及</w:t>
      </w:r>
      <w:r w:rsidR="007B2020" w:rsidRPr="007B014E">
        <w:rPr>
          <w:rFonts w:hint="eastAsia"/>
          <w:color w:val="000000"/>
          <w:sz w:val="24"/>
        </w:rPr>
        <w:t>公路局提供之資料</w:t>
      </w:r>
      <w:r w:rsidRPr="007B014E">
        <w:rPr>
          <w:rFonts w:hint="eastAsia"/>
          <w:color w:val="000000"/>
          <w:sz w:val="24"/>
        </w:rPr>
        <w:t>；本中心製表。</w:t>
      </w:r>
    </w:p>
    <w:p w:rsidR="00A24ED3" w:rsidRPr="007B014E" w:rsidRDefault="00A24ED3" w:rsidP="00A24ED3">
      <w:pPr>
        <w:pStyle w:val="a5"/>
        <w:overflowPunct w:val="0"/>
        <w:adjustRightInd w:val="0"/>
        <w:snapToGrid w:val="0"/>
        <w:ind w:left="849" w:hanging="283"/>
        <w:outlineLvl w:val="1"/>
        <w:rPr>
          <w:b/>
        </w:rPr>
      </w:pPr>
      <w:r w:rsidRPr="007B014E">
        <w:rPr>
          <w:rFonts w:hint="eastAsia"/>
          <w:b/>
        </w:rPr>
        <w:t>(一)</w:t>
      </w:r>
      <w:r w:rsidR="00E41A27" w:rsidRPr="007B014E">
        <w:rPr>
          <w:rFonts w:hint="eastAsia"/>
          <w:b/>
        </w:rPr>
        <w:t>TPASS執行計畫</w:t>
      </w:r>
      <w:r w:rsidRPr="007B014E">
        <w:rPr>
          <w:rFonts w:hint="eastAsia"/>
          <w:b/>
        </w:rPr>
        <w:t>由疫後特別預算移列，且經費需求龐鉅</w:t>
      </w:r>
      <w:r w:rsidRPr="007B014E">
        <w:rPr>
          <w:rFonts w:ascii="新細明體" w:eastAsia="新細明體" w:hAnsi="新細明體" w:hint="eastAsia"/>
          <w:b/>
        </w:rPr>
        <w:t>，</w:t>
      </w:r>
      <w:r w:rsidRPr="007B014E">
        <w:rPr>
          <w:rFonts w:hint="eastAsia"/>
          <w:b/>
        </w:rPr>
        <w:t>允宜</w:t>
      </w:r>
      <w:r w:rsidRPr="007B014E">
        <w:rPr>
          <w:rFonts w:hint="eastAsia"/>
          <w:b/>
        </w:rPr>
        <w:lastRenderedPageBreak/>
        <w:t>妥適規劃</w:t>
      </w:r>
      <w:r w:rsidRPr="007B014E">
        <w:rPr>
          <w:rFonts w:ascii="新細明體" w:eastAsia="新細明體" w:hAnsi="新細明體" w:hint="eastAsia"/>
          <w:b/>
        </w:rPr>
        <w:t>，</w:t>
      </w:r>
      <w:r w:rsidRPr="007B014E">
        <w:rPr>
          <w:rFonts w:hint="eastAsia"/>
          <w:b/>
        </w:rPr>
        <w:t>以提升公共運輸市占率</w:t>
      </w:r>
    </w:p>
    <w:p w:rsidR="00A24ED3" w:rsidRPr="007B014E" w:rsidRDefault="00A24ED3" w:rsidP="000A3DB7">
      <w:pPr>
        <w:pStyle w:val="21"/>
        <w:ind w:left="850" w:firstLine="566"/>
        <w:rPr>
          <w:rFonts w:hAnsi="標楷體"/>
        </w:rPr>
      </w:pPr>
      <w:r w:rsidRPr="007B014E">
        <w:rPr>
          <w:rFonts w:hint="eastAsia"/>
        </w:rPr>
        <w:t>行政院為建構人本交通便捷臺灣，推動生活圈通勤月票，藉由減輕民眾搭乘公共運輸通勤支出，吸引私人運具使用者移轉使用公共運輸</w:t>
      </w:r>
      <w:r w:rsidRPr="007B014E">
        <w:rPr>
          <w:rFonts w:ascii="新細明體" w:eastAsia="新細明體" w:hAnsi="新細明體" w:hint="eastAsia"/>
        </w:rPr>
        <w:t>，</w:t>
      </w:r>
      <w:r w:rsidRPr="007B014E">
        <w:rPr>
          <w:rFonts w:hint="eastAsia"/>
        </w:rPr>
        <w:t>由交通部規劃TPASS行政院通勤月票方案(以下簡稱TPASS月票)，並於疫後強化經濟與社會韌性及全民共享經濟成果特別預算(以下簡稱疫後特別預算)項下編列總經費200億元</w:t>
      </w:r>
      <w:r w:rsidRPr="007B014E">
        <w:rPr>
          <w:rFonts w:ascii="新細明體" w:eastAsia="新細明體" w:hAnsi="新細明體" w:hint="eastAsia"/>
        </w:rPr>
        <w:t>，</w:t>
      </w:r>
      <w:r w:rsidRPr="007B014E">
        <w:rPr>
          <w:rFonts w:hint="eastAsia"/>
        </w:rPr>
        <w:t>期程為112至114年度之政策</w:t>
      </w:r>
      <w:r w:rsidRPr="007B014E">
        <w:rPr>
          <w:rFonts w:ascii="新細明體" w:eastAsia="新細明體" w:hAnsi="新細明體" w:hint="eastAsia"/>
        </w:rPr>
        <w:t>，</w:t>
      </w:r>
      <w:r w:rsidRPr="007B014E">
        <w:rPr>
          <w:rFonts w:hint="eastAsia"/>
        </w:rPr>
        <w:t>委由公路局執行</w:t>
      </w:r>
      <w:r w:rsidRPr="007B014E">
        <w:rPr>
          <w:rFonts w:ascii="新細明體" w:eastAsia="新細明體" w:hAnsi="新細明體" w:hint="eastAsia"/>
        </w:rPr>
        <w:t>，</w:t>
      </w:r>
      <w:r w:rsidRPr="007B014E">
        <w:rPr>
          <w:rFonts w:hint="eastAsia"/>
        </w:rPr>
        <w:t>以中央主導、地方參與之合作模式，協助地方政府依市縣緊密程度及地區交通特性規劃推動月票措施</w:t>
      </w:r>
      <w:r w:rsidRPr="007B014E">
        <w:rPr>
          <w:rFonts w:hAnsi="標楷體" w:hint="eastAsia"/>
        </w:rPr>
        <w:t>。鑑於</w:t>
      </w:r>
      <w:r w:rsidRPr="007B014E">
        <w:rPr>
          <w:rFonts w:hint="eastAsia"/>
        </w:rPr>
        <w:t>疫後特別預算將於114年底屆期</w:t>
      </w:r>
      <w:r w:rsidRPr="007B014E">
        <w:rPr>
          <w:rFonts w:ascii="新細明體" w:eastAsia="新細明體" w:hAnsi="新細明體" w:hint="eastAsia"/>
        </w:rPr>
        <w:t>，</w:t>
      </w:r>
      <w:r w:rsidRPr="007B014E">
        <w:rPr>
          <w:rFonts w:hint="eastAsia"/>
        </w:rPr>
        <w:t>為精進TPASS月票服務，自115年度起移列由總預算納編，</w:t>
      </w:r>
      <w:r w:rsidR="00E41A27" w:rsidRPr="007B014E">
        <w:rPr>
          <w:rFonts w:hint="eastAsia"/>
        </w:rPr>
        <w:t>中央政府支應</w:t>
      </w:r>
      <w:r w:rsidRPr="007B014E">
        <w:rPr>
          <w:rFonts w:hint="eastAsia"/>
        </w:rPr>
        <w:t>總經費363.8億元</w:t>
      </w:r>
      <w:r w:rsidRPr="007B014E">
        <w:rPr>
          <w:rFonts w:ascii="新細明體" w:eastAsia="新細明體" w:hAnsi="新細明體" w:hint="eastAsia"/>
        </w:rPr>
        <w:t>，</w:t>
      </w:r>
      <w:r w:rsidRPr="007B014E">
        <w:rPr>
          <w:rFonts w:hint="eastAsia"/>
        </w:rPr>
        <w:t>分</w:t>
      </w:r>
      <w:r w:rsidR="00E41A27" w:rsidRPr="007B014E">
        <w:rPr>
          <w:rFonts w:hint="eastAsia"/>
        </w:rPr>
        <w:t>4</w:t>
      </w:r>
      <w:r w:rsidRPr="007B014E">
        <w:rPr>
          <w:rFonts w:hint="eastAsia"/>
        </w:rPr>
        <w:t>年執行(115至118年度)</w:t>
      </w:r>
      <w:r w:rsidRPr="007B014E">
        <w:rPr>
          <w:rFonts w:ascii="新細明體" w:eastAsia="新細明體" w:hAnsi="新細明體" w:hint="eastAsia"/>
        </w:rPr>
        <w:t>，</w:t>
      </w:r>
      <w:r w:rsidRPr="007B014E">
        <w:rPr>
          <w:rFonts w:hint="eastAsia"/>
        </w:rPr>
        <w:t>相較TPASS月票200億元</w:t>
      </w:r>
      <w:r w:rsidRPr="007B014E">
        <w:rPr>
          <w:rFonts w:ascii="新細明體" w:eastAsia="新細明體" w:hAnsi="新細明體" w:hint="eastAsia"/>
        </w:rPr>
        <w:t>，</w:t>
      </w:r>
      <w:r w:rsidRPr="007B014E">
        <w:rPr>
          <w:rFonts w:hint="eastAsia"/>
        </w:rPr>
        <w:t>增幅高達81.9%</w:t>
      </w:r>
      <w:r w:rsidRPr="007B014E">
        <w:rPr>
          <w:rFonts w:ascii="新細明體" w:eastAsia="新細明體" w:hAnsi="新細明體" w:hint="eastAsia"/>
        </w:rPr>
        <w:t>，</w:t>
      </w:r>
      <w:r w:rsidRPr="007B014E">
        <w:rPr>
          <w:rFonts w:hint="eastAsia"/>
        </w:rPr>
        <w:t>允宜妥適規劃，以提升公共運輸市占率。</w:t>
      </w:r>
    </w:p>
    <w:p w:rsidR="00A24ED3" w:rsidRPr="007B014E" w:rsidRDefault="00A24ED3" w:rsidP="00A24ED3">
      <w:pPr>
        <w:pStyle w:val="a5"/>
        <w:ind w:left="849" w:hanging="283"/>
        <w:outlineLvl w:val="1"/>
        <w:rPr>
          <w:b/>
          <w:bCs/>
        </w:rPr>
      </w:pPr>
      <w:r w:rsidRPr="007B014E">
        <w:rPr>
          <w:rFonts w:hint="eastAsia"/>
          <w:b/>
          <w:bCs/>
        </w:rPr>
        <w:t>(二)為持續促進公共運輸使用，並提供民眾更多元之優惠選擇方案</w:t>
      </w:r>
      <w:r w:rsidRPr="007B014E">
        <w:rPr>
          <w:rFonts w:ascii="新細明體" w:eastAsia="新細明體" w:hAnsi="新細明體" w:hint="eastAsia"/>
          <w:b/>
          <w:bCs/>
        </w:rPr>
        <w:t>，</w:t>
      </w:r>
      <w:r w:rsidRPr="007B014E">
        <w:rPr>
          <w:rFonts w:hint="eastAsia"/>
          <w:b/>
          <w:bCs/>
        </w:rPr>
        <w:t>推出TPASS2.0公共運輸常客優惠回饋</w:t>
      </w:r>
    </w:p>
    <w:p w:rsidR="00A24ED3" w:rsidRPr="007B014E" w:rsidRDefault="00A24ED3" w:rsidP="000A3DB7">
      <w:pPr>
        <w:pStyle w:val="21"/>
        <w:ind w:left="850" w:firstLine="566"/>
        <w:rPr>
          <w:rFonts w:hAnsi="標楷體" w:hint="eastAsia"/>
        </w:rPr>
      </w:pPr>
      <w:r w:rsidRPr="007B014E">
        <w:t>TPASS</w:t>
      </w:r>
      <w:r w:rsidRPr="007B014E">
        <w:rPr>
          <w:rFonts w:hint="eastAsia"/>
        </w:rPr>
        <w:t>月票</w:t>
      </w:r>
      <w:r w:rsidRPr="007B014E">
        <w:rPr>
          <w:rFonts w:hAnsi="標楷體" w:hint="eastAsia"/>
        </w:rPr>
        <w:t>自112年7月</w:t>
      </w:r>
      <w:r w:rsidRPr="007B014E">
        <w:t>實施以來，</w:t>
      </w:r>
      <w:r w:rsidRPr="007B014E">
        <w:rPr>
          <w:rFonts w:hint="eastAsia"/>
        </w:rPr>
        <w:t>全國有6個生活圈</w:t>
      </w:r>
      <w:r w:rsidRPr="007B014E">
        <w:rPr>
          <w:rFonts w:ascii="新細明體" w:eastAsia="新細明體" w:hAnsi="新細明體" w:hint="eastAsia"/>
        </w:rPr>
        <w:t>，</w:t>
      </w:r>
      <w:r w:rsidRPr="007B014E">
        <w:rPr>
          <w:rFonts w:hint="eastAsia"/>
        </w:rPr>
        <w:t>20個市縣(除金門縣、連江縣外)</w:t>
      </w:r>
      <w:r w:rsidRPr="007B014E">
        <w:rPr>
          <w:rFonts w:ascii="新細明體" w:eastAsia="新細明體" w:hAnsi="新細明體" w:hint="eastAsia"/>
        </w:rPr>
        <w:t>，</w:t>
      </w:r>
      <w:r w:rsidRPr="007B014E">
        <w:rPr>
          <w:rFonts w:hint="eastAsia"/>
        </w:rPr>
        <w:t>共推出30個月票方案，</w:t>
      </w:r>
      <w:r w:rsidR="00481713" w:rsidRPr="007B014E">
        <w:rPr>
          <w:rFonts w:hint="eastAsia"/>
        </w:rPr>
        <w:t>尚有</w:t>
      </w:r>
      <w:r w:rsidR="00FD6D5C" w:rsidRPr="007B014E">
        <w:rPr>
          <w:rFonts w:hint="eastAsia"/>
        </w:rPr>
        <w:t>雲</w:t>
      </w:r>
      <w:r w:rsidR="00FD6D5C" w:rsidRPr="007B014E">
        <w:rPr>
          <w:rFonts w:hint="eastAsia"/>
        </w:rPr>
        <w:lastRenderedPageBreak/>
        <w:t>嘉嘉南跨城際月票方案</w:t>
      </w:r>
      <w:r w:rsidR="00481713" w:rsidRPr="007B014E">
        <w:rPr>
          <w:rFonts w:hint="eastAsia"/>
        </w:rPr>
        <w:t>刻正</w:t>
      </w:r>
      <w:r w:rsidR="00FD6D5C" w:rsidRPr="007B014E">
        <w:rPr>
          <w:rFonts w:hint="eastAsia"/>
        </w:rPr>
        <w:t>規劃中</w:t>
      </w:r>
      <w:r w:rsidR="00FD6D5C" w:rsidRPr="007B014E">
        <w:rPr>
          <w:rFonts w:ascii="新細明體" w:eastAsia="新細明體" w:hAnsi="新細明體" w:hint="eastAsia"/>
        </w:rPr>
        <w:t>，</w:t>
      </w:r>
      <w:r w:rsidRPr="007B014E">
        <w:rPr>
          <w:rFonts w:hint="eastAsia"/>
        </w:rPr>
        <w:t>依各方案別有不同組合</w:t>
      </w:r>
      <w:r w:rsidRPr="007B014E">
        <w:rPr>
          <w:rFonts w:hAnsi="標楷體" w:hint="eastAsia"/>
        </w:rPr>
        <w:t>，</w:t>
      </w:r>
      <w:r w:rsidRPr="007B014E">
        <w:rPr>
          <w:rFonts w:hint="eastAsia"/>
        </w:rPr>
        <w:t>月票訂價介於199元至1</w:t>
      </w:r>
      <w:r w:rsidRPr="007B014E">
        <w:t>,800</w:t>
      </w:r>
      <w:r w:rsidRPr="007B014E">
        <w:rPr>
          <w:rFonts w:hint="eastAsia"/>
        </w:rPr>
        <w:t>元間，迄114年6月底止</w:t>
      </w:r>
      <w:r w:rsidRPr="007B014E">
        <w:rPr>
          <w:rFonts w:hAnsi="標楷體" w:hint="eastAsia"/>
        </w:rPr>
        <w:t>，已</w:t>
      </w:r>
      <w:r w:rsidRPr="007B014E">
        <w:rPr>
          <w:rFonts w:hint="eastAsia"/>
        </w:rPr>
        <w:t>累計加值購買民眾約有1,599.68萬人次</w:t>
      </w:r>
      <w:r w:rsidRPr="007B014E">
        <w:rPr>
          <w:rFonts w:hAnsi="標楷體" w:hint="eastAsia"/>
        </w:rPr>
        <w:t>，</w:t>
      </w:r>
      <w:r w:rsidRPr="007B014E">
        <w:rPr>
          <w:rFonts w:hint="eastAsia"/>
        </w:rPr>
        <w:t>使用通勤月票搭乘公車(含市區公車及公路客運)、捷運(含輕軌)、臺鐵、公共自行車及渡輪等各類公共運具約有</w:t>
      </w:r>
      <w:r w:rsidRPr="007B014E">
        <w:t>12</w:t>
      </w:r>
      <w:r w:rsidRPr="007B014E">
        <w:rPr>
          <w:rFonts w:hint="eastAsia"/>
        </w:rPr>
        <w:t>.</w:t>
      </w:r>
      <w:r w:rsidRPr="007B014E">
        <w:t>81</w:t>
      </w:r>
      <w:r w:rsidRPr="007B014E">
        <w:rPr>
          <w:rFonts w:hint="eastAsia"/>
        </w:rPr>
        <w:t>億人次(詳表2)</w:t>
      </w:r>
      <w:r w:rsidRPr="007B014E">
        <w:rPr>
          <w:rFonts w:hAnsi="標楷體" w:hint="eastAsia"/>
        </w:rPr>
        <w:t>。</w:t>
      </w:r>
    </w:p>
    <w:p w:rsidR="00A24ED3" w:rsidRPr="007B014E" w:rsidRDefault="00260CD9" w:rsidP="000A3DB7">
      <w:pPr>
        <w:pStyle w:val="21"/>
        <w:ind w:left="850" w:firstLine="566"/>
        <w:rPr>
          <w:rFonts w:hint="eastAsia"/>
        </w:rPr>
      </w:pPr>
      <w:r w:rsidRPr="007B014E">
        <w:rPr>
          <w:rFonts w:hAnsi="標楷體" w:hint="eastAsia"/>
        </w:rPr>
        <w:t>參據交通部1</w:t>
      </w:r>
      <w:r w:rsidR="00AC2F21" w:rsidRPr="007B014E">
        <w:rPr>
          <w:rFonts w:hAnsi="標楷體" w:hint="eastAsia"/>
        </w:rPr>
        <w:t>14</w:t>
      </w:r>
      <w:r w:rsidRPr="007B014E">
        <w:rPr>
          <w:rFonts w:hAnsi="標楷體" w:hint="eastAsia"/>
        </w:rPr>
        <w:t>年6月所公布之「1</w:t>
      </w:r>
      <w:r w:rsidR="00AC2F21" w:rsidRPr="007B014E">
        <w:rPr>
          <w:rFonts w:hAnsi="標楷體" w:hint="eastAsia"/>
        </w:rPr>
        <w:t>13</w:t>
      </w:r>
      <w:r w:rsidRPr="007B014E">
        <w:rPr>
          <w:rFonts w:hAnsi="標楷體" w:hint="eastAsia"/>
        </w:rPr>
        <w:t>年民眾日常使用運具狀況調查」，</w:t>
      </w:r>
      <w:r w:rsidR="00902945" w:rsidRPr="007B014E">
        <w:rPr>
          <w:rFonts w:hAnsi="標楷體" w:hint="eastAsia"/>
        </w:rPr>
        <w:t>113年我國運具次數之公共運輸市占率為15.2%，較111年調查結果之14.3%，增加0.9</w:t>
      </w:r>
      <w:r w:rsidR="00E41A27" w:rsidRPr="007B014E">
        <w:rPr>
          <w:rFonts w:hAnsi="標楷體" w:hint="eastAsia"/>
        </w:rPr>
        <w:t>個百分點</w:t>
      </w:r>
      <w:r w:rsidR="00902945" w:rsidRPr="007B014E">
        <w:rPr>
          <w:rFonts w:hAnsi="標楷體" w:hint="eastAsia"/>
        </w:rPr>
        <w:t>，惟仍未達109</w:t>
      </w:r>
      <w:r w:rsidR="00902945" w:rsidRPr="007B014E">
        <w:rPr>
          <w:rFonts w:hAnsi="標楷體" w:hint="eastAsia"/>
        </w:rPr>
        <w:lastRenderedPageBreak/>
        <w:t>年之16%水準</w:t>
      </w:r>
      <w:r w:rsidR="00902945" w:rsidRPr="007B014E">
        <w:rPr>
          <w:rStyle w:val="af9"/>
          <w:rFonts w:hAnsi="標楷體"/>
        </w:rPr>
        <w:footnoteReference w:id="1"/>
      </w:r>
      <w:r w:rsidRPr="007B014E">
        <w:rPr>
          <w:rFonts w:hAnsi="標楷體" w:hint="eastAsia"/>
        </w:rPr>
        <w:t>。</w:t>
      </w:r>
      <w:r w:rsidR="00902945" w:rsidRPr="007B014E">
        <w:rPr>
          <w:rFonts w:hint="eastAsia"/>
        </w:rPr>
        <w:t>該</w:t>
      </w:r>
      <w:r w:rsidR="00A24ED3" w:rsidRPr="007B014E">
        <w:t>部為持續促進公共運輸使用，並提供民眾更多元</w:t>
      </w:r>
      <w:r w:rsidR="00A24ED3" w:rsidRPr="007B014E">
        <w:rPr>
          <w:rFonts w:hint="eastAsia"/>
        </w:rPr>
        <w:t>之</w:t>
      </w:r>
      <w:r w:rsidR="00A24ED3" w:rsidRPr="007B014E">
        <w:t>優惠選擇方案，於</w:t>
      </w:r>
      <w:r w:rsidR="00A24ED3" w:rsidRPr="007B014E">
        <w:rPr>
          <w:rFonts w:hint="eastAsia"/>
        </w:rPr>
        <w:t>114年1月</w:t>
      </w:r>
      <w:r w:rsidR="00A24ED3" w:rsidRPr="007B014E">
        <w:t>14日宣佈TPASS2.0公共運輸常客優惠回饋正式啟動，可於</w:t>
      </w:r>
      <w:r w:rsidR="00A24ED3" w:rsidRPr="007B014E">
        <w:rPr>
          <w:rFonts w:hint="eastAsia"/>
        </w:rPr>
        <w:t>同</w:t>
      </w:r>
      <w:r w:rsidR="00A24ED3" w:rsidRPr="007B014E">
        <w:t>年3月25日</w:t>
      </w:r>
      <w:r w:rsidR="00A24ED3" w:rsidRPr="007B014E">
        <w:rPr>
          <w:rFonts w:hint="eastAsia"/>
        </w:rPr>
        <w:t>起開始</w:t>
      </w:r>
      <w:r w:rsidR="00A24ED3" w:rsidRPr="007B014E">
        <w:t>領取回饋金</w:t>
      </w:r>
      <w:r w:rsidR="00A24ED3" w:rsidRPr="007B014E">
        <w:rPr>
          <w:rFonts w:hint="eastAsia"/>
        </w:rPr>
        <w:t>，</w:t>
      </w:r>
      <w:r w:rsidR="00A24ED3" w:rsidRPr="007B014E">
        <w:t>截至6月底已完成登錄參與回饋之電子票證數</w:t>
      </w:r>
      <w:r w:rsidR="00A24ED3" w:rsidRPr="007B014E">
        <w:rPr>
          <w:rFonts w:hint="eastAsia"/>
        </w:rPr>
        <w:t>計</w:t>
      </w:r>
      <w:r w:rsidR="00A24ED3" w:rsidRPr="007B014E">
        <w:t>24萬1,899張</w:t>
      </w:r>
      <w:r w:rsidR="00A24ED3" w:rsidRPr="007B014E">
        <w:rPr>
          <w:rFonts w:ascii="新細明體" w:eastAsia="新細明體" w:hAnsi="新細明體" w:hint="eastAsia"/>
        </w:rPr>
        <w:t>，</w:t>
      </w:r>
      <w:r w:rsidR="00A24ED3" w:rsidRPr="007B014E">
        <w:rPr>
          <w:rFonts w:hint="eastAsia"/>
        </w:rPr>
        <w:t>2至5月累計回饋金</w:t>
      </w:r>
      <w:r w:rsidR="00A24ED3" w:rsidRPr="007B014E">
        <w:t>1,857</w:t>
      </w:r>
      <w:r w:rsidR="00A24ED3" w:rsidRPr="007B014E">
        <w:rPr>
          <w:rFonts w:hint="eastAsia"/>
        </w:rPr>
        <w:t>萬</w:t>
      </w:r>
      <w:r w:rsidR="00A24ED3" w:rsidRPr="007B014E">
        <w:t>4</w:t>
      </w:r>
      <w:r w:rsidR="00A24ED3" w:rsidRPr="007B014E">
        <w:rPr>
          <w:rFonts w:hint="eastAsia"/>
        </w:rPr>
        <w:t>千元(詳表</w:t>
      </w:r>
      <w:r w:rsidR="00481713" w:rsidRPr="007B014E">
        <w:rPr>
          <w:rFonts w:hint="eastAsia"/>
        </w:rPr>
        <w:t>3</w:t>
      </w:r>
      <w:r w:rsidR="00A24ED3" w:rsidRPr="007B014E">
        <w:rPr>
          <w:rFonts w:hint="eastAsia"/>
        </w:rPr>
        <w:t>)</w:t>
      </w:r>
      <w:r w:rsidR="00A24ED3" w:rsidRPr="007B014E">
        <w:t>。</w:t>
      </w:r>
    </w:p>
    <w:p w:rsidR="00A24ED3" w:rsidRPr="007B014E" w:rsidRDefault="00A24ED3" w:rsidP="000A3DB7">
      <w:pPr>
        <w:widowControl/>
        <w:overflowPunct w:val="0"/>
        <w:adjustRightInd w:val="0"/>
        <w:snapToGrid w:val="0"/>
        <w:spacing w:line="400" w:lineRule="exact"/>
        <w:ind w:leftChars="0" w:left="780" w:hangingChars="275" w:hanging="780"/>
        <w:jc w:val="left"/>
        <w:rPr>
          <w:rStyle w:val="143"/>
        </w:rPr>
      </w:pPr>
      <w:r w:rsidRPr="007B014E">
        <w:rPr>
          <w:rFonts w:hint="eastAsia"/>
          <w:b/>
          <w:bCs/>
        </w:rPr>
        <w:t>表</w:t>
      </w:r>
      <w:r w:rsidRPr="007B014E">
        <w:rPr>
          <w:rFonts w:hAnsi="標楷體" w:hint="eastAsia"/>
          <w:b/>
          <w:bCs/>
        </w:rPr>
        <w:t>2</w:t>
      </w:r>
      <w:r w:rsidRPr="007B014E">
        <w:rPr>
          <w:rFonts w:hint="eastAsia"/>
          <w:b/>
          <w:bCs/>
        </w:rPr>
        <w:t xml:space="preserve">　</w:t>
      </w:r>
      <w:bookmarkStart w:id="9" w:name="_Hlk170725591"/>
      <w:r w:rsidRPr="007B014E">
        <w:rPr>
          <w:rFonts w:hint="eastAsia"/>
          <w:b/>
          <w:bCs/>
        </w:rPr>
        <w:t>112年7月1日至114年6月底地方政府推動TPASS月票規劃及辦理情形</w:t>
      </w:r>
      <w:bookmarkEnd w:id="9"/>
      <w:r w:rsidRPr="007B014E">
        <w:rPr>
          <w:rFonts w:hint="eastAsia"/>
          <w:b/>
          <w:bCs/>
        </w:rPr>
        <w:t>概況表</w:t>
      </w:r>
      <w:r w:rsidRPr="007B014E">
        <w:rPr>
          <w:rFonts w:hint="eastAsia"/>
          <w:sz w:val="24"/>
          <w:szCs w:val="24"/>
        </w:rPr>
        <w:t xml:space="preserve">　　　　　　　　　　　　</w:t>
      </w:r>
      <w:r w:rsidR="00F40730" w:rsidRPr="007B014E">
        <w:rPr>
          <w:rFonts w:hint="eastAsia"/>
          <w:sz w:val="24"/>
          <w:szCs w:val="24"/>
        </w:rPr>
        <w:t xml:space="preserve">　</w:t>
      </w:r>
      <w:r w:rsidRPr="007B014E">
        <w:rPr>
          <w:rStyle w:val="143"/>
          <w:rFonts w:hint="eastAsia"/>
        </w:rPr>
        <w:t>單位</w:t>
      </w:r>
      <w:r w:rsidRPr="007B014E">
        <w:rPr>
          <w:rStyle w:val="143"/>
          <w:rFonts w:hAnsi="標楷體" w:hint="eastAsia"/>
        </w:rPr>
        <w:t>：</w:t>
      </w:r>
      <w:r w:rsidRPr="007B014E">
        <w:rPr>
          <w:rStyle w:val="143"/>
          <w:rFonts w:hint="eastAsia"/>
        </w:rPr>
        <w:t>新臺幣元</w:t>
      </w:r>
      <w:r w:rsidRPr="007B014E">
        <w:rPr>
          <w:rStyle w:val="143"/>
          <w:rFonts w:hAnsi="標楷體" w:hint="eastAsia"/>
        </w:rPr>
        <w:t>；萬</w:t>
      </w:r>
      <w:r w:rsidRPr="007B014E">
        <w:rPr>
          <w:rStyle w:val="143"/>
          <w:rFonts w:hint="eastAsia"/>
        </w:rPr>
        <w:t>人次</w:t>
      </w:r>
    </w:p>
    <w:tbl>
      <w:tblPr>
        <w:tblW w:w="8525" w:type="dxa"/>
        <w:tblInd w:w="94" w:type="dxa"/>
        <w:tblLayout w:type="fixed"/>
        <w:tblCellMar>
          <w:left w:w="10" w:type="dxa"/>
          <w:right w:w="10" w:type="dxa"/>
        </w:tblCellMar>
        <w:tblLook w:val="0000" w:firstRow="0" w:lastRow="0" w:firstColumn="0" w:lastColumn="0" w:noHBand="0" w:noVBand="0"/>
      </w:tblPr>
      <w:tblGrid>
        <w:gridCol w:w="794"/>
        <w:gridCol w:w="1710"/>
        <w:gridCol w:w="1640"/>
        <w:gridCol w:w="1456"/>
        <w:gridCol w:w="1385"/>
        <w:gridCol w:w="1540"/>
      </w:tblGrid>
      <w:tr w:rsidR="00A24ED3" w:rsidRPr="007B014E" w:rsidTr="000A3DB7">
        <w:tblPrEx>
          <w:tblCellMar>
            <w:top w:w="0" w:type="dxa"/>
            <w:bottom w:w="0" w:type="dxa"/>
          </w:tblCellMar>
        </w:tblPrEx>
        <w:trPr>
          <w:trHeight w:val="590"/>
          <w:tblHeader/>
        </w:trPr>
        <w:tc>
          <w:tcPr>
            <w:tcW w:w="794" w:type="dxa"/>
            <w:tcBorders>
              <w:top w:val="single" w:sz="12"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188" w:right="-137" w:firstLineChars="0" w:firstLine="0"/>
              <w:jc w:val="center"/>
              <w:rPr>
                <w:rFonts w:hAnsi="標楷體" w:cs="標楷體"/>
                <w:snapToGrid/>
                <w:spacing w:val="-20"/>
                <w:kern w:val="3"/>
                <w:sz w:val="24"/>
              </w:rPr>
            </w:pPr>
            <w:r w:rsidRPr="007B014E">
              <w:rPr>
                <w:rFonts w:hAnsi="標楷體" w:cs="標楷體"/>
                <w:snapToGrid/>
                <w:spacing w:val="-20"/>
                <w:kern w:val="3"/>
                <w:sz w:val="24"/>
              </w:rPr>
              <w:t>生活圈</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rPr>
              <w:t>/市縣</w:t>
            </w:r>
          </w:p>
        </w:tc>
        <w:tc>
          <w:tcPr>
            <w:tcW w:w="1710"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rPr>
              <w:t>計畫名稱</w:t>
            </w:r>
          </w:p>
        </w:tc>
        <w:tc>
          <w:tcPr>
            <w:tcW w:w="1640"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188" w:right="-137" w:firstLineChars="0" w:firstLine="0"/>
              <w:jc w:val="center"/>
              <w:rPr>
                <w:rFonts w:hAnsi="標楷體" w:cs="標楷體"/>
                <w:snapToGrid/>
                <w:spacing w:val="-20"/>
                <w:kern w:val="3"/>
                <w:sz w:val="24"/>
              </w:rPr>
            </w:pPr>
            <w:r w:rsidRPr="007B014E">
              <w:rPr>
                <w:rFonts w:hAnsi="標楷體" w:cs="標楷體"/>
                <w:snapToGrid/>
                <w:spacing w:val="-20"/>
                <w:kern w:val="3"/>
                <w:sz w:val="24"/>
              </w:rPr>
              <w:t>月票訂價</w:t>
            </w:r>
          </w:p>
        </w:tc>
        <w:tc>
          <w:tcPr>
            <w:tcW w:w="1456"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70" w:right="-118" w:firstLineChars="0" w:firstLine="0"/>
              <w:jc w:val="center"/>
              <w:rPr>
                <w:rFonts w:hAnsi="標楷體" w:cs="標楷體"/>
                <w:snapToGrid/>
                <w:spacing w:val="-20"/>
                <w:kern w:val="0"/>
                <w:sz w:val="24"/>
              </w:rPr>
            </w:pPr>
            <w:r w:rsidRPr="007B014E">
              <w:rPr>
                <w:rFonts w:hAnsi="標楷體" w:cs="標楷體"/>
                <w:snapToGrid/>
                <w:spacing w:val="-20"/>
                <w:kern w:val="0"/>
                <w:sz w:val="24"/>
              </w:rPr>
              <w:t>累計</w:t>
            </w:r>
          </w:p>
          <w:p w:rsidR="00A24ED3" w:rsidRPr="007B014E" w:rsidRDefault="00A24ED3" w:rsidP="00D601F0">
            <w:pPr>
              <w:suppressAutoHyphens/>
              <w:overflowPunct w:val="0"/>
              <w:autoSpaceDN w:val="0"/>
              <w:snapToGrid w:val="0"/>
              <w:spacing w:line="400" w:lineRule="exact"/>
              <w:ind w:leftChars="-42" w:left="1" w:right="-118" w:hangingChars="59" w:hanging="120"/>
              <w:jc w:val="center"/>
              <w:rPr>
                <w:rFonts w:hAnsi="標楷體" w:cs="標楷體"/>
                <w:snapToGrid/>
                <w:spacing w:val="-20"/>
                <w:kern w:val="0"/>
                <w:sz w:val="24"/>
              </w:rPr>
            </w:pPr>
            <w:r w:rsidRPr="007B014E">
              <w:rPr>
                <w:rFonts w:hAnsi="標楷體" w:cs="標楷體"/>
                <w:snapToGrid/>
                <w:spacing w:val="-20"/>
                <w:kern w:val="0"/>
                <w:sz w:val="24"/>
              </w:rPr>
              <w:t>加值購買人次</w:t>
            </w:r>
          </w:p>
        </w:tc>
        <w:tc>
          <w:tcPr>
            <w:tcW w:w="1385"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szCs w:val="24"/>
              </w:rPr>
            </w:pPr>
            <w:r w:rsidRPr="007B014E">
              <w:rPr>
                <w:rFonts w:hAnsi="標楷體" w:cs="標楷體"/>
                <w:snapToGrid/>
                <w:spacing w:val="-20"/>
                <w:kern w:val="3"/>
                <w:sz w:val="24"/>
                <w:szCs w:val="24"/>
              </w:rPr>
              <w:t>累計</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szCs w:val="24"/>
              </w:rPr>
              <w:t>使用人次</w:t>
            </w:r>
          </w:p>
        </w:tc>
        <w:tc>
          <w:tcPr>
            <w:tcW w:w="1540" w:type="dxa"/>
            <w:tcBorders>
              <w:top w:val="single" w:sz="12" w:space="0" w:color="000000"/>
              <w:left w:val="single" w:sz="4" w:space="0" w:color="000000"/>
              <w:bottom w:val="doub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rPr>
              <w:t>實施日期</w:t>
            </w:r>
          </w:p>
        </w:tc>
      </w:tr>
      <w:tr w:rsidR="00A24ED3" w:rsidRPr="007B014E" w:rsidTr="000A3DB7">
        <w:tblPrEx>
          <w:tblCellMar>
            <w:top w:w="0" w:type="dxa"/>
            <w:bottom w:w="0" w:type="dxa"/>
          </w:tblCellMar>
        </w:tblPrEx>
        <w:tc>
          <w:tcPr>
            <w:tcW w:w="794" w:type="dxa"/>
            <w:vMerge w:val="restart"/>
            <w:tcBorders>
              <w:top w:val="doub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基北</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北桃</w:t>
            </w:r>
          </w:p>
        </w:tc>
        <w:tc>
          <w:tcPr>
            <w:tcW w:w="1710"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基北北桃跨城際</w:t>
            </w:r>
          </w:p>
        </w:tc>
        <w:tc>
          <w:tcPr>
            <w:tcW w:w="1640"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1,200</w:t>
            </w:r>
          </w:p>
        </w:tc>
        <w:tc>
          <w:tcPr>
            <w:tcW w:w="1456" w:type="dxa"/>
            <w:tcBorders>
              <w:top w:val="doub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1,234.89</w:t>
            </w:r>
          </w:p>
        </w:tc>
        <w:tc>
          <w:tcPr>
            <w:tcW w:w="1385" w:type="dxa"/>
            <w:vMerge w:val="restart"/>
            <w:tcBorders>
              <w:top w:val="doub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108,794.90</w:t>
            </w:r>
          </w:p>
        </w:tc>
        <w:tc>
          <w:tcPr>
            <w:tcW w:w="1540" w:type="dxa"/>
            <w:tcBorders>
              <w:top w:val="double" w:sz="4" w:space="0" w:color="000000"/>
              <w:left w:val="single" w:sz="4" w:space="0" w:color="000000"/>
              <w:bottom w:val="single" w:sz="4" w:space="0" w:color="000000"/>
              <w:right w:val="single" w:sz="12"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tcBorders>
              <w:top w:val="doub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基隆市都市內</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288</w:t>
            </w:r>
          </w:p>
        </w:tc>
        <w:tc>
          <w:tcPr>
            <w:tcW w:w="1456" w:type="dxa"/>
            <w:tcBorders>
              <w:top w:val="single" w:sz="4" w:space="0" w:color="000000"/>
              <w:left w:val="single" w:sz="4" w:space="0" w:color="000000"/>
              <w:bottom w:val="single" w:sz="8"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9.67</w:t>
            </w:r>
          </w:p>
        </w:tc>
        <w:tc>
          <w:tcPr>
            <w:tcW w:w="1385" w:type="dxa"/>
            <w:vMerge/>
            <w:tcBorders>
              <w:top w:val="double" w:sz="4" w:space="0" w:color="000000"/>
              <w:left w:val="single" w:sz="4" w:space="0" w:color="000000"/>
              <w:bottom w:val="single" w:sz="8"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112.10.16</w:t>
            </w:r>
          </w:p>
        </w:tc>
      </w:tr>
      <w:tr w:rsidR="00A24ED3" w:rsidRPr="007B014E" w:rsidTr="000A3DB7">
        <w:tblPrEx>
          <w:tblCellMar>
            <w:top w:w="0" w:type="dxa"/>
            <w:bottom w:w="0" w:type="dxa"/>
          </w:tblCellMar>
        </w:tblPrEx>
        <w:trPr>
          <w:trHeight w:val="170"/>
        </w:trPr>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中彰</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投苗</w:t>
            </w:r>
          </w:p>
        </w:tc>
        <w:tc>
          <w:tcPr>
            <w:tcW w:w="1710"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中彰投苗跨城際</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999</w:t>
            </w:r>
          </w:p>
        </w:tc>
        <w:tc>
          <w:tcPr>
            <w:tcW w:w="1456" w:type="dxa"/>
            <w:vMerge w:val="restart"/>
            <w:tcBorders>
              <w:top w:val="single" w:sz="8"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17.87</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5,289.69</w:t>
            </w:r>
          </w:p>
        </w:tc>
        <w:tc>
          <w:tcPr>
            <w:tcW w:w="1540" w:type="dxa"/>
            <w:vMerge w:val="restart"/>
            <w:tcBorders>
              <w:top w:val="single" w:sz="8" w:space="0" w:color="000000"/>
              <w:left w:val="single" w:sz="4" w:space="0" w:color="000000"/>
              <w:bottom w:val="single" w:sz="4" w:space="0" w:color="000000"/>
              <w:right w:val="single" w:sz="12"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rPr>
          <w:trHeight w:val="169"/>
        </w:trPr>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(臺中市民)699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p>
        </w:tc>
      </w:tr>
      <w:tr w:rsidR="00A24ED3" w:rsidRPr="007B014E" w:rsidTr="000A3DB7">
        <w:tblPrEx>
          <w:tblCellMar>
            <w:top w:w="0" w:type="dxa"/>
            <w:bottom w:w="0" w:type="dxa"/>
          </w:tblCellMar>
        </w:tblPrEx>
        <w:trPr>
          <w:trHeight w:val="170"/>
        </w:trPr>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臺中市都市內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599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43.90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rPr>
          <w:trHeight w:val="169"/>
        </w:trPr>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(臺中市民)299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彰化市都市內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3.26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南投縣都市內</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699</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0.67</w:t>
            </w: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南</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高</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屏</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南高屏跨城際</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999</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27.20</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10,562.89</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臺南市都市內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21.43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112.05.31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(含臺鐵)399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112.05.31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高雄市都市內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150.15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112.04.28</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屏東縣都市內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10.24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112.06.15</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(含臺鐵)399</w:t>
            </w:r>
          </w:p>
        </w:tc>
        <w:tc>
          <w:tcPr>
            <w:tcW w:w="1456"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112.06.15</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桃</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竹</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竹</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苗</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桃竹竹苗跨城際</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1,200</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0.96</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2,336.83</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桃竹竹跨城際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799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15.64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竹竹苗跨城際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11.20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竹竹跨城際</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288</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20.51</w:t>
            </w: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C65136" w:rsidRPr="007B014E" w:rsidTr="004C0799">
        <w:tblPrEx>
          <w:tblCellMar>
            <w:top w:w="0" w:type="dxa"/>
            <w:bottom w:w="0" w:type="dxa"/>
          </w:tblCellMar>
        </w:tblPrEx>
        <w:tc>
          <w:tcPr>
            <w:tcW w:w="794" w:type="dxa"/>
            <w:vMerge w:val="restart"/>
            <w:tcBorders>
              <w:top w:val="single" w:sz="8"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雲</w:t>
            </w:r>
          </w:p>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嘉</w:t>
            </w:r>
          </w:p>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lastRenderedPageBreak/>
              <w:t>嘉</w:t>
            </w:r>
          </w:p>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hint="eastAsia"/>
                <w:snapToGrid/>
                <w:spacing w:val="-20"/>
                <w:kern w:val="3"/>
                <w:sz w:val="24"/>
              </w:rPr>
            </w:pPr>
            <w:r w:rsidRPr="007B014E">
              <w:rPr>
                <w:rFonts w:hAnsi="標楷體" w:cs="標楷體" w:hint="eastAsia"/>
                <w:snapToGrid/>
                <w:spacing w:val="-20"/>
                <w:kern w:val="3"/>
                <w:sz w:val="24"/>
              </w:rPr>
              <w:t>南</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lastRenderedPageBreak/>
              <w:t>雲林縣都市內</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199</w:t>
            </w:r>
          </w:p>
        </w:tc>
        <w:tc>
          <w:tcPr>
            <w:tcW w:w="145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3.59</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108.50</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112.12.26</w:t>
            </w:r>
          </w:p>
        </w:tc>
      </w:tr>
      <w:tr w:rsidR="00C65136" w:rsidRPr="007B014E" w:rsidTr="004C0799">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雲林縣跨城際月</w:t>
            </w:r>
            <w:r w:rsidRPr="007B014E">
              <w:rPr>
                <w:rFonts w:hAnsi="標楷體" w:cs="標楷體"/>
                <w:snapToGrid/>
                <w:spacing w:val="-20"/>
                <w:kern w:val="3"/>
                <w:sz w:val="24"/>
              </w:rPr>
              <w:lastRenderedPageBreak/>
              <w:t>票(臺鐵延伸)</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lastRenderedPageBreak/>
              <w:t>399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113.05.24</w:t>
            </w:r>
          </w:p>
        </w:tc>
      </w:tr>
      <w:tr w:rsidR="00C65136" w:rsidRPr="007B014E" w:rsidTr="00C65136">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嘉義縣市跨城際</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399</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4.31</w:t>
            </w:r>
          </w:p>
        </w:tc>
        <w:tc>
          <w:tcPr>
            <w:tcW w:w="1385"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211.36</w:t>
            </w: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113.01.02</w:t>
            </w:r>
          </w:p>
        </w:tc>
      </w:tr>
      <w:tr w:rsidR="00FD6D5C" w:rsidRPr="007B014E" w:rsidTr="004C0799">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spacing w:val="-20"/>
                <w:sz w:val="24"/>
              </w:rPr>
              <w:t>雲嘉嘉南跨城際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spacing w:val="-20"/>
                <w:sz w:val="24"/>
              </w:rPr>
              <w:t>(雲林縣)999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尚在規劃中</w:t>
            </w:r>
          </w:p>
        </w:tc>
      </w:tr>
      <w:tr w:rsidR="00FD6D5C" w:rsidRPr="007B014E" w:rsidTr="004C0799">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spacing w:val="-20"/>
                <w:sz w:val="24"/>
              </w:rPr>
              <w:t>(嘉義縣)999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尚在規劃中</w:t>
            </w:r>
          </w:p>
        </w:tc>
      </w:tr>
      <w:tr w:rsidR="00FD6D5C" w:rsidRPr="007B014E" w:rsidTr="004C0799">
        <w:tblPrEx>
          <w:tblCellMar>
            <w:top w:w="0" w:type="dxa"/>
            <w:bottom w:w="0" w:type="dxa"/>
          </w:tblCellMar>
        </w:tblPrEx>
        <w:tc>
          <w:tcPr>
            <w:tcW w:w="794" w:type="dxa"/>
            <w:vMerge/>
            <w:tcBorders>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spacing w:val="-20"/>
                <w:sz w:val="24"/>
              </w:rPr>
              <w:t>(臺南市)999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尚在規劃中</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宜</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花</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東</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宜蘭縣都市內</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750</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2.60</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616.88</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112.08.28</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北宜跨城際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1,800</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9.98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112.08.28</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北宜2300優化</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1,100</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1.31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113.09.05</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宜蘭縣3日券</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0.74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114.02.12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花蓮縣都市內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4.10</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101.16</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(含公路客運)399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臺東縣都市內</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385"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70.04</w:t>
            </w: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澎湖</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澎湖公車</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150</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2.13</w:t>
            </w:r>
          </w:p>
        </w:tc>
        <w:tc>
          <w:tcPr>
            <w:tcW w:w="1385" w:type="dxa"/>
            <w:vMerge w:val="restart"/>
            <w:tcBorders>
              <w:top w:val="single" w:sz="8"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50.76</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113.10.07</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澎湖車船</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400</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0.34</w:t>
            </w: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113.10.07</w:t>
            </w:r>
          </w:p>
        </w:tc>
      </w:tr>
      <w:tr w:rsidR="00A24ED3" w:rsidRPr="007B014E" w:rsidTr="000A3DB7">
        <w:tblPrEx>
          <w:tblCellMar>
            <w:top w:w="0" w:type="dxa"/>
            <w:bottom w:w="0" w:type="dxa"/>
          </w:tblCellMar>
        </w:tblPrEx>
        <w:tc>
          <w:tcPr>
            <w:tcW w:w="4144" w:type="dxa"/>
            <w:gridSpan w:val="3"/>
            <w:tcBorders>
              <w:top w:val="single" w:sz="8"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b/>
                <w:bCs/>
                <w:snapToGrid/>
                <w:spacing w:val="-20"/>
                <w:kern w:val="3"/>
                <w:sz w:val="24"/>
              </w:rPr>
            </w:pPr>
            <w:r w:rsidRPr="007B014E">
              <w:rPr>
                <w:rFonts w:hAnsi="標楷體" w:cs="標楷體" w:hint="eastAsia"/>
                <w:b/>
                <w:bCs/>
                <w:snapToGrid/>
                <w:spacing w:val="-20"/>
                <w:kern w:val="3"/>
                <w:sz w:val="24"/>
              </w:rPr>
              <w:t>合計</w:t>
            </w:r>
          </w:p>
        </w:tc>
        <w:tc>
          <w:tcPr>
            <w:tcW w:w="1456" w:type="dxa"/>
            <w:tcBorders>
              <w:top w:val="single" w:sz="8"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b/>
                <w:bCs/>
                <w:snapToGrid/>
                <w:spacing w:val="-20"/>
                <w:kern w:val="3"/>
                <w:sz w:val="24"/>
              </w:rPr>
            </w:pPr>
            <w:r w:rsidRPr="007B014E">
              <w:rPr>
                <w:rFonts w:hAnsi="標楷體" w:cs="標楷體"/>
                <w:b/>
                <w:bCs/>
                <w:snapToGrid/>
                <w:spacing w:val="-20"/>
                <w:kern w:val="3"/>
                <w:sz w:val="24"/>
              </w:rPr>
              <w:t>1,599.68</w:t>
            </w:r>
          </w:p>
        </w:tc>
        <w:tc>
          <w:tcPr>
            <w:tcW w:w="1385" w:type="dxa"/>
            <w:tcBorders>
              <w:top w:val="single" w:sz="8"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b/>
                <w:bCs/>
                <w:snapToGrid/>
                <w:spacing w:val="-20"/>
                <w:kern w:val="3"/>
                <w:sz w:val="24"/>
              </w:rPr>
            </w:pPr>
            <w:r w:rsidRPr="007B014E">
              <w:rPr>
                <w:rFonts w:hAnsi="標楷體" w:cs="標楷體"/>
                <w:b/>
                <w:bCs/>
                <w:snapToGrid/>
                <w:spacing w:val="-20"/>
                <w:kern w:val="3"/>
                <w:sz w:val="24"/>
              </w:rPr>
              <w:t>128,143.01</w:t>
            </w:r>
          </w:p>
        </w:tc>
        <w:tc>
          <w:tcPr>
            <w:tcW w:w="1540" w:type="dxa"/>
            <w:tcBorders>
              <w:top w:val="single" w:sz="8"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b/>
                <w:bCs/>
                <w:snapToGrid/>
                <w:spacing w:val="-20"/>
                <w:kern w:val="3"/>
                <w:sz w:val="24"/>
              </w:rPr>
            </w:pPr>
            <w:r w:rsidRPr="007B014E">
              <w:rPr>
                <w:rFonts w:hAnsi="標楷體" w:cs="標楷體" w:hint="eastAsia"/>
                <w:b/>
                <w:bCs/>
                <w:snapToGrid/>
                <w:spacing w:val="-20"/>
                <w:kern w:val="3"/>
                <w:sz w:val="24"/>
              </w:rPr>
              <w:t>-</w:t>
            </w:r>
          </w:p>
        </w:tc>
      </w:tr>
    </w:tbl>
    <w:p w:rsidR="00A24ED3" w:rsidRPr="007B014E" w:rsidRDefault="00A24ED3" w:rsidP="000A3DB7">
      <w:pPr>
        <w:pStyle w:val="142"/>
        <w:overflowPunct w:val="0"/>
        <w:adjustRightInd w:val="0"/>
        <w:snapToGrid w:val="0"/>
        <w:ind w:left="1155" w:hangingChars="475" w:hanging="1155"/>
        <w:jc w:val="both"/>
      </w:pPr>
      <w:r w:rsidRPr="007B014E">
        <w:rPr>
          <w:rFonts w:hint="eastAsia"/>
        </w:rPr>
        <w:t>說　　明：北宜2</w:t>
      </w:r>
      <w:r w:rsidRPr="007B014E">
        <w:t>,</w:t>
      </w:r>
      <w:r w:rsidRPr="007B014E">
        <w:rPr>
          <w:rFonts w:hint="eastAsia"/>
        </w:rPr>
        <w:t>300月票方案因系統建置成本考量，後續調整以身分綁定方式，提供民眾購買北宜1</w:t>
      </w:r>
      <w:r w:rsidRPr="007B014E">
        <w:t>,</w:t>
      </w:r>
      <w:r w:rsidRPr="007B014E">
        <w:rPr>
          <w:rFonts w:hint="eastAsia"/>
        </w:rPr>
        <w:t>800月票及基北北桃1</w:t>
      </w:r>
      <w:r w:rsidRPr="007B014E">
        <w:t>,</w:t>
      </w:r>
      <w:r w:rsidRPr="007B014E">
        <w:rPr>
          <w:rFonts w:hint="eastAsia"/>
        </w:rPr>
        <w:t>200月票，另折扣700元方式辦理。</w:t>
      </w:r>
    </w:p>
    <w:p w:rsidR="00A24ED3" w:rsidRPr="007B014E" w:rsidRDefault="00A24ED3" w:rsidP="000A3DB7">
      <w:pPr>
        <w:pStyle w:val="142"/>
        <w:overflowPunct w:val="0"/>
        <w:adjustRightInd w:val="0"/>
        <w:snapToGrid w:val="0"/>
        <w:ind w:left="1216" w:hangingChars="500" w:hanging="1216"/>
        <w:jc w:val="both"/>
      </w:pPr>
      <w:r w:rsidRPr="007B014E">
        <w:rPr>
          <w:rFonts w:hint="eastAsia"/>
        </w:rPr>
        <w:t>資料來源：公路局提供之資料；本中心製表。</w:t>
      </w:r>
    </w:p>
    <w:p w:rsidR="00A24ED3" w:rsidRPr="007B014E" w:rsidRDefault="00447AFA" w:rsidP="000A3DB7">
      <w:pPr>
        <w:widowControl/>
        <w:overflowPunct w:val="0"/>
        <w:adjustRightInd w:val="0"/>
        <w:snapToGrid w:val="0"/>
        <w:spacing w:line="400" w:lineRule="exact"/>
        <w:ind w:leftChars="0" w:left="780" w:hangingChars="275" w:hanging="780"/>
        <w:jc w:val="left"/>
        <w:rPr>
          <w:rStyle w:val="143"/>
          <w:rFonts w:hAnsi="標楷體"/>
        </w:rPr>
      </w:pPr>
      <w:r>
        <w:rPr>
          <w:b/>
          <w:bCs/>
        </w:rPr>
        <w:br w:type="page"/>
      </w:r>
      <w:r w:rsidR="00A24ED3" w:rsidRPr="007B014E">
        <w:rPr>
          <w:rFonts w:hint="eastAsia"/>
          <w:b/>
          <w:bCs/>
        </w:rPr>
        <w:lastRenderedPageBreak/>
        <w:t>表</w:t>
      </w:r>
      <w:r w:rsidR="00260CD9" w:rsidRPr="007B014E">
        <w:rPr>
          <w:rFonts w:hAnsi="標楷體"/>
          <w:b/>
          <w:bCs/>
        </w:rPr>
        <w:t>3</w:t>
      </w:r>
      <w:r w:rsidR="00A24ED3" w:rsidRPr="007B014E">
        <w:rPr>
          <w:rFonts w:hint="eastAsia"/>
          <w:b/>
          <w:bCs/>
        </w:rPr>
        <w:t xml:space="preserve">　114年1月14日至6月底止推動TPASS2.0常客優惠規劃及辦理情形概況表</w:t>
      </w:r>
      <w:r w:rsidR="00A24ED3" w:rsidRPr="007B014E">
        <w:rPr>
          <w:rFonts w:hint="eastAsia"/>
          <w:sz w:val="24"/>
          <w:szCs w:val="24"/>
        </w:rPr>
        <w:t xml:space="preserve">　　　　　　　　　　　　　　　</w:t>
      </w:r>
      <w:r w:rsidR="00F40730" w:rsidRPr="007B014E">
        <w:rPr>
          <w:rFonts w:hint="eastAsia"/>
          <w:sz w:val="24"/>
          <w:szCs w:val="24"/>
        </w:rPr>
        <w:t xml:space="preserve">　</w:t>
      </w:r>
      <w:r w:rsidR="00A24ED3" w:rsidRPr="007B014E">
        <w:rPr>
          <w:rStyle w:val="143"/>
          <w:rFonts w:hint="eastAsia"/>
        </w:rPr>
        <w:t>單位</w:t>
      </w:r>
      <w:r w:rsidR="00A24ED3" w:rsidRPr="007B014E">
        <w:rPr>
          <w:rStyle w:val="143"/>
          <w:rFonts w:hAnsi="標楷體" w:hint="eastAsia"/>
        </w:rPr>
        <w:t>：</w:t>
      </w:r>
      <w:r w:rsidR="00A24ED3" w:rsidRPr="007B014E">
        <w:rPr>
          <w:rStyle w:val="143"/>
          <w:rFonts w:hint="eastAsia"/>
        </w:rPr>
        <w:t>新臺幣千元</w:t>
      </w:r>
      <w:r w:rsidR="00A24ED3" w:rsidRPr="007B014E">
        <w:rPr>
          <w:rStyle w:val="143"/>
          <w:rFonts w:hAnsi="標楷體" w:hint="eastAsia"/>
        </w:rPr>
        <w:t>；張</w:t>
      </w:r>
    </w:p>
    <w:tbl>
      <w:tblPr>
        <w:tblW w:w="8511" w:type="dxa"/>
        <w:tblInd w:w="108" w:type="dxa"/>
        <w:tblLayout w:type="fixed"/>
        <w:tblCellMar>
          <w:left w:w="10" w:type="dxa"/>
          <w:right w:w="10" w:type="dxa"/>
        </w:tblCellMar>
        <w:tblLook w:val="0000" w:firstRow="0" w:lastRow="0" w:firstColumn="0" w:lastColumn="0" w:noHBand="0" w:noVBand="0"/>
      </w:tblPr>
      <w:tblGrid>
        <w:gridCol w:w="1764"/>
        <w:gridCol w:w="2205"/>
        <w:gridCol w:w="1728"/>
        <w:gridCol w:w="1036"/>
        <w:gridCol w:w="1778"/>
      </w:tblGrid>
      <w:tr w:rsidR="00A24ED3" w:rsidRPr="007B014E" w:rsidTr="000A3DB7">
        <w:tblPrEx>
          <w:tblCellMar>
            <w:top w:w="0" w:type="dxa"/>
            <w:bottom w:w="0" w:type="dxa"/>
          </w:tblCellMar>
        </w:tblPrEx>
        <w:trPr>
          <w:trHeight w:val="688"/>
          <w:tblHeader/>
        </w:trPr>
        <w:tc>
          <w:tcPr>
            <w:tcW w:w="1764" w:type="dxa"/>
            <w:tcBorders>
              <w:top w:val="single" w:sz="12"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回饋項目</w:t>
            </w:r>
          </w:p>
        </w:tc>
        <w:tc>
          <w:tcPr>
            <w:tcW w:w="2205" w:type="dxa"/>
            <w:tcBorders>
              <w:top w:val="single" w:sz="12"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搭乘運具</w:t>
            </w:r>
          </w:p>
        </w:tc>
        <w:tc>
          <w:tcPr>
            <w:tcW w:w="1728"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回饋條件</w:t>
            </w:r>
          </w:p>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(單月搭乘次數)</w:t>
            </w:r>
          </w:p>
        </w:tc>
        <w:tc>
          <w:tcPr>
            <w:tcW w:w="1036"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回饋</w:t>
            </w:r>
          </w:p>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比例</w:t>
            </w:r>
          </w:p>
        </w:tc>
        <w:tc>
          <w:tcPr>
            <w:tcW w:w="1778" w:type="dxa"/>
            <w:tcBorders>
              <w:top w:val="single" w:sz="12" w:space="0" w:color="000000"/>
              <w:left w:val="single" w:sz="4" w:space="0" w:color="000000"/>
              <w:bottom w:val="doub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hint="eastAsia"/>
                <w:bCs/>
                <w:color w:val="000000"/>
                <w:spacing w:val="-20"/>
                <w:kern w:val="0"/>
                <w:sz w:val="24"/>
                <w:szCs w:val="24"/>
              </w:rPr>
              <w:t>1</w:t>
            </w:r>
            <w:r w:rsidRPr="007B014E">
              <w:rPr>
                <w:rFonts w:hAnsi="標楷體" w:cs="標楷體"/>
                <w:bCs/>
                <w:color w:val="000000"/>
                <w:spacing w:val="-20"/>
                <w:kern w:val="0"/>
                <w:sz w:val="24"/>
                <w:szCs w:val="24"/>
              </w:rPr>
              <w:t>14</w:t>
            </w:r>
            <w:r w:rsidRPr="007B014E">
              <w:rPr>
                <w:rFonts w:hAnsi="標楷體" w:cs="標楷體" w:hint="eastAsia"/>
                <w:bCs/>
                <w:color w:val="000000"/>
                <w:spacing w:val="-20"/>
                <w:kern w:val="0"/>
                <w:sz w:val="24"/>
                <w:szCs w:val="24"/>
              </w:rPr>
              <w:t>年2至5月</w:t>
            </w:r>
          </w:p>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hint="eastAsia"/>
                <w:bCs/>
                <w:color w:val="000000"/>
                <w:spacing w:val="-20"/>
                <w:kern w:val="0"/>
                <w:sz w:val="24"/>
                <w:szCs w:val="24"/>
              </w:rPr>
            </w:pPr>
            <w:r w:rsidRPr="007B014E">
              <w:rPr>
                <w:rFonts w:hAnsi="標楷體" w:cs="標楷體" w:hint="eastAsia"/>
                <w:bCs/>
                <w:color w:val="000000"/>
                <w:spacing w:val="-20"/>
                <w:kern w:val="0"/>
                <w:sz w:val="24"/>
                <w:szCs w:val="24"/>
              </w:rPr>
              <w:t>累計回饋金</w:t>
            </w:r>
          </w:p>
        </w:tc>
      </w:tr>
      <w:tr w:rsidR="00A24ED3" w:rsidRPr="007B014E" w:rsidTr="000A3DB7">
        <w:tblPrEx>
          <w:tblCellMar>
            <w:top w:w="0" w:type="dxa"/>
            <w:bottom w:w="0" w:type="dxa"/>
          </w:tblCellMar>
        </w:tblPrEx>
        <w:tc>
          <w:tcPr>
            <w:tcW w:w="1764" w:type="dxa"/>
            <w:vMerge w:val="restart"/>
            <w:tcBorders>
              <w:top w:val="doub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基本回饋</w:t>
            </w:r>
          </w:p>
        </w:tc>
        <w:tc>
          <w:tcPr>
            <w:tcW w:w="2205"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國道客運、公路客運、市區公車</w:t>
            </w:r>
          </w:p>
        </w:tc>
        <w:tc>
          <w:tcPr>
            <w:tcW w:w="1728"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w:t>
            </w:r>
            <w:r w:rsidRPr="007B014E">
              <w:rPr>
                <w:rFonts w:hAnsi="標楷體" w:cs="標楷體" w:hint="eastAsia"/>
                <w:bCs/>
                <w:color w:val="000000"/>
                <w:spacing w:val="-20"/>
                <w:kern w:val="0"/>
                <w:sz w:val="24"/>
                <w:szCs w:val="24"/>
              </w:rPr>
              <w:t>至</w:t>
            </w:r>
            <w:r w:rsidRPr="007B014E">
              <w:rPr>
                <w:rFonts w:hAnsi="標楷體" w:cs="標楷體"/>
                <w:bCs/>
                <w:color w:val="000000"/>
                <w:spacing w:val="-20"/>
                <w:kern w:val="0"/>
                <w:sz w:val="24"/>
                <w:szCs w:val="24"/>
              </w:rPr>
              <w:t>30次</w:t>
            </w:r>
          </w:p>
        </w:tc>
        <w:tc>
          <w:tcPr>
            <w:tcW w:w="1036"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15%</w:t>
            </w:r>
          </w:p>
        </w:tc>
        <w:tc>
          <w:tcPr>
            <w:tcW w:w="1778" w:type="dxa"/>
            <w:tcBorders>
              <w:top w:val="doub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3,485</w:t>
            </w:r>
          </w:p>
        </w:tc>
      </w:tr>
      <w:tr w:rsidR="00A24ED3" w:rsidRPr="007B014E" w:rsidTr="000A3DB7">
        <w:tblPrEx>
          <w:tblCellMar>
            <w:top w:w="0" w:type="dxa"/>
            <w:bottom w:w="0" w:type="dxa"/>
          </w:tblCellMar>
        </w:tblPrEx>
        <w:trPr>
          <w:trHeight w:val="48"/>
        </w:trPr>
        <w:tc>
          <w:tcPr>
            <w:tcW w:w="176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22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31次以上</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30%</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9,621</w:t>
            </w:r>
          </w:p>
        </w:tc>
      </w:tr>
      <w:tr w:rsidR="00A24ED3" w:rsidRPr="007B014E" w:rsidTr="000A3DB7">
        <w:tblPrEx>
          <w:tblCellMar>
            <w:top w:w="0" w:type="dxa"/>
            <w:bottom w:w="0" w:type="dxa"/>
          </w:tblCellMar>
        </w:tblPrEx>
        <w:tc>
          <w:tcPr>
            <w:tcW w:w="1764"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軌道加碼回饋</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臺鐵</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11次以上</w:t>
            </w:r>
          </w:p>
        </w:tc>
        <w:tc>
          <w:tcPr>
            <w:tcW w:w="10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各加碼2%</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423</w:t>
            </w:r>
          </w:p>
        </w:tc>
      </w:tr>
      <w:tr w:rsidR="00A24ED3" w:rsidRPr="007B014E" w:rsidTr="000A3DB7">
        <w:tblPrEx>
          <w:tblCellMar>
            <w:top w:w="0" w:type="dxa"/>
            <w:bottom w:w="0" w:type="dxa"/>
          </w:tblCellMar>
        </w:tblPrEx>
        <w:tc>
          <w:tcPr>
            <w:tcW w:w="176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臺北捷運</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11次以上</w:t>
            </w:r>
          </w:p>
        </w:tc>
        <w:tc>
          <w:tcPr>
            <w:tcW w:w="1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center"/>
              <w:rPr>
                <w:rFonts w:ascii="Calibri" w:hAnsi="Calibri"/>
                <w:spacing w:val="-20"/>
                <w:kern w:val="0"/>
                <w:sz w:val="24"/>
                <w:szCs w:val="22"/>
              </w:rPr>
            </w:pP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3,116</w:t>
            </w:r>
          </w:p>
        </w:tc>
      </w:tr>
      <w:tr w:rsidR="00A24ED3" w:rsidRPr="007B014E" w:rsidTr="000A3DB7">
        <w:tblPrEx>
          <w:tblCellMar>
            <w:top w:w="0" w:type="dxa"/>
            <w:bottom w:w="0" w:type="dxa"/>
          </w:tblCellMar>
        </w:tblPrEx>
        <w:tc>
          <w:tcPr>
            <w:tcW w:w="176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新北捷運</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11次以上</w:t>
            </w:r>
          </w:p>
        </w:tc>
        <w:tc>
          <w:tcPr>
            <w:tcW w:w="1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center"/>
              <w:rPr>
                <w:rFonts w:ascii="Calibri" w:hAnsi="Calibri"/>
                <w:spacing w:val="-20"/>
                <w:kern w:val="0"/>
                <w:sz w:val="24"/>
                <w:szCs w:val="22"/>
              </w:rPr>
            </w:pP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7</w:t>
            </w:r>
          </w:p>
        </w:tc>
      </w:tr>
      <w:tr w:rsidR="00A24ED3" w:rsidRPr="007B014E" w:rsidTr="000A3DB7">
        <w:tblPrEx>
          <w:tblCellMar>
            <w:top w:w="0" w:type="dxa"/>
            <w:bottom w:w="0" w:type="dxa"/>
          </w:tblCellMar>
        </w:tblPrEx>
        <w:tc>
          <w:tcPr>
            <w:tcW w:w="176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早鳥專屬</w:t>
            </w:r>
          </w:p>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行政院加碼回饋</w:t>
            </w:r>
          </w:p>
        </w:tc>
        <w:tc>
          <w:tcPr>
            <w:tcW w:w="39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203" w:hangingChars="100" w:hanging="203"/>
              <w:rPr>
                <w:rFonts w:hAnsi="標楷體" w:cs="標楷體"/>
                <w:spacing w:val="-20"/>
                <w:kern w:val="0"/>
                <w:sz w:val="24"/>
                <w:szCs w:val="24"/>
              </w:rPr>
            </w:pPr>
            <w:r w:rsidRPr="007B014E">
              <w:rPr>
                <w:rFonts w:hAnsi="標楷體" w:cs="標楷體"/>
                <w:spacing w:val="-20"/>
                <w:kern w:val="0"/>
                <w:sz w:val="24"/>
                <w:szCs w:val="24"/>
              </w:rPr>
              <w:t>1.購買持TPASS2.0電子票證，並於114年3月31日前完成登錄參與回饋</w:t>
            </w:r>
            <w:r w:rsidRPr="007B014E">
              <w:rPr>
                <w:rFonts w:hAnsi="標楷體" w:cs="標楷體" w:hint="eastAsia"/>
                <w:spacing w:val="-20"/>
                <w:kern w:val="0"/>
                <w:sz w:val="24"/>
                <w:szCs w:val="24"/>
              </w:rPr>
              <w:t>。</w:t>
            </w:r>
          </w:p>
          <w:p w:rsidR="00A24ED3" w:rsidRPr="007B014E" w:rsidRDefault="00A24ED3" w:rsidP="000A3DB7">
            <w:pPr>
              <w:suppressAutoHyphens/>
              <w:autoSpaceDN w:val="0"/>
              <w:adjustRightInd w:val="0"/>
              <w:snapToGrid w:val="0"/>
              <w:spacing w:line="400" w:lineRule="exact"/>
              <w:ind w:leftChars="0" w:left="203" w:hangingChars="100" w:hanging="203"/>
              <w:rPr>
                <w:rFonts w:hAnsi="標楷體" w:cs="標楷體"/>
                <w:spacing w:val="-20"/>
                <w:kern w:val="0"/>
              </w:rPr>
            </w:pPr>
            <w:r w:rsidRPr="007B014E">
              <w:rPr>
                <w:rFonts w:hAnsi="標楷體" w:cs="標楷體"/>
                <w:spacing w:val="-20"/>
                <w:kern w:val="0"/>
                <w:sz w:val="24"/>
                <w:szCs w:val="24"/>
              </w:rPr>
              <w:t>2.持登錄參與回饋之TPASS2.0電子票證搭乘公共運輸，並達成基本回饋或軌道加碼回饋條件者</w:t>
            </w:r>
            <w:r w:rsidRPr="007B014E">
              <w:rPr>
                <w:rFonts w:hAnsi="標楷體" w:cs="標楷體" w:hint="eastAsia"/>
                <w:spacing w:val="-20"/>
                <w:kern w:val="0"/>
                <w:sz w:val="24"/>
                <w:szCs w:val="24"/>
              </w:rPr>
              <w:t>。</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加碼10%</w:t>
            </w:r>
          </w:p>
        </w:tc>
        <w:tc>
          <w:tcPr>
            <w:tcW w:w="1778" w:type="dxa"/>
            <w:tcBorders>
              <w:top w:val="single" w:sz="4" w:space="0" w:color="000000"/>
              <w:left w:val="single" w:sz="4" w:space="0" w:color="000000"/>
              <w:bottom w:val="single" w:sz="4" w:space="0" w:color="000000"/>
              <w:right w:val="single" w:sz="12" w:space="0" w:color="000000"/>
            </w:tcBorders>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hint="eastAsia"/>
                <w:bCs/>
                <w:color w:val="000000"/>
                <w:spacing w:val="-20"/>
                <w:kern w:val="0"/>
                <w:sz w:val="24"/>
                <w:szCs w:val="24"/>
              </w:rPr>
              <w:t>併入前揭回饋條件計算</w:t>
            </w:r>
          </w:p>
        </w:tc>
      </w:tr>
      <w:tr w:rsidR="00A24ED3" w:rsidRPr="007B014E" w:rsidTr="000A3DB7">
        <w:tblPrEx>
          <w:tblCellMar>
            <w:top w:w="0" w:type="dxa"/>
            <w:bottom w:w="0" w:type="dxa"/>
          </w:tblCellMar>
        </w:tblPrEx>
        <w:tc>
          <w:tcPr>
            <w:tcW w:w="176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記名回饋</w:t>
            </w:r>
          </w:p>
        </w:tc>
        <w:tc>
          <w:tcPr>
            <w:tcW w:w="49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回饋100元</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20" w:right="57"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1,92</w:t>
            </w:r>
            <w:r w:rsidRPr="007B014E">
              <w:rPr>
                <w:rFonts w:hAnsi="標楷體" w:cs="標楷體" w:hint="eastAsia"/>
                <w:bCs/>
                <w:color w:val="000000"/>
                <w:spacing w:val="-20"/>
                <w:kern w:val="0"/>
                <w:sz w:val="24"/>
                <w:szCs w:val="24"/>
              </w:rPr>
              <w:t>2</w:t>
            </w:r>
          </w:p>
        </w:tc>
      </w:tr>
      <w:tr w:rsidR="00A24ED3" w:rsidRPr="007B014E" w:rsidTr="000A3DB7">
        <w:tblPrEx>
          <w:tblCellMar>
            <w:top w:w="0" w:type="dxa"/>
            <w:bottom w:w="0" w:type="dxa"/>
          </w:tblCellMar>
        </w:tblPrEx>
        <w:tc>
          <w:tcPr>
            <w:tcW w:w="6733"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hint="eastAsia"/>
                <w:bCs/>
                <w:color w:val="000000"/>
                <w:spacing w:val="-20"/>
                <w:kern w:val="0"/>
                <w:sz w:val="24"/>
                <w:szCs w:val="24"/>
              </w:rPr>
              <w:t>合計</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hint="eastAsia"/>
                <w:bCs/>
                <w:color w:val="000000"/>
                <w:spacing w:val="-20"/>
                <w:kern w:val="0"/>
                <w:sz w:val="24"/>
                <w:szCs w:val="24"/>
              </w:rPr>
            </w:pPr>
            <w:r w:rsidRPr="007B014E">
              <w:rPr>
                <w:rFonts w:hAnsi="標楷體" w:cs="標楷體" w:hint="eastAsia"/>
                <w:bCs/>
                <w:color w:val="000000"/>
                <w:spacing w:val="-20"/>
                <w:kern w:val="0"/>
                <w:sz w:val="24"/>
                <w:szCs w:val="24"/>
              </w:rPr>
              <w:t>18,574</w:t>
            </w:r>
          </w:p>
        </w:tc>
      </w:tr>
      <w:tr w:rsidR="00A24ED3" w:rsidRPr="007B014E" w:rsidTr="000A3DB7">
        <w:tblPrEx>
          <w:tblCellMar>
            <w:top w:w="0" w:type="dxa"/>
            <w:bottom w:w="0" w:type="dxa"/>
          </w:tblCellMar>
        </w:tblPrEx>
        <w:tc>
          <w:tcPr>
            <w:tcW w:w="8511" w:type="dxa"/>
            <w:gridSpan w:val="5"/>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kern w:val="0"/>
                <w:sz w:val="24"/>
                <w:szCs w:val="24"/>
              </w:rPr>
            </w:pPr>
            <w:r w:rsidRPr="007B014E">
              <w:rPr>
                <w:rFonts w:hAnsi="標楷體" w:cs="標楷體"/>
                <w:bCs/>
                <w:color w:val="000000"/>
                <w:kern w:val="0"/>
                <w:sz w:val="24"/>
                <w:szCs w:val="24"/>
              </w:rPr>
              <w:t>截至114年6月底已完成登錄參與回饋之電子票證數24</w:t>
            </w:r>
            <w:r w:rsidRPr="007B014E">
              <w:rPr>
                <w:rFonts w:hAnsi="標楷體" w:cs="標楷體" w:hint="eastAsia"/>
                <w:bCs/>
                <w:color w:val="000000"/>
                <w:kern w:val="0"/>
                <w:sz w:val="24"/>
                <w:szCs w:val="24"/>
              </w:rPr>
              <w:t>萬</w:t>
            </w:r>
            <w:r w:rsidRPr="007B014E">
              <w:rPr>
                <w:rFonts w:hAnsi="標楷體" w:cs="標楷體"/>
                <w:bCs/>
                <w:color w:val="000000"/>
                <w:kern w:val="0"/>
                <w:sz w:val="24"/>
                <w:szCs w:val="24"/>
              </w:rPr>
              <w:t>1,899張</w:t>
            </w:r>
          </w:p>
        </w:tc>
      </w:tr>
    </w:tbl>
    <w:p w:rsidR="00A24ED3" w:rsidRPr="007B014E" w:rsidRDefault="00A24ED3" w:rsidP="000A3DB7">
      <w:pPr>
        <w:suppressAutoHyphens/>
        <w:autoSpaceDN w:val="0"/>
        <w:adjustRightInd w:val="0"/>
        <w:snapToGrid w:val="0"/>
        <w:spacing w:line="280" w:lineRule="exact"/>
        <w:ind w:leftChars="0" w:left="0" w:firstLineChars="0" w:firstLine="0"/>
      </w:pPr>
      <w:r w:rsidRPr="007B014E">
        <w:rPr>
          <w:rFonts w:hint="eastAsia"/>
          <w:sz w:val="24"/>
        </w:rPr>
        <w:t>說　　明：</w:t>
      </w:r>
      <w:r w:rsidRPr="007B014E">
        <w:rPr>
          <w:sz w:val="24"/>
        </w:rPr>
        <w:t>記名回饋</w:t>
      </w:r>
      <w:r w:rsidRPr="007B014E">
        <w:rPr>
          <w:rFonts w:hint="eastAsia"/>
          <w:sz w:val="24"/>
        </w:rPr>
        <w:t>金之金額</w:t>
      </w:r>
      <w:r w:rsidRPr="007B014E">
        <w:rPr>
          <w:rFonts w:ascii="新細明體" w:eastAsia="新細明體" w:hAnsi="新細明體" w:hint="eastAsia"/>
          <w:sz w:val="24"/>
        </w:rPr>
        <w:t>，</w:t>
      </w:r>
      <w:r w:rsidRPr="007B014E">
        <w:rPr>
          <w:rFonts w:hint="eastAsia"/>
          <w:sz w:val="24"/>
        </w:rPr>
        <w:t>係以記名登錄張數推估</w:t>
      </w:r>
      <w:r w:rsidRPr="007B014E">
        <w:rPr>
          <w:rFonts w:hint="eastAsia"/>
        </w:rPr>
        <w:t>。</w:t>
      </w:r>
    </w:p>
    <w:p w:rsidR="00A24ED3" w:rsidRPr="007B014E" w:rsidRDefault="00A24ED3" w:rsidP="000A3DB7">
      <w:pPr>
        <w:pStyle w:val="142"/>
        <w:overflowPunct w:val="0"/>
        <w:adjustRightInd w:val="0"/>
        <w:snapToGrid w:val="0"/>
        <w:ind w:left="1216" w:hangingChars="500" w:hanging="1216"/>
        <w:jc w:val="both"/>
      </w:pPr>
      <w:r w:rsidRPr="007B014E">
        <w:rPr>
          <w:rFonts w:hint="eastAsia"/>
        </w:rPr>
        <w:t>資料來源：公路局提供之資料；本中心製表。</w:t>
      </w:r>
    </w:p>
    <w:p w:rsidR="00A24ED3" w:rsidRPr="007B014E" w:rsidRDefault="00A24ED3" w:rsidP="00A24ED3">
      <w:pPr>
        <w:pStyle w:val="a5"/>
        <w:ind w:left="849" w:hanging="283"/>
        <w:outlineLvl w:val="1"/>
        <w:rPr>
          <w:rFonts w:hAnsi="標楷體" w:hint="eastAsia"/>
          <w:b/>
          <w:color w:val="000000"/>
        </w:rPr>
      </w:pPr>
      <w:r w:rsidRPr="007B014E">
        <w:rPr>
          <w:rFonts w:hint="eastAsia"/>
          <w:b/>
          <w:bCs/>
        </w:rPr>
        <w:t>(三)</w:t>
      </w:r>
      <w:r w:rsidRPr="007B014E">
        <w:rPr>
          <w:rFonts w:hAnsi="標楷體" w:hint="eastAsia"/>
          <w:b/>
          <w:color w:val="000000"/>
        </w:rPr>
        <w:t>部分</w:t>
      </w:r>
      <w:r w:rsidRPr="007B014E">
        <w:rPr>
          <w:rFonts w:hint="eastAsia"/>
          <w:b/>
          <w:bCs/>
        </w:rPr>
        <w:t>月票方案</w:t>
      </w:r>
      <w:r w:rsidRPr="007B014E">
        <w:rPr>
          <w:rFonts w:hAnsi="標楷體" w:hint="eastAsia"/>
          <w:b/>
          <w:color w:val="000000"/>
        </w:rPr>
        <w:t>執行績效未如預期，允宜輔導各市縣妥適辦理，以提升公共運輸運量及增進交通安全之政策目標</w:t>
      </w:r>
    </w:p>
    <w:p w:rsidR="00A24ED3" w:rsidRPr="007B014E" w:rsidRDefault="00A24ED3" w:rsidP="000A3DB7">
      <w:pPr>
        <w:pStyle w:val="21"/>
        <w:overflowPunct w:val="0"/>
        <w:snapToGrid w:val="0"/>
        <w:ind w:left="850" w:firstLine="566"/>
        <w:rPr>
          <w:rFonts w:hAnsi="標楷體"/>
        </w:rPr>
      </w:pPr>
      <w:r w:rsidRPr="007B014E">
        <w:rPr>
          <w:rFonts w:hAnsi="標楷體" w:hint="eastAsia"/>
        </w:rPr>
        <w:t>比較TPASS月票實施前後搭乘各類運具運量，實施前(111年7月1日至112年6月30日)與實施後第一年同期相較</w:t>
      </w:r>
      <w:r w:rsidRPr="007B014E">
        <w:rPr>
          <w:rFonts w:ascii="新細明體" w:eastAsia="新細明體" w:hAnsi="新細明體" w:hint="eastAsia"/>
        </w:rPr>
        <w:t>，</w:t>
      </w:r>
      <w:r w:rsidRPr="007B014E">
        <w:rPr>
          <w:rFonts w:hAnsi="標楷體" w:hint="eastAsia"/>
        </w:rPr>
        <w:t>成長約2億2,996萬人次，成長率11.66%，而影響公共運輸運量成長之因，除實施TPASS月票帶動民眾使用大眾運具之效應外，尚有疫情趨緩民眾提高搭乘大眾運輸意願及路網日趨完善等多重因素；另就實施後第一年與第二年同期相較</w:t>
      </w:r>
      <w:r w:rsidRPr="007B014E">
        <w:rPr>
          <w:rFonts w:ascii="新細明體" w:eastAsia="新細明體" w:hAnsi="新細明體" w:hint="eastAsia"/>
        </w:rPr>
        <w:t>，</w:t>
      </w:r>
      <w:r w:rsidRPr="007B014E">
        <w:rPr>
          <w:rFonts w:hAnsi="標楷體" w:hint="eastAsia"/>
        </w:rPr>
        <w:t>僅成長約6,491萬人次，成長率僅2.95%</w:t>
      </w:r>
      <w:r w:rsidRPr="007B014E">
        <w:rPr>
          <w:rFonts w:ascii="新細明體" w:eastAsia="新細明體" w:hAnsi="新細明體" w:hint="eastAsia"/>
        </w:rPr>
        <w:t>，</w:t>
      </w:r>
      <w:r w:rsidRPr="007B014E">
        <w:rPr>
          <w:rFonts w:hAnsi="標楷體" w:hint="eastAsia"/>
        </w:rPr>
        <w:t>其中公車(含市區公車及公路客運)甚至呈現負成長(詳表</w:t>
      </w:r>
      <w:r w:rsidR="00D570AA" w:rsidRPr="007B014E">
        <w:rPr>
          <w:rFonts w:hAnsi="標楷體" w:hint="eastAsia"/>
        </w:rPr>
        <w:t>4</w:t>
      </w:r>
      <w:r w:rsidRPr="007B014E">
        <w:rPr>
          <w:rFonts w:hAnsi="標楷體" w:hint="eastAsia"/>
        </w:rPr>
        <w:t>)</w:t>
      </w:r>
      <w:r w:rsidRPr="007B014E">
        <w:rPr>
          <w:rFonts w:ascii="新細明體" w:eastAsia="新細明體" w:hAnsi="新細明體" w:hint="eastAsia"/>
        </w:rPr>
        <w:t>，</w:t>
      </w:r>
      <w:r w:rsidRPr="007B014E">
        <w:rPr>
          <w:rFonts w:hAnsi="標楷體" w:hint="eastAsia"/>
        </w:rPr>
        <w:t>允宜依需求導向，從路網規劃、班次安排、及票證使用之便利性等，推出更具效益及多元之公共運</w:t>
      </w:r>
      <w:r w:rsidRPr="007B014E">
        <w:rPr>
          <w:rFonts w:hAnsi="標楷體" w:hint="eastAsia"/>
        </w:rPr>
        <w:lastRenderedPageBreak/>
        <w:t>輸優惠方案供民眾選用。</w:t>
      </w:r>
    </w:p>
    <w:p w:rsidR="00A24ED3" w:rsidRPr="007B014E" w:rsidRDefault="00A24ED3" w:rsidP="000A3DB7">
      <w:pPr>
        <w:pStyle w:val="21"/>
        <w:overflowPunct w:val="0"/>
        <w:snapToGrid w:val="0"/>
        <w:ind w:left="850" w:firstLine="566"/>
        <w:rPr>
          <w:rFonts w:hAnsi="標楷體" w:hint="eastAsia"/>
        </w:rPr>
      </w:pPr>
      <w:r w:rsidRPr="007B014E">
        <w:rPr>
          <w:rFonts w:hint="eastAsia"/>
        </w:rPr>
        <w:t>另檢視113年度各月票方案成果報告，績效指標仍有未達預期之處</w:t>
      </w:r>
      <w:r w:rsidRPr="007B014E">
        <w:rPr>
          <w:rFonts w:ascii="新細明體" w:eastAsia="新細明體" w:hAnsi="新細明體" w:hint="eastAsia"/>
        </w:rPr>
        <w:t>，</w:t>
      </w:r>
      <w:r w:rsidRPr="007B014E">
        <w:rPr>
          <w:rFonts w:hint="eastAsia"/>
        </w:rPr>
        <w:t>在公共運輸運量方面，未達提升目標者計有彰化縣、花蓮縣及澎湖縣等3縣；在道路交通安全方面，未達改善目標者則包括南投縣、臺南市、屏東縣、雲林縣、嘉義縣、宜蘭縣及花蓮縣等7市縣。此外，目前僅基北北桃跨城際通勤月票方案訂有定期票銷售張數目標，其113年度最高月銷售量為57萬餘張，較預期目標75萬張減少18萬張（詳表</w:t>
      </w:r>
      <w:r w:rsidR="00D570AA" w:rsidRPr="007B014E">
        <w:rPr>
          <w:rFonts w:hint="eastAsia"/>
        </w:rPr>
        <w:t>5</w:t>
      </w:r>
      <w:r w:rsidRPr="007B014E">
        <w:rPr>
          <w:rFonts w:hint="eastAsia"/>
        </w:rPr>
        <w:t>）。依前述結果，公路局允宜協助未達績效目標之各市縣，研擬具體因應對策，以提升公共運輸運量及增進交通安全之政策目標。</w:t>
      </w:r>
    </w:p>
    <w:p w:rsidR="00A24ED3" w:rsidRPr="007B014E" w:rsidRDefault="00A24ED3" w:rsidP="000A3DB7">
      <w:pPr>
        <w:widowControl/>
        <w:overflowPunct w:val="0"/>
        <w:adjustRightInd w:val="0"/>
        <w:snapToGrid w:val="0"/>
        <w:spacing w:line="400" w:lineRule="exact"/>
        <w:ind w:leftChars="0" w:left="1347" w:hangingChars="475" w:hanging="1347"/>
        <w:jc w:val="left"/>
        <w:rPr>
          <w:bCs/>
          <w:color w:val="000000"/>
          <w:sz w:val="24"/>
          <w:szCs w:val="24"/>
        </w:rPr>
      </w:pPr>
      <w:r w:rsidRPr="007B014E">
        <w:rPr>
          <w:rFonts w:hint="eastAsia"/>
          <w:b/>
          <w:bCs/>
        </w:rPr>
        <w:t>表</w:t>
      </w:r>
      <w:r w:rsidR="00D570AA" w:rsidRPr="007B014E">
        <w:rPr>
          <w:rFonts w:hint="eastAsia"/>
          <w:b/>
          <w:bCs/>
        </w:rPr>
        <w:t>4</w:t>
      </w:r>
      <w:r w:rsidRPr="007B014E">
        <w:rPr>
          <w:rFonts w:hint="eastAsia"/>
          <w:b/>
          <w:bCs/>
        </w:rPr>
        <w:t xml:space="preserve">　TPASS月票實施前後</w:t>
      </w:r>
      <w:r w:rsidRPr="007B014E">
        <w:rPr>
          <w:rFonts w:hint="eastAsia"/>
          <w:b/>
        </w:rPr>
        <w:t>搭乘各類運具</w:t>
      </w:r>
      <w:r w:rsidRPr="007B014E">
        <w:rPr>
          <w:rFonts w:hint="eastAsia"/>
          <w:b/>
          <w:bCs/>
        </w:rPr>
        <w:t>運量</w:t>
      </w:r>
      <w:r w:rsidRPr="007B014E">
        <w:rPr>
          <w:rFonts w:hAnsi="標楷體" w:hint="eastAsia"/>
          <w:b/>
          <w:bCs/>
        </w:rPr>
        <w:t>比較表</w:t>
      </w:r>
      <w:r w:rsidRPr="007B014E">
        <w:rPr>
          <w:rFonts w:hint="eastAsia"/>
          <w:sz w:val="24"/>
          <w:szCs w:val="24"/>
        </w:rPr>
        <w:t xml:space="preserve">　　</w:t>
      </w:r>
      <w:r w:rsidRPr="007B014E">
        <w:rPr>
          <w:rFonts w:hint="eastAsia"/>
          <w:bCs/>
          <w:color w:val="000000"/>
          <w:sz w:val="24"/>
          <w:szCs w:val="24"/>
        </w:rPr>
        <w:t>單位：萬人次</w:t>
      </w:r>
      <w:r w:rsidRPr="007B014E">
        <w:rPr>
          <w:rFonts w:hAnsi="標楷體" w:hint="eastAsia"/>
          <w:bCs/>
          <w:color w:val="000000"/>
          <w:sz w:val="24"/>
          <w:szCs w:val="24"/>
        </w:rPr>
        <w:t>；</w:t>
      </w:r>
      <w:r w:rsidRPr="007B014E">
        <w:rPr>
          <w:rFonts w:hint="eastAsia"/>
          <w:bCs/>
          <w:color w:val="00000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42"/>
        <w:gridCol w:w="1694"/>
        <w:gridCol w:w="1749"/>
        <w:gridCol w:w="1148"/>
        <w:gridCol w:w="1078"/>
      </w:tblGrid>
      <w:tr w:rsidR="00A24ED3" w:rsidRPr="007B014E" w:rsidTr="000A3DB7">
        <w:trPr>
          <w:trHeight w:val="393"/>
        </w:trPr>
        <w:tc>
          <w:tcPr>
            <w:tcW w:w="2842" w:type="dxa"/>
            <w:tcBorders>
              <w:top w:val="single" w:sz="12" w:space="0" w:color="auto"/>
              <w:bottom w:val="double" w:sz="4" w:space="0" w:color="auto"/>
              <w:right w:val="single" w:sz="4" w:space="0" w:color="auto"/>
              <w:tl2br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818" w:firstLine="1630"/>
              <w:jc w:val="center"/>
              <w:rPr>
                <w:bCs/>
                <w:color w:val="000000"/>
                <w:spacing w:val="-22"/>
                <w:sz w:val="24"/>
                <w:szCs w:val="24"/>
              </w:rPr>
            </w:pPr>
            <w:r w:rsidRPr="007B014E">
              <w:rPr>
                <w:rFonts w:hint="eastAsia"/>
                <w:bCs/>
                <w:color w:val="000000"/>
                <w:spacing w:val="-22"/>
                <w:sz w:val="24"/>
                <w:szCs w:val="24"/>
              </w:rPr>
              <w:t>運量</w:t>
            </w:r>
          </w:p>
          <w:p w:rsidR="00A24ED3" w:rsidRPr="007B014E" w:rsidRDefault="00A24ED3" w:rsidP="00300A87">
            <w:pPr>
              <w:adjustRightInd w:val="0"/>
              <w:snapToGrid w:val="0"/>
              <w:spacing w:line="400" w:lineRule="exact"/>
              <w:ind w:leftChars="-25" w:left="-71" w:rightChars="-25" w:right="-71" w:firstLineChars="15" w:firstLine="30"/>
              <w:jc w:val="left"/>
              <w:rPr>
                <w:bCs/>
                <w:color w:val="000000"/>
                <w:spacing w:val="-22"/>
                <w:sz w:val="24"/>
                <w:szCs w:val="24"/>
              </w:rPr>
            </w:pPr>
            <w:r w:rsidRPr="007B014E">
              <w:rPr>
                <w:rFonts w:hint="eastAsia"/>
                <w:bCs/>
                <w:color w:val="000000"/>
                <w:spacing w:val="-22"/>
                <w:sz w:val="24"/>
                <w:szCs w:val="24"/>
              </w:rPr>
              <w:t>公共運具</w:t>
            </w:r>
          </w:p>
        </w:tc>
        <w:tc>
          <w:tcPr>
            <w:tcW w:w="1694"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1年7月1日至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112年6月30日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w:t>
            </w:r>
            <w:r w:rsidRPr="007B014E">
              <w:rPr>
                <w:bCs/>
                <w:color w:val="000000"/>
                <w:spacing w:val="-22"/>
                <w:kern w:val="0"/>
                <w:sz w:val="24"/>
                <w:szCs w:val="24"/>
              </w:rPr>
              <w:t>A</w:t>
            </w:r>
          </w:p>
        </w:tc>
        <w:tc>
          <w:tcPr>
            <w:tcW w:w="1749"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2年7月1日至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113年6月30日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w:t>
            </w:r>
            <w:r w:rsidRPr="007B014E">
              <w:rPr>
                <w:bCs/>
                <w:color w:val="000000"/>
                <w:spacing w:val="-22"/>
                <w:kern w:val="0"/>
                <w:sz w:val="24"/>
                <w:szCs w:val="24"/>
              </w:rPr>
              <w:t>B</w:t>
            </w:r>
          </w:p>
        </w:tc>
        <w:tc>
          <w:tcPr>
            <w:tcW w:w="1148" w:type="dxa"/>
            <w:tcBorders>
              <w:top w:val="single" w:sz="12" w:space="0" w:color="auto"/>
              <w:left w:val="single" w:sz="4" w:space="0" w:color="auto"/>
              <w:bottom w:val="double" w:sz="4" w:space="0" w:color="auto"/>
              <w:right w:val="sing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成長數</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C</w:t>
            </w:r>
            <w:r w:rsidRPr="007B014E">
              <w:rPr>
                <w:bCs/>
                <w:color w:val="000000"/>
                <w:spacing w:val="-22"/>
                <w:kern w:val="0"/>
                <w:sz w:val="24"/>
                <w:szCs w:val="24"/>
              </w:rPr>
              <w:t>=B-A</w:t>
            </w:r>
          </w:p>
        </w:tc>
        <w:tc>
          <w:tcPr>
            <w:tcW w:w="1078" w:type="dxa"/>
            <w:tcBorders>
              <w:top w:val="single" w:sz="12" w:space="0" w:color="auto"/>
              <w:left w:val="single" w:sz="4" w:space="0" w:color="auto"/>
              <w:bottom w:val="double" w:sz="4" w:space="0" w:color="auto"/>
              <w:right w:val="single" w:sz="12"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成長率</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D</w:t>
            </w:r>
            <w:r w:rsidRPr="007B014E">
              <w:rPr>
                <w:bCs/>
                <w:color w:val="000000"/>
                <w:spacing w:val="-22"/>
                <w:kern w:val="0"/>
                <w:sz w:val="24"/>
                <w:szCs w:val="24"/>
              </w:rPr>
              <w:t>=C/A</w:t>
            </w:r>
          </w:p>
        </w:tc>
      </w:tr>
      <w:tr w:rsidR="00A24ED3" w:rsidRPr="007B014E" w:rsidTr="000A3DB7">
        <w:tc>
          <w:tcPr>
            <w:tcW w:w="2842" w:type="dxa"/>
            <w:tcBorders>
              <w:top w:val="doub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公車(含市區公車及公路客運)</w:t>
            </w:r>
          </w:p>
        </w:tc>
        <w:tc>
          <w:tcPr>
            <w:tcW w:w="1694"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89,478.01</w:t>
            </w:r>
          </w:p>
        </w:tc>
        <w:tc>
          <w:tcPr>
            <w:tcW w:w="1749"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96,071.61</w:t>
            </w:r>
          </w:p>
        </w:tc>
        <w:tc>
          <w:tcPr>
            <w:tcW w:w="1148" w:type="dxa"/>
            <w:tcBorders>
              <w:top w:val="doub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6,593.60</w:t>
            </w:r>
          </w:p>
        </w:tc>
        <w:tc>
          <w:tcPr>
            <w:tcW w:w="1078" w:type="dxa"/>
            <w:tcBorders>
              <w:top w:val="doub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7.37</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捷運(含輕軌)</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78,092.61</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88,773.29</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10,680.68</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13.68</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臺鐵</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17,387.37</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20,269.16</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2,881.79</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16.57</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其他運具(含公共自行車及渡輪)</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12,293.70</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15,133.98</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2,840.28</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23.10</w:t>
            </w:r>
          </w:p>
        </w:tc>
      </w:tr>
      <w:tr w:rsidR="00A24ED3" w:rsidRPr="007B014E" w:rsidTr="000A3DB7">
        <w:tc>
          <w:tcPr>
            <w:tcW w:w="2842" w:type="dxa"/>
            <w:tcBorders>
              <w:top w:val="single" w:sz="4" w:space="0" w:color="auto"/>
              <w:bottom w:val="single" w:sz="12" w:space="0" w:color="auto"/>
              <w:right w:val="single" w:sz="4" w:space="0" w:color="auto"/>
            </w:tcBorders>
            <w:shd w:val="clear" w:color="auto" w:fill="FFFFFF"/>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合計</w:t>
            </w:r>
          </w:p>
        </w:tc>
        <w:tc>
          <w:tcPr>
            <w:tcW w:w="1694"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197,251.69</w:t>
            </w:r>
          </w:p>
        </w:tc>
        <w:tc>
          <w:tcPr>
            <w:tcW w:w="1749"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220,248.04</w:t>
            </w:r>
          </w:p>
        </w:tc>
        <w:tc>
          <w:tcPr>
            <w:tcW w:w="1148" w:type="dxa"/>
            <w:tcBorders>
              <w:top w:val="single" w:sz="4" w:space="0" w:color="auto"/>
              <w:left w:val="single" w:sz="4" w:space="0" w:color="auto"/>
              <w:bottom w:val="single" w:sz="12" w:space="0" w:color="auto"/>
              <w:right w:val="single" w:sz="4"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22,996.35</w:t>
            </w:r>
          </w:p>
        </w:tc>
        <w:tc>
          <w:tcPr>
            <w:tcW w:w="1078" w:type="dxa"/>
            <w:tcBorders>
              <w:top w:val="single" w:sz="4" w:space="0" w:color="auto"/>
              <w:left w:val="single" w:sz="4" w:space="0" w:color="auto"/>
              <w:bottom w:val="single" w:sz="12" w:space="0" w:color="auto"/>
              <w:right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11.66</w:t>
            </w:r>
          </w:p>
        </w:tc>
      </w:tr>
      <w:tr w:rsidR="00A24ED3" w:rsidRPr="007B014E" w:rsidTr="000A3DB7">
        <w:trPr>
          <w:trHeight w:val="393"/>
          <w:tblHeader/>
        </w:trPr>
        <w:tc>
          <w:tcPr>
            <w:tcW w:w="2842" w:type="dxa"/>
            <w:tcBorders>
              <w:top w:val="single" w:sz="12" w:space="0" w:color="auto"/>
              <w:bottom w:val="double" w:sz="4" w:space="0" w:color="auto"/>
              <w:right w:val="single" w:sz="4" w:space="0" w:color="auto"/>
              <w:tl2br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818" w:firstLine="1630"/>
              <w:jc w:val="center"/>
              <w:rPr>
                <w:bCs/>
                <w:color w:val="000000"/>
                <w:spacing w:val="-22"/>
                <w:sz w:val="24"/>
                <w:szCs w:val="24"/>
              </w:rPr>
            </w:pPr>
            <w:r w:rsidRPr="007B014E">
              <w:rPr>
                <w:rFonts w:hint="eastAsia"/>
                <w:bCs/>
                <w:color w:val="000000"/>
                <w:spacing w:val="-22"/>
                <w:sz w:val="24"/>
                <w:szCs w:val="24"/>
              </w:rPr>
              <w:t>運量</w:t>
            </w:r>
          </w:p>
          <w:p w:rsidR="00A24ED3" w:rsidRPr="007B014E" w:rsidRDefault="00A24ED3" w:rsidP="00300A87">
            <w:pPr>
              <w:adjustRightInd w:val="0"/>
              <w:snapToGrid w:val="0"/>
              <w:spacing w:line="400" w:lineRule="exact"/>
              <w:ind w:leftChars="-25" w:left="-71" w:rightChars="-25" w:right="-71" w:firstLineChars="15" w:firstLine="30"/>
              <w:jc w:val="left"/>
              <w:rPr>
                <w:bCs/>
                <w:color w:val="000000"/>
                <w:spacing w:val="-22"/>
                <w:sz w:val="24"/>
                <w:szCs w:val="24"/>
              </w:rPr>
            </w:pPr>
            <w:r w:rsidRPr="007B014E">
              <w:rPr>
                <w:rFonts w:hint="eastAsia"/>
                <w:bCs/>
                <w:color w:val="000000"/>
                <w:spacing w:val="-22"/>
                <w:sz w:val="24"/>
                <w:szCs w:val="24"/>
              </w:rPr>
              <w:t>公共運具</w:t>
            </w:r>
          </w:p>
        </w:tc>
        <w:tc>
          <w:tcPr>
            <w:tcW w:w="1694"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2年7月1日至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113年6月30日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累計運量B</w:t>
            </w:r>
          </w:p>
        </w:tc>
        <w:tc>
          <w:tcPr>
            <w:tcW w:w="1749"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3年7月1日至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114年6月30日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w:t>
            </w:r>
            <w:r w:rsidRPr="007B014E">
              <w:rPr>
                <w:bCs/>
                <w:color w:val="000000"/>
                <w:spacing w:val="-22"/>
                <w:kern w:val="0"/>
                <w:sz w:val="24"/>
                <w:szCs w:val="24"/>
              </w:rPr>
              <w:t>E</w:t>
            </w:r>
          </w:p>
        </w:tc>
        <w:tc>
          <w:tcPr>
            <w:tcW w:w="1148" w:type="dxa"/>
            <w:tcBorders>
              <w:top w:val="single" w:sz="12" w:space="0" w:color="auto"/>
              <w:left w:val="single" w:sz="4" w:space="0" w:color="auto"/>
              <w:bottom w:val="double" w:sz="4" w:space="0" w:color="auto"/>
              <w:right w:val="sing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成長數</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bCs/>
                <w:color w:val="000000"/>
                <w:spacing w:val="-22"/>
                <w:kern w:val="0"/>
                <w:sz w:val="24"/>
                <w:szCs w:val="24"/>
              </w:rPr>
              <w:t>F=E-B</w:t>
            </w:r>
          </w:p>
        </w:tc>
        <w:tc>
          <w:tcPr>
            <w:tcW w:w="1078" w:type="dxa"/>
            <w:tcBorders>
              <w:top w:val="single" w:sz="12" w:space="0" w:color="auto"/>
              <w:left w:val="single" w:sz="4" w:space="0" w:color="auto"/>
              <w:bottom w:val="double" w:sz="4" w:space="0" w:color="auto"/>
              <w:right w:val="single" w:sz="12"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成長率</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bCs/>
                <w:color w:val="000000"/>
                <w:spacing w:val="-22"/>
                <w:kern w:val="0"/>
                <w:sz w:val="24"/>
                <w:szCs w:val="24"/>
              </w:rPr>
              <w:t>G=F/B</w:t>
            </w:r>
          </w:p>
        </w:tc>
      </w:tr>
      <w:tr w:rsidR="00A24ED3" w:rsidRPr="007B014E" w:rsidTr="000A3DB7">
        <w:tc>
          <w:tcPr>
            <w:tcW w:w="2842" w:type="dxa"/>
            <w:tcBorders>
              <w:top w:val="doub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公車(含市區公車及公路客運)</w:t>
            </w:r>
          </w:p>
        </w:tc>
        <w:tc>
          <w:tcPr>
            <w:tcW w:w="1694"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96,071.61</w:t>
            </w:r>
          </w:p>
        </w:tc>
        <w:tc>
          <w:tcPr>
            <w:tcW w:w="1749"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95,775.08</w:t>
            </w:r>
          </w:p>
        </w:tc>
        <w:tc>
          <w:tcPr>
            <w:tcW w:w="1148" w:type="dxa"/>
            <w:tcBorders>
              <w:top w:val="doub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-296.53</w:t>
            </w:r>
          </w:p>
        </w:tc>
        <w:tc>
          <w:tcPr>
            <w:tcW w:w="1078" w:type="dxa"/>
            <w:tcBorders>
              <w:top w:val="doub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-0.31</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捷運(含輕軌)</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88,773.29</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91,742.83</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2,969.54</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3.35</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臺鐵</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20,269.16</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21,202.25</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933.09</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4.60</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其他運具(含公共自行車及渡輪)</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15,133.98</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18,019.32</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2,885.34</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19.07</w:t>
            </w:r>
          </w:p>
        </w:tc>
      </w:tr>
      <w:tr w:rsidR="00A24ED3" w:rsidRPr="007B014E" w:rsidTr="000A3DB7">
        <w:tc>
          <w:tcPr>
            <w:tcW w:w="2842" w:type="dxa"/>
            <w:tcBorders>
              <w:top w:val="single" w:sz="4" w:space="0" w:color="auto"/>
              <w:bottom w:val="single" w:sz="12" w:space="0" w:color="auto"/>
              <w:right w:val="single" w:sz="4" w:space="0" w:color="auto"/>
            </w:tcBorders>
            <w:shd w:val="clear" w:color="auto" w:fill="FFFFFF"/>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合計</w:t>
            </w:r>
          </w:p>
        </w:tc>
        <w:tc>
          <w:tcPr>
            <w:tcW w:w="1694"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220,248.04</w:t>
            </w:r>
          </w:p>
        </w:tc>
        <w:tc>
          <w:tcPr>
            <w:tcW w:w="1749"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226,739.48</w:t>
            </w:r>
          </w:p>
        </w:tc>
        <w:tc>
          <w:tcPr>
            <w:tcW w:w="1148" w:type="dxa"/>
            <w:tcBorders>
              <w:top w:val="single" w:sz="4" w:space="0" w:color="auto"/>
              <w:left w:val="single" w:sz="4" w:space="0" w:color="auto"/>
              <w:bottom w:val="single" w:sz="12" w:space="0" w:color="auto"/>
              <w:right w:val="single" w:sz="4"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6,491.44</w:t>
            </w:r>
          </w:p>
        </w:tc>
        <w:tc>
          <w:tcPr>
            <w:tcW w:w="1078" w:type="dxa"/>
            <w:tcBorders>
              <w:top w:val="single" w:sz="4" w:space="0" w:color="auto"/>
              <w:left w:val="single" w:sz="4" w:space="0" w:color="auto"/>
              <w:bottom w:val="single" w:sz="12" w:space="0" w:color="auto"/>
              <w:right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2.95</w:t>
            </w:r>
          </w:p>
        </w:tc>
      </w:tr>
    </w:tbl>
    <w:p w:rsidR="00A24ED3" w:rsidRPr="007B014E" w:rsidRDefault="00A24ED3" w:rsidP="000A3DB7">
      <w:pPr>
        <w:pStyle w:val="142"/>
        <w:overflowPunct w:val="0"/>
        <w:adjustRightInd w:val="0"/>
        <w:snapToGrid w:val="0"/>
        <w:ind w:left="1398" w:hangingChars="575" w:hanging="1398"/>
        <w:jc w:val="both"/>
      </w:pPr>
      <w:r w:rsidRPr="007B014E">
        <w:rPr>
          <w:rFonts w:hint="eastAsia"/>
        </w:rPr>
        <w:t>資料來源：公路局提供之資料；本中心製表。</w:t>
      </w:r>
    </w:p>
    <w:p w:rsidR="00A24ED3" w:rsidRPr="007B014E" w:rsidRDefault="00447AFA" w:rsidP="000A3DB7">
      <w:pPr>
        <w:widowControl/>
        <w:overflowPunct w:val="0"/>
        <w:adjustRightInd w:val="0"/>
        <w:snapToGrid w:val="0"/>
        <w:spacing w:line="400" w:lineRule="exact"/>
        <w:ind w:leftChars="0" w:left="1347" w:hangingChars="475" w:hanging="1347"/>
        <w:jc w:val="left"/>
        <w:rPr>
          <w:bCs/>
          <w:color w:val="000000"/>
          <w:sz w:val="24"/>
          <w:szCs w:val="24"/>
        </w:rPr>
      </w:pPr>
      <w:r>
        <w:rPr>
          <w:b/>
          <w:bCs/>
        </w:rPr>
        <w:br w:type="page"/>
      </w:r>
      <w:r w:rsidR="00A24ED3" w:rsidRPr="007B014E">
        <w:rPr>
          <w:rFonts w:hint="eastAsia"/>
          <w:b/>
          <w:bCs/>
        </w:rPr>
        <w:lastRenderedPageBreak/>
        <w:t>表</w:t>
      </w:r>
      <w:r w:rsidR="00D570AA" w:rsidRPr="007B014E">
        <w:rPr>
          <w:rFonts w:hint="eastAsia"/>
          <w:b/>
          <w:bCs/>
        </w:rPr>
        <w:t>5</w:t>
      </w:r>
      <w:r w:rsidR="00A24ED3" w:rsidRPr="007B014E">
        <w:rPr>
          <w:rFonts w:hint="eastAsia"/>
          <w:b/>
          <w:bCs/>
        </w:rPr>
        <w:t xml:space="preserve">　1</w:t>
      </w:r>
      <w:r w:rsidR="00A24ED3" w:rsidRPr="007B014E">
        <w:rPr>
          <w:b/>
          <w:bCs/>
        </w:rPr>
        <w:t>13</w:t>
      </w:r>
      <w:r w:rsidR="00A24ED3" w:rsidRPr="007B014E">
        <w:rPr>
          <w:rFonts w:hint="eastAsia"/>
          <w:b/>
          <w:bCs/>
        </w:rPr>
        <w:t>年度各月票方案績效指標執行未如預期概況表</w:t>
      </w:r>
      <w:r w:rsidR="00A24ED3" w:rsidRPr="007B014E">
        <w:rPr>
          <w:rFonts w:hint="eastAsia"/>
          <w:sz w:val="24"/>
          <w:szCs w:val="24"/>
        </w:rPr>
        <w:t xml:space="preserve">　　　</w:t>
      </w:r>
      <w:r w:rsidR="00A24ED3" w:rsidRPr="007B014E">
        <w:rPr>
          <w:rFonts w:hint="eastAsia"/>
          <w:bCs/>
          <w:color w:val="000000"/>
          <w:sz w:val="24"/>
          <w:szCs w:val="24"/>
        </w:rPr>
        <w:t>單位：%</w:t>
      </w:r>
    </w:p>
    <w:tbl>
      <w:tblPr>
        <w:tblW w:w="8511" w:type="dxa"/>
        <w:tblInd w:w="108" w:type="dxa"/>
        <w:tblLayout w:type="fixed"/>
        <w:tblCellMar>
          <w:left w:w="10" w:type="dxa"/>
          <w:right w:w="10" w:type="dxa"/>
        </w:tblCellMar>
        <w:tblLook w:val="0000" w:firstRow="0" w:lastRow="0" w:firstColumn="0" w:lastColumn="0" w:noHBand="0" w:noVBand="0"/>
      </w:tblPr>
      <w:tblGrid>
        <w:gridCol w:w="784"/>
        <w:gridCol w:w="1960"/>
        <w:gridCol w:w="1316"/>
        <w:gridCol w:w="1176"/>
        <w:gridCol w:w="1903"/>
        <w:gridCol w:w="1372"/>
      </w:tblGrid>
      <w:tr w:rsidR="00A24ED3" w:rsidRPr="007B014E" w:rsidTr="000A3DB7">
        <w:trPr>
          <w:trHeight w:val="48"/>
          <w:tblHeader/>
        </w:trPr>
        <w:tc>
          <w:tcPr>
            <w:tcW w:w="784"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6"/>
                <w:kern w:val="0"/>
                <w:sz w:val="24"/>
              </w:rPr>
            </w:pPr>
            <w:r w:rsidRPr="007B014E">
              <w:rPr>
                <w:rFonts w:hAnsi="標楷體" w:cs="標楷體"/>
                <w:spacing w:val="-16"/>
                <w:kern w:val="0"/>
                <w:sz w:val="24"/>
              </w:rPr>
              <w:t>生活圈</w:t>
            </w:r>
          </w:p>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rPr>
            </w:pPr>
            <w:r w:rsidRPr="007B014E">
              <w:rPr>
                <w:rFonts w:hAnsi="標楷體" w:cs="標楷體"/>
                <w:spacing w:val="-16"/>
                <w:kern w:val="0"/>
                <w:sz w:val="24"/>
              </w:rPr>
              <w:t>/市縣</w:t>
            </w:r>
          </w:p>
        </w:tc>
        <w:tc>
          <w:tcPr>
            <w:tcW w:w="196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rPr>
            </w:pPr>
            <w:r w:rsidRPr="007B014E">
              <w:rPr>
                <w:rFonts w:hAnsi="標楷體" w:cs="標楷體"/>
                <w:spacing w:val="-10"/>
                <w:kern w:val="0"/>
                <w:sz w:val="24"/>
              </w:rPr>
              <w:t>計畫名稱</w:t>
            </w:r>
          </w:p>
        </w:tc>
        <w:tc>
          <w:tcPr>
            <w:tcW w:w="5767"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rPr>
            </w:pPr>
            <w:r w:rsidRPr="007B014E">
              <w:rPr>
                <w:rFonts w:hAnsi="標楷體" w:cs="標楷體"/>
                <w:spacing w:val="-10"/>
                <w:kern w:val="0"/>
                <w:sz w:val="24"/>
              </w:rPr>
              <w:t>各項績效指標</w:t>
            </w:r>
            <w:r w:rsidRPr="007B014E">
              <w:rPr>
                <w:rFonts w:hAnsi="標楷體" w:cs="標楷體" w:hint="eastAsia"/>
                <w:spacing w:val="-10"/>
                <w:kern w:val="0"/>
                <w:sz w:val="24"/>
              </w:rPr>
              <w:t>之</w:t>
            </w:r>
            <w:r w:rsidRPr="007B014E">
              <w:rPr>
                <w:rFonts w:hAnsi="標楷體" w:cs="標楷體"/>
                <w:spacing w:val="-10"/>
                <w:kern w:val="0"/>
                <w:sz w:val="24"/>
              </w:rPr>
              <w:t>目標值及達成情形</w:t>
            </w:r>
          </w:p>
        </w:tc>
      </w:tr>
      <w:tr w:rsidR="00A24ED3" w:rsidRPr="007B014E" w:rsidTr="000A3DB7">
        <w:trPr>
          <w:trHeight w:val="107"/>
          <w:tblHeader/>
        </w:trPr>
        <w:tc>
          <w:tcPr>
            <w:tcW w:w="78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公共運輸運量提升</w:t>
            </w:r>
          </w:p>
        </w:tc>
        <w:tc>
          <w:tcPr>
            <w:tcW w:w="327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道路交通安全改善</w:t>
            </w:r>
          </w:p>
        </w:tc>
      </w:tr>
      <w:tr w:rsidR="00A24ED3" w:rsidRPr="007B014E" w:rsidTr="000A3DB7">
        <w:trPr>
          <w:trHeight w:val="107"/>
          <w:tblHeader/>
        </w:trPr>
        <w:tc>
          <w:tcPr>
            <w:tcW w:w="784" w:type="dxa"/>
            <w:vMerge/>
            <w:tcBorders>
              <w:top w:val="single" w:sz="4"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31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預計</w:t>
            </w:r>
          </w:p>
        </w:tc>
        <w:tc>
          <w:tcPr>
            <w:tcW w:w="117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實際</w:t>
            </w:r>
          </w:p>
        </w:tc>
        <w:tc>
          <w:tcPr>
            <w:tcW w:w="190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預計</w:t>
            </w:r>
          </w:p>
        </w:tc>
        <w:tc>
          <w:tcPr>
            <w:tcW w:w="1372" w:type="dxa"/>
            <w:tcBorders>
              <w:top w:val="single" w:sz="4" w:space="0" w:color="000000"/>
              <w:left w:val="single" w:sz="4" w:space="0" w:color="000000"/>
              <w:bottom w:val="doub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實際</w:t>
            </w:r>
          </w:p>
        </w:tc>
      </w:tr>
      <w:tr w:rsidR="00A24ED3" w:rsidRPr="007B014E" w:rsidTr="000A3DB7">
        <w:tc>
          <w:tcPr>
            <w:tcW w:w="784"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hAnsi="標楷體" w:cs="標楷體"/>
                <w:spacing w:val="-10"/>
                <w:kern w:val="0"/>
                <w:sz w:val="24"/>
              </w:rPr>
            </w:pPr>
            <w:r w:rsidRPr="007B014E">
              <w:rPr>
                <w:rFonts w:hAnsi="標楷體" w:cs="標楷體"/>
                <w:spacing w:val="-10"/>
                <w:kern w:val="0"/>
                <w:sz w:val="24"/>
              </w:rPr>
              <w:t>中彰</w:t>
            </w:r>
          </w:p>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ascii="Calibri" w:hAnsi="Calibri"/>
                <w:spacing w:val="-10"/>
                <w:kern w:val="0"/>
                <w:sz w:val="24"/>
                <w:szCs w:val="22"/>
              </w:rPr>
            </w:pPr>
            <w:r w:rsidRPr="007B014E">
              <w:rPr>
                <w:rFonts w:hAnsi="標楷體" w:cs="標楷體"/>
                <w:spacing w:val="-10"/>
                <w:kern w:val="0"/>
                <w:sz w:val="24"/>
              </w:rPr>
              <w:t>投苗</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彰化市都市內</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成長25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成長20.9</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減少1.1</w:t>
            </w:r>
          </w:p>
        </w:tc>
      </w:tr>
      <w:tr w:rsidR="00A24ED3" w:rsidRPr="007B014E" w:rsidTr="000A3DB7">
        <w:tc>
          <w:tcPr>
            <w:tcW w:w="784" w:type="dxa"/>
            <w:vMerge/>
            <w:tcBorders>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南投縣都市內</w:t>
            </w:r>
          </w:p>
        </w:tc>
        <w:tc>
          <w:tcPr>
            <w:tcW w:w="131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000F7E59" w:rsidRPr="007B014E">
              <w:rPr>
                <w:rFonts w:hAnsi="標楷體" w:cs="標楷體"/>
                <w:spacing w:val="-10"/>
                <w:kern w:val="0"/>
                <w:sz w:val="24"/>
              </w:rPr>
              <w:t>成長</w:t>
            </w:r>
            <w:r w:rsidRPr="007B014E">
              <w:rPr>
                <w:rFonts w:hAnsi="標楷體" w:cs="標楷體" w:hint="eastAsia"/>
                <w:spacing w:val="-10"/>
                <w:kern w:val="0"/>
                <w:sz w:val="24"/>
              </w:rPr>
              <w:t>2</w:t>
            </w:r>
          </w:p>
        </w:tc>
        <w:tc>
          <w:tcPr>
            <w:tcW w:w="117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成長23.9</w:t>
            </w:r>
          </w:p>
        </w:tc>
        <w:tc>
          <w:tcPr>
            <w:tcW w:w="190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w:t>
            </w:r>
          </w:p>
        </w:tc>
        <w:tc>
          <w:tcPr>
            <w:tcW w:w="1372"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增加1.4</w:t>
            </w:r>
          </w:p>
        </w:tc>
      </w:tr>
      <w:tr w:rsidR="00A24ED3" w:rsidRPr="007B014E" w:rsidTr="000A3DB7">
        <w:trPr>
          <w:trHeight w:val="280"/>
        </w:trPr>
        <w:tc>
          <w:tcPr>
            <w:tcW w:w="784"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ascii="Calibri" w:hAnsi="Calibri"/>
                <w:spacing w:val="-10"/>
                <w:kern w:val="0"/>
                <w:sz w:val="24"/>
                <w:szCs w:val="22"/>
              </w:rPr>
            </w:pPr>
            <w:r w:rsidRPr="007B014E">
              <w:rPr>
                <w:rFonts w:hAnsi="標楷體" w:cs="標楷體"/>
                <w:spacing w:val="-10"/>
                <w:kern w:val="0"/>
                <w:sz w:val="24"/>
              </w:rPr>
              <w:t>南高屏</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臺南市都市內</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成長1.8</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成長32.2</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事故數減少1.8</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減少1.3</w:t>
            </w:r>
          </w:p>
        </w:tc>
      </w:tr>
      <w:tr w:rsidR="00A24ED3" w:rsidRPr="007B014E" w:rsidTr="000A3DB7">
        <w:trPr>
          <w:trHeight w:val="280"/>
        </w:trPr>
        <w:tc>
          <w:tcPr>
            <w:tcW w:w="784" w:type="dxa"/>
            <w:vMerge/>
            <w:tcBorders>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center"/>
              <w:rPr>
                <w:rFonts w:ascii="Calibri" w:hAnsi="Calibri"/>
                <w:spacing w:val="-10"/>
                <w:kern w:val="0"/>
                <w:sz w:val="24"/>
                <w:szCs w:val="22"/>
              </w:rPr>
            </w:pPr>
          </w:p>
        </w:tc>
        <w:tc>
          <w:tcPr>
            <w:tcW w:w="196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屏東縣都市內</w:t>
            </w:r>
          </w:p>
        </w:tc>
        <w:tc>
          <w:tcPr>
            <w:tcW w:w="131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成長2.5</w:t>
            </w:r>
          </w:p>
        </w:tc>
        <w:tc>
          <w:tcPr>
            <w:tcW w:w="117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成長22.5</w:t>
            </w:r>
          </w:p>
        </w:tc>
        <w:tc>
          <w:tcPr>
            <w:tcW w:w="190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事故數減少5</w:t>
            </w:r>
          </w:p>
        </w:tc>
        <w:tc>
          <w:tcPr>
            <w:tcW w:w="1372"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增加2</w:t>
            </w:r>
          </w:p>
        </w:tc>
      </w:tr>
      <w:tr w:rsidR="00A24ED3" w:rsidRPr="007B014E" w:rsidTr="000A3DB7">
        <w:tc>
          <w:tcPr>
            <w:tcW w:w="78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hAnsi="標楷體" w:cs="標楷體"/>
                <w:spacing w:val="-10"/>
                <w:kern w:val="0"/>
                <w:sz w:val="24"/>
              </w:rPr>
            </w:pPr>
            <w:r w:rsidRPr="007B014E">
              <w:rPr>
                <w:rFonts w:hAnsi="標楷體" w:cs="標楷體"/>
                <w:spacing w:val="-10"/>
                <w:kern w:val="0"/>
                <w:sz w:val="24"/>
              </w:rPr>
              <w:t>雲嘉嘉</w:t>
            </w:r>
          </w:p>
        </w:tc>
        <w:tc>
          <w:tcPr>
            <w:tcW w:w="196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雲林縣都市內</w:t>
            </w:r>
          </w:p>
        </w:tc>
        <w:tc>
          <w:tcPr>
            <w:tcW w:w="131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客運</w:t>
            </w:r>
            <w:r w:rsidRPr="007B014E">
              <w:rPr>
                <w:rFonts w:hAnsi="標楷體" w:cs="標楷體"/>
                <w:spacing w:val="-10"/>
                <w:kern w:val="0"/>
                <w:sz w:val="24"/>
              </w:rPr>
              <w:t>成長5</w:t>
            </w:r>
          </w:p>
        </w:tc>
        <w:tc>
          <w:tcPr>
            <w:tcW w:w="117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成長21.8</w:t>
            </w:r>
          </w:p>
        </w:tc>
        <w:tc>
          <w:tcPr>
            <w:tcW w:w="1903"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死亡人數減少1</w:t>
            </w:r>
          </w:p>
        </w:tc>
        <w:tc>
          <w:tcPr>
            <w:tcW w:w="1372" w:type="dxa"/>
            <w:vMerge w:val="restart"/>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增加7.9</w:t>
            </w:r>
          </w:p>
        </w:tc>
      </w:tr>
      <w:tr w:rsidR="00A24ED3" w:rsidRPr="007B014E" w:rsidTr="000A3DB7">
        <w:tc>
          <w:tcPr>
            <w:tcW w:w="78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雲林縣跨城際月票</w:t>
            </w:r>
          </w:p>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(臺鐵延伸)</w:t>
            </w: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72"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right"/>
              <w:rPr>
                <w:rFonts w:hAnsi="標楷體" w:cs="標楷體"/>
                <w:spacing w:val="-10"/>
                <w:kern w:val="0"/>
                <w:sz w:val="24"/>
              </w:rPr>
            </w:pPr>
          </w:p>
        </w:tc>
      </w:tr>
      <w:tr w:rsidR="00A24ED3" w:rsidRPr="007B014E" w:rsidTr="000A3DB7">
        <w:tc>
          <w:tcPr>
            <w:tcW w:w="78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嘉義縣市跨城際</w:t>
            </w:r>
          </w:p>
        </w:tc>
        <w:tc>
          <w:tcPr>
            <w:tcW w:w="13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客運</w:t>
            </w:r>
            <w:r w:rsidRPr="007B014E">
              <w:rPr>
                <w:rFonts w:hAnsi="標楷體" w:cs="標楷體"/>
                <w:spacing w:val="-10"/>
                <w:kern w:val="0"/>
                <w:sz w:val="24"/>
              </w:rPr>
              <w:t>成長5</w:t>
            </w:r>
          </w:p>
        </w:tc>
        <w:tc>
          <w:tcPr>
            <w:tcW w:w="11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成長19.7</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事故數減少2</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增加6.7</w:t>
            </w:r>
          </w:p>
        </w:tc>
      </w:tr>
      <w:tr w:rsidR="00A24ED3" w:rsidRPr="007B014E" w:rsidTr="000A3DB7">
        <w:tc>
          <w:tcPr>
            <w:tcW w:w="78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316"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死傷數減少2</w:t>
            </w:r>
          </w:p>
        </w:tc>
        <w:tc>
          <w:tcPr>
            <w:tcW w:w="1372"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增加6.9</w:t>
            </w:r>
          </w:p>
        </w:tc>
      </w:tr>
      <w:tr w:rsidR="00A24ED3" w:rsidRPr="007B014E" w:rsidTr="000A3DB7">
        <w:tc>
          <w:tcPr>
            <w:tcW w:w="784" w:type="dxa"/>
            <w:vMerge w:val="restart"/>
            <w:tcBorders>
              <w:top w:val="single" w:sz="8"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ascii="Calibri" w:hAnsi="Calibri"/>
                <w:spacing w:val="-10"/>
                <w:kern w:val="0"/>
                <w:sz w:val="24"/>
                <w:szCs w:val="22"/>
              </w:rPr>
            </w:pPr>
            <w:r w:rsidRPr="007B014E">
              <w:rPr>
                <w:rFonts w:hAnsi="標楷體" w:cs="標楷體"/>
                <w:snapToGrid/>
                <w:spacing w:val="-10"/>
                <w:kern w:val="3"/>
                <w:sz w:val="24"/>
              </w:rPr>
              <w:t>宜花</w:t>
            </w:r>
            <w:r w:rsidRPr="007B014E">
              <w:rPr>
                <w:rFonts w:ascii="Calibri" w:hAnsi="Calibri"/>
                <w:snapToGrid/>
                <w:spacing w:val="-10"/>
                <w:kern w:val="3"/>
                <w:sz w:val="24"/>
                <w:szCs w:val="22"/>
              </w:rPr>
              <w:t>東</w:t>
            </w:r>
          </w:p>
        </w:tc>
        <w:tc>
          <w:tcPr>
            <w:tcW w:w="196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宜蘭縣</w:t>
            </w:r>
          </w:p>
        </w:tc>
        <w:tc>
          <w:tcPr>
            <w:tcW w:w="131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成長3</w:t>
            </w:r>
          </w:p>
        </w:tc>
        <w:tc>
          <w:tcPr>
            <w:tcW w:w="117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成長37.6</w:t>
            </w:r>
          </w:p>
        </w:tc>
        <w:tc>
          <w:tcPr>
            <w:tcW w:w="1903"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死傷人數減少2</w:t>
            </w:r>
          </w:p>
        </w:tc>
        <w:tc>
          <w:tcPr>
            <w:tcW w:w="1372" w:type="dxa"/>
            <w:vMerge w:val="restart"/>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增加0.2</w:t>
            </w:r>
          </w:p>
        </w:tc>
      </w:tr>
      <w:tr w:rsidR="00A24ED3" w:rsidRPr="007B014E" w:rsidTr="000A3DB7">
        <w:tc>
          <w:tcPr>
            <w:tcW w:w="78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autoSpaceDN w:val="0"/>
              <w:spacing w:line="400" w:lineRule="exact"/>
              <w:ind w:leftChars="-25" w:left="-71" w:rightChars="-25" w:right="-71" w:firstLine="446"/>
              <w:jc w:val="left"/>
              <w:rPr>
                <w:rFonts w:ascii="Calibri" w:hAnsi="Calibri"/>
                <w:spacing w:val="-10"/>
                <w:kern w:val="0"/>
                <w:sz w:val="24"/>
                <w:szCs w:val="22"/>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北宜跨城際</w:t>
            </w: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72"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r>
      <w:tr w:rsidR="00A24ED3" w:rsidRPr="007B014E" w:rsidTr="000A3DB7">
        <w:tc>
          <w:tcPr>
            <w:tcW w:w="78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autoSpaceDN w:val="0"/>
              <w:spacing w:line="400" w:lineRule="exact"/>
              <w:ind w:leftChars="-25" w:left="-71" w:rightChars="-25" w:right="-71" w:firstLine="446"/>
              <w:jc w:val="left"/>
              <w:rPr>
                <w:rFonts w:ascii="Calibri" w:hAnsi="Calibri"/>
                <w:spacing w:val="-10"/>
                <w:kern w:val="0"/>
                <w:sz w:val="24"/>
                <w:szCs w:val="22"/>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北宜2300優化</w:t>
            </w: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72"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r>
      <w:tr w:rsidR="00A24ED3" w:rsidRPr="007B014E" w:rsidTr="000A3DB7">
        <w:tc>
          <w:tcPr>
            <w:tcW w:w="78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autoSpaceDN w:val="0"/>
              <w:spacing w:line="400" w:lineRule="exact"/>
              <w:ind w:leftChars="-25" w:left="-71" w:rightChars="-25" w:right="-71" w:firstLine="446"/>
              <w:jc w:val="left"/>
              <w:rPr>
                <w:rFonts w:ascii="Calibri" w:hAnsi="Calibri"/>
                <w:spacing w:val="-10"/>
                <w:kern w:val="0"/>
                <w:sz w:val="24"/>
                <w:szCs w:val="22"/>
              </w:rPr>
            </w:pPr>
          </w:p>
        </w:tc>
        <w:tc>
          <w:tcPr>
            <w:tcW w:w="19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花蓮縣</w:t>
            </w:r>
          </w:p>
        </w:tc>
        <w:tc>
          <w:tcPr>
            <w:tcW w:w="13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市區客運</w:t>
            </w:r>
          </w:p>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成長5</w:t>
            </w:r>
          </w:p>
        </w:tc>
        <w:tc>
          <w:tcPr>
            <w:tcW w:w="11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減少0.4</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減少1.9</w:t>
            </w:r>
          </w:p>
        </w:tc>
      </w:tr>
      <w:tr w:rsidR="00A24ED3" w:rsidRPr="007B014E" w:rsidTr="000A3DB7">
        <w:tc>
          <w:tcPr>
            <w:tcW w:w="784" w:type="dxa"/>
            <w:vMerge/>
            <w:tcBorders>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死傷人數減少1</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減少0.4</w:t>
            </w:r>
          </w:p>
        </w:tc>
      </w:tr>
      <w:tr w:rsidR="00A24ED3" w:rsidRPr="007B014E" w:rsidTr="000A3DB7">
        <w:trPr>
          <w:trHeight w:val="65"/>
        </w:trPr>
        <w:tc>
          <w:tcPr>
            <w:tcW w:w="784" w:type="dxa"/>
            <w:vMerge w:val="restart"/>
            <w:tcBorders>
              <w:top w:val="single" w:sz="8"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hAnsi="標楷體" w:cs="標楷體"/>
                <w:spacing w:val="-10"/>
                <w:kern w:val="0"/>
                <w:sz w:val="24"/>
              </w:rPr>
            </w:pPr>
            <w:r w:rsidRPr="007B014E">
              <w:rPr>
                <w:rFonts w:hAnsi="標楷體" w:cs="標楷體"/>
                <w:spacing w:val="-10"/>
                <w:kern w:val="0"/>
                <w:sz w:val="24"/>
              </w:rPr>
              <w:t>澎湖</w:t>
            </w:r>
          </w:p>
        </w:tc>
        <w:tc>
          <w:tcPr>
            <w:tcW w:w="196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澎湖公車</w:t>
            </w:r>
          </w:p>
        </w:tc>
        <w:tc>
          <w:tcPr>
            <w:tcW w:w="131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成長5</w:t>
            </w:r>
          </w:p>
        </w:tc>
        <w:tc>
          <w:tcPr>
            <w:tcW w:w="117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成長3</w:t>
            </w:r>
          </w:p>
        </w:tc>
        <w:tc>
          <w:tcPr>
            <w:tcW w:w="1903"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死傷人數減少5</w:t>
            </w:r>
          </w:p>
        </w:tc>
        <w:tc>
          <w:tcPr>
            <w:tcW w:w="1372" w:type="dxa"/>
            <w:vMerge w:val="restart"/>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減少9.3</w:t>
            </w:r>
          </w:p>
        </w:tc>
      </w:tr>
      <w:tr w:rsidR="00A24ED3" w:rsidRPr="007B014E" w:rsidTr="000A3DB7">
        <w:trPr>
          <w:trHeight w:val="25"/>
        </w:trPr>
        <w:tc>
          <w:tcPr>
            <w:tcW w:w="784" w:type="dxa"/>
            <w:vMerge/>
            <w:tcBorders>
              <w:top w:val="single" w:sz="12"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60"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left"/>
              <w:rPr>
                <w:rFonts w:hAnsi="標楷體" w:cs="標楷體"/>
                <w:spacing w:val="-10"/>
                <w:kern w:val="0"/>
                <w:sz w:val="24"/>
              </w:rPr>
            </w:pPr>
            <w:r w:rsidRPr="007B014E">
              <w:rPr>
                <w:rFonts w:hAnsi="標楷體" w:cs="標楷體"/>
                <w:spacing w:val="-10"/>
                <w:kern w:val="0"/>
                <w:sz w:val="24"/>
              </w:rPr>
              <w:t>澎湖車船</w:t>
            </w:r>
          </w:p>
        </w:tc>
        <w:tc>
          <w:tcPr>
            <w:tcW w:w="1316"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176"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03"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372" w:type="dxa"/>
            <w:vMerge/>
            <w:tcBorders>
              <w:top w:val="single" w:sz="4" w:space="0" w:color="000000"/>
              <w:left w:val="single" w:sz="4" w:space="0" w:color="000000"/>
              <w:bottom w:val="doub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r>
      <w:tr w:rsidR="00A24ED3" w:rsidRPr="007B014E" w:rsidTr="000A3DB7">
        <w:trPr>
          <w:trHeight w:val="25"/>
        </w:trPr>
        <w:tc>
          <w:tcPr>
            <w:tcW w:w="784" w:type="dxa"/>
            <w:tcBorders>
              <w:top w:val="doub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napToGrid w:val="0"/>
              <w:spacing w:line="400" w:lineRule="exact"/>
              <w:ind w:leftChars="-20" w:left="-57" w:rightChars="-20" w:right="-57" w:firstLineChars="0" w:firstLine="0"/>
              <w:jc w:val="center"/>
              <w:rPr>
                <w:rFonts w:ascii="Calibri" w:hAnsi="Calibri"/>
                <w:spacing w:val="-10"/>
                <w:kern w:val="0"/>
                <w:sz w:val="24"/>
                <w:szCs w:val="22"/>
              </w:rPr>
            </w:pPr>
            <w:r w:rsidRPr="007B014E">
              <w:rPr>
                <w:rFonts w:ascii="Calibri" w:hAnsi="Calibri" w:hint="eastAsia"/>
                <w:spacing w:val="-10"/>
                <w:kern w:val="0"/>
                <w:sz w:val="24"/>
                <w:szCs w:val="22"/>
              </w:rPr>
              <w:t>基北</w:t>
            </w:r>
          </w:p>
          <w:p w:rsidR="00A24ED3" w:rsidRPr="007B014E" w:rsidRDefault="00A24ED3" w:rsidP="00D601F0">
            <w:pPr>
              <w:widowControl/>
              <w:autoSpaceDN w:val="0"/>
              <w:snapToGrid w:val="0"/>
              <w:spacing w:line="400" w:lineRule="exact"/>
              <w:ind w:leftChars="-20" w:left="-57" w:rightChars="-20" w:right="-57" w:firstLineChars="0" w:firstLine="0"/>
              <w:jc w:val="center"/>
              <w:rPr>
                <w:rFonts w:ascii="Calibri" w:hAnsi="Calibri"/>
                <w:spacing w:val="-10"/>
                <w:kern w:val="0"/>
                <w:sz w:val="24"/>
                <w:szCs w:val="22"/>
              </w:rPr>
            </w:pPr>
            <w:r w:rsidRPr="007B014E">
              <w:rPr>
                <w:rFonts w:ascii="Calibri" w:hAnsi="Calibri" w:hint="eastAsia"/>
                <w:spacing w:val="-10"/>
                <w:kern w:val="0"/>
                <w:sz w:val="24"/>
                <w:szCs w:val="22"/>
              </w:rPr>
              <w:t>北桃</w:t>
            </w:r>
          </w:p>
        </w:tc>
        <w:tc>
          <w:tcPr>
            <w:tcW w:w="1960" w:type="dxa"/>
            <w:tcBorders>
              <w:top w:val="doub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left"/>
              <w:rPr>
                <w:rFonts w:hAnsi="標楷體" w:cs="標楷體"/>
                <w:spacing w:val="-10"/>
                <w:kern w:val="0"/>
                <w:sz w:val="24"/>
              </w:rPr>
            </w:pPr>
            <w:r w:rsidRPr="007B014E">
              <w:rPr>
                <w:rFonts w:hAnsi="標楷體" w:cs="標楷體" w:hint="eastAsia"/>
                <w:spacing w:val="-10"/>
                <w:kern w:val="0"/>
                <w:sz w:val="24"/>
              </w:rPr>
              <w:t>基北北桃跨城際</w:t>
            </w:r>
          </w:p>
        </w:tc>
        <w:tc>
          <w:tcPr>
            <w:tcW w:w="2492" w:type="dxa"/>
            <w:gridSpan w:val="2"/>
            <w:tcBorders>
              <w:top w:val="doub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napToGrid w:val="0"/>
              <w:spacing w:line="400" w:lineRule="exact"/>
              <w:ind w:leftChars="-20" w:left="-57" w:rightChars="-20" w:right="-57" w:firstLineChars="0" w:firstLine="0"/>
              <w:jc w:val="left"/>
              <w:rPr>
                <w:rFonts w:ascii="Calibri" w:hAnsi="Calibri"/>
                <w:spacing w:val="-10"/>
                <w:kern w:val="0"/>
                <w:sz w:val="24"/>
                <w:szCs w:val="22"/>
              </w:rPr>
            </w:pPr>
            <w:r w:rsidRPr="007B014E">
              <w:rPr>
                <w:rFonts w:ascii="Calibri" w:hAnsi="Calibri" w:hint="eastAsia"/>
                <w:spacing w:val="-10"/>
                <w:kern w:val="0"/>
                <w:sz w:val="24"/>
                <w:szCs w:val="22"/>
              </w:rPr>
              <w:t>定期票銷售張數</w:t>
            </w:r>
          </w:p>
        </w:tc>
        <w:tc>
          <w:tcPr>
            <w:tcW w:w="1903" w:type="dxa"/>
            <w:tcBorders>
              <w:top w:val="doub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預計：75萬張</w:t>
            </w:r>
          </w:p>
        </w:tc>
        <w:tc>
          <w:tcPr>
            <w:tcW w:w="1372" w:type="dxa"/>
            <w:tcBorders>
              <w:top w:val="doub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實際：57萬張</w:t>
            </w:r>
          </w:p>
        </w:tc>
      </w:tr>
    </w:tbl>
    <w:p w:rsidR="00A24ED3" w:rsidRPr="007B014E" w:rsidRDefault="00A24ED3" w:rsidP="000A3DB7">
      <w:pPr>
        <w:pStyle w:val="142"/>
        <w:overflowPunct w:val="0"/>
        <w:adjustRightInd w:val="0"/>
        <w:snapToGrid w:val="0"/>
        <w:ind w:left="1216" w:hangingChars="500" w:hanging="1216"/>
        <w:jc w:val="both"/>
      </w:pPr>
      <w:r w:rsidRPr="007B014E">
        <w:rPr>
          <w:rFonts w:hint="eastAsia"/>
        </w:rPr>
        <w:t>資料來源：整理自</w:t>
      </w:r>
      <w:r w:rsidRPr="007B014E">
        <w:rPr>
          <w:rFonts w:hint="eastAsia"/>
          <w:kern w:val="0"/>
        </w:rPr>
        <w:t>各地方政府113年度成果報告書及</w:t>
      </w:r>
      <w:r w:rsidRPr="007B014E">
        <w:rPr>
          <w:rFonts w:hint="eastAsia"/>
        </w:rPr>
        <w:t>公路局提供之資料；本中心製表。</w:t>
      </w:r>
    </w:p>
    <w:p w:rsidR="00A24ED3" w:rsidRPr="007B014E" w:rsidRDefault="00A24ED3" w:rsidP="00A24ED3">
      <w:pPr>
        <w:pStyle w:val="a5"/>
        <w:ind w:left="849" w:hanging="283"/>
        <w:outlineLvl w:val="1"/>
        <w:rPr>
          <w:rFonts w:hAnsi="標楷體"/>
          <w:b/>
          <w:color w:val="000000"/>
        </w:rPr>
      </w:pPr>
      <w:r w:rsidRPr="007B014E">
        <w:rPr>
          <w:rFonts w:hint="eastAsia"/>
          <w:b/>
          <w:bCs/>
        </w:rPr>
        <w:t>(四)</w:t>
      </w:r>
      <w:r w:rsidRPr="007B014E">
        <w:rPr>
          <w:rFonts w:hAnsi="標楷體" w:hint="eastAsia"/>
          <w:b/>
          <w:color w:val="000000"/>
        </w:rPr>
        <w:t>允宜簡化作業流程，以提升執行績效及發揮政策效益</w:t>
      </w:r>
    </w:p>
    <w:p w:rsidR="00A24ED3" w:rsidRPr="007B014E" w:rsidRDefault="00A24ED3" w:rsidP="000A3DB7">
      <w:pPr>
        <w:pStyle w:val="21"/>
        <w:overflowPunct w:val="0"/>
        <w:snapToGrid w:val="0"/>
        <w:ind w:left="850" w:firstLine="566"/>
      </w:pPr>
      <w:r w:rsidRPr="007B014E">
        <w:rPr>
          <w:rFonts w:hint="eastAsia"/>
        </w:rPr>
        <w:t>觀諸公路局於疫後特別預算執行TPASS月票情形，112至114年度共編列200億元，112年度編列20億元全數未執行，至113年度累計實現率僅48.63%，且截至114年6月底止，累計實現率亦僅35.99%(詳表</w:t>
      </w:r>
      <w:r w:rsidR="00481713" w:rsidRPr="007B014E">
        <w:rPr>
          <w:rFonts w:hint="eastAsia"/>
        </w:rPr>
        <w:t>6</w:t>
      </w:r>
      <w:r w:rsidRPr="007B014E">
        <w:rPr>
          <w:rFonts w:hint="eastAsia"/>
        </w:rPr>
        <w:t>)，顯示預算執行進度明顯落後原規劃目標</w:t>
      </w:r>
      <w:r w:rsidRPr="007B014E">
        <w:rPr>
          <w:rFonts w:ascii="新細明體" w:eastAsia="新細明體" w:hAnsi="新細明體" w:hint="eastAsia"/>
        </w:rPr>
        <w:t>。</w:t>
      </w:r>
      <w:r w:rsidRPr="007B014E">
        <w:rPr>
          <w:rFonts w:hint="eastAsia"/>
        </w:rPr>
        <w:t>據該局說明，主要係因地方政府分擔額度計算繁複、</w:t>
      </w:r>
      <w:r w:rsidRPr="007B014E">
        <w:rPr>
          <w:rFonts w:hint="eastAsia"/>
        </w:rPr>
        <w:lastRenderedPageBreak/>
        <w:t>票證公司挑檔製表耗時，致未及依規定期限</w:t>
      </w:r>
      <w:r w:rsidRPr="007B014E">
        <w:rPr>
          <w:rStyle w:val="af9"/>
        </w:rPr>
        <w:footnoteReference w:id="2"/>
      </w:r>
      <w:r w:rsidRPr="007B014E">
        <w:rPr>
          <w:rFonts w:hint="eastAsia"/>
        </w:rPr>
        <w:t>提報結算資料，影響預算執行</w:t>
      </w:r>
      <w:r w:rsidR="00761567" w:rsidRPr="007B014E">
        <w:rPr>
          <w:rFonts w:hAnsi="標楷體" w:hint="eastAsia"/>
        </w:rPr>
        <w:t>；</w:t>
      </w:r>
      <w:r w:rsidR="00761567" w:rsidRPr="007B014E">
        <w:rPr>
          <w:rFonts w:hint="eastAsia"/>
        </w:rPr>
        <w:t>另有臺南</w:t>
      </w:r>
      <w:r w:rsidR="00890014">
        <w:rPr>
          <w:rFonts w:hint="eastAsia"/>
        </w:rPr>
        <w:t>市</w:t>
      </w:r>
      <w:r w:rsidR="00761567" w:rsidRPr="007B014E">
        <w:rPr>
          <w:rFonts w:hint="eastAsia"/>
        </w:rPr>
        <w:t>與嘉義縣市共同推動799元TPASS通勤月票，但臺南</w:t>
      </w:r>
      <w:r w:rsidR="00695F63">
        <w:rPr>
          <w:rFonts w:hint="eastAsia"/>
        </w:rPr>
        <w:t>市</w:t>
      </w:r>
      <w:r w:rsidR="00761567" w:rsidRPr="007B014E">
        <w:rPr>
          <w:rFonts w:hint="eastAsia"/>
        </w:rPr>
        <w:t>採MeNGo平臺與嘉</w:t>
      </w:r>
      <w:r w:rsidR="00893A0A">
        <w:rPr>
          <w:rFonts w:hint="eastAsia"/>
        </w:rPr>
        <w:t>義</w:t>
      </w:r>
      <w:r w:rsidR="00761567" w:rsidRPr="007B014E">
        <w:rPr>
          <w:rFonts w:hint="eastAsia"/>
        </w:rPr>
        <w:t>縣市不同，進度出現落</w:t>
      </w:r>
      <w:r w:rsidR="00ED173B" w:rsidRPr="007B014E">
        <w:rPr>
          <w:rFonts w:hint="eastAsia"/>
        </w:rPr>
        <w:t>差</w:t>
      </w:r>
      <w:r w:rsidR="00761567" w:rsidRPr="007B014E">
        <w:rPr>
          <w:rFonts w:hint="eastAsia"/>
        </w:rPr>
        <w:t>之情事</w:t>
      </w:r>
      <w:r w:rsidR="00761567" w:rsidRPr="007B014E">
        <w:rPr>
          <w:rStyle w:val="af9"/>
        </w:rPr>
        <w:footnoteReference w:id="3"/>
      </w:r>
      <w:r w:rsidRPr="007B014E">
        <w:rPr>
          <w:rFonts w:hint="eastAsia"/>
        </w:rPr>
        <w:t>。</w:t>
      </w:r>
      <w:r w:rsidRPr="007B014E">
        <w:t>爰此</w:t>
      </w:r>
      <w:r w:rsidRPr="007B014E">
        <w:rPr>
          <w:rFonts w:hint="eastAsia"/>
        </w:rPr>
        <w:t>，</w:t>
      </w:r>
      <w:r w:rsidRPr="007B014E">
        <w:t>允</w:t>
      </w:r>
      <w:r w:rsidRPr="007B014E">
        <w:rPr>
          <w:rFonts w:hint="eastAsia"/>
        </w:rPr>
        <w:t>宜強化地方政府與票證公司間之協調機制，簡化作業流程並建立時效管控，以確保經費能依計畫期程落實執行並發揮政策效益。</w:t>
      </w:r>
    </w:p>
    <w:p w:rsidR="00A24ED3" w:rsidRPr="007B014E" w:rsidRDefault="00A24ED3" w:rsidP="00CD75A8">
      <w:pPr>
        <w:spacing w:line="400" w:lineRule="exact"/>
        <w:ind w:leftChars="0" w:left="751" w:hangingChars="265" w:hanging="751"/>
        <w:rPr>
          <w:rFonts w:hAnsi="標楷體"/>
          <w:color w:val="000000"/>
          <w:sz w:val="24"/>
          <w:szCs w:val="24"/>
        </w:rPr>
      </w:pPr>
      <w:r w:rsidRPr="007B014E">
        <w:rPr>
          <w:rFonts w:hAnsi="標楷體" w:hint="eastAsia"/>
          <w:b/>
          <w:color w:val="000000"/>
        </w:rPr>
        <w:t>表</w:t>
      </w:r>
      <w:r w:rsidR="00D570AA" w:rsidRPr="007B014E">
        <w:rPr>
          <w:rFonts w:hAnsi="標楷體" w:hint="eastAsia"/>
          <w:b/>
          <w:color w:val="000000"/>
        </w:rPr>
        <w:t>6</w:t>
      </w:r>
      <w:r w:rsidRPr="007B014E">
        <w:rPr>
          <w:rFonts w:hAnsi="標楷體" w:hint="eastAsia"/>
          <w:sz w:val="24"/>
        </w:rPr>
        <w:t xml:space="preserve">　</w:t>
      </w:r>
      <w:r w:rsidRPr="007B014E">
        <w:rPr>
          <w:rFonts w:hAnsi="標楷體" w:hint="eastAsia"/>
          <w:b/>
          <w:color w:val="000000"/>
        </w:rPr>
        <w:t>1</w:t>
      </w:r>
      <w:r w:rsidRPr="007B014E">
        <w:rPr>
          <w:rFonts w:hAnsi="標楷體"/>
          <w:b/>
          <w:color w:val="000000"/>
        </w:rPr>
        <w:t>12</w:t>
      </w:r>
      <w:r w:rsidRPr="007B014E">
        <w:rPr>
          <w:rFonts w:hAnsi="標楷體" w:hint="eastAsia"/>
          <w:b/>
          <w:color w:val="000000"/>
        </w:rPr>
        <w:t>年7月1日至114年6月底止TPASS月票於疫後特別預算執行情形概況表</w:t>
      </w:r>
      <w:r w:rsidRPr="007B014E">
        <w:rPr>
          <w:rFonts w:hint="eastAsia"/>
          <w:sz w:val="24"/>
          <w:szCs w:val="24"/>
        </w:rPr>
        <w:t xml:space="preserve">　　　　　　　　　　　　　　　　</w:t>
      </w:r>
      <w:r w:rsidRPr="007B014E">
        <w:rPr>
          <w:rFonts w:hAnsi="標楷體" w:hint="eastAsia"/>
          <w:color w:val="000000"/>
          <w:sz w:val="24"/>
          <w:szCs w:val="24"/>
        </w:rPr>
        <w:t>單位：新臺幣千元；%</w:t>
      </w:r>
    </w:p>
    <w:tbl>
      <w:tblPr>
        <w:tblW w:w="844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8"/>
        <w:gridCol w:w="1349"/>
        <w:gridCol w:w="1471"/>
        <w:gridCol w:w="1498"/>
        <w:gridCol w:w="1091"/>
        <w:gridCol w:w="1190"/>
        <w:gridCol w:w="1138"/>
      </w:tblGrid>
      <w:tr w:rsidR="00A24ED3" w:rsidRPr="007B014E" w:rsidTr="000A3DB7">
        <w:trPr>
          <w:trHeight w:val="347"/>
          <w:tblHeader/>
        </w:trPr>
        <w:tc>
          <w:tcPr>
            <w:tcW w:w="708" w:type="dxa"/>
            <w:vMerge w:val="restart"/>
            <w:tcBorders>
              <w:top w:val="single" w:sz="12" w:space="0" w:color="auto"/>
              <w:left w:val="single" w:sz="12"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年度</w:t>
            </w:r>
          </w:p>
        </w:tc>
        <w:tc>
          <w:tcPr>
            <w:tcW w:w="2820" w:type="dxa"/>
            <w:gridSpan w:val="2"/>
            <w:tcBorders>
              <w:top w:val="single" w:sz="12" w:space="0" w:color="auto"/>
              <w:left w:val="single" w:sz="4" w:space="0" w:color="auto"/>
              <w:bottom w:val="single" w:sz="4" w:space="0" w:color="auto"/>
              <w:right w:val="single" w:sz="4" w:space="0" w:color="auto"/>
            </w:tcBorders>
            <w:vAlign w:val="center"/>
            <w:hideMark/>
          </w:tcPr>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預算編列概況</w:t>
            </w:r>
          </w:p>
        </w:tc>
        <w:tc>
          <w:tcPr>
            <w:tcW w:w="4917" w:type="dxa"/>
            <w:gridSpan w:val="4"/>
            <w:tcBorders>
              <w:top w:val="single" w:sz="12" w:space="0" w:color="auto"/>
              <w:left w:val="single" w:sz="4" w:space="0" w:color="auto"/>
              <w:bottom w:val="single" w:sz="4" w:space="0" w:color="auto"/>
              <w:right w:val="single" w:sz="12" w:space="0" w:color="auto"/>
            </w:tcBorders>
            <w:vAlign w:val="center"/>
            <w:hideMark/>
          </w:tcPr>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預算執行概況</w:t>
            </w:r>
          </w:p>
        </w:tc>
      </w:tr>
      <w:tr w:rsidR="00A24ED3" w:rsidRPr="007B014E" w:rsidTr="000A3DB7">
        <w:trPr>
          <w:tblHeader/>
        </w:trPr>
        <w:tc>
          <w:tcPr>
            <w:tcW w:w="708" w:type="dxa"/>
            <w:vMerge/>
            <w:tcBorders>
              <w:top w:val="single" w:sz="12" w:space="0" w:color="auto"/>
              <w:left w:val="single" w:sz="12" w:space="0" w:color="auto"/>
              <w:bottom w:val="double" w:sz="4" w:space="0" w:color="auto"/>
              <w:right w:val="single" w:sz="4" w:space="0" w:color="auto"/>
            </w:tcBorders>
            <w:vAlign w:val="center"/>
            <w:hideMark/>
          </w:tcPr>
          <w:p w:rsidR="00A24ED3" w:rsidRPr="007B014E" w:rsidRDefault="00A24ED3" w:rsidP="00D601F0">
            <w:pPr>
              <w:widowControl/>
              <w:spacing w:line="400" w:lineRule="exact"/>
              <w:ind w:leftChars="0" w:left="0" w:firstLineChars="0" w:firstLine="0"/>
              <w:jc w:val="left"/>
              <w:rPr>
                <w:rFonts w:hAnsi="標楷體"/>
                <w:snapToGrid/>
                <w:color w:val="000000"/>
                <w:spacing w:val="-30"/>
                <w:sz w:val="24"/>
                <w:szCs w:val="24"/>
              </w:rPr>
            </w:pPr>
          </w:p>
        </w:tc>
        <w:tc>
          <w:tcPr>
            <w:tcW w:w="1349"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本年度</w:t>
            </w:r>
          </w:p>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A</w:t>
            </w:r>
          </w:p>
        </w:tc>
        <w:tc>
          <w:tcPr>
            <w:tcW w:w="1471"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累計編列數</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B</w:t>
            </w:r>
          </w:p>
        </w:tc>
        <w:tc>
          <w:tcPr>
            <w:tcW w:w="1498"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實現數</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C</w:t>
            </w:r>
          </w:p>
        </w:tc>
        <w:tc>
          <w:tcPr>
            <w:tcW w:w="1091"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實現率</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D=C/B</w:t>
            </w:r>
          </w:p>
        </w:tc>
        <w:tc>
          <w:tcPr>
            <w:tcW w:w="1190"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未實現數</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E=B-C</w:t>
            </w:r>
          </w:p>
        </w:tc>
        <w:tc>
          <w:tcPr>
            <w:tcW w:w="1138" w:type="dxa"/>
            <w:tcBorders>
              <w:top w:val="single" w:sz="4" w:space="0" w:color="auto"/>
              <w:left w:val="single" w:sz="4" w:space="0" w:color="auto"/>
              <w:bottom w:val="double" w:sz="4" w:space="0" w:color="auto"/>
              <w:right w:val="single" w:sz="12" w:space="0" w:color="auto"/>
            </w:tcBorders>
            <w:vAlign w:val="center"/>
            <w:hideMark/>
          </w:tcPr>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未實現率</w:t>
            </w:r>
          </w:p>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F=E/B</w:t>
            </w:r>
          </w:p>
        </w:tc>
      </w:tr>
      <w:tr w:rsidR="00A24ED3" w:rsidRPr="007B014E" w:rsidTr="000A3DB7">
        <w:tc>
          <w:tcPr>
            <w:tcW w:w="708" w:type="dxa"/>
            <w:tcBorders>
              <w:top w:val="double" w:sz="4" w:space="0" w:color="auto"/>
              <w:left w:val="single" w:sz="12"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112</w:t>
            </w:r>
          </w:p>
        </w:tc>
        <w:tc>
          <w:tcPr>
            <w:tcW w:w="1349"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w:t>
            </w:r>
          </w:p>
        </w:tc>
        <w:tc>
          <w:tcPr>
            <w:tcW w:w="1471"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w:t>
            </w:r>
          </w:p>
        </w:tc>
        <w:tc>
          <w:tcPr>
            <w:tcW w:w="1498"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0</w:t>
            </w:r>
          </w:p>
        </w:tc>
        <w:tc>
          <w:tcPr>
            <w:tcW w:w="1091"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0.00</w:t>
            </w:r>
          </w:p>
        </w:tc>
        <w:tc>
          <w:tcPr>
            <w:tcW w:w="1190"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w:t>
            </w:r>
          </w:p>
        </w:tc>
        <w:tc>
          <w:tcPr>
            <w:tcW w:w="1138" w:type="dxa"/>
            <w:tcBorders>
              <w:top w:val="double" w:sz="4" w:space="0" w:color="auto"/>
              <w:left w:val="single" w:sz="4" w:space="0" w:color="auto"/>
              <w:bottom w:val="single" w:sz="4" w:space="0" w:color="auto"/>
              <w:right w:val="single" w:sz="12"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100.00</w:t>
            </w:r>
          </w:p>
        </w:tc>
      </w:tr>
      <w:tr w:rsidR="00A24ED3" w:rsidRPr="007B014E" w:rsidTr="000A3DB7">
        <w:tc>
          <w:tcPr>
            <w:tcW w:w="708" w:type="dxa"/>
            <w:tcBorders>
              <w:top w:val="single" w:sz="4" w:space="0" w:color="auto"/>
              <w:left w:val="single" w:sz="12"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113</w:t>
            </w:r>
          </w:p>
        </w:tc>
        <w:tc>
          <w:tcPr>
            <w:tcW w:w="1349"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9,000,000</w:t>
            </w:r>
          </w:p>
        </w:tc>
        <w:tc>
          <w:tcPr>
            <w:tcW w:w="1471"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11,000,000</w:t>
            </w:r>
          </w:p>
        </w:tc>
        <w:tc>
          <w:tcPr>
            <w:tcW w:w="1498"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5,348,876</w:t>
            </w:r>
          </w:p>
        </w:tc>
        <w:tc>
          <w:tcPr>
            <w:tcW w:w="1091"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48.63</w:t>
            </w:r>
          </w:p>
        </w:tc>
        <w:tc>
          <w:tcPr>
            <w:tcW w:w="1190"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5,651,124</w:t>
            </w:r>
          </w:p>
        </w:tc>
        <w:tc>
          <w:tcPr>
            <w:tcW w:w="1138" w:type="dxa"/>
            <w:tcBorders>
              <w:top w:val="single" w:sz="4" w:space="0" w:color="auto"/>
              <w:left w:val="single" w:sz="4" w:space="0" w:color="auto"/>
              <w:bottom w:val="single" w:sz="4" w:space="0" w:color="auto"/>
              <w:right w:val="single" w:sz="12"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51.37</w:t>
            </w:r>
          </w:p>
        </w:tc>
      </w:tr>
      <w:tr w:rsidR="00A24ED3" w:rsidRPr="007B014E" w:rsidTr="000A3DB7">
        <w:trPr>
          <w:trHeight w:val="293"/>
        </w:trPr>
        <w:tc>
          <w:tcPr>
            <w:tcW w:w="708" w:type="dxa"/>
            <w:tcBorders>
              <w:top w:val="single" w:sz="4" w:space="0" w:color="auto"/>
              <w:left w:val="single" w:sz="12"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114</w:t>
            </w:r>
          </w:p>
        </w:tc>
        <w:tc>
          <w:tcPr>
            <w:tcW w:w="1349"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9,000,000</w:t>
            </w:r>
          </w:p>
        </w:tc>
        <w:tc>
          <w:tcPr>
            <w:tcW w:w="1471"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20,000,000</w:t>
            </w:r>
          </w:p>
        </w:tc>
        <w:tc>
          <w:tcPr>
            <w:tcW w:w="1498" w:type="dxa"/>
            <w:tcBorders>
              <w:top w:val="single" w:sz="4" w:space="0" w:color="auto"/>
              <w:left w:val="single" w:sz="4"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7,198,537</w:t>
            </w:r>
          </w:p>
        </w:tc>
        <w:tc>
          <w:tcPr>
            <w:tcW w:w="1091" w:type="dxa"/>
            <w:tcBorders>
              <w:top w:val="single" w:sz="4" w:space="0" w:color="auto"/>
              <w:left w:val="single" w:sz="4"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35.99</w:t>
            </w:r>
          </w:p>
        </w:tc>
        <w:tc>
          <w:tcPr>
            <w:tcW w:w="1190" w:type="dxa"/>
            <w:tcBorders>
              <w:top w:val="single" w:sz="4" w:space="0" w:color="auto"/>
              <w:left w:val="single" w:sz="4"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12,801,463</w:t>
            </w:r>
          </w:p>
        </w:tc>
        <w:tc>
          <w:tcPr>
            <w:tcW w:w="1138" w:type="dxa"/>
            <w:tcBorders>
              <w:top w:val="single" w:sz="4" w:space="0" w:color="auto"/>
              <w:left w:val="single" w:sz="4" w:space="0" w:color="auto"/>
              <w:bottom w:val="single" w:sz="4" w:space="0" w:color="auto"/>
              <w:right w:val="single" w:sz="12"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64.01</w:t>
            </w:r>
          </w:p>
        </w:tc>
      </w:tr>
      <w:tr w:rsidR="00A24ED3" w:rsidRPr="007B014E" w:rsidTr="000A3DB7">
        <w:trPr>
          <w:trHeight w:val="293"/>
        </w:trPr>
        <w:tc>
          <w:tcPr>
            <w:tcW w:w="708" w:type="dxa"/>
            <w:tcBorders>
              <w:top w:val="single" w:sz="4" w:space="0" w:color="auto"/>
              <w:left w:val="single" w:sz="12" w:space="0" w:color="auto"/>
              <w:bottom w:val="single" w:sz="12"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合計</w:t>
            </w:r>
          </w:p>
        </w:tc>
        <w:tc>
          <w:tcPr>
            <w:tcW w:w="1349" w:type="dxa"/>
            <w:tcBorders>
              <w:top w:val="single" w:sz="4" w:space="0" w:color="auto"/>
              <w:left w:val="single" w:sz="4" w:space="0" w:color="auto"/>
              <w:bottom w:val="single" w:sz="12"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20,000,000</w:t>
            </w:r>
          </w:p>
        </w:tc>
        <w:tc>
          <w:tcPr>
            <w:tcW w:w="6388" w:type="dxa"/>
            <w:gridSpan w:val="5"/>
            <w:tcBorders>
              <w:top w:val="single" w:sz="4" w:space="0" w:color="auto"/>
              <w:left w:val="single" w:sz="4" w:space="0" w:color="auto"/>
              <w:bottom w:val="single" w:sz="12" w:space="0" w:color="auto"/>
              <w:right w:val="single" w:sz="12" w:space="0" w:color="auto"/>
            </w:tcBorders>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p>
        </w:tc>
      </w:tr>
    </w:tbl>
    <w:p w:rsidR="00A24ED3" w:rsidRPr="007B014E" w:rsidRDefault="00A24ED3" w:rsidP="000A3DB7">
      <w:pPr>
        <w:snapToGrid w:val="0"/>
        <w:spacing w:line="280" w:lineRule="exact"/>
        <w:ind w:leftChars="0" w:left="1167" w:hangingChars="480" w:hanging="1167"/>
        <w:rPr>
          <w:rFonts w:hAnsi="標楷體"/>
          <w:color w:val="000000"/>
          <w:sz w:val="24"/>
        </w:rPr>
      </w:pPr>
      <w:r w:rsidRPr="007B014E">
        <w:rPr>
          <w:rFonts w:hAnsi="標楷體" w:hint="eastAsia"/>
          <w:color w:val="000000"/>
          <w:sz w:val="24"/>
        </w:rPr>
        <w:t>說　　明：112年度至114年6月底止累計分配數165億元。</w:t>
      </w:r>
    </w:p>
    <w:p w:rsidR="0047726B" w:rsidRPr="007B014E" w:rsidRDefault="0047726B" w:rsidP="0047726B">
      <w:pPr>
        <w:spacing w:line="280" w:lineRule="exact"/>
        <w:ind w:leftChars="1" w:left="1219" w:hangingChars="500" w:hanging="1216"/>
        <w:rPr>
          <w:rFonts w:hAnsi="標楷體"/>
          <w:color w:val="000000"/>
          <w:sz w:val="24"/>
        </w:rPr>
      </w:pPr>
      <w:r w:rsidRPr="007B014E">
        <w:rPr>
          <w:rFonts w:hAnsi="標楷體" w:hint="eastAsia"/>
          <w:color w:val="000000"/>
          <w:sz w:val="24"/>
        </w:rPr>
        <w:t>資料來源：公路局提供之資料；本中心製表。</w:t>
      </w:r>
    </w:p>
    <w:p w:rsidR="00A24ED3" w:rsidRPr="007B014E" w:rsidRDefault="00A24ED3" w:rsidP="000A3DB7">
      <w:pPr>
        <w:snapToGrid w:val="0"/>
        <w:ind w:left="566" w:firstLine="566"/>
        <w:rPr>
          <w:rFonts w:hint="eastAsia"/>
        </w:rPr>
      </w:pPr>
      <w:r w:rsidRPr="007B014E">
        <w:rPr>
          <w:rFonts w:hint="eastAsia"/>
        </w:rPr>
        <w:t>綜上，</w:t>
      </w:r>
      <w:r w:rsidRPr="007B014E">
        <w:t>115年度</w:t>
      </w:r>
      <w:r w:rsidRPr="007B014E">
        <w:rPr>
          <w:rFonts w:hint="eastAsia"/>
        </w:rPr>
        <w:t>TPASS執行計畫所需</w:t>
      </w:r>
      <w:r w:rsidRPr="007B014E">
        <w:t>經費自</w:t>
      </w:r>
      <w:r w:rsidRPr="007B014E">
        <w:rPr>
          <w:rFonts w:hint="eastAsia"/>
        </w:rPr>
        <w:t>疫後</w:t>
      </w:r>
      <w:r w:rsidRPr="007B014E">
        <w:t>特別預算移列至</w:t>
      </w:r>
      <w:r w:rsidRPr="007B014E">
        <w:rPr>
          <w:rFonts w:hint="eastAsia"/>
        </w:rPr>
        <w:t>總</w:t>
      </w:r>
      <w:r w:rsidRPr="007B014E">
        <w:t>預算，</w:t>
      </w:r>
      <w:r w:rsidR="00E76767" w:rsidRPr="007B014E">
        <w:rPr>
          <w:rFonts w:hint="eastAsia"/>
        </w:rPr>
        <w:t>公路局115年度預算案新增編列TPASS執行計畫經費15億8,000萬元，另於總預算案「直轄市及縣市政府－一般性補助款-公路局及所屬」編列59億4,000元，合共75億2,000萬元</w:t>
      </w:r>
      <w:r w:rsidR="00E76767" w:rsidRPr="007B014E">
        <w:rPr>
          <w:rFonts w:ascii="新細明體" w:eastAsia="新細明體" w:hAnsi="新細明體" w:hint="eastAsia"/>
        </w:rPr>
        <w:t>，</w:t>
      </w:r>
      <w:r w:rsidR="00F10027" w:rsidRPr="007B014E">
        <w:rPr>
          <w:rFonts w:hint="eastAsia"/>
        </w:rPr>
        <w:t>檢視前期計畫執行情形，雖已初步建立跨運具整合與票證共通機制，惟相關配套措施仍有精進空間</w:t>
      </w:r>
      <w:r w:rsidRPr="007B014E">
        <w:t>，允宜輔導各市縣妥適籌辦，持續整合跨運具服務，強化系統間轉乘接駁，以提升轉乘便利性</w:t>
      </w:r>
      <w:r w:rsidRPr="007B014E">
        <w:lastRenderedPageBreak/>
        <w:t>及公共運輸使用率，</w:t>
      </w:r>
      <w:r w:rsidRPr="007B014E">
        <w:rPr>
          <w:rFonts w:hint="eastAsia"/>
        </w:rPr>
        <w:t>並</w:t>
      </w:r>
      <w:r w:rsidRPr="007B014E">
        <w:t>宜簡化作業流程，</w:t>
      </w:r>
      <w:r w:rsidRPr="007B014E">
        <w:rPr>
          <w:rFonts w:hint="eastAsia"/>
        </w:rPr>
        <w:t>以提升執行績效及發揮政策效益</w:t>
      </w:r>
      <w:r w:rsidRPr="007B014E">
        <w:t>。</w:t>
      </w:r>
    </w:p>
    <w:bookmarkEnd w:id="5"/>
    <w:bookmarkEnd w:id="2"/>
    <w:bookmarkEnd w:id="3"/>
    <w:bookmarkEnd w:id="4"/>
    <w:sectPr w:rsidR="00A24ED3"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632A8F" w:rsidRPr="00632A8F">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902945" w:rsidRPr="00902945" w:rsidRDefault="00902945" w:rsidP="00681455">
      <w:pPr>
        <w:pStyle w:val="142"/>
        <w:jc w:val="both"/>
        <w:rPr>
          <w:rFonts w:hint="eastAsia"/>
        </w:rPr>
      </w:pPr>
      <w:r>
        <w:rPr>
          <w:rStyle w:val="af9"/>
        </w:rPr>
        <w:footnoteRef/>
      </w:r>
      <w:r w:rsidR="00F6094C" w:rsidRPr="003421FE">
        <w:rPr>
          <w:rFonts w:hint="eastAsia"/>
          <w:sz w:val="12"/>
          <w:szCs w:val="12"/>
        </w:rPr>
        <w:t xml:space="preserve">　</w:t>
      </w:r>
      <w:r w:rsidR="00E41A27">
        <w:rPr>
          <w:rFonts w:hint="eastAsia"/>
        </w:rPr>
        <w:t>參據113年民眾日常使用運具狀況調查摘要分析</w:t>
      </w:r>
      <w:r w:rsidR="00A4210C">
        <w:rPr>
          <w:rFonts w:ascii="新細明體" w:eastAsia="新細明體" w:hAnsi="新細明體" w:hint="eastAsia"/>
        </w:rPr>
        <w:t>，</w:t>
      </w:r>
      <w:r w:rsidR="00A4210C">
        <w:rPr>
          <w:rFonts w:hint="eastAsia"/>
        </w:rPr>
        <w:t>交通部統計處</w:t>
      </w:r>
      <w:r w:rsidR="00A4210C">
        <w:rPr>
          <w:rFonts w:ascii="新細明體" w:eastAsia="新細明體" w:hAnsi="新細明體" w:hint="eastAsia"/>
        </w:rPr>
        <w:t>，</w:t>
      </w:r>
      <w:r w:rsidR="00A4210C">
        <w:rPr>
          <w:rFonts w:hint="eastAsia"/>
        </w:rPr>
        <w:t>114年6月</w:t>
      </w:r>
      <w:r w:rsidR="00A4210C">
        <w:rPr>
          <w:rFonts w:hAnsi="標楷體" w:hint="eastAsia"/>
        </w:rPr>
        <w:t>。</w:t>
      </w:r>
    </w:p>
  </w:footnote>
  <w:footnote w:id="2">
    <w:p w:rsidR="00A24ED3" w:rsidRPr="007B60E2" w:rsidRDefault="00A24ED3" w:rsidP="00190126">
      <w:pPr>
        <w:pStyle w:val="142"/>
        <w:ind w:left="243" w:hangingChars="100" w:hanging="243"/>
        <w:jc w:val="both"/>
        <w:rPr>
          <w:rStyle w:val="143"/>
          <w:rFonts w:hAnsi="標楷體" w:hint="eastAsia"/>
        </w:rPr>
      </w:pPr>
      <w:r>
        <w:rPr>
          <w:rStyle w:val="af9"/>
        </w:rPr>
        <w:footnoteRef/>
      </w:r>
      <w:r w:rsidRPr="003421FE">
        <w:rPr>
          <w:rFonts w:hint="eastAsia"/>
          <w:sz w:val="12"/>
          <w:szCs w:val="12"/>
        </w:rPr>
        <w:t xml:space="preserve">　</w:t>
      </w:r>
      <w:r w:rsidRPr="004F2DCC">
        <w:rPr>
          <w:rStyle w:val="143"/>
          <w:rFonts w:hAnsi="標楷體" w:hint="eastAsia"/>
        </w:rPr>
        <w:t>依</w:t>
      </w:r>
      <w:r>
        <w:rPr>
          <w:rStyle w:val="143"/>
          <w:rFonts w:hAnsi="標楷體" w:hint="eastAsia"/>
        </w:rPr>
        <w:t>「</w:t>
      </w:r>
      <w:r w:rsidRPr="004F2DCC">
        <w:rPr>
          <w:rStyle w:val="143"/>
          <w:rFonts w:hAnsi="標楷體" w:hint="eastAsia"/>
        </w:rPr>
        <w:t>交通部公路局執行公共運輸定期票補助作業要點</w:t>
      </w:r>
      <w:r>
        <w:rPr>
          <w:rStyle w:val="143"/>
          <w:rFonts w:hAnsi="標楷體" w:hint="eastAsia"/>
        </w:rPr>
        <w:t>」</w:t>
      </w:r>
      <w:r w:rsidRPr="004F2DCC">
        <w:rPr>
          <w:rStyle w:val="143"/>
          <w:rFonts w:hAnsi="標楷體" w:hint="eastAsia"/>
        </w:rPr>
        <w:t>第</w:t>
      </w:r>
      <w:r w:rsidRPr="004F2DCC">
        <w:rPr>
          <w:rStyle w:val="143"/>
          <w:rFonts w:hAnsi="標楷體"/>
        </w:rPr>
        <w:t>9</w:t>
      </w:r>
      <w:r w:rsidRPr="004F2DCC">
        <w:rPr>
          <w:rStyle w:val="143"/>
          <w:rFonts w:hAnsi="標楷體" w:hint="eastAsia"/>
        </w:rPr>
        <w:t>點第</w:t>
      </w:r>
      <w:r w:rsidRPr="004F2DCC">
        <w:rPr>
          <w:rStyle w:val="143"/>
          <w:rFonts w:hAnsi="標楷體"/>
        </w:rPr>
        <w:t>2</w:t>
      </w:r>
      <w:r w:rsidRPr="004F2DCC">
        <w:rPr>
          <w:rStyle w:val="143"/>
          <w:rFonts w:hAnsi="標楷體" w:hint="eastAsia"/>
        </w:rPr>
        <w:t>項規定</w:t>
      </w:r>
      <w:r>
        <w:rPr>
          <w:rStyle w:val="143"/>
          <w:rFonts w:hAnsi="標楷體" w:hint="eastAsia"/>
        </w:rPr>
        <w:t>：「</w:t>
      </w:r>
      <w:r w:rsidRPr="004F2DCC">
        <w:rPr>
          <w:rStyle w:val="143"/>
          <w:rFonts w:hAnsi="標楷體" w:hint="eastAsia"/>
        </w:rPr>
        <w:t>民眾搭乘各類公共運具使用定期票優惠與實際票價之差額(含票證清分費用)：</w:t>
      </w:r>
      <w:r w:rsidRPr="004F2DCC">
        <w:rPr>
          <w:rStyle w:val="143"/>
          <w:rFonts w:hAnsi="標楷體"/>
        </w:rPr>
        <w:t>…</w:t>
      </w:r>
      <w:r w:rsidRPr="004F2DCC">
        <w:rPr>
          <w:rStyle w:val="143"/>
          <w:rFonts w:hAnsi="標楷體" w:hint="eastAsia"/>
        </w:rPr>
        <w:t>，核銷作業以每季</w:t>
      </w:r>
      <w:r>
        <w:rPr>
          <w:rStyle w:val="143"/>
          <w:rFonts w:hAnsi="標楷體" w:hint="eastAsia"/>
        </w:rPr>
        <w:t>1</w:t>
      </w:r>
      <w:r w:rsidRPr="004F2DCC">
        <w:rPr>
          <w:rStyle w:val="143"/>
          <w:rFonts w:hAnsi="標楷體" w:hint="eastAsia"/>
        </w:rPr>
        <w:t>次為原則。直轄市政府、縣(市)政府應於次年度</w:t>
      </w:r>
      <w:r>
        <w:rPr>
          <w:rStyle w:val="143"/>
          <w:rFonts w:hAnsi="標楷體" w:hint="eastAsia"/>
        </w:rPr>
        <w:t>2</w:t>
      </w:r>
      <w:r w:rsidRPr="004F2DCC">
        <w:rPr>
          <w:rStyle w:val="143"/>
          <w:rFonts w:hAnsi="標楷體" w:hint="eastAsia"/>
        </w:rPr>
        <w:t>月底前，提報前一年度結算資料送本局。</w:t>
      </w:r>
      <w:r>
        <w:rPr>
          <w:rStyle w:val="143"/>
          <w:rFonts w:hAnsi="標楷體" w:hint="eastAsia"/>
        </w:rPr>
        <w:t>」</w:t>
      </w:r>
    </w:p>
  </w:footnote>
  <w:footnote w:id="3">
    <w:p w:rsidR="00761567" w:rsidRDefault="00761567" w:rsidP="00681455">
      <w:pPr>
        <w:pStyle w:val="142"/>
        <w:ind w:left="243" w:hangingChars="100" w:hanging="243"/>
        <w:jc w:val="both"/>
        <w:rPr>
          <w:rFonts w:hint="eastAsia"/>
        </w:rPr>
      </w:pPr>
      <w:r>
        <w:rPr>
          <w:rStyle w:val="af9"/>
        </w:rPr>
        <w:footnoteRef/>
      </w:r>
      <w:r w:rsidRPr="003421FE">
        <w:rPr>
          <w:rFonts w:hint="eastAsia"/>
          <w:sz w:val="12"/>
          <w:szCs w:val="12"/>
        </w:rPr>
        <w:t xml:space="preserve">　</w:t>
      </w:r>
      <w:r w:rsidRPr="00761567">
        <w:rPr>
          <w:rStyle w:val="143"/>
          <w:rFonts w:hint="eastAsia"/>
        </w:rPr>
        <w:t>「</w:t>
      </w:r>
      <w:r w:rsidRPr="00761567">
        <w:rPr>
          <w:rStyle w:val="143"/>
          <w:rFonts w:hAnsi="標楷體" w:hint="eastAsia"/>
        </w:rPr>
        <w:t>台南、嘉義共推TPASS月票</w:t>
      </w:r>
      <w:r w:rsidRPr="004B1331">
        <w:rPr>
          <w:rFonts w:hint="eastAsia"/>
          <w:szCs w:val="24"/>
        </w:rPr>
        <w:t xml:space="preserve">　</w:t>
      </w:r>
      <w:r w:rsidRPr="00761567">
        <w:rPr>
          <w:rStyle w:val="143"/>
          <w:rFonts w:hAnsi="標楷體" w:hint="eastAsia"/>
        </w:rPr>
        <w:t>平台不同步挨批</w:t>
      </w:r>
      <w:r>
        <w:rPr>
          <w:rStyle w:val="143"/>
          <w:rFonts w:hAnsi="標楷體" w:hint="eastAsia"/>
        </w:rPr>
        <w:t>」</w:t>
      </w:r>
      <w:r>
        <w:rPr>
          <w:rStyle w:val="143"/>
          <w:rFonts w:ascii="新細明體" w:eastAsia="新細明體" w:hAnsi="新細明體" w:hint="eastAsia"/>
        </w:rPr>
        <w:t>，</w:t>
      </w:r>
      <w:r w:rsidR="005710A2" w:rsidRPr="005710A2">
        <w:rPr>
          <w:rStyle w:val="143"/>
          <w:rFonts w:hAnsi="標楷體" w:hint="eastAsia"/>
        </w:rPr>
        <w:t>聯合</w:t>
      </w:r>
      <w:r w:rsidR="005710A2">
        <w:rPr>
          <w:rStyle w:val="143"/>
          <w:rFonts w:hAnsi="標楷體" w:hint="eastAsia"/>
        </w:rPr>
        <w:t>新聞網</w:t>
      </w:r>
      <w:r w:rsidR="005710A2">
        <w:rPr>
          <w:rStyle w:val="143"/>
          <w:rFonts w:ascii="新細明體" w:eastAsia="新細明體" w:hAnsi="新細明體" w:hint="eastAsia"/>
        </w:rPr>
        <w:t>，</w:t>
      </w:r>
      <w:r w:rsidR="005710A2">
        <w:rPr>
          <w:rStyle w:val="143"/>
          <w:rFonts w:hAnsi="標楷體" w:hint="eastAsia"/>
        </w:rPr>
        <w:t>114年9月11日</w:t>
      </w:r>
      <w:r w:rsidR="005710A2">
        <w:rPr>
          <w:rStyle w:val="143"/>
          <w:rFonts w:ascii="新細明體" w:eastAsia="新細明體" w:hAnsi="新細明體" w:hint="eastAsia"/>
        </w:rPr>
        <w:t>，</w:t>
      </w:r>
      <w:r w:rsidR="005710A2" w:rsidRPr="005710A2">
        <w:rPr>
          <w:rStyle w:val="143"/>
          <w:rFonts w:hAnsi="標楷體"/>
        </w:rPr>
        <w:t>https://udn.com/news/story/7326/8997261</w:t>
      </w:r>
      <w:r w:rsidR="005710A2">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8F"/>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4EE1AC0-72AA-4303-9483-EF533FDC6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9171B-42CC-4908-B3DA-4D7EFDE84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1</TotalTime>
  <Pages>38</Pages>
  <Words>962</Words>
  <Characters>5488</Characters>
  <Application>Microsoft Office Word</Application>
  <DocSecurity>0</DocSecurity>
  <Lines>45</Lines>
  <Paragraphs>12</Paragraphs>
  <ScaleCrop>false</ScaleCrop>
  <Company>HOME</Company>
  <LinksUpToDate>false</LinksUpToDate>
  <CharactersWithSpaces>6438</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2025-10-30T07:56:00Z</dcterms:created>
  <dcterms:modified xsi:type="dcterms:W3CDTF">2025-10-30T07:56:00Z</dcterms:modified>
</cp:coreProperties>
</file>