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FB6" w:rsidRDefault="003D4FB6" w:rsidP="00E05A6A">
      <w:pPr>
        <w:pStyle w:val="ad"/>
        <w:rPr>
          <w:snapToGrid/>
        </w:rPr>
      </w:pPr>
      <w:bookmarkStart w:id="0" w:name="_Toc273553470"/>
      <w:bookmarkStart w:id="1" w:name="_Toc274132956"/>
      <w:r w:rsidRPr="00F2421A">
        <w:rPr>
          <w:rFonts w:hint="eastAsia"/>
          <w:snapToGrid/>
        </w:rPr>
        <w:t>中央政府前瞻基礎建設計畫第</w:t>
      </w:r>
      <w:r>
        <w:rPr>
          <w:rFonts w:hint="eastAsia"/>
          <w:snapToGrid/>
        </w:rPr>
        <w:t>4</w:t>
      </w:r>
      <w:r w:rsidRPr="00F2421A">
        <w:rPr>
          <w:rFonts w:hint="eastAsia"/>
          <w:snapToGrid/>
        </w:rPr>
        <w:t>期</w:t>
      </w:r>
      <w:r w:rsidRPr="0068597E">
        <w:rPr>
          <w:rFonts w:hint="eastAsia"/>
          <w:snapToGrid/>
        </w:rPr>
        <w:t>特別</w:t>
      </w:r>
      <w:r>
        <w:rPr>
          <w:rFonts w:hint="eastAsia"/>
          <w:snapToGrid/>
        </w:rPr>
        <w:t>決</w:t>
      </w:r>
      <w:r w:rsidRPr="0068597E">
        <w:rPr>
          <w:rFonts w:hint="eastAsia"/>
          <w:snapToGrid/>
        </w:rPr>
        <w:t>算</w:t>
      </w:r>
      <w:r>
        <w:rPr>
          <w:rFonts w:hint="eastAsia"/>
          <w:snapToGrid/>
        </w:rPr>
        <w:t>審核報告</w:t>
      </w:r>
      <w:r w:rsidRPr="00264880">
        <w:rPr>
          <w:rFonts w:hint="eastAsia"/>
          <w:snapToGrid/>
        </w:rPr>
        <w:t>評估報告</w:t>
      </w:r>
    </w:p>
    <w:p w:rsidR="003D4FB6" w:rsidRPr="00F23D94" w:rsidRDefault="003D4FB6" w:rsidP="00E05A6A">
      <w:pPr>
        <w:ind w:leftChars="0" w:left="0" w:firstLine="566"/>
      </w:pPr>
      <w:bookmarkStart w:id="2" w:name="_Toc138128835"/>
      <w:r w:rsidRPr="00F13448">
        <w:rPr>
          <w:rFonts w:hint="eastAsia"/>
          <w:snapToGrid/>
        </w:rPr>
        <w:t>中央政府前瞻基礎建設計畫</w:t>
      </w:r>
      <w:r w:rsidRPr="00715253">
        <w:rPr>
          <w:rFonts w:hint="eastAsia"/>
          <w:snapToGrid/>
        </w:rPr>
        <w:t>(以下簡稱前瞻)</w:t>
      </w:r>
      <w:r w:rsidRPr="00F13448">
        <w:rPr>
          <w:rFonts w:hint="eastAsia"/>
          <w:snapToGrid/>
        </w:rPr>
        <w:t>第</w:t>
      </w:r>
      <w:r>
        <w:rPr>
          <w:rFonts w:hint="eastAsia"/>
          <w:snapToGrid/>
        </w:rPr>
        <w:t>4</w:t>
      </w:r>
      <w:r w:rsidRPr="00F13448">
        <w:rPr>
          <w:rFonts w:hint="eastAsia"/>
          <w:snapToGrid/>
        </w:rPr>
        <w:t>期特別決算</w:t>
      </w:r>
      <w:r>
        <w:rPr>
          <w:rFonts w:hint="eastAsia"/>
          <w:snapToGrid/>
        </w:rPr>
        <w:t>，歲入預算無列數，歲出預算</w:t>
      </w:r>
      <w:r w:rsidRPr="000E5472">
        <w:rPr>
          <w:rFonts w:hint="eastAsia"/>
          <w:snapToGrid/>
        </w:rPr>
        <w:t>數2,</w:t>
      </w:r>
      <w:r>
        <w:rPr>
          <w:rFonts w:hint="eastAsia"/>
          <w:snapToGrid/>
        </w:rPr>
        <w:t>0</w:t>
      </w:r>
      <w:r>
        <w:rPr>
          <w:snapToGrid/>
        </w:rPr>
        <w:t>98</w:t>
      </w:r>
      <w:r w:rsidRPr="000E5472">
        <w:rPr>
          <w:rFonts w:hint="eastAsia"/>
          <w:snapToGrid/>
        </w:rPr>
        <w:t>億</w:t>
      </w:r>
      <w:r>
        <w:rPr>
          <w:snapToGrid/>
        </w:rPr>
        <w:t>3</w:t>
      </w:r>
      <w:r>
        <w:rPr>
          <w:rFonts w:hint="eastAsia"/>
          <w:snapToGrid/>
        </w:rPr>
        <w:t>,255萬5千元，歲入及歲出決算審定數分別為3</w:t>
      </w:r>
      <w:r w:rsidRPr="000E5472">
        <w:rPr>
          <w:rFonts w:hint="eastAsia"/>
          <w:snapToGrid/>
        </w:rPr>
        <w:t>億</w:t>
      </w:r>
      <w:r>
        <w:rPr>
          <w:rFonts w:hint="eastAsia"/>
          <w:snapToGrid/>
        </w:rPr>
        <w:t>1,960</w:t>
      </w:r>
      <w:r w:rsidRPr="000E5472">
        <w:rPr>
          <w:rFonts w:hint="eastAsia"/>
          <w:snapToGrid/>
        </w:rPr>
        <w:t>萬</w:t>
      </w:r>
      <w:r>
        <w:rPr>
          <w:rFonts w:hint="eastAsia"/>
          <w:snapToGrid/>
        </w:rPr>
        <w:t>1千元及</w:t>
      </w:r>
      <w:r w:rsidRPr="000E5472">
        <w:rPr>
          <w:rFonts w:hint="eastAsia"/>
          <w:snapToGrid/>
        </w:rPr>
        <w:t>2,</w:t>
      </w:r>
      <w:r>
        <w:rPr>
          <w:rFonts w:hint="eastAsia"/>
          <w:snapToGrid/>
        </w:rPr>
        <w:t>070</w:t>
      </w:r>
      <w:r w:rsidRPr="000E5472">
        <w:rPr>
          <w:rFonts w:hint="eastAsia"/>
          <w:snapToGrid/>
        </w:rPr>
        <w:t>億</w:t>
      </w:r>
      <w:r>
        <w:rPr>
          <w:rFonts w:hint="eastAsia"/>
          <w:snapToGrid/>
        </w:rPr>
        <w:t>3</w:t>
      </w:r>
      <w:r w:rsidRPr="002D0F3E">
        <w:rPr>
          <w:snapToGrid/>
        </w:rPr>
        <w:t>,</w:t>
      </w:r>
      <w:r>
        <w:rPr>
          <w:rFonts w:hint="eastAsia"/>
          <w:snapToGrid/>
        </w:rPr>
        <w:t>530</w:t>
      </w:r>
      <w:r w:rsidRPr="000E5472">
        <w:rPr>
          <w:rFonts w:hint="eastAsia"/>
          <w:snapToGrid/>
        </w:rPr>
        <w:t>萬</w:t>
      </w:r>
      <w:r>
        <w:rPr>
          <w:rFonts w:hint="eastAsia"/>
          <w:snapToGrid/>
        </w:rPr>
        <w:t>4千元。謹就下列機關歲出預算執行情形分別評估如下：</w:t>
      </w:r>
      <w:bookmarkEnd w:id="2"/>
    </w:p>
    <w:p w:rsidR="00722210" w:rsidRPr="00EB4A25" w:rsidRDefault="00722210" w:rsidP="00E05A6A">
      <w:pPr>
        <w:pStyle w:val="144"/>
        <w:ind w:left="567" w:hanging="567"/>
      </w:pPr>
      <w:bookmarkStart w:id="3" w:name="_Toc212558120"/>
      <w:bookmarkStart w:id="4" w:name="_Toc150182115"/>
      <w:bookmarkStart w:id="5" w:name="_GoBack"/>
      <w:bookmarkEnd w:id="0"/>
      <w:bookmarkEnd w:id="1"/>
      <w:r w:rsidRPr="00EB4A25">
        <w:rPr>
          <w:rFonts w:hint="eastAsia"/>
        </w:rPr>
        <w:t>第9款、原子能委員會主管(核能安全委員會及所屬)</w:t>
      </w:r>
      <w:bookmarkEnd w:id="3"/>
      <w:bookmarkEnd w:id="5"/>
    </w:p>
    <w:bookmarkEnd w:id="4"/>
    <w:p w:rsidR="00722210" w:rsidRPr="00CD2DB7" w:rsidRDefault="00722210" w:rsidP="00E05A6A">
      <w:pPr>
        <w:pStyle w:val="a4"/>
        <w:ind w:left="567" w:hanging="567"/>
      </w:pPr>
      <w:r w:rsidRPr="00CD2DB7">
        <w:rPr>
          <w:rFonts w:hint="eastAsia"/>
        </w:rPr>
        <w:t>一、執行「綠能發配電智慧管理與效能提升技術發展計畫」及</w:t>
      </w:r>
      <w:r w:rsidRPr="00CD2DB7">
        <w:rPr>
          <w:rFonts w:hAnsi="標楷體" w:hint="eastAsia"/>
        </w:rPr>
        <w:t>「電網韌性分析計畫」所研發技術</w:t>
      </w:r>
      <w:r w:rsidRPr="00CD2DB7">
        <w:rPr>
          <w:rFonts w:hint="eastAsia"/>
        </w:rPr>
        <w:t>，允待後續擴展授權應用，俾達計畫產業效益</w:t>
      </w:r>
    </w:p>
    <w:p w:rsidR="00722210" w:rsidRPr="00EF3B7C" w:rsidRDefault="00722210" w:rsidP="00E05A6A">
      <w:pPr>
        <w:ind w:left="566" w:firstLine="566"/>
        <w:rPr>
          <w:rFonts w:hAnsi="標楷體"/>
          <w:color w:val="0070C0"/>
        </w:rPr>
      </w:pPr>
      <w:r w:rsidRPr="00A8109C">
        <w:rPr>
          <w:rFonts w:hint="eastAsia"/>
          <w:lang w:eastAsia="zh-HK"/>
        </w:rPr>
        <w:t>原子</w:t>
      </w:r>
      <w:r w:rsidRPr="00A8109C">
        <w:rPr>
          <w:rFonts w:hAnsi="標楷體" w:hint="eastAsia"/>
          <w:lang w:eastAsia="zh-HK"/>
        </w:rPr>
        <w:t>能委員會</w:t>
      </w:r>
      <w:r>
        <w:rPr>
          <w:rFonts w:hAnsi="標楷體" w:hint="eastAsia"/>
        </w:rPr>
        <w:t>(112年9月27日改制為核能安全委員會，下稱核安會)</w:t>
      </w:r>
      <w:r w:rsidRPr="00A8109C">
        <w:rPr>
          <w:rFonts w:hAnsi="標楷體" w:hint="eastAsia"/>
          <w:lang w:eastAsia="zh-HK"/>
        </w:rPr>
        <w:t>主管核能研究所</w:t>
      </w:r>
      <w:r w:rsidRPr="00A8109C">
        <w:rPr>
          <w:rFonts w:hAnsi="標楷體" w:hint="eastAsia"/>
        </w:rPr>
        <w:t>(</w:t>
      </w:r>
      <w:r>
        <w:rPr>
          <w:rFonts w:hAnsi="標楷體" w:hint="eastAsia"/>
        </w:rPr>
        <w:t>112年9月27日改制為行政法人國家原子能科技研究院，</w:t>
      </w:r>
      <w:r w:rsidRPr="00A8109C">
        <w:rPr>
          <w:rFonts w:hAnsi="標楷體" w:hint="eastAsia"/>
        </w:rPr>
        <w:t>下稱</w:t>
      </w:r>
      <w:r>
        <w:rPr>
          <w:rFonts w:hAnsi="標楷體" w:hint="eastAsia"/>
        </w:rPr>
        <w:t>國原院</w:t>
      </w:r>
      <w:r w:rsidRPr="00A8109C">
        <w:rPr>
          <w:rFonts w:hAnsi="標楷體" w:hint="eastAsia"/>
        </w:rPr>
        <w:t>)</w:t>
      </w:r>
      <w:r w:rsidRPr="00A8109C">
        <w:rPr>
          <w:rFonts w:hAnsi="標楷體" w:hint="eastAsia"/>
          <w:lang w:eastAsia="zh-HK"/>
        </w:rPr>
        <w:t>於前瞻第</w:t>
      </w:r>
      <w:r>
        <w:rPr>
          <w:rFonts w:hAnsi="標楷體" w:hint="eastAsia"/>
        </w:rPr>
        <w:t>4</w:t>
      </w:r>
      <w:r w:rsidRPr="00A8109C">
        <w:rPr>
          <w:rFonts w:hAnsi="標楷體" w:hint="eastAsia"/>
          <w:lang w:eastAsia="zh-HK"/>
        </w:rPr>
        <w:t>期特別預算</w:t>
      </w:r>
      <w:r w:rsidRPr="00A8109C">
        <w:rPr>
          <w:rFonts w:hAnsi="標楷體" w:hint="eastAsia"/>
        </w:rPr>
        <w:t>「綠能建設」計畫</w:t>
      </w:r>
      <w:r>
        <w:rPr>
          <w:rFonts w:hAnsi="標楷體" w:hint="eastAsia"/>
        </w:rPr>
        <w:t>編列3</w:t>
      </w:r>
      <w:r w:rsidRPr="00A8109C">
        <w:rPr>
          <w:rFonts w:hAnsi="標楷體" w:hint="eastAsia"/>
          <w:lang w:eastAsia="zh-HK"/>
        </w:rPr>
        <w:t>億</w:t>
      </w:r>
      <w:r>
        <w:rPr>
          <w:rFonts w:hAnsi="標楷體" w:hint="eastAsia"/>
        </w:rPr>
        <w:t>7</w:t>
      </w:r>
      <w:r>
        <w:rPr>
          <w:rFonts w:hAnsi="標楷體"/>
        </w:rPr>
        <w:t>,</w:t>
      </w:r>
      <w:r>
        <w:rPr>
          <w:rFonts w:hAnsi="標楷體" w:hint="eastAsia"/>
        </w:rPr>
        <w:t>790</w:t>
      </w:r>
      <w:r w:rsidRPr="00A8109C">
        <w:rPr>
          <w:rFonts w:hAnsi="標楷體" w:hint="eastAsia"/>
          <w:lang w:eastAsia="zh-HK"/>
        </w:rPr>
        <w:t>萬</w:t>
      </w:r>
      <w:r>
        <w:rPr>
          <w:rFonts w:hAnsi="標楷體" w:hint="eastAsia"/>
        </w:rPr>
        <w:t>8千</w:t>
      </w:r>
      <w:r w:rsidRPr="00A8109C">
        <w:rPr>
          <w:rFonts w:hAnsi="標楷體" w:hint="eastAsia"/>
          <w:lang w:eastAsia="zh-HK"/>
        </w:rPr>
        <w:t>元，</w:t>
      </w:r>
      <w:r w:rsidRPr="00A8109C">
        <w:rPr>
          <w:rFonts w:hAnsi="標楷體" w:hint="eastAsia"/>
        </w:rPr>
        <w:t>係辦理</w:t>
      </w:r>
      <w:r w:rsidRPr="00A8109C">
        <w:rPr>
          <w:rFonts w:hAnsi="標楷體" w:hint="eastAsia"/>
          <w:lang w:eastAsia="zh-HK"/>
        </w:rPr>
        <w:t>「綠能發配電智慧管理與效能提升技術發展計畫」</w:t>
      </w:r>
      <w:r>
        <w:rPr>
          <w:rFonts w:hAnsi="標楷體" w:hint="eastAsia"/>
        </w:rPr>
        <w:t>及「電網韌性分析計畫」等2項計畫</w:t>
      </w:r>
      <w:r w:rsidRPr="00A8109C">
        <w:rPr>
          <w:rFonts w:hAnsi="標楷體" w:hint="eastAsia"/>
          <w:lang w:eastAsia="zh-HK"/>
        </w:rPr>
        <w:t>，</w:t>
      </w:r>
      <w:r w:rsidRPr="00A8109C">
        <w:rPr>
          <w:rFonts w:hAnsi="標楷體" w:hint="eastAsia"/>
        </w:rPr>
        <w:t>執行結果決算審定數</w:t>
      </w:r>
      <w:r>
        <w:rPr>
          <w:rFonts w:hAnsi="標楷體" w:hint="eastAsia"/>
        </w:rPr>
        <w:t>3</w:t>
      </w:r>
      <w:r w:rsidRPr="00A8109C">
        <w:rPr>
          <w:rFonts w:hAnsi="標楷體" w:hint="eastAsia"/>
        </w:rPr>
        <w:t>億</w:t>
      </w:r>
      <w:r>
        <w:rPr>
          <w:rFonts w:hAnsi="標楷體" w:hint="eastAsia"/>
        </w:rPr>
        <w:t>7</w:t>
      </w:r>
      <w:r w:rsidRPr="00A8109C">
        <w:rPr>
          <w:rFonts w:hAnsi="標楷體" w:hint="eastAsia"/>
        </w:rPr>
        <w:t>,</w:t>
      </w:r>
      <w:r>
        <w:rPr>
          <w:rFonts w:hAnsi="標楷體" w:hint="eastAsia"/>
        </w:rPr>
        <w:t>77</w:t>
      </w:r>
      <w:r w:rsidRPr="00A8109C">
        <w:rPr>
          <w:rFonts w:hAnsi="標楷體" w:hint="eastAsia"/>
        </w:rPr>
        <w:t>9萬</w:t>
      </w:r>
      <w:r>
        <w:rPr>
          <w:rFonts w:hAnsi="標楷體" w:hint="eastAsia"/>
        </w:rPr>
        <w:t>9</w:t>
      </w:r>
      <w:r w:rsidRPr="00A8109C">
        <w:rPr>
          <w:rFonts w:hAnsi="標楷體" w:hint="eastAsia"/>
        </w:rPr>
        <w:t>千元</w:t>
      </w:r>
      <w:r w:rsidRPr="00A8109C">
        <w:rPr>
          <w:rFonts w:hAnsi="標楷體" w:hint="eastAsia"/>
          <w:lang w:eastAsia="zh-HK"/>
        </w:rPr>
        <w:t>。</w:t>
      </w:r>
      <w:r w:rsidRPr="00A8109C">
        <w:rPr>
          <w:rFonts w:hAnsi="標楷體" w:hint="eastAsia"/>
        </w:rPr>
        <w:t>茲</w:t>
      </w:r>
      <w:r>
        <w:rPr>
          <w:rFonts w:hAnsi="標楷體" w:hint="eastAsia"/>
        </w:rPr>
        <w:t>就預算與工作項目執行及計畫成果說明</w:t>
      </w:r>
      <w:r w:rsidRPr="00A8109C">
        <w:rPr>
          <w:rFonts w:hAnsi="標楷體" w:hint="eastAsia"/>
        </w:rPr>
        <w:t>如下</w:t>
      </w:r>
      <w:r w:rsidRPr="00A8109C">
        <w:rPr>
          <w:rFonts w:hAnsi="標楷體" w:hint="eastAsia"/>
          <w:lang w:eastAsia="zh-HK"/>
        </w:rPr>
        <w:t>：</w:t>
      </w:r>
    </w:p>
    <w:p w:rsidR="00722210" w:rsidRPr="00702C1E" w:rsidRDefault="00722210" w:rsidP="00E05A6A">
      <w:pPr>
        <w:pStyle w:val="a6"/>
        <w:ind w:left="849" w:hanging="283"/>
        <w:rPr>
          <w:b/>
        </w:rPr>
      </w:pPr>
      <w:r w:rsidRPr="00702C1E">
        <w:rPr>
          <w:rFonts w:hint="eastAsia"/>
          <w:b/>
          <w:lang w:eastAsia="zh-HK"/>
        </w:rPr>
        <w:t>(一</w:t>
      </w:r>
      <w:r w:rsidRPr="00702C1E">
        <w:rPr>
          <w:rFonts w:hint="eastAsia"/>
          <w:b/>
        </w:rPr>
        <w:t>)「綠能發配電智慧管理與效能提升技術發展計畫」及</w:t>
      </w:r>
      <w:r w:rsidRPr="00702C1E">
        <w:rPr>
          <w:rFonts w:hAnsi="標楷體" w:hint="eastAsia"/>
          <w:b/>
        </w:rPr>
        <w:t>「電網韌性分析計畫」各子計畫</w:t>
      </w:r>
      <w:r w:rsidRPr="00702C1E">
        <w:rPr>
          <w:rFonts w:hint="eastAsia"/>
          <w:b/>
        </w:rPr>
        <w:t>執行狀況尚符合原訂進度目標</w:t>
      </w:r>
    </w:p>
    <w:p w:rsidR="00722210" w:rsidRPr="00060767" w:rsidRDefault="00722210" w:rsidP="00E05A6A">
      <w:pPr>
        <w:pStyle w:val="21"/>
        <w:ind w:left="850" w:firstLine="566"/>
        <w:rPr>
          <w:rFonts w:hAnsi="標楷體"/>
        </w:rPr>
      </w:pPr>
      <w:r w:rsidRPr="00060767">
        <w:rPr>
          <w:rFonts w:hint="eastAsia"/>
        </w:rPr>
        <w:t>國原院於前瞻第4期特別預算編列「綠能發配電智慧管理與效能提升技術發展計畫」及「電網韌性分析計畫」各2億</w:t>
      </w:r>
      <w:r w:rsidRPr="00060767">
        <w:t>2,884</w:t>
      </w:r>
      <w:r w:rsidRPr="00060767">
        <w:rPr>
          <w:rFonts w:hint="eastAsia"/>
        </w:rPr>
        <w:t>萬</w:t>
      </w:r>
      <w:r w:rsidRPr="00060767">
        <w:t>5</w:t>
      </w:r>
      <w:r w:rsidRPr="00060767">
        <w:rPr>
          <w:rFonts w:hint="eastAsia"/>
        </w:rPr>
        <w:t>千元及</w:t>
      </w:r>
      <w:r w:rsidRPr="00060767">
        <w:t>1</w:t>
      </w:r>
      <w:r w:rsidRPr="00060767">
        <w:rPr>
          <w:rFonts w:hint="eastAsia"/>
        </w:rPr>
        <w:t>億</w:t>
      </w:r>
      <w:r w:rsidRPr="00060767">
        <w:t>4,906</w:t>
      </w:r>
      <w:r w:rsidRPr="00060767">
        <w:rPr>
          <w:rFonts w:hint="eastAsia"/>
        </w:rPr>
        <w:t>萬</w:t>
      </w:r>
      <w:r w:rsidRPr="00060767">
        <w:t>3</w:t>
      </w:r>
      <w:r w:rsidRPr="00060767">
        <w:rPr>
          <w:rFonts w:hint="eastAsia"/>
        </w:rPr>
        <w:t>元，執行率為99.96%及99.99%(詳表1)，預算多予執行。另「綠能發配電智慧管理與效能提升技術發展計畫」包含「本土化配電網路管理與地理空間資訊應用」、「微電網與配電網共模調控技術開發」及「變電所損傷診斷與預知維護資產管理技術」等3項子計畫；「電網韌性分析計</w:t>
      </w:r>
      <w:r w:rsidRPr="00060767">
        <w:rPr>
          <w:rFonts w:hint="eastAsia"/>
        </w:rPr>
        <w:lastRenderedPageBreak/>
        <w:t>畫」包含「電網脆弱度分析技術開發」、「能源供應設施量化風險評估技術開發」及「能源關鍵設備之主動試運轉偏離鑑別技術開發」等3項子計畫，</w:t>
      </w:r>
      <w:r w:rsidRPr="00060767">
        <w:rPr>
          <w:rFonts w:hAnsi="標楷體" w:hint="eastAsia"/>
        </w:rPr>
        <w:t>各子計畫各年度已完成項目尚符合原定計畫</w:t>
      </w:r>
      <w:r>
        <w:rPr>
          <w:rFonts w:hAnsi="標楷體" w:hint="eastAsia"/>
        </w:rPr>
        <w:t>進度</w:t>
      </w:r>
      <w:r w:rsidRPr="00060767">
        <w:rPr>
          <w:rFonts w:hAnsi="標楷體" w:hint="eastAsia"/>
        </w:rPr>
        <w:t>目標(詳表2、3)。</w:t>
      </w:r>
    </w:p>
    <w:p w:rsidR="00722210" w:rsidRPr="00702C1E" w:rsidRDefault="00722210" w:rsidP="00E05A6A">
      <w:pPr>
        <w:pStyle w:val="a6"/>
        <w:ind w:left="849" w:hanging="283"/>
        <w:rPr>
          <w:b/>
        </w:rPr>
      </w:pPr>
      <w:r w:rsidRPr="00702C1E">
        <w:rPr>
          <w:rFonts w:hint="eastAsia"/>
          <w:b/>
          <w:lang w:eastAsia="zh-HK"/>
        </w:rPr>
        <w:t>(</w:t>
      </w:r>
      <w:r w:rsidRPr="00702C1E">
        <w:rPr>
          <w:rFonts w:hint="eastAsia"/>
          <w:b/>
        </w:rPr>
        <w:t>二)執行計畫實際成果尚符原訂績效目標，並已就研發技術申請或獲得國內外專利</w:t>
      </w:r>
    </w:p>
    <w:p w:rsidR="00722210" w:rsidRPr="00C5681E" w:rsidRDefault="00722210" w:rsidP="00E05A6A">
      <w:pPr>
        <w:pStyle w:val="21"/>
        <w:ind w:left="850" w:firstLine="566"/>
        <w:rPr>
          <w:color w:val="8EAADB"/>
        </w:rPr>
      </w:pPr>
      <w:r w:rsidRPr="00C5681E">
        <w:rPr>
          <w:rFonts w:hint="eastAsia"/>
        </w:rPr>
        <w:lastRenderedPageBreak/>
        <w:t>依國原院說明略以，「綠能發配電智慧管理與效能提升技術發展計畫」及</w:t>
      </w:r>
      <w:r w:rsidRPr="00C5681E">
        <w:rPr>
          <w:rFonts w:hAnsi="標楷體" w:hint="eastAsia"/>
        </w:rPr>
        <w:t>「電網韌性分析計畫」績效指標包含論文、研究報告及</w:t>
      </w:r>
      <w:r w:rsidRPr="00C5681E">
        <w:rPr>
          <w:rFonts w:hint="eastAsia"/>
        </w:rPr>
        <w:t>申請或獲得國內外專利，實際執行</w:t>
      </w:r>
      <w:r>
        <w:rPr>
          <w:rFonts w:hint="eastAsia"/>
        </w:rPr>
        <w:t>尚符</w:t>
      </w:r>
      <w:r w:rsidRPr="00C5681E">
        <w:rPr>
          <w:rFonts w:hint="eastAsia"/>
        </w:rPr>
        <w:t>預</w:t>
      </w:r>
      <w:r>
        <w:rPr>
          <w:rFonts w:hint="eastAsia"/>
        </w:rPr>
        <w:t>計績效</w:t>
      </w:r>
      <w:r w:rsidRPr="00C5681E">
        <w:rPr>
          <w:rFonts w:hint="eastAsia"/>
        </w:rPr>
        <w:t>目標(詳表4)，其中112及113年度該二計畫申請或獲得國內外專利各7件及9件。鑒於「綠能發配電智慧管理與效能提升技術發展計畫」之預計效益包含開發之技術透過技術移轉或技術服務，提供國內產業應用，並期進而提升產業技術及創新應用，推廣至國外配電與微電網場域應用；「電網韌性分析計畫」之效益目標亦包含推廣產業應用，</w:t>
      </w:r>
      <w:r>
        <w:rPr>
          <w:rFonts w:hint="eastAsia"/>
        </w:rPr>
        <w:t>爰為達</w:t>
      </w:r>
      <w:r w:rsidRPr="00C5681E">
        <w:rPr>
          <w:rFonts w:hint="eastAsia"/>
        </w:rPr>
        <w:t>計畫產業效益</w:t>
      </w:r>
      <w:r>
        <w:rPr>
          <w:rFonts w:hint="eastAsia"/>
        </w:rPr>
        <w:t>，後續允</w:t>
      </w:r>
      <w:r w:rsidRPr="00C5681E">
        <w:rPr>
          <w:rFonts w:hint="eastAsia"/>
        </w:rPr>
        <w:t>宜擴展計畫研發技術或專利之授權應用</w:t>
      </w:r>
      <w:r>
        <w:rPr>
          <w:rFonts w:hint="eastAsia"/>
        </w:rPr>
        <w:t>至產業</w:t>
      </w:r>
      <w:r w:rsidRPr="00C5681E">
        <w:rPr>
          <w:rFonts w:hint="eastAsia"/>
        </w:rPr>
        <w:t>。</w:t>
      </w:r>
    </w:p>
    <w:p w:rsidR="00722210" w:rsidRPr="00E16DEF" w:rsidRDefault="00722210" w:rsidP="00E05A6A">
      <w:pPr>
        <w:ind w:left="566" w:firstLine="566"/>
        <w:rPr>
          <w:color w:val="8EAADB"/>
        </w:rPr>
      </w:pPr>
      <w:r w:rsidRPr="00E16DEF">
        <w:rPr>
          <w:rFonts w:hint="eastAsia"/>
        </w:rPr>
        <w:t>綜上，國原院辦理「綠能發配電智慧管理與效能提升技術發展計畫」及</w:t>
      </w:r>
      <w:r w:rsidRPr="00E16DEF">
        <w:rPr>
          <w:rFonts w:hAnsi="標楷體" w:hint="eastAsia"/>
        </w:rPr>
        <w:t>「電網韌性分析計畫」</w:t>
      </w:r>
      <w:r>
        <w:rPr>
          <w:rFonts w:hAnsi="標楷體" w:hint="eastAsia"/>
        </w:rPr>
        <w:t>實際</w:t>
      </w:r>
      <w:r w:rsidRPr="00E16DEF">
        <w:rPr>
          <w:rFonts w:hAnsi="標楷體" w:hint="eastAsia"/>
        </w:rPr>
        <w:t>執行</w:t>
      </w:r>
      <w:r>
        <w:rPr>
          <w:rFonts w:hAnsi="標楷體" w:hint="eastAsia"/>
        </w:rPr>
        <w:t>尚符原訂績效目標</w:t>
      </w:r>
      <w:r w:rsidRPr="00E16DEF">
        <w:rPr>
          <w:rFonts w:hAnsi="標楷體" w:hint="eastAsia"/>
        </w:rPr>
        <w:t>，</w:t>
      </w:r>
      <w:r w:rsidRPr="00D33613">
        <w:rPr>
          <w:rFonts w:hAnsi="標楷體" w:hint="eastAsia"/>
        </w:rPr>
        <w:t>並已就研發技術申請或獲得國內外專利</w:t>
      </w:r>
      <w:r>
        <w:rPr>
          <w:rFonts w:hAnsi="標楷體" w:hint="eastAsia"/>
        </w:rPr>
        <w:t>，</w:t>
      </w:r>
      <w:r w:rsidRPr="00E16DEF">
        <w:rPr>
          <w:rFonts w:hAnsi="標楷體" w:hint="eastAsia"/>
        </w:rPr>
        <w:t>鑒於該二計畫預計效益均包含</w:t>
      </w:r>
      <w:r>
        <w:rPr>
          <w:rFonts w:hAnsi="標楷體" w:hint="eastAsia"/>
        </w:rPr>
        <w:t>推廣</w:t>
      </w:r>
      <w:r w:rsidRPr="00E16DEF">
        <w:rPr>
          <w:rFonts w:hAnsi="標楷體" w:hint="eastAsia"/>
        </w:rPr>
        <w:t>產業應用，後續允宜</w:t>
      </w:r>
      <w:r w:rsidRPr="00E16DEF">
        <w:rPr>
          <w:rFonts w:hint="eastAsia"/>
        </w:rPr>
        <w:t>擴展計畫研發技術或專利之授權應用，以達計畫產業效益。</w:t>
      </w:r>
    </w:p>
    <w:p w:rsidR="00722210" w:rsidRDefault="00722210" w:rsidP="00E05A6A">
      <w:pPr>
        <w:adjustRightInd w:val="0"/>
        <w:spacing w:beforeLines="30" w:before="153" w:line="360" w:lineRule="exact"/>
        <w:ind w:leftChars="0" w:left="729" w:hangingChars="257" w:hanging="729"/>
        <w:rPr>
          <w:b/>
        </w:rPr>
      </w:pPr>
      <w:r w:rsidRPr="002E3055">
        <w:rPr>
          <w:rFonts w:hint="eastAsia"/>
          <w:b/>
        </w:rPr>
        <w:t>表1</w:t>
      </w:r>
      <w:r>
        <w:rPr>
          <w:rFonts w:hint="eastAsia"/>
          <w:color w:val="8EAADB"/>
        </w:rPr>
        <w:t xml:space="preserve">  </w:t>
      </w:r>
      <w:r w:rsidRPr="005D7DDF">
        <w:rPr>
          <w:rFonts w:hint="eastAsia"/>
          <w:b/>
        </w:rPr>
        <w:t>前瞻第4期</w:t>
      </w:r>
      <w:r w:rsidRPr="005D7DDF">
        <w:rPr>
          <w:rFonts w:hAnsi="標楷體" w:hint="eastAsia"/>
          <w:b/>
        </w:rPr>
        <w:t>「</w:t>
      </w:r>
      <w:r w:rsidRPr="005D7DDF">
        <w:rPr>
          <w:rFonts w:hint="eastAsia"/>
          <w:b/>
        </w:rPr>
        <w:t>綠能發配電智慧管理與效能提升技術發展計畫</w:t>
      </w:r>
      <w:r w:rsidRPr="005D7DDF">
        <w:rPr>
          <w:rFonts w:hAnsi="標楷體" w:hint="eastAsia"/>
          <w:b/>
        </w:rPr>
        <w:t>」</w:t>
      </w:r>
      <w:r>
        <w:rPr>
          <w:rFonts w:hAnsi="標楷體" w:hint="eastAsia"/>
          <w:b/>
        </w:rPr>
        <w:t>及</w:t>
      </w:r>
      <w:r w:rsidRPr="005D1DB6">
        <w:rPr>
          <w:rFonts w:hint="eastAsia"/>
          <w:b/>
        </w:rPr>
        <w:t>「淨零排放-電網韌性分析計畫」</w:t>
      </w:r>
      <w:r>
        <w:rPr>
          <w:rFonts w:hint="eastAsia"/>
          <w:b/>
        </w:rPr>
        <w:t xml:space="preserve">預、決算概要表  </w:t>
      </w:r>
    </w:p>
    <w:p w:rsidR="00722210" w:rsidRDefault="00722210" w:rsidP="00E05A6A">
      <w:pPr>
        <w:adjustRightInd w:val="0"/>
        <w:spacing w:line="360" w:lineRule="exact"/>
        <w:ind w:leftChars="0" w:left="729" w:hangingChars="257" w:hanging="729"/>
        <w:rPr>
          <w:color w:val="8EAADB"/>
        </w:rPr>
      </w:pPr>
      <w:r>
        <w:rPr>
          <w:rFonts w:hint="eastAsia"/>
          <w:b/>
        </w:rPr>
        <w:t xml:space="preserve">                                             </w:t>
      </w:r>
      <w:r w:rsidRPr="002E3055">
        <w:rPr>
          <w:rFonts w:hint="eastAsia"/>
          <w:sz w:val="24"/>
          <w:szCs w:val="24"/>
        </w:rPr>
        <w:t>單位：新臺幣千元；%</w:t>
      </w:r>
    </w:p>
    <w:tbl>
      <w:tblPr>
        <w:tblW w:w="8511" w:type="dxa"/>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0"/>
        <w:gridCol w:w="1162"/>
        <w:gridCol w:w="1918"/>
        <w:gridCol w:w="1778"/>
        <w:gridCol w:w="2107"/>
        <w:gridCol w:w="986"/>
      </w:tblGrid>
      <w:tr w:rsidR="00722210" w:rsidRPr="002E3055" w:rsidTr="00E05A6A">
        <w:trPr>
          <w:tblHeader/>
        </w:trPr>
        <w:tc>
          <w:tcPr>
            <w:tcW w:w="8511" w:type="dxa"/>
            <w:gridSpan w:val="6"/>
            <w:shd w:val="clear" w:color="auto" w:fill="auto"/>
            <w:vAlign w:val="center"/>
          </w:tcPr>
          <w:p w:rsidR="00722210" w:rsidRPr="002E3055" w:rsidRDefault="00722210" w:rsidP="00E05A6A">
            <w:pPr>
              <w:pStyle w:val="142"/>
              <w:jc w:val="center"/>
              <w:rPr>
                <w:rFonts w:hAnsi="標楷體"/>
                <w:spacing w:val="-20"/>
                <w:w w:val="95"/>
                <w:szCs w:val="24"/>
              </w:rPr>
            </w:pPr>
            <w:r w:rsidRPr="002E3055">
              <w:rPr>
                <w:rFonts w:hint="eastAsia"/>
                <w:b/>
                <w:spacing w:val="-20"/>
                <w:w w:val="95"/>
                <w:szCs w:val="24"/>
              </w:rPr>
              <w:t>綠能發配電智慧管理與效能提升技術發展計畫</w:t>
            </w:r>
          </w:p>
        </w:tc>
      </w:tr>
      <w:tr w:rsidR="00722210" w:rsidRPr="002E3055" w:rsidTr="00E05A6A">
        <w:trPr>
          <w:tblHeader/>
        </w:trPr>
        <w:tc>
          <w:tcPr>
            <w:tcW w:w="1722" w:type="dxa"/>
            <w:gridSpan w:val="2"/>
            <w:shd w:val="clear" w:color="auto" w:fill="auto"/>
            <w:vAlign w:val="center"/>
          </w:tcPr>
          <w:p w:rsidR="00722210" w:rsidRPr="002E3055" w:rsidRDefault="00722210" w:rsidP="00E05A6A">
            <w:pPr>
              <w:pStyle w:val="142"/>
              <w:jc w:val="center"/>
              <w:rPr>
                <w:rFonts w:hAnsi="標楷體"/>
                <w:spacing w:val="-20"/>
                <w:w w:val="95"/>
                <w:szCs w:val="24"/>
              </w:rPr>
            </w:pPr>
            <w:r>
              <w:rPr>
                <w:rFonts w:hAnsi="標楷體" w:hint="eastAsia"/>
                <w:spacing w:val="-20"/>
                <w:w w:val="95"/>
                <w:szCs w:val="24"/>
              </w:rPr>
              <w:t>子計畫</w:t>
            </w:r>
          </w:p>
        </w:tc>
        <w:tc>
          <w:tcPr>
            <w:tcW w:w="1918" w:type="dxa"/>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本土化配電網路管理與地理空間資訊應用</w:t>
            </w:r>
          </w:p>
        </w:tc>
        <w:tc>
          <w:tcPr>
            <w:tcW w:w="1778" w:type="dxa"/>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微電網與配電網共模調控技術開發</w:t>
            </w:r>
          </w:p>
        </w:tc>
        <w:tc>
          <w:tcPr>
            <w:tcW w:w="2107" w:type="dxa"/>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變電所損傷診斷與預知維護資產管理技術</w:t>
            </w:r>
          </w:p>
        </w:tc>
        <w:tc>
          <w:tcPr>
            <w:tcW w:w="986" w:type="dxa"/>
            <w:vAlign w:val="center"/>
          </w:tcPr>
          <w:p w:rsidR="00722210" w:rsidRPr="002E3055" w:rsidRDefault="00722210" w:rsidP="00E05A6A">
            <w:pPr>
              <w:pStyle w:val="142"/>
              <w:jc w:val="center"/>
              <w:rPr>
                <w:rFonts w:hAnsi="標楷體"/>
                <w:spacing w:val="-20"/>
                <w:w w:val="95"/>
                <w:szCs w:val="24"/>
              </w:rPr>
            </w:pPr>
            <w:r w:rsidRPr="002E3055">
              <w:rPr>
                <w:rFonts w:hAnsi="標楷體" w:hint="eastAsia"/>
                <w:spacing w:val="-20"/>
                <w:w w:val="95"/>
                <w:szCs w:val="24"/>
              </w:rPr>
              <w:t>合計</w:t>
            </w:r>
          </w:p>
        </w:tc>
      </w:tr>
      <w:tr w:rsidR="00722210" w:rsidRPr="002E3055" w:rsidTr="00E05A6A">
        <w:tc>
          <w:tcPr>
            <w:tcW w:w="1722" w:type="dxa"/>
            <w:gridSpan w:val="2"/>
            <w:shd w:val="clear" w:color="auto" w:fill="auto"/>
          </w:tcPr>
          <w:p w:rsidR="00722210" w:rsidRPr="002E3055" w:rsidRDefault="00722210" w:rsidP="00E05A6A">
            <w:pPr>
              <w:pStyle w:val="142"/>
              <w:jc w:val="center"/>
              <w:rPr>
                <w:rFonts w:hAnsi="標楷體"/>
                <w:spacing w:val="-20"/>
                <w:w w:val="95"/>
                <w:szCs w:val="24"/>
              </w:rPr>
            </w:pPr>
            <w:r w:rsidRPr="002E3055">
              <w:rPr>
                <w:rFonts w:hAnsi="標楷體" w:hint="eastAsia"/>
                <w:spacing w:val="-20"/>
                <w:w w:val="95"/>
                <w:szCs w:val="24"/>
              </w:rPr>
              <w:t>法定預算</w:t>
            </w:r>
          </w:p>
        </w:tc>
        <w:tc>
          <w:tcPr>
            <w:tcW w:w="1918"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100,104</w:t>
            </w:r>
          </w:p>
        </w:tc>
        <w:tc>
          <w:tcPr>
            <w:tcW w:w="1778"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89</w:t>
            </w:r>
            <w:r w:rsidRPr="002E3055">
              <w:rPr>
                <w:rFonts w:hAnsi="標楷體" w:hint="eastAsia"/>
                <w:spacing w:val="-20"/>
                <w:w w:val="95"/>
                <w:szCs w:val="24"/>
              </w:rPr>
              <w:t>,</w:t>
            </w:r>
            <w:r w:rsidRPr="002E3055">
              <w:rPr>
                <w:rFonts w:hAnsi="標楷體"/>
                <w:spacing w:val="-20"/>
                <w:w w:val="95"/>
                <w:szCs w:val="24"/>
              </w:rPr>
              <w:t>562</w:t>
            </w:r>
          </w:p>
        </w:tc>
        <w:tc>
          <w:tcPr>
            <w:tcW w:w="2107"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39,179</w:t>
            </w:r>
          </w:p>
        </w:tc>
        <w:tc>
          <w:tcPr>
            <w:tcW w:w="986" w:type="dxa"/>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228,845</w:t>
            </w:r>
          </w:p>
        </w:tc>
      </w:tr>
      <w:tr w:rsidR="00722210" w:rsidRPr="002E3055" w:rsidTr="00E05A6A">
        <w:tc>
          <w:tcPr>
            <w:tcW w:w="560" w:type="dxa"/>
            <w:vMerge w:val="restart"/>
            <w:shd w:val="clear" w:color="auto" w:fill="auto"/>
          </w:tcPr>
          <w:p w:rsidR="00722210" w:rsidRPr="002E3055" w:rsidRDefault="00722210" w:rsidP="00E05A6A">
            <w:pPr>
              <w:pStyle w:val="142"/>
              <w:ind w:rightChars="-26" w:right="-74"/>
              <w:rPr>
                <w:rFonts w:hAnsi="標楷體"/>
                <w:spacing w:val="-20"/>
                <w:w w:val="95"/>
                <w:szCs w:val="24"/>
              </w:rPr>
            </w:pPr>
            <w:r w:rsidRPr="002E3055">
              <w:rPr>
                <w:rFonts w:hAnsi="標楷體" w:hint="eastAsia"/>
                <w:spacing w:val="-20"/>
                <w:w w:val="95"/>
                <w:szCs w:val="24"/>
              </w:rPr>
              <w:t>決算</w:t>
            </w:r>
            <w:r w:rsidRPr="002E3055">
              <w:rPr>
                <w:rFonts w:hAnsi="標楷體" w:hint="eastAsia"/>
                <w:spacing w:val="-20"/>
                <w:w w:val="95"/>
                <w:szCs w:val="24"/>
              </w:rPr>
              <w:lastRenderedPageBreak/>
              <w:t>審定數</w:t>
            </w:r>
          </w:p>
        </w:tc>
        <w:tc>
          <w:tcPr>
            <w:tcW w:w="1162" w:type="dxa"/>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lastRenderedPageBreak/>
              <w:t>實現數</w:t>
            </w:r>
          </w:p>
        </w:tc>
        <w:tc>
          <w:tcPr>
            <w:tcW w:w="1918"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100,085</w:t>
            </w:r>
          </w:p>
        </w:tc>
        <w:tc>
          <w:tcPr>
            <w:tcW w:w="1778"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89</w:t>
            </w:r>
            <w:r w:rsidRPr="002E3055">
              <w:rPr>
                <w:rFonts w:hAnsi="標楷體" w:hint="eastAsia"/>
                <w:spacing w:val="-20"/>
                <w:w w:val="95"/>
                <w:szCs w:val="24"/>
              </w:rPr>
              <w:t>,</w:t>
            </w:r>
            <w:r w:rsidRPr="002E3055">
              <w:rPr>
                <w:rFonts w:hAnsi="標楷體"/>
                <w:spacing w:val="-20"/>
                <w:w w:val="95"/>
                <w:szCs w:val="24"/>
              </w:rPr>
              <w:t>48</w:t>
            </w:r>
            <w:r w:rsidRPr="002E3055">
              <w:rPr>
                <w:rFonts w:hAnsi="標楷體" w:hint="eastAsia"/>
                <w:spacing w:val="-20"/>
                <w:w w:val="95"/>
                <w:szCs w:val="24"/>
              </w:rPr>
              <w:t>6</w:t>
            </w:r>
          </w:p>
        </w:tc>
        <w:tc>
          <w:tcPr>
            <w:tcW w:w="2107"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39,175</w:t>
            </w:r>
          </w:p>
        </w:tc>
        <w:tc>
          <w:tcPr>
            <w:tcW w:w="986" w:type="dxa"/>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228,746</w:t>
            </w:r>
          </w:p>
        </w:tc>
      </w:tr>
      <w:tr w:rsidR="00722210" w:rsidRPr="002E3055" w:rsidTr="00E05A6A">
        <w:tc>
          <w:tcPr>
            <w:tcW w:w="560" w:type="dxa"/>
            <w:vMerge/>
            <w:shd w:val="clear" w:color="auto" w:fill="auto"/>
          </w:tcPr>
          <w:p w:rsidR="00722210" w:rsidRPr="002E3055" w:rsidRDefault="00722210" w:rsidP="00E05A6A">
            <w:pPr>
              <w:pStyle w:val="142"/>
              <w:rPr>
                <w:rFonts w:hAnsi="標楷體"/>
                <w:spacing w:val="-20"/>
                <w:w w:val="95"/>
                <w:szCs w:val="24"/>
              </w:rPr>
            </w:pPr>
          </w:p>
        </w:tc>
        <w:tc>
          <w:tcPr>
            <w:tcW w:w="1162" w:type="dxa"/>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保留數</w:t>
            </w:r>
          </w:p>
        </w:tc>
        <w:tc>
          <w:tcPr>
            <w:tcW w:w="1918"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0</w:t>
            </w:r>
          </w:p>
        </w:tc>
        <w:tc>
          <w:tcPr>
            <w:tcW w:w="1778"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0</w:t>
            </w:r>
          </w:p>
        </w:tc>
        <w:tc>
          <w:tcPr>
            <w:tcW w:w="2107"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0</w:t>
            </w:r>
          </w:p>
        </w:tc>
        <w:tc>
          <w:tcPr>
            <w:tcW w:w="986" w:type="dxa"/>
            <w:vAlign w:val="center"/>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0</w:t>
            </w:r>
          </w:p>
        </w:tc>
      </w:tr>
      <w:tr w:rsidR="00722210" w:rsidRPr="002E3055" w:rsidTr="00E05A6A">
        <w:tc>
          <w:tcPr>
            <w:tcW w:w="560" w:type="dxa"/>
            <w:vMerge/>
            <w:tcBorders>
              <w:bottom w:val="double" w:sz="4" w:space="0" w:color="auto"/>
            </w:tcBorders>
            <w:shd w:val="clear" w:color="auto" w:fill="auto"/>
          </w:tcPr>
          <w:p w:rsidR="00722210" w:rsidRPr="002E3055" w:rsidRDefault="00722210" w:rsidP="00E05A6A">
            <w:pPr>
              <w:pStyle w:val="142"/>
              <w:rPr>
                <w:rFonts w:hAnsi="標楷體"/>
                <w:spacing w:val="-20"/>
                <w:w w:val="95"/>
                <w:szCs w:val="24"/>
              </w:rPr>
            </w:pPr>
          </w:p>
        </w:tc>
        <w:tc>
          <w:tcPr>
            <w:tcW w:w="1162" w:type="dxa"/>
            <w:tcBorders>
              <w:bottom w:val="double" w:sz="4" w:space="0" w:color="auto"/>
            </w:tcBorders>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預算執行率</w:t>
            </w:r>
          </w:p>
        </w:tc>
        <w:tc>
          <w:tcPr>
            <w:tcW w:w="1918" w:type="dxa"/>
            <w:tcBorders>
              <w:bottom w:val="double" w:sz="4" w:space="0" w:color="auto"/>
            </w:tcBorders>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99.98</w:t>
            </w:r>
          </w:p>
        </w:tc>
        <w:tc>
          <w:tcPr>
            <w:tcW w:w="1778" w:type="dxa"/>
            <w:tcBorders>
              <w:bottom w:val="double" w:sz="4" w:space="0" w:color="auto"/>
            </w:tcBorders>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99.92</w:t>
            </w:r>
          </w:p>
        </w:tc>
        <w:tc>
          <w:tcPr>
            <w:tcW w:w="2107" w:type="dxa"/>
            <w:tcBorders>
              <w:bottom w:val="double" w:sz="4" w:space="0" w:color="auto"/>
            </w:tcBorders>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99.99</w:t>
            </w:r>
          </w:p>
        </w:tc>
        <w:tc>
          <w:tcPr>
            <w:tcW w:w="986" w:type="dxa"/>
            <w:tcBorders>
              <w:bottom w:val="double" w:sz="4" w:space="0" w:color="auto"/>
            </w:tcBorders>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99.96</w:t>
            </w:r>
          </w:p>
        </w:tc>
      </w:tr>
      <w:tr w:rsidR="00722210" w:rsidRPr="002E3055" w:rsidTr="00E05A6A">
        <w:tc>
          <w:tcPr>
            <w:tcW w:w="8511" w:type="dxa"/>
            <w:gridSpan w:val="6"/>
            <w:tcBorders>
              <w:top w:val="double" w:sz="4" w:space="0" w:color="auto"/>
              <w:bottom w:val="single" w:sz="4" w:space="0" w:color="auto"/>
            </w:tcBorders>
            <w:shd w:val="clear" w:color="auto" w:fill="auto"/>
          </w:tcPr>
          <w:p w:rsidR="00722210" w:rsidRPr="002E3055" w:rsidRDefault="00722210" w:rsidP="00E05A6A">
            <w:pPr>
              <w:pStyle w:val="142"/>
              <w:jc w:val="center"/>
              <w:rPr>
                <w:rFonts w:hAnsi="標楷體"/>
                <w:spacing w:val="-20"/>
                <w:w w:val="95"/>
                <w:szCs w:val="24"/>
              </w:rPr>
            </w:pPr>
            <w:r w:rsidRPr="002E3055">
              <w:rPr>
                <w:rFonts w:hint="eastAsia"/>
                <w:b/>
                <w:spacing w:val="-20"/>
                <w:w w:val="95"/>
                <w:szCs w:val="24"/>
              </w:rPr>
              <w:t>淨零排放-電網韌性分析計畫</w:t>
            </w:r>
          </w:p>
        </w:tc>
      </w:tr>
      <w:tr w:rsidR="00722210" w:rsidRPr="002E3055" w:rsidTr="00E05A6A">
        <w:tc>
          <w:tcPr>
            <w:tcW w:w="1722" w:type="dxa"/>
            <w:gridSpan w:val="2"/>
            <w:tcBorders>
              <w:top w:val="single" w:sz="4" w:space="0" w:color="auto"/>
            </w:tcBorders>
            <w:shd w:val="clear" w:color="auto" w:fill="auto"/>
            <w:vAlign w:val="center"/>
          </w:tcPr>
          <w:p w:rsidR="00722210" w:rsidRPr="002E3055" w:rsidRDefault="00722210" w:rsidP="00E05A6A">
            <w:pPr>
              <w:pStyle w:val="142"/>
              <w:jc w:val="center"/>
              <w:rPr>
                <w:rFonts w:hAnsi="標楷體"/>
                <w:spacing w:val="-20"/>
                <w:w w:val="95"/>
                <w:szCs w:val="24"/>
              </w:rPr>
            </w:pPr>
            <w:r>
              <w:rPr>
                <w:rFonts w:hAnsi="標楷體" w:hint="eastAsia"/>
                <w:spacing w:val="-20"/>
                <w:w w:val="95"/>
                <w:szCs w:val="24"/>
              </w:rPr>
              <w:t>子計畫</w:t>
            </w:r>
          </w:p>
        </w:tc>
        <w:tc>
          <w:tcPr>
            <w:tcW w:w="1918" w:type="dxa"/>
            <w:tcBorders>
              <w:top w:val="single" w:sz="4" w:space="0" w:color="auto"/>
            </w:tcBorders>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電網脆弱度分析技術開發</w:t>
            </w:r>
          </w:p>
        </w:tc>
        <w:tc>
          <w:tcPr>
            <w:tcW w:w="1778" w:type="dxa"/>
            <w:tcBorders>
              <w:top w:val="single" w:sz="4" w:space="0" w:color="auto"/>
            </w:tcBorders>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能源供應設施量化風險評估技術開發</w:t>
            </w:r>
          </w:p>
        </w:tc>
        <w:tc>
          <w:tcPr>
            <w:tcW w:w="2107" w:type="dxa"/>
            <w:tcBorders>
              <w:top w:val="single" w:sz="4" w:space="0" w:color="auto"/>
            </w:tcBorders>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能源關鍵設備之主動試運轉偏離鑑別技術開發</w:t>
            </w:r>
          </w:p>
        </w:tc>
        <w:tc>
          <w:tcPr>
            <w:tcW w:w="986" w:type="dxa"/>
            <w:tcBorders>
              <w:top w:val="single" w:sz="4" w:space="0" w:color="auto"/>
            </w:tcBorders>
            <w:vAlign w:val="center"/>
          </w:tcPr>
          <w:p w:rsidR="00722210" w:rsidRPr="002E3055" w:rsidRDefault="00722210" w:rsidP="00E05A6A">
            <w:pPr>
              <w:pStyle w:val="142"/>
              <w:jc w:val="center"/>
              <w:rPr>
                <w:rFonts w:hAnsi="標楷體"/>
                <w:spacing w:val="-20"/>
                <w:w w:val="95"/>
                <w:szCs w:val="24"/>
              </w:rPr>
            </w:pPr>
            <w:r w:rsidRPr="002E3055">
              <w:rPr>
                <w:rFonts w:hAnsi="標楷體" w:hint="eastAsia"/>
                <w:spacing w:val="-20"/>
                <w:w w:val="95"/>
                <w:szCs w:val="24"/>
              </w:rPr>
              <w:t>合計</w:t>
            </w:r>
          </w:p>
        </w:tc>
      </w:tr>
      <w:tr w:rsidR="00722210" w:rsidRPr="002E3055" w:rsidTr="00E05A6A">
        <w:tc>
          <w:tcPr>
            <w:tcW w:w="1722" w:type="dxa"/>
            <w:gridSpan w:val="2"/>
            <w:shd w:val="clear" w:color="auto" w:fill="auto"/>
          </w:tcPr>
          <w:p w:rsidR="00722210" w:rsidRPr="002E3055" w:rsidRDefault="00722210" w:rsidP="00E05A6A">
            <w:pPr>
              <w:pStyle w:val="142"/>
              <w:jc w:val="center"/>
              <w:rPr>
                <w:rFonts w:hAnsi="標楷體"/>
                <w:spacing w:val="-20"/>
                <w:w w:val="95"/>
                <w:szCs w:val="24"/>
              </w:rPr>
            </w:pPr>
            <w:r w:rsidRPr="002E3055">
              <w:rPr>
                <w:rFonts w:hAnsi="標楷體" w:hint="eastAsia"/>
                <w:spacing w:val="-20"/>
                <w:w w:val="95"/>
                <w:szCs w:val="24"/>
              </w:rPr>
              <w:t>法定預算</w:t>
            </w:r>
          </w:p>
        </w:tc>
        <w:tc>
          <w:tcPr>
            <w:tcW w:w="1918"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4</w:t>
            </w:r>
            <w:r w:rsidRPr="002E3055">
              <w:rPr>
                <w:rFonts w:hAnsi="標楷體"/>
                <w:spacing w:val="-20"/>
                <w:w w:val="95"/>
                <w:szCs w:val="24"/>
              </w:rPr>
              <w:t>7,643</w:t>
            </w:r>
          </w:p>
        </w:tc>
        <w:tc>
          <w:tcPr>
            <w:tcW w:w="1778"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4</w:t>
            </w:r>
            <w:r w:rsidRPr="002E3055">
              <w:rPr>
                <w:rFonts w:hAnsi="標楷體"/>
                <w:spacing w:val="-20"/>
                <w:w w:val="95"/>
                <w:szCs w:val="24"/>
              </w:rPr>
              <w:t>1,738</w:t>
            </w:r>
          </w:p>
        </w:tc>
        <w:tc>
          <w:tcPr>
            <w:tcW w:w="2107"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5</w:t>
            </w:r>
            <w:r w:rsidRPr="002E3055">
              <w:rPr>
                <w:rFonts w:hAnsi="標楷體"/>
                <w:spacing w:val="-20"/>
                <w:w w:val="95"/>
                <w:szCs w:val="24"/>
              </w:rPr>
              <w:t>9,682</w:t>
            </w:r>
          </w:p>
        </w:tc>
        <w:tc>
          <w:tcPr>
            <w:tcW w:w="986" w:type="dxa"/>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1</w:t>
            </w:r>
            <w:r w:rsidRPr="002E3055">
              <w:rPr>
                <w:rFonts w:hAnsi="標楷體"/>
                <w:spacing w:val="-20"/>
                <w:w w:val="95"/>
                <w:szCs w:val="24"/>
              </w:rPr>
              <w:t>49,063</w:t>
            </w:r>
          </w:p>
        </w:tc>
      </w:tr>
      <w:tr w:rsidR="00722210" w:rsidRPr="002E3055" w:rsidTr="00E05A6A">
        <w:tc>
          <w:tcPr>
            <w:tcW w:w="560" w:type="dxa"/>
            <w:vMerge w:val="restart"/>
            <w:shd w:val="clear" w:color="auto" w:fill="auto"/>
          </w:tcPr>
          <w:p w:rsidR="00722210" w:rsidRPr="002E3055" w:rsidRDefault="00722210" w:rsidP="00E05A6A">
            <w:pPr>
              <w:pStyle w:val="142"/>
              <w:ind w:rightChars="-36" w:right="-102"/>
              <w:rPr>
                <w:rFonts w:hAnsi="標楷體"/>
                <w:spacing w:val="-20"/>
                <w:w w:val="95"/>
                <w:szCs w:val="24"/>
              </w:rPr>
            </w:pPr>
            <w:r w:rsidRPr="002E3055">
              <w:rPr>
                <w:rFonts w:hAnsi="標楷體" w:hint="eastAsia"/>
                <w:spacing w:val="-20"/>
                <w:w w:val="95"/>
                <w:szCs w:val="24"/>
              </w:rPr>
              <w:t>決算審定數</w:t>
            </w:r>
          </w:p>
        </w:tc>
        <w:tc>
          <w:tcPr>
            <w:tcW w:w="1162" w:type="dxa"/>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實現數</w:t>
            </w:r>
          </w:p>
        </w:tc>
        <w:tc>
          <w:tcPr>
            <w:tcW w:w="1918"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47</w:t>
            </w:r>
            <w:r w:rsidRPr="002E3055">
              <w:rPr>
                <w:rFonts w:hAnsi="標楷體"/>
                <w:spacing w:val="-20"/>
                <w:w w:val="95"/>
                <w:szCs w:val="24"/>
              </w:rPr>
              <w:t>,</w:t>
            </w:r>
            <w:r w:rsidRPr="002E3055">
              <w:rPr>
                <w:rFonts w:hAnsi="標楷體" w:hint="eastAsia"/>
                <w:spacing w:val="-20"/>
                <w:w w:val="95"/>
                <w:szCs w:val="24"/>
              </w:rPr>
              <w:t>637</w:t>
            </w:r>
          </w:p>
        </w:tc>
        <w:tc>
          <w:tcPr>
            <w:tcW w:w="1778"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4</w:t>
            </w:r>
            <w:r w:rsidRPr="002E3055">
              <w:rPr>
                <w:rFonts w:hAnsi="標楷體"/>
                <w:spacing w:val="-20"/>
                <w:w w:val="95"/>
                <w:szCs w:val="24"/>
              </w:rPr>
              <w:t>1,738</w:t>
            </w:r>
          </w:p>
        </w:tc>
        <w:tc>
          <w:tcPr>
            <w:tcW w:w="2107"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5</w:t>
            </w:r>
            <w:r w:rsidRPr="002E3055">
              <w:rPr>
                <w:rFonts w:hAnsi="標楷體"/>
                <w:spacing w:val="-20"/>
                <w:w w:val="95"/>
                <w:szCs w:val="24"/>
              </w:rPr>
              <w:t>9,6</w:t>
            </w:r>
            <w:r w:rsidRPr="002E3055">
              <w:rPr>
                <w:rFonts w:hAnsi="標楷體" w:hint="eastAsia"/>
                <w:spacing w:val="-20"/>
                <w:w w:val="95"/>
                <w:szCs w:val="24"/>
              </w:rPr>
              <w:t>78</w:t>
            </w:r>
          </w:p>
        </w:tc>
        <w:tc>
          <w:tcPr>
            <w:tcW w:w="986" w:type="dxa"/>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1</w:t>
            </w:r>
            <w:r w:rsidRPr="002E3055">
              <w:rPr>
                <w:rFonts w:hAnsi="標楷體"/>
                <w:spacing w:val="-20"/>
                <w:w w:val="95"/>
                <w:szCs w:val="24"/>
              </w:rPr>
              <w:t>49,053</w:t>
            </w:r>
          </w:p>
        </w:tc>
      </w:tr>
      <w:tr w:rsidR="00722210" w:rsidRPr="002E3055" w:rsidTr="00E05A6A">
        <w:tc>
          <w:tcPr>
            <w:tcW w:w="560" w:type="dxa"/>
            <w:vMerge/>
            <w:shd w:val="clear" w:color="auto" w:fill="auto"/>
          </w:tcPr>
          <w:p w:rsidR="00722210" w:rsidRPr="002E3055" w:rsidRDefault="00722210" w:rsidP="00E05A6A">
            <w:pPr>
              <w:pStyle w:val="142"/>
              <w:rPr>
                <w:rFonts w:hAnsi="標楷體"/>
                <w:spacing w:val="-20"/>
                <w:w w:val="95"/>
                <w:szCs w:val="24"/>
              </w:rPr>
            </w:pPr>
          </w:p>
        </w:tc>
        <w:tc>
          <w:tcPr>
            <w:tcW w:w="1162" w:type="dxa"/>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保留數</w:t>
            </w:r>
          </w:p>
        </w:tc>
        <w:tc>
          <w:tcPr>
            <w:tcW w:w="1918"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0</w:t>
            </w:r>
          </w:p>
        </w:tc>
        <w:tc>
          <w:tcPr>
            <w:tcW w:w="1778"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0</w:t>
            </w:r>
          </w:p>
        </w:tc>
        <w:tc>
          <w:tcPr>
            <w:tcW w:w="2107"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0</w:t>
            </w:r>
          </w:p>
        </w:tc>
        <w:tc>
          <w:tcPr>
            <w:tcW w:w="986" w:type="dxa"/>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0</w:t>
            </w:r>
          </w:p>
        </w:tc>
      </w:tr>
      <w:tr w:rsidR="00722210" w:rsidRPr="002E3055" w:rsidTr="00E05A6A">
        <w:tc>
          <w:tcPr>
            <w:tcW w:w="560" w:type="dxa"/>
            <w:vMerge/>
            <w:shd w:val="clear" w:color="auto" w:fill="auto"/>
          </w:tcPr>
          <w:p w:rsidR="00722210" w:rsidRPr="002E3055" w:rsidRDefault="00722210" w:rsidP="00E05A6A">
            <w:pPr>
              <w:pStyle w:val="142"/>
              <w:rPr>
                <w:rFonts w:hAnsi="標楷體"/>
                <w:spacing w:val="-20"/>
                <w:w w:val="95"/>
                <w:szCs w:val="24"/>
              </w:rPr>
            </w:pPr>
          </w:p>
        </w:tc>
        <w:tc>
          <w:tcPr>
            <w:tcW w:w="1162" w:type="dxa"/>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預算執行率</w:t>
            </w:r>
          </w:p>
        </w:tc>
        <w:tc>
          <w:tcPr>
            <w:tcW w:w="1918"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99.99</w:t>
            </w:r>
          </w:p>
        </w:tc>
        <w:tc>
          <w:tcPr>
            <w:tcW w:w="1778"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1</w:t>
            </w:r>
            <w:r w:rsidRPr="002E3055">
              <w:rPr>
                <w:rFonts w:hAnsi="標楷體"/>
                <w:spacing w:val="-20"/>
                <w:w w:val="95"/>
                <w:szCs w:val="24"/>
              </w:rPr>
              <w:t>00</w:t>
            </w:r>
          </w:p>
        </w:tc>
        <w:tc>
          <w:tcPr>
            <w:tcW w:w="2107"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99.99</w:t>
            </w:r>
            <w:r w:rsidRPr="002E3055">
              <w:rPr>
                <w:rFonts w:hAnsi="標楷體"/>
                <w:spacing w:val="-20"/>
                <w:w w:val="95"/>
                <w:szCs w:val="24"/>
              </w:rPr>
              <w:t>%</w:t>
            </w:r>
          </w:p>
        </w:tc>
        <w:tc>
          <w:tcPr>
            <w:tcW w:w="986" w:type="dxa"/>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99.99</w:t>
            </w:r>
          </w:p>
        </w:tc>
      </w:tr>
    </w:tbl>
    <w:p w:rsidR="00722210" w:rsidRDefault="00722210" w:rsidP="00E05A6A">
      <w:pPr>
        <w:pStyle w:val="142"/>
      </w:pPr>
      <w:r>
        <w:rPr>
          <w:rFonts w:hint="eastAsia"/>
        </w:rPr>
        <w:t>資料來源：核安會提供。</w:t>
      </w:r>
    </w:p>
    <w:p w:rsidR="00722210" w:rsidRDefault="00722210" w:rsidP="00E05A6A">
      <w:pPr>
        <w:pStyle w:val="142"/>
      </w:pPr>
    </w:p>
    <w:p w:rsidR="00722210" w:rsidRPr="005D7DDF" w:rsidRDefault="00722210" w:rsidP="00E05A6A">
      <w:pPr>
        <w:spacing w:beforeLines="30" w:before="153" w:line="360" w:lineRule="exact"/>
        <w:ind w:leftChars="0" w:left="797" w:hangingChars="281" w:hanging="797"/>
        <w:rPr>
          <w:rFonts w:hAnsi="標楷體"/>
          <w:sz w:val="24"/>
          <w:szCs w:val="24"/>
        </w:rPr>
      </w:pPr>
      <w:r w:rsidRPr="005D7DDF">
        <w:rPr>
          <w:rFonts w:hint="eastAsia"/>
          <w:b/>
        </w:rPr>
        <w:lastRenderedPageBreak/>
        <w:t>表</w:t>
      </w:r>
      <w:r>
        <w:rPr>
          <w:rFonts w:hint="eastAsia"/>
          <w:b/>
        </w:rPr>
        <w:t>2</w:t>
      </w:r>
      <w:r w:rsidRPr="005D7DDF">
        <w:rPr>
          <w:rFonts w:hint="eastAsia"/>
          <w:b/>
        </w:rPr>
        <w:t xml:space="preserve">  前瞻第4期特別預算執行</w:t>
      </w:r>
      <w:r w:rsidRPr="005D7DDF">
        <w:rPr>
          <w:rFonts w:hAnsi="標楷體" w:hint="eastAsia"/>
          <w:b/>
        </w:rPr>
        <w:t>「</w:t>
      </w:r>
      <w:r w:rsidRPr="005D7DDF">
        <w:rPr>
          <w:rFonts w:hint="eastAsia"/>
          <w:b/>
        </w:rPr>
        <w:t>綠能發配電智慧管理與效能提升技術發展計畫</w:t>
      </w:r>
      <w:r w:rsidRPr="005D7DDF">
        <w:rPr>
          <w:rFonts w:hAnsi="標楷體" w:hint="eastAsia"/>
          <w:b/>
        </w:rPr>
        <w:t>」</w:t>
      </w:r>
      <w:r>
        <w:rPr>
          <w:rFonts w:hAnsi="標楷體" w:hint="eastAsia"/>
          <w:b/>
        </w:rPr>
        <w:t>工作項目執行</w:t>
      </w:r>
      <w:r w:rsidRPr="005D7DDF">
        <w:rPr>
          <w:rFonts w:hAnsi="標楷體" w:hint="eastAsia"/>
          <w:b/>
        </w:rPr>
        <w:t xml:space="preserve">概況表                 </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6"/>
        <w:gridCol w:w="2657"/>
        <w:gridCol w:w="2693"/>
        <w:gridCol w:w="2599"/>
      </w:tblGrid>
      <w:tr w:rsidR="00722210" w:rsidRPr="001557D3" w:rsidTr="00E05A6A">
        <w:trPr>
          <w:tblHeader/>
        </w:trPr>
        <w:tc>
          <w:tcPr>
            <w:tcW w:w="576" w:type="dxa"/>
            <w:shd w:val="clear" w:color="auto" w:fill="auto"/>
          </w:tcPr>
          <w:p w:rsidR="00722210" w:rsidRPr="001557D3" w:rsidRDefault="00722210" w:rsidP="00E05A6A">
            <w:pPr>
              <w:pStyle w:val="142"/>
              <w:ind w:leftChars="-42" w:left="-109" w:rightChars="-27" w:right="-76" w:hangingChars="5" w:hanging="10"/>
              <w:jc w:val="center"/>
              <w:rPr>
                <w:spacing w:val="-20"/>
                <w:w w:val="95"/>
                <w:szCs w:val="24"/>
              </w:rPr>
            </w:pPr>
            <w:r>
              <w:rPr>
                <w:rFonts w:hint="eastAsia"/>
                <w:spacing w:val="-20"/>
                <w:w w:val="95"/>
                <w:szCs w:val="24"/>
              </w:rPr>
              <w:t>子計畫</w:t>
            </w:r>
          </w:p>
        </w:tc>
        <w:tc>
          <w:tcPr>
            <w:tcW w:w="2657" w:type="dxa"/>
            <w:shd w:val="clear" w:color="auto" w:fill="auto"/>
          </w:tcPr>
          <w:p w:rsidR="00722210" w:rsidRPr="001557D3" w:rsidRDefault="00722210" w:rsidP="00E05A6A">
            <w:pPr>
              <w:pStyle w:val="142"/>
              <w:rPr>
                <w:spacing w:val="-20"/>
                <w:w w:val="95"/>
                <w:szCs w:val="24"/>
              </w:rPr>
            </w:pPr>
            <w:r w:rsidRPr="001557D3">
              <w:rPr>
                <w:rFonts w:hint="eastAsia"/>
                <w:spacing w:val="-20"/>
                <w:w w:val="95"/>
                <w:szCs w:val="24"/>
              </w:rPr>
              <w:t>本土化配電網路管理與地理空間資訊應用</w:t>
            </w:r>
          </w:p>
        </w:tc>
        <w:tc>
          <w:tcPr>
            <w:tcW w:w="2693" w:type="dxa"/>
            <w:shd w:val="clear" w:color="auto" w:fill="auto"/>
          </w:tcPr>
          <w:p w:rsidR="00722210" w:rsidRPr="001557D3" w:rsidRDefault="00722210" w:rsidP="00E05A6A">
            <w:pPr>
              <w:pStyle w:val="142"/>
              <w:rPr>
                <w:spacing w:val="-20"/>
                <w:w w:val="95"/>
                <w:szCs w:val="24"/>
              </w:rPr>
            </w:pPr>
            <w:r w:rsidRPr="001557D3">
              <w:rPr>
                <w:rFonts w:hint="eastAsia"/>
                <w:spacing w:val="-20"/>
                <w:w w:val="95"/>
                <w:szCs w:val="24"/>
              </w:rPr>
              <w:t>微電網與配電網共模調控技術開發</w:t>
            </w:r>
          </w:p>
        </w:tc>
        <w:tc>
          <w:tcPr>
            <w:tcW w:w="2599" w:type="dxa"/>
            <w:shd w:val="clear" w:color="auto" w:fill="auto"/>
          </w:tcPr>
          <w:p w:rsidR="00722210" w:rsidRPr="001557D3" w:rsidRDefault="00722210" w:rsidP="00E05A6A">
            <w:pPr>
              <w:pStyle w:val="142"/>
              <w:rPr>
                <w:spacing w:val="-20"/>
                <w:w w:val="95"/>
                <w:szCs w:val="24"/>
              </w:rPr>
            </w:pPr>
            <w:r w:rsidRPr="001557D3">
              <w:rPr>
                <w:rFonts w:hint="eastAsia"/>
                <w:spacing w:val="-20"/>
                <w:w w:val="95"/>
                <w:szCs w:val="24"/>
              </w:rPr>
              <w:t>變電所損傷診斷與預知維護資產管理技術</w:t>
            </w:r>
          </w:p>
        </w:tc>
      </w:tr>
      <w:tr w:rsidR="00722210" w:rsidRPr="001557D3" w:rsidTr="00E05A6A">
        <w:tc>
          <w:tcPr>
            <w:tcW w:w="576" w:type="dxa"/>
            <w:vMerge w:val="restart"/>
            <w:shd w:val="clear" w:color="auto" w:fill="auto"/>
            <w:vAlign w:val="center"/>
          </w:tcPr>
          <w:p w:rsidR="00722210" w:rsidRPr="001557D3" w:rsidRDefault="00722210" w:rsidP="00E05A6A">
            <w:pPr>
              <w:pStyle w:val="142"/>
              <w:jc w:val="center"/>
              <w:rPr>
                <w:spacing w:val="-20"/>
                <w:w w:val="95"/>
                <w:szCs w:val="24"/>
              </w:rPr>
            </w:pPr>
            <w:r w:rsidRPr="001557D3">
              <w:rPr>
                <w:rFonts w:hint="eastAsia"/>
                <w:spacing w:val="-20"/>
                <w:w w:val="95"/>
                <w:szCs w:val="24"/>
              </w:rPr>
              <w:t>112年度</w:t>
            </w:r>
          </w:p>
        </w:tc>
        <w:tc>
          <w:tcPr>
            <w:tcW w:w="7949" w:type="dxa"/>
            <w:gridSpan w:val="3"/>
            <w:shd w:val="clear" w:color="auto" w:fill="auto"/>
          </w:tcPr>
          <w:p w:rsidR="00722210" w:rsidRPr="001557D3" w:rsidRDefault="00722210" w:rsidP="00E05A6A">
            <w:pPr>
              <w:pStyle w:val="142"/>
              <w:jc w:val="center"/>
              <w:rPr>
                <w:spacing w:val="-20"/>
                <w:w w:val="95"/>
                <w:szCs w:val="24"/>
              </w:rPr>
            </w:pPr>
            <w:r w:rsidRPr="001557D3">
              <w:rPr>
                <w:rFonts w:hint="eastAsia"/>
                <w:spacing w:val="-20"/>
                <w:w w:val="95"/>
                <w:szCs w:val="24"/>
              </w:rPr>
              <w:t>目標</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2657"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spacing w:val="-20"/>
                <w:w w:val="95"/>
                <w:szCs w:val="24"/>
              </w:rPr>
              <w:t>開發饋線變壓器換相決策與異常示警功能，並將具故障電流計算與狀態估測之動態地理圖資系統，及設計700具以上饋線末端單元之三相功率分析平台，推廣至區處使用2件。</w:t>
            </w:r>
          </w:p>
        </w:tc>
        <w:tc>
          <w:tcPr>
            <w:tcW w:w="2693"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spacing w:val="-20"/>
                <w:w w:val="95"/>
                <w:szCs w:val="24"/>
              </w:rPr>
              <w:t>進行微電網設備之通訊與硬體迴圈調控測試；建立MW級微電網補充備轉輔助服務系統，完成微電網輸出功率誤差低於5</w:t>
            </w:r>
            <w:r w:rsidRPr="004141F3">
              <w:rPr>
                <w:rFonts w:hAnsi="標楷體" w:hint="eastAsia"/>
                <w:spacing w:val="-20"/>
                <w:w w:val="95"/>
                <w:szCs w:val="24"/>
              </w:rPr>
              <w:t>%</w:t>
            </w:r>
            <w:r w:rsidRPr="004141F3">
              <w:rPr>
                <w:rFonts w:hAnsi="標楷體"/>
                <w:spacing w:val="-20"/>
                <w:w w:val="95"/>
                <w:szCs w:val="24"/>
              </w:rPr>
              <w:t>控制、及功率調節系統控制模式切換技術。</w:t>
            </w:r>
          </w:p>
        </w:tc>
        <w:tc>
          <w:tcPr>
            <w:tcW w:w="2599"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hint="eastAsia"/>
                <w:spacing w:val="-20"/>
                <w:w w:val="95"/>
                <w:szCs w:val="24"/>
              </w:rPr>
              <w:t>開發變電所設備損傷診斷系統，降低設備失效率10%，實際至少於1處台電變電所試行；規劃資產管理策略與可靠度評估準則。</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7949" w:type="dxa"/>
            <w:gridSpan w:val="3"/>
            <w:shd w:val="clear" w:color="auto" w:fill="auto"/>
          </w:tcPr>
          <w:p w:rsidR="00722210" w:rsidRPr="001557D3" w:rsidRDefault="00722210" w:rsidP="00E05A6A">
            <w:pPr>
              <w:pStyle w:val="142"/>
              <w:jc w:val="center"/>
              <w:rPr>
                <w:spacing w:val="-20"/>
                <w:w w:val="95"/>
                <w:szCs w:val="24"/>
              </w:rPr>
            </w:pPr>
            <w:r w:rsidRPr="001557D3">
              <w:rPr>
                <w:rFonts w:ascii="Times New Roman" w:hint="eastAsia"/>
                <w:spacing w:val="-20"/>
                <w:w w:val="95"/>
                <w:szCs w:val="24"/>
              </w:rPr>
              <w:t>已完成項目</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2657"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hint="eastAsia"/>
                <w:spacing w:val="-20"/>
                <w:w w:val="95"/>
                <w:szCs w:val="24"/>
              </w:rPr>
              <w:t>完成</w:t>
            </w:r>
            <w:r w:rsidRPr="004141F3">
              <w:rPr>
                <w:rFonts w:hAnsi="標楷體"/>
                <w:spacing w:val="-20"/>
                <w:w w:val="95"/>
                <w:szCs w:val="24"/>
              </w:rPr>
              <w:t>含再生能源之最佳化配電變壓器換相決策程式，可降低饋線源頭的三相電流不平衡率；完成饋線變壓器</w:t>
            </w:r>
            <w:r w:rsidRPr="004141F3">
              <w:rPr>
                <w:rFonts w:hAnsi="標楷體" w:hint="eastAsia"/>
                <w:spacing w:val="-20"/>
                <w:w w:val="95"/>
                <w:szCs w:val="24"/>
              </w:rPr>
              <w:t>負載估算及其</w:t>
            </w:r>
            <w:r w:rsidRPr="004141F3">
              <w:rPr>
                <w:rFonts w:hAnsi="標楷體"/>
                <w:spacing w:val="-20"/>
                <w:w w:val="95"/>
                <w:szCs w:val="24"/>
              </w:rPr>
              <w:t>異常示警功能開發，</w:t>
            </w:r>
            <w:r w:rsidRPr="004141F3">
              <w:rPr>
                <w:rFonts w:hAnsi="標楷體" w:hint="eastAsia"/>
                <w:spacing w:val="-20"/>
                <w:w w:val="95"/>
                <w:szCs w:val="24"/>
              </w:rPr>
              <w:t>能於平台上以顏色及文字標示變壓器過載預警訊息</w:t>
            </w:r>
            <w:r w:rsidRPr="004141F3">
              <w:rPr>
                <w:rFonts w:hAnsi="標楷體"/>
                <w:spacing w:val="-20"/>
                <w:w w:val="95"/>
                <w:szCs w:val="24"/>
              </w:rPr>
              <w:t>；將故障電流計算與狀態估測之地理空間資訊平台，以及可解析905具饋線末端單元之三相不平衡區段分析平台</w:t>
            </w:r>
            <w:r w:rsidRPr="004141F3">
              <w:rPr>
                <w:rFonts w:hAnsi="標楷體" w:hint="eastAsia"/>
                <w:spacing w:val="-20"/>
                <w:w w:val="95"/>
                <w:szCs w:val="24"/>
              </w:rPr>
              <w:t>，共2平台之研發成果</w:t>
            </w:r>
            <w:r w:rsidRPr="004141F3">
              <w:rPr>
                <w:rFonts w:hAnsi="標楷體"/>
                <w:spacing w:val="-20"/>
                <w:w w:val="95"/>
                <w:szCs w:val="24"/>
              </w:rPr>
              <w:t>推廣至台電雲林區處使用。</w:t>
            </w:r>
          </w:p>
        </w:tc>
        <w:tc>
          <w:tcPr>
            <w:tcW w:w="2693"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spacing w:val="-20"/>
                <w:w w:val="95"/>
                <w:szCs w:val="24"/>
              </w:rPr>
              <w:t>完成微電網與智慧電子設備之硬體迴圈調控測試</w:t>
            </w:r>
            <w:r w:rsidRPr="004141F3">
              <w:rPr>
                <w:rFonts w:hAnsi="標楷體" w:hint="eastAsia"/>
                <w:spacing w:val="-20"/>
                <w:w w:val="95"/>
                <w:szCs w:val="24"/>
              </w:rPr>
              <w:t>，並進行輔助調頻策略即時模擬</w:t>
            </w:r>
            <w:r w:rsidRPr="004141F3">
              <w:rPr>
                <w:rFonts w:hAnsi="標楷體"/>
                <w:spacing w:val="-20"/>
                <w:w w:val="95"/>
                <w:szCs w:val="24"/>
              </w:rPr>
              <w:t>；</w:t>
            </w:r>
            <w:r w:rsidRPr="004141F3">
              <w:rPr>
                <w:rFonts w:hAnsi="標楷體" w:hint="eastAsia"/>
                <w:spacing w:val="-20"/>
                <w:w w:val="95"/>
                <w:szCs w:val="24"/>
              </w:rPr>
              <w:t>完成</w:t>
            </w:r>
            <w:r w:rsidRPr="004141F3">
              <w:rPr>
                <w:rFonts w:hAnsi="標楷體"/>
                <w:spacing w:val="-20"/>
                <w:w w:val="95"/>
                <w:szCs w:val="24"/>
              </w:rPr>
              <w:t>補充備轉</w:t>
            </w:r>
            <w:r w:rsidRPr="004141F3">
              <w:rPr>
                <w:rFonts w:hAnsi="標楷體" w:hint="eastAsia"/>
                <w:spacing w:val="-20"/>
                <w:w w:val="95"/>
                <w:szCs w:val="24"/>
              </w:rPr>
              <w:t>輔助服務</w:t>
            </w:r>
            <w:r w:rsidRPr="004141F3">
              <w:rPr>
                <w:rFonts w:hAnsi="標楷體"/>
                <w:spacing w:val="-20"/>
                <w:w w:val="95"/>
                <w:szCs w:val="24"/>
              </w:rPr>
              <w:t>平台</w:t>
            </w:r>
            <w:r w:rsidRPr="004141F3">
              <w:rPr>
                <w:rFonts w:hAnsi="標楷體" w:hint="eastAsia"/>
                <w:spacing w:val="-20"/>
                <w:w w:val="95"/>
                <w:szCs w:val="24"/>
              </w:rPr>
              <w:t>建置</w:t>
            </w:r>
            <w:r w:rsidRPr="004141F3">
              <w:rPr>
                <w:rFonts w:hAnsi="標楷體"/>
                <w:spacing w:val="-20"/>
                <w:w w:val="95"/>
                <w:szCs w:val="24"/>
              </w:rPr>
              <w:t>，可依負載動態變化調控MW級微電網輸出功率，且</w:t>
            </w:r>
            <w:r w:rsidRPr="004141F3">
              <w:rPr>
                <w:rFonts w:hAnsi="標楷體" w:hint="eastAsia"/>
                <w:spacing w:val="-20"/>
                <w:w w:val="95"/>
                <w:szCs w:val="24"/>
              </w:rPr>
              <w:t>執行期間各發電機組之輸出與控制命令</w:t>
            </w:r>
            <w:r w:rsidRPr="004141F3">
              <w:rPr>
                <w:rFonts w:hAnsi="標楷體"/>
                <w:spacing w:val="-20"/>
                <w:w w:val="95"/>
                <w:szCs w:val="24"/>
              </w:rPr>
              <w:t>誤差</w:t>
            </w:r>
            <w:r w:rsidRPr="004141F3">
              <w:rPr>
                <w:rFonts w:hAnsi="標楷體" w:hint="eastAsia"/>
                <w:spacing w:val="-20"/>
                <w:w w:val="95"/>
                <w:szCs w:val="24"/>
              </w:rPr>
              <w:t>皆</w:t>
            </w:r>
            <w:r w:rsidRPr="004141F3">
              <w:rPr>
                <w:rFonts w:hAnsi="標楷體"/>
                <w:spacing w:val="-20"/>
                <w:w w:val="95"/>
                <w:szCs w:val="24"/>
              </w:rPr>
              <w:t>小於5</w:t>
            </w:r>
            <w:r w:rsidRPr="004141F3">
              <w:rPr>
                <w:rFonts w:hAnsi="標楷體" w:hint="eastAsia"/>
                <w:spacing w:val="-20"/>
                <w:w w:val="95"/>
                <w:szCs w:val="24"/>
              </w:rPr>
              <w:t>%</w:t>
            </w:r>
            <w:r w:rsidRPr="004141F3">
              <w:rPr>
                <w:rFonts w:hAnsi="標楷體"/>
                <w:spacing w:val="-20"/>
                <w:w w:val="95"/>
                <w:szCs w:val="24"/>
              </w:rPr>
              <w:t>，於112年10月26日夜尖峰時段成功執行台電補充備轉輔助服務1次，協助台電紓緩供電壓力；</w:t>
            </w:r>
            <w:r w:rsidRPr="004141F3">
              <w:rPr>
                <w:rFonts w:hAnsi="標楷體" w:hint="eastAsia"/>
                <w:spacing w:val="-20"/>
                <w:w w:val="95"/>
                <w:szCs w:val="24"/>
              </w:rPr>
              <w:t>完成</w:t>
            </w:r>
            <w:r w:rsidRPr="004141F3">
              <w:rPr>
                <w:rFonts w:hAnsi="標楷體"/>
                <w:spacing w:val="-20"/>
                <w:w w:val="95"/>
                <w:szCs w:val="24"/>
              </w:rPr>
              <w:t>三相功率調節系統模式切換及穩壓控制策略，功率調節系統由電流控制切換至電壓控制，可穩定併接點電壓</w:t>
            </w:r>
            <w:r w:rsidRPr="004141F3">
              <w:rPr>
                <w:rFonts w:hAnsi="標楷體" w:hint="eastAsia"/>
                <w:spacing w:val="-20"/>
                <w:w w:val="95"/>
                <w:szCs w:val="24"/>
              </w:rPr>
              <w:t>，確保太陽能與負載皆能持續運轉</w:t>
            </w:r>
            <w:r w:rsidRPr="004141F3">
              <w:rPr>
                <w:rFonts w:hAnsi="標楷體"/>
                <w:spacing w:val="-20"/>
                <w:w w:val="95"/>
                <w:szCs w:val="24"/>
              </w:rPr>
              <w:t>。</w:t>
            </w:r>
          </w:p>
        </w:tc>
        <w:tc>
          <w:tcPr>
            <w:tcW w:w="2599"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spacing w:val="-20"/>
                <w:w w:val="95"/>
                <w:szCs w:val="24"/>
              </w:rPr>
              <w:t>開發</w:t>
            </w:r>
            <w:r w:rsidRPr="004141F3">
              <w:rPr>
                <w:rFonts w:hAnsi="標楷體" w:hint="eastAsia"/>
                <w:spacing w:val="-20"/>
                <w:w w:val="95"/>
                <w:szCs w:val="24"/>
              </w:rPr>
              <w:t>變壓器</w:t>
            </w:r>
            <w:r w:rsidRPr="004141F3">
              <w:rPr>
                <w:rFonts w:hAnsi="標楷體"/>
                <w:spacing w:val="-20"/>
                <w:w w:val="95"/>
                <w:szCs w:val="24"/>
              </w:rPr>
              <w:t>熱點溫度、油中氣體、及局部放電等3項損傷程度診斷模組，</w:t>
            </w:r>
            <w:r w:rsidRPr="004141F3">
              <w:rPr>
                <w:rFonts w:hAnsi="標楷體" w:hint="eastAsia"/>
                <w:spacing w:val="-20"/>
                <w:w w:val="95"/>
                <w:szCs w:val="24"/>
              </w:rPr>
              <w:t>依據IEEE C57.140、C57.143進行失效率評估，可有效降低失效率15%，</w:t>
            </w:r>
            <w:r w:rsidRPr="004141F3">
              <w:rPr>
                <w:rFonts w:hAnsi="標楷體"/>
                <w:spacing w:val="-20"/>
                <w:w w:val="95"/>
                <w:szCs w:val="24"/>
              </w:rPr>
              <w:t>並應用於</w:t>
            </w:r>
            <w:r w:rsidRPr="004141F3">
              <w:rPr>
                <w:rFonts w:hAnsi="標楷體" w:hint="eastAsia"/>
                <w:spacing w:val="-20"/>
                <w:w w:val="95"/>
                <w:szCs w:val="24"/>
              </w:rPr>
              <w:t>台電</w:t>
            </w:r>
            <w:r w:rsidRPr="004141F3">
              <w:rPr>
                <w:rFonts w:hAnsi="標楷體"/>
                <w:spacing w:val="-20"/>
                <w:w w:val="95"/>
                <w:szCs w:val="24"/>
              </w:rPr>
              <w:t>東林變電所</w:t>
            </w:r>
            <w:r w:rsidRPr="004141F3">
              <w:rPr>
                <w:rFonts w:hAnsi="標楷體" w:hint="eastAsia"/>
                <w:spacing w:val="-20"/>
                <w:w w:val="95"/>
                <w:szCs w:val="24"/>
              </w:rPr>
              <w:t>；根據CIGRE TB 761電力變壓器狀態評估準則，完成變變電所設備之資產管理策略分析與可靠度評估。</w:t>
            </w:r>
          </w:p>
        </w:tc>
      </w:tr>
      <w:tr w:rsidR="00722210" w:rsidRPr="001557D3" w:rsidTr="00E05A6A">
        <w:tc>
          <w:tcPr>
            <w:tcW w:w="576" w:type="dxa"/>
            <w:vMerge w:val="restart"/>
            <w:shd w:val="clear" w:color="auto" w:fill="auto"/>
            <w:vAlign w:val="center"/>
          </w:tcPr>
          <w:p w:rsidR="00722210" w:rsidRPr="001557D3" w:rsidRDefault="00722210" w:rsidP="00E05A6A">
            <w:pPr>
              <w:pStyle w:val="142"/>
              <w:jc w:val="center"/>
              <w:rPr>
                <w:spacing w:val="-20"/>
                <w:w w:val="95"/>
                <w:szCs w:val="24"/>
              </w:rPr>
            </w:pPr>
            <w:r w:rsidRPr="001557D3">
              <w:rPr>
                <w:rFonts w:hint="eastAsia"/>
                <w:spacing w:val="-20"/>
                <w:w w:val="95"/>
                <w:szCs w:val="24"/>
              </w:rPr>
              <w:t>113年</w:t>
            </w:r>
            <w:r w:rsidRPr="001557D3">
              <w:rPr>
                <w:rFonts w:hint="eastAsia"/>
                <w:spacing w:val="-20"/>
                <w:w w:val="95"/>
                <w:szCs w:val="24"/>
              </w:rPr>
              <w:lastRenderedPageBreak/>
              <w:t>度</w:t>
            </w:r>
          </w:p>
        </w:tc>
        <w:tc>
          <w:tcPr>
            <w:tcW w:w="7949" w:type="dxa"/>
            <w:gridSpan w:val="3"/>
            <w:shd w:val="clear" w:color="auto" w:fill="auto"/>
          </w:tcPr>
          <w:p w:rsidR="00722210" w:rsidRPr="001557D3" w:rsidRDefault="00722210" w:rsidP="00E05A6A">
            <w:pPr>
              <w:pStyle w:val="142"/>
              <w:jc w:val="center"/>
              <w:rPr>
                <w:rFonts w:ascii="Times New Roman"/>
                <w:spacing w:val="-20"/>
                <w:w w:val="95"/>
                <w:szCs w:val="24"/>
              </w:rPr>
            </w:pPr>
            <w:r w:rsidRPr="001557D3">
              <w:rPr>
                <w:rFonts w:ascii="Times New Roman" w:hint="eastAsia"/>
                <w:spacing w:val="-20"/>
                <w:w w:val="95"/>
                <w:szCs w:val="24"/>
              </w:rPr>
              <w:lastRenderedPageBreak/>
              <w:t>目標</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2657" w:type="dxa"/>
            <w:shd w:val="clear" w:color="auto" w:fill="auto"/>
          </w:tcPr>
          <w:p w:rsidR="00722210" w:rsidRPr="004141F3" w:rsidRDefault="00722210" w:rsidP="00E05A6A">
            <w:pPr>
              <w:pStyle w:val="142"/>
              <w:rPr>
                <w:rFonts w:hAnsi="標楷體"/>
                <w:spacing w:val="-20"/>
                <w:w w:val="95"/>
                <w:szCs w:val="24"/>
              </w:rPr>
            </w:pPr>
            <w:r w:rsidRPr="004141F3">
              <w:rPr>
                <w:rFonts w:hAnsi="標楷體"/>
                <w:spacing w:val="-20"/>
                <w:w w:val="95"/>
                <w:szCs w:val="24"/>
              </w:rPr>
              <w:t>研擬電驛參數動態設定策略</w:t>
            </w:r>
            <w:r w:rsidRPr="004141F3">
              <w:rPr>
                <w:rFonts w:hAnsi="標楷體"/>
                <w:spacing w:val="-20"/>
                <w:w w:val="95"/>
                <w:szCs w:val="24"/>
              </w:rPr>
              <w:lastRenderedPageBreak/>
              <w:t>與行動裝置視覺化顯示技術，並開發饋線四路開關分歧線調相程式，提升全區處饋線不平衡率低於20</w:t>
            </w:r>
            <w:r w:rsidRPr="004141F3">
              <w:rPr>
                <w:rFonts w:hAnsi="標楷體" w:hint="eastAsia"/>
                <w:spacing w:val="-20"/>
                <w:w w:val="95"/>
                <w:szCs w:val="24"/>
              </w:rPr>
              <w:t>%</w:t>
            </w:r>
            <w:r w:rsidRPr="004141F3">
              <w:rPr>
                <w:rFonts w:hAnsi="標楷體"/>
                <w:spacing w:val="-20"/>
                <w:w w:val="95"/>
                <w:szCs w:val="24"/>
              </w:rPr>
              <w:t>的比例。另將相關功能推廣至區處使用1件。</w:t>
            </w:r>
          </w:p>
        </w:tc>
        <w:tc>
          <w:tcPr>
            <w:tcW w:w="2693" w:type="dxa"/>
            <w:shd w:val="clear" w:color="auto" w:fill="auto"/>
          </w:tcPr>
          <w:p w:rsidR="00722210" w:rsidRPr="004141F3" w:rsidRDefault="00722210" w:rsidP="00E05A6A">
            <w:pPr>
              <w:pStyle w:val="142"/>
              <w:rPr>
                <w:rFonts w:hAnsi="標楷體"/>
                <w:spacing w:val="-20"/>
                <w:w w:val="95"/>
                <w:szCs w:val="24"/>
              </w:rPr>
            </w:pPr>
            <w:r w:rsidRPr="004141F3">
              <w:rPr>
                <w:rFonts w:hAnsi="標楷體"/>
                <w:spacing w:val="-20"/>
                <w:w w:val="95"/>
                <w:szCs w:val="24"/>
              </w:rPr>
              <w:lastRenderedPageBreak/>
              <w:t>進行即時模擬系統穩壓調控演</w:t>
            </w:r>
            <w:r w:rsidRPr="004141F3">
              <w:rPr>
                <w:rFonts w:hAnsi="標楷體"/>
                <w:spacing w:val="-20"/>
                <w:w w:val="95"/>
                <w:szCs w:val="24"/>
              </w:rPr>
              <w:lastRenderedPageBreak/>
              <w:t>算法設計，與完成電力設備調控能力測試；建立可接受電力調度命令之MW級微電網調頻備轉輔助服務系統，成功執行電力輔助服務1次以上，並開發多電源電能協調策略，達成穩定供電。</w:t>
            </w:r>
          </w:p>
        </w:tc>
        <w:tc>
          <w:tcPr>
            <w:tcW w:w="2599" w:type="dxa"/>
            <w:shd w:val="clear" w:color="auto" w:fill="auto"/>
          </w:tcPr>
          <w:p w:rsidR="00722210" w:rsidRPr="004141F3" w:rsidRDefault="00722210" w:rsidP="00E05A6A">
            <w:pPr>
              <w:pStyle w:val="142"/>
              <w:rPr>
                <w:rFonts w:hAnsi="標楷體"/>
                <w:spacing w:val="-20"/>
                <w:w w:val="95"/>
                <w:szCs w:val="24"/>
              </w:rPr>
            </w:pPr>
            <w:r w:rsidRPr="004141F3">
              <w:rPr>
                <w:rFonts w:hAnsi="標楷體" w:hint="eastAsia"/>
                <w:spacing w:val="-20"/>
                <w:w w:val="95"/>
                <w:szCs w:val="24"/>
              </w:rPr>
              <w:lastRenderedPageBreak/>
              <w:t>進行設備運轉效能變化資訊</w:t>
            </w:r>
            <w:r w:rsidRPr="004141F3">
              <w:rPr>
                <w:rFonts w:hAnsi="標楷體" w:hint="eastAsia"/>
                <w:spacing w:val="-20"/>
                <w:w w:val="95"/>
                <w:szCs w:val="24"/>
              </w:rPr>
              <w:lastRenderedPageBreak/>
              <w:t>挖掘與狀態評估模組開發；研製維護保養與剩餘壽命控管專家決策系統，延長設備之檢測週期20%，實際至少於1處台電變電所試行。</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7949" w:type="dxa"/>
            <w:gridSpan w:val="3"/>
            <w:shd w:val="clear" w:color="auto" w:fill="auto"/>
          </w:tcPr>
          <w:p w:rsidR="00722210" w:rsidRPr="001557D3" w:rsidRDefault="00722210" w:rsidP="00E05A6A">
            <w:pPr>
              <w:pStyle w:val="142"/>
              <w:jc w:val="center"/>
              <w:rPr>
                <w:spacing w:val="-20"/>
                <w:w w:val="95"/>
                <w:szCs w:val="24"/>
              </w:rPr>
            </w:pPr>
            <w:r w:rsidRPr="001557D3">
              <w:rPr>
                <w:rFonts w:ascii="Times New Roman" w:hint="eastAsia"/>
                <w:spacing w:val="-20"/>
                <w:w w:val="95"/>
                <w:szCs w:val="24"/>
              </w:rPr>
              <w:t>已完成項目</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2657"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spacing w:val="-20"/>
                <w:w w:val="95"/>
                <w:szCs w:val="24"/>
              </w:rPr>
              <w:t>完成電驛參數動態決策平台</w:t>
            </w:r>
            <w:r w:rsidRPr="004141F3">
              <w:rPr>
                <w:rFonts w:hAnsi="標楷體" w:hint="eastAsia"/>
                <w:spacing w:val="-20"/>
                <w:w w:val="95"/>
                <w:szCs w:val="24"/>
              </w:rPr>
              <w:t>開發，確保保護協調時距達0.2秒以上，避免故障越級跳脫；完成</w:t>
            </w:r>
            <w:r w:rsidRPr="004141F3">
              <w:rPr>
                <w:rFonts w:hAnsi="標楷體"/>
                <w:spacing w:val="-20"/>
                <w:w w:val="95"/>
                <w:szCs w:val="24"/>
              </w:rPr>
              <w:t>配電地理空間資訊行動顯示平台2D及3D顯示技術開發</w:t>
            </w:r>
            <w:r w:rsidRPr="004141F3">
              <w:rPr>
                <w:rFonts w:hAnsi="標楷體" w:hint="eastAsia"/>
                <w:spacing w:val="-20"/>
                <w:w w:val="95"/>
                <w:szCs w:val="24"/>
              </w:rPr>
              <w:t>，可介接圖層並查找異常迴路，強化配電設備管理；</w:t>
            </w:r>
            <w:r w:rsidRPr="004141F3">
              <w:rPr>
                <w:rFonts w:hAnsi="標楷體"/>
                <w:spacing w:val="-20"/>
                <w:w w:val="95"/>
                <w:szCs w:val="24"/>
              </w:rPr>
              <w:t>完</w:t>
            </w:r>
            <w:r w:rsidRPr="004141F3">
              <w:rPr>
                <w:rFonts w:hAnsi="標楷體"/>
                <w:spacing w:val="-20"/>
                <w:w w:val="95"/>
                <w:szCs w:val="24"/>
              </w:rPr>
              <w:lastRenderedPageBreak/>
              <w:t>成饋線三相相別調整策略邏輯程式開發，透過實施最佳相別調整策略，雲林區處不平衡率低於20</w:t>
            </w:r>
            <w:r w:rsidRPr="004141F3">
              <w:rPr>
                <w:rFonts w:hAnsi="標楷體" w:hint="eastAsia"/>
                <w:spacing w:val="-20"/>
                <w:w w:val="95"/>
                <w:szCs w:val="24"/>
              </w:rPr>
              <w:t>%</w:t>
            </w:r>
            <w:r w:rsidRPr="004141F3">
              <w:rPr>
                <w:rFonts w:hAnsi="標楷體"/>
                <w:spacing w:val="-20"/>
                <w:w w:val="95"/>
                <w:szCs w:val="24"/>
              </w:rPr>
              <w:t>之饋線占比</w:t>
            </w:r>
            <w:r w:rsidRPr="004141F3">
              <w:rPr>
                <w:rFonts w:hAnsi="標楷體" w:hint="eastAsia"/>
                <w:spacing w:val="-20"/>
                <w:w w:val="95"/>
                <w:szCs w:val="24"/>
              </w:rPr>
              <w:t>超過</w:t>
            </w:r>
            <w:r w:rsidRPr="004141F3">
              <w:rPr>
                <w:rFonts w:hAnsi="標楷體"/>
                <w:spacing w:val="-20"/>
                <w:w w:val="95"/>
                <w:szCs w:val="24"/>
              </w:rPr>
              <w:t>95</w:t>
            </w:r>
            <w:r w:rsidRPr="004141F3">
              <w:rPr>
                <w:rFonts w:hAnsi="標楷體" w:hint="eastAsia"/>
                <w:spacing w:val="-20"/>
                <w:w w:val="95"/>
                <w:szCs w:val="24"/>
              </w:rPr>
              <w:t>%。</w:t>
            </w:r>
            <w:r w:rsidRPr="004141F3">
              <w:rPr>
                <w:rFonts w:hAnsi="標楷體"/>
                <w:spacing w:val="-20"/>
                <w:w w:val="95"/>
                <w:szCs w:val="24"/>
              </w:rPr>
              <w:t>電驛參數動態決策平台，及配電地理空間資訊行動顯示平台等2</w:t>
            </w:r>
            <w:r w:rsidRPr="004141F3">
              <w:rPr>
                <w:rFonts w:hAnsi="標楷體" w:hint="eastAsia"/>
                <w:spacing w:val="-20"/>
                <w:w w:val="95"/>
                <w:szCs w:val="24"/>
              </w:rPr>
              <w:t>項成果</w:t>
            </w:r>
            <w:r w:rsidRPr="004141F3">
              <w:rPr>
                <w:rFonts w:hAnsi="標楷體"/>
                <w:spacing w:val="-20"/>
                <w:w w:val="95"/>
                <w:szCs w:val="24"/>
              </w:rPr>
              <w:t>，已推廣至台電雲林區處</w:t>
            </w:r>
            <w:r w:rsidRPr="004141F3">
              <w:rPr>
                <w:rFonts w:hAnsi="標楷體" w:hint="eastAsia"/>
                <w:spacing w:val="-20"/>
                <w:w w:val="95"/>
                <w:szCs w:val="24"/>
              </w:rPr>
              <w:t>。</w:t>
            </w:r>
          </w:p>
        </w:tc>
        <w:tc>
          <w:tcPr>
            <w:tcW w:w="2693"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spacing w:val="-20"/>
                <w:w w:val="95"/>
                <w:szCs w:val="24"/>
              </w:rPr>
              <w:lastRenderedPageBreak/>
              <w:t>完成區域電網輔助穩壓調控策略</w:t>
            </w:r>
            <w:r w:rsidRPr="004141F3">
              <w:rPr>
                <w:rFonts w:hAnsi="標楷體" w:hint="eastAsia"/>
                <w:spacing w:val="-20"/>
                <w:w w:val="95"/>
                <w:szCs w:val="24"/>
              </w:rPr>
              <w:t>，並與</w:t>
            </w:r>
            <w:r w:rsidRPr="004141F3">
              <w:rPr>
                <w:rFonts w:hAnsi="標楷體"/>
                <w:spacing w:val="-20"/>
                <w:w w:val="95"/>
                <w:szCs w:val="24"/>
              </w:rPr>
              <w:t>饋線末端單元</w:t>
            </w:r>
            <w:r w:rsidRPr="004141F3">
              <w:rPr>
                <w:rFonts w:hAnsi="標楷體" w:hint="eastAsia"/>
                <w:spacing w:val="-20"/>
                <w:w w:val="95"/>
                <w:szCs w:val="24"/>
              </w:rPr>
              <w:t>進行即時模擬</w:t>
            </w:r>
            <w:r w:rsidRPr="004141F3">
              <w:rPr>
                <w:rFonts w:hAnsi="標楷體"/>
                <w:spacing w:val="-20"/>
                <w:w w:val="95"/>
                <w:szCs w:val="24"/>
              </w:rPr>
              <w:t>測試</w:t>
            </w:r>
            <w:r w:rsidRPr="004141F3">
              <w:rPr>
                <w:rFonts w:hAnsi="標楷體" w:hint="eastAsia"/>
                <w:spacing w:val="-20"/>
                <w:w w:val="95"/>
                <w:szCs w:val="24"/>
              </w:rPr>
              <w:t>，驗證</w:t>
            </w:r>
            <w:r w:rsidRPr="004141F3">
              <w:rPr>
                <w:rFonts w:hAnsi="標楷體"/>
                <w:spacing w:val="-20"/>
                <w:w w:val="95"/>
                <w:szCs w:val="24"/>
              </w:rPr>
              <w:t>當區域電網</w:t>
            </w:r>
            <w:r w:rsidRPr="004141F3">
              <w:rPr>
                <w:rFonts w:hAnsi="標楷體" w:hint="eastAsia"/>
                <w:spacing w:val="-20"/>
                <w:w w:val="95"/>
                <w:szCs w:val="24"/>
              </w:rPr>
              <w:t>之</w:t>
            </w:r>
            <w:r w:rsidRPr="004141F3">
              <w:rPr>
                <w:rFonts w:hAnsi="標楷體"/>
                <w:spacing w:val="-20"/>
                <w:w w:val="95"/>
                <w:szCs w:val="24"/>
              </w:rPr>
              <w:t>太陽光電發電</w:t>
            </w:r>
            <w:r w:rsidRPr="004141F3">
              <w:rPr>
                <w:rFonts w:hAnsi="標楷體" w:hint="eastAsia"/>
                <w:spacing w:val="-20"/>
                <w:w w:val="95"/>
                <w:szCs w:val="24"/>
              </w:rPr>
              <w:t>驟降</w:t>
            </w:r>
            <w:r w:rsidRPr="004141F3">
              <w:rPr>
                <w:rFonts w:hAnsi="標楷體"/>
                <w:spacing w:val="-20"/>
                <w:w w:val="95"/>
                <w:szCs w:val="24"/>
              </w:rPr>
              <w:t>，可穩定饋線末端電壓</w:t>
            </w:r>
            <w:r w:rsidRPr="004141F3">
              <w:rPr>
                <w:rFonts w:hAnsi="標楷體" w:hint="eastAsia"/>
                <w:spacing w:val="-20"/>
                <w:w w:val="95"/>
                <w:szCs w:val="24"/>
              </w:rPr>
              <w:t>；開發</w:t>
            </w:r>
            <w:r w:rsidRPr="004141F3">
              <w:rPr>
                <w:rFonts w:hAnsi="標楷體"/>
                <w:spacing w:val="-20"/>
                <w:w w:val="95"/>
                <w:szCs w:val="24"/>
              </w:rPr>
              <w:t>靜態調頻備轉控制策略與輔助服務平台，實際接受電力交易平台調</w:t>
            </w:r>
            <w:r w:rsidRPr="004141F3">
              <w:rPr>
                <w:rFonts w:hAnsi="標楷體"/>
                <w:spacing w:val="-20"/>
                <w:w w:val="95"/>
                <w:szCs w:val="24"/>
              </w:rPr>
              <w:lastRenderedPageBreak/>
              <w:t>度命令，成功以MW級微電網執行靜態調頻電力輔助服務1次</w:t>
            </w:r>
            <w:r w:rsidRPr="004141F3">
              <w:rPr>
                <w:rFonts w:hAnsi="標楷體" w:hint="eastAsia"/>
                <w:spacing w:val="-20"/>
                <w:w w:val="95"/>
                <w:szCs w:val="24"/>
              </w:rPr>
              <w:t>；</w:t>
            </w:r>
            <w:r w:rsidRPr="004141F3">
              <w:rPr>
                <w:rFonts w:hAnsi="標楷體"/>
                <w:spacing w:val="-20"/>
                <w:w w:val="95"/>
                <w:szCs w:val="24"/>
              </w:rPr>
              <w:t>完成三相功率調節系統、再生能源與柴油機等3種電源協調控制技術開發</w:t>
            </w:r>
            <w:r w:rsidRPr="004141F3">
              <w:rPr>
                <w:rFonts w:hAnsi="標楷體" w:hint="eastAsia"/>
                <w:spacing w:val="-20"/>
                <w:w w:val="95"/>
                <w:szCs w:val="24"/>
              </w:rPr>
              <w:t>，</w:t>
            </w:r>
            <w:r w:rsidRPr="004141F3">
              <w:rPr>
                <w:rFonts w:hAnsi="標楷體"/>
                <w:spacing w:val="-20"/>
                <w:w w:val="95"/>
                <w:szCs w:val="24"/>
              </w:rPr>
              <w:t>於微電網場域實測</w:t>
            </w:r>
            <w:r w:rsidRPr="004141F3">
              <w:rPr>
                <w:rFonts w:hAnsi="標楷體" w:hint="eastAsia"/>
                <w:spacing w:val="-20"/>
                <w:w w:val="95"/>
                <w:szCs w:val="24"/>
              </w:rPr>
              <w:t>，可</w:t>
            </w:r>
            <w:r w:rsidRPr="004141F3">
              <w:rPr>
                <w:rFonts w:hAnsi="標楷體"/>
                <w:spacing w:val="-20"/>
                <w:w w:val="95"/>
                <w:szCs w:val="24"/>
              </w:rPr>
              <w:t>持續全日穩定運轉達24小時。</w:t>
            </w:r>
          </w:p>
        </w:tc>
        <w:tc>
          <w:tcPr>
            <w:tcW w:w="2599"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spacing w:val="-20"/>
                <w:w w:val="95"/>
                <w:szCs w:val="24"/>
              </w:rPr>
              <w:lastRenderedPageBreak/>
              <w:t>完成電力變壓器之油線溫</w:t>
            </w:r>
            <w:r w:rsidRPr="004141F3">
              <w:rPr>
                <w:rFonts w:hAnsi="標楷體" w:hint="eastAsia"/>
                <w:spacing w:val="-20"/>
                <w:w w:val="95"/>
                <w:szCs w:val="24"/>
              </w:rPr>
              <w:t>運轉效能變化資訊挖掘技術，成功鑑別出於</w:t>
            </w:r>
            <w:r w:rsidRPr="004141F3">
              <w:rPr>
                <w:rFonts w:hAnsi="標楷體"/>
                <w:spacing w:val="-20"/>
                <w:w w:val="95"/>
                <w:szCs w:val="24"/>
              </w:rPr>
              <w:t>2022</w:t>
            </w:r>
            <w:r w:rsidRPr="004141F3">
              <w:rPr>
                <w:rFonts w:hAnsi="標楷體" w:hint="eastAsia"/>
                <w:spacing w:val="-20"/>
                <w:w w:val="95"/>
                <w:szCs w:val="24"/>
              </w:rPr>
              <w:t>年1</w:t>
            </w:r>
            <w:r w:rsidRPr="004141F3">
              <w:rPr>
                <w:rFonts w:hAnsi="標楷體"/>
                <w:spacing w:val="-20"/>
                <w:w w:val="95"/>
                <w:szCs w:val="24"/>
              </w:rPr>
              <w:t>0</w:t>
            </w:r>
            <w:r w:rsidRPr="004141F3">
              <w:rPr>
                <w:rFonts w:hAnsi="標楷體" w:hint="eastAsia"/>
                <w:spacing w:val="-20"/>
                <w:w w:val="95"/>
                <w:szCs w:val="24"/>
              </w:rPr>
              <w:t>月4日負載突增之非常態操作事件；完成</w:t>
            </w:r>
            <w:r w:rsidRPr="004141F3">
              <w:rPr>
                <w:rFonts w:hAnsi="標楷體"/>
                <w:spacing w:val="-20"/>
                <w:w w:val="95"/>
                <w:szCs w:val="24"/>
              </w:rPr>
              <w:t>進階油中氣體狀態評估模組</w:t>
            </w:r>
            <w:r w:rsidRPr="004141F3">
              <w:rPr>
                <w:rFonts w:hAnsi="標楷體" w:hint="eastAsia"/>
                <w:spacing w:val="-20"/>
                <w:w w:val="95"/>
                <w:szCs w:val="24"/>
              </w:rPr>
              <w:t>，進行50台異常變壓器油中氣體評估；</w:t>
            </w:r>
            <w:r w:rsidRPr="004141F3">
              <w:rPr>
                <w:rFonts w:hAnsi="標楷體"/>
                <w:spacing w:val="-20"/>
                <w:w w:val="95"/>
                <w:szCs w:val="24"/>
              </w:rPr>
              <w:t>完成變壓器</w:t>
            </w:r>
            <w:r w:rsidRPr="004141F3">
              <w:rPr>
                <w:rFonts w:hAnsi="標楷體"/>
                <w:spacing w:val="-20"/>
                <w:w w:val="95"/>
                <w:szCs w:val="24"/>
              </w:rPr>
              <w:lastRenderedPageBreak/>
              <w:t>與絕緣氣體開關設備資產管理程式，進行剩餘使用壽命管控，並實際應用於台電東林變電所</w:t>
            </w:r>
            <w:r w:rsidRPr="004141F3">
              <w:rPr>
                <w:rFonts w:hAnsi="標楷體" w:hint="eastAsia"/>
                <w:spacing w:val="-20"/>
                <w:w w:val="95"/>
                <w:szCs w:val="24"/>
              </w:rPr>
              <w:t>，</w:t>
            </w:r>
            <w:r w:rsidRPr="004141F3">
              <w:rPr>
                <w:rFonts w:hAnsi="標楷體"/>
                <w:spacing w:val="-20"/>
                <w:w w:val="95"/>
                <w:szCs w:val="24"/>
              </w:rPr>
              <w:t>針對供電變壓器進行延長檢測週期</w:t>
            </w:r>
            <w:r w:rsidRPr="004141F3">
              <w:rPr>
                <w:rFonts w:hAnsi="標楷體" w:hint="eastAsia"/>
                <w:spacing w:val="-20"/>
                <w:w w:val="95"/>
                <w:szCs w:val="24"/>
              </w:rPr>
              <w:t>2</w:t>
            </w:r>
            <w:r w:rsidRPr="004141F3">
              <w:rPr>
                <w:rFonts w:hAnsi="標楷體"/>
                <w:spacing w:val="-20"/>
                <w:w w:val="95"/>
                <w:szCs w:val="24"/>
              </w:rPr>
              <w:t>0</w:t>
            </w:r>
            <w:r w:rsidRPr="004141F3">
              <w:rPr>
                <w:rFonts w:hAnsi="標楷體" w:hint="eastAsia"/>
                <w:spacing w:val="-20"/>
                <w:w w:val="95"/>
                <w:szCs w:val="24"/>
              </w:rPr>
              <w:t>%</w:t>
            </w:r>
            <w:r w:rsidRPr="004141F3">
              <w:rPr>
                <w:rFonts w:hAnsi="標楷體"/>
                <w:spacing w:val="-20"/>
                <w:w w:val="95"/>
                <w:szCs w:val="24"/>
              </w:rPr>
              <w:t>之可行性評估，</w:t>
            </w:r>
            <w:r w:rsidRPr="004141F3">
              <w:rPr>
                <w:rFonts w:hAnsi="標楷體" w:hint="eastAsia"/>
                <w:spacing w:val="-20"/>
                <w:w w:val="95"/>
                <w:szCs w:val="24"/>
              </w:rPr>
              <w:t>協助</w:t>
            </w:r>
            <w:r w:rsidRPr="004141F3">
              <w:rPr>
                <w:rFonts w:hAnsi="標楷體"/>
                <w:spacing w:val="-20"/>
                <w:w w:val="95"/>
                <w:szCs w:val="24"/>
              </w:rPr>
              <w:t>減少檢測</w:t>
            </w:r>
            <w:r w:rsidRPr="004141F3">
              <w:rPr>
                <w:rFonts w:hAnsi="標楷體" w:hint="eastAsia"/>
                <w:spacing w:val="-20"/>
                <w:w w:val="95"/>
                <w:szCs w:val="24"/>
              </w:rPr>
              <w:t>人力與</w:t>
            </w:r>
            <w:r w:rsidRPr="004141F3">
              <w:rPr>
                <w:rFonts w:hAnsi="標楷體"/>
                <w:spacing w:val="-20"/>
                <w:w w:val="95"/>
                <w:szCs w:val="24"/>
              </w:rPr>
              <w:t>成本。</w:t>
            </w:r>
          </w:p>
        </w:tc>
      </w:tr>
    </w:tbl>
    <w:p w:rsidR="00722210" w:rsidRDefault="00722210" w:rsidP="00E05A6A">
      <w:pPr>
        <w:pStyle w:val="142"/>
      </w:pPr>
      <w:r>
        <w:rPr>
          <w:rFonts w:hint="eastAsia"/>
        </w:rPr>
        <w:lastRenderedPageBreak/>
        <w:t>資料來源：國原院提供。</w:t>
      </w:r>
    </w:p>
    <w:p w:rsidR="00722210" w:rsidRPr="00282B69" w:rsidRDefault="00722210" w:rsidP="00E05A6A">
      <w:pPr>
        <w:spacing w:beforeLines="30" w:before="153" w:line="360" w:lineRule="exact"/>
        <w:ind w:leftChars="0" w:left="771" w:hangingChars="272" w:hanging="771"/>
        <w:rPr>
          <w:color w:val="8EAADB"/>
          <w:sz w:val="24"/>
        </w:rPr>
      </w:pPr>
      <w:r w:rsidRPr="005D1DB6">
        <w:rPr>
          <w:rFonts w:hint="eastAsia"/>
          <w:b/>
        </w:rPr>
        <w:t>表</w:t>
      </w:r>
      <w:r>
        <w:rPr>
          <w:rFonts w:hint="eastAsia"/>
          <w:b/>
        </w:rPr>
        <w:t>3</w:t>
      </w:r>
      <w:r w:rsidRPr="005D1DB6">
        <w:rPr>
          <w:rFonts w:hint="eastAsia"/>
          <w:b/>
        </w:rPr>
        <w:t xml:space="preserve">  </w:t>
      </w:r>
      <w:r>
        <w:rPr>
          <w:rFonts w:hint="eastAsia"/>
          <w:b/>
        </w:rPr>
        <w:t>前瞻第4期特別預算執行</w:t>
      </w:r>
      <w:r w:rsidRPr="005D1DB6">
        <w:rPr>
          <w:rFonts w:hint="eastAsia"/>
          <w:b/>
        </w:rPr>
        <w:t>「淨零排放-電網韌性分析計畫」</w:t>
      </w:r>
      <w:r>
        <w:rPr>
          <w:rFonts w:hint="eastAsia"/>
          <w:b/>
        </w:rPr>
        <w:t>工作項目執行概況表</w:t>
      </w:r>
      <w:r w:rsidRPr="005D1DB6">
        <w:rPr>
          <w:rFonts w:hint="eastAsia"/>
          <w:b/>
        </w:rPr>
        <w:t xml:space="preserve">    </w:t>
      </w:r>
      <w:r w:rsidRPr="005D1DB6">
        <w:rPr>
          <w:b/>
        </w:rPr>
        <w:t xml:space="preserve">  </w:t>
      </w:r>
      <w:r w:rsidRPr="005D1DB6">
        <w:rPr>
          <w:rFonts w:hint="eastAsia"/>
          <w:b/>
        </w:rPr>
        <w:t xml:space="preserve">                </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6"/>
        <w:gridCol w:w="2373"/>
        <w:gridCol w:w="2693"/>
        <w:gridCol w:w="2939"/>
      </w:tblGrid>
      <w:tr w:rsidR="00722210" w:rsidRPr="001557D3" w:rsidTr="00E05A6A">
        <w:trPr>
          <w:tblHeader/>
        </w:trPr>
        <w:tc>
          <w:tcPr>
            <w:tcW w:w="576" w:type="dxa"/>
            <w:shd w:val="clear" w:color="auto" w:fill="auto"/>
          </w:tcPr>
          <w:p w:rsidR="00722210" w:rsidRPr="001557D3" w:rsidRDefault="00722210" w:rsidP="00E05A6A">
            <w:pPr>
              <w:pStyle w:val="142"/>
              <w:ind w:leftChars="-42" w:left="-109" w:rightChars="-27" w:right="-76" w:hangingChars="5" w:hanging="10"/>
              <w:jc w:val="center"/>
              <w:rPr>
                <w:spacing w:val="-20"/>
                <w:w w:val="95"/>
                <w:szCs w:val="24"/>
              </w:rPr>
            </w:pPr>
            <w:r>
              <w:rPr>
                <w:rFonts w:hint="eastAsia"/>
                <w:spacing w:val="-20"/>
                <w:w w:val="95"/>
                <w:szCs w:val="24"/>
              </w:rPr>
              <w:t>子計畫</w:t>
            </w:r>
          </w:p>
        </w:tc>
        <w:tc>
          <w:tcPr>
            <w:tcW w:w="2373" w:type="dxa"/>
            <w:shd w:val="clear" w:color="auto" w:fill="auto"/>
            <w:vAlign w:val="center"/>
          </w:tcPr>
          <w:p w:rsidR="00722210" w:rsidRPr="001557D3" w:rsidRDefault="00722210" w:rsidP="00E05A6A">
            <w:pPr>
              <w:pStyle w:val="142"/>
              <w:rPr>
                <w:b/>
                <w:spacing w:val="-20"/>
                <w:w w:val="95"/>
                <w:szCs w:val="24"/>
              </w:rPr>
            </w:pPr>
            <w:r w:rsidRPr="001557D3">
              <w:rPr>
                <w:rFonts w:hint="eastAsia"/>
                <w:spacing w:val="-20"/>
                <w:w w:val="95"/>
                <w:szCs w:val="24"/>
              </w:rPr>
              <w:t>電網脆弱度分析技術開發</w:t>
            </w:r>
          </w:p>
        </w:tc>
        <w:tc>
          <w:tcPr>
            <w:tcW w:w="2693" w:type="dxa"/>
            <w:shd w:val="clear" w:color="auto" w:fill="auto"/>
          </w:tcPr>
          <w:p w:rsidR="00722210" w:rsidRPr="001557D3" w:rsidRDefault="00722210" w:rsidP="00E05A6A">
            <w:pPr>
              <w:pStyle w:val="142"/>
              <w:rPr>
                <w:b/>
                <w:spacing w:val="-20"/>
                <w:w w:val="95"/>
                <w:szCs w:val="24"/>
              </w:rPr>
            </w:pPr>
            <w:r w:rsidRPr="001557D3">
              <w:rPr>
                <w:rFonts w:hint="eastAsia"/>
                <w:spacing w:val="-20"/>
                <w:w w:val="95"/>
                <w:szCs w:val="24"/>
              </w:rPr>
              <w:t>能源供應設施量化風險評估技術開發</w:t>
            </w:r>
          </w:p>
        </w:tc>
        <w:tc>
          <w:tcPr>
            <w:tcW w:w="2939" w:type="dxa"/>
            <w:shd w:val="clear" w:color="auto" w:fill="auto"/>
          </w:tcPr>
          <w:p w:rsidR="00722210" w:rsidRPr="001557D3" w:rsidRDefault="00722210" w:rsidP="00E05A6A">
            <w:pPr>
              <w:pStyle w:val="142"/>
              <w:rPr>
                <w:b/>
                <w:spacing w:val="-20"/>
                <w:w w:val="95"/>
                <w:szCs w:val="24"/>
              </w:rPr>
            </w:pPr>
            <w:r w:rsidRPr="001557D3">
              <w:rPr>
                <w:rFonts w:hint="eastAsia"/>
                <w:spacing w:val="-20"/>
                <w:w w:val="95"/>
                <w:szCs w:val="24"/>
              </w:rPr>
              <w:t>能源關鍵設備之主動試運轉偏離鑑別技術開發</w:t>
            </w:r>
          </w:p>
        </w:tc>
      </w:tr>
      <w:tr w:rsidR="00722210" w:rsidRPr="001557D3" w:rsidTr="00E05A6A">
        <w:tc>
          <w:tcPr>
            <w:tcW w:w="576" w:type="dxa"/>
            <w:vMerge w:val="restart"/>
            <w:shd w:val="clear" w:color="auto" w:fill="auto"/>
            <w:vAlign w:val="center"/>
          </w:tcPr>
          <w:p w:rsidR="00722210" w:rsidRPr="001557D3" w:rsidRDefault="00722210" w:rsidP="00E05A6A">
            <w:pPr>
              <w:pStyle w:val="142"/>
              <w:jc w:val="center"/>
              <w:rPr>
                <w:spacing w:val="-20"/>
                <w:w w:val="95"/>
                <w:szCs w:val="24"/>
              </w:rPr>
            </w:pPr>
            <w:r w:rsidRPr="001557D3">
              <w:rPr>
                <w:rFonts w:hint="eastAsia"/>
                <w:spacing w:val="-20"/>
                <w:w w:val="95"/>
                <w:szCs w:val="24"/>
              </w:rPr>
              <w:t>112年度</w:t>
            </w:r>
          </w:p>
        </w:tc>
        <w:tc>
          <w:tcPr>
            <w:tcW w:w="8005" w:type="dxa"/>
            <w:gridSpan w:val="3"/>
            <w:shd w:val="clear" w:color="auto" w:fill="auto"/>
          </w:tcPr>
          <w:p w:rsidR="00722210" w:rsidRPr="001557D3" w:rsidRDefault="00722210" w:rsidP="00E05A6A">
            <w:pPr>
              <w:pStyle w:val="142"/>
              <w:jc w:val="center"/>
              <w:rPr>
                <w:spacing w:val="-20"/>
                <w:w w:val="95"/>
                <w:szCs w:val="24"/>
              </w:rPr>
            </w:pPr>
            <w:r w:rsidRPr="001557D3">
              <w:rPr>
                <w:rFonts w:hint="eastAsia"/>
                <w:spacing w:val="-20"/>
                <w:w w:val="95"/>
                <w:szCs w:val="24"/>
              </w:rPr>
              <w:t>目標</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2373" w:type="dxa"/>
            <w:shd w:val="clear" w:color="auto" w:fill="auto"/>
          </w:tcPr>
          <w:p w:rsidR="00722210" w:rsidRPr="001557D3" w:rsidRDefault="00722210" w:rsidP="00E05A6A">
            <w:pPr>
              <w:pStyle w:val="142"/>
              <w:ind w:leftChars="-22" w:left="-62" w:rightChars="-13" w:right="-37"/>
              <w:jc w:val="both"/>
              <w:rPr>
                <w:spacing w:val="-20"/>
                <w:w w:val="95"/>
                <w:szCs w:val="24"/>
              </w:rPr>
            </w:pPr>
            <w:r w:rsidRPr="001557D3">
              <w:rPr>
                <w:rFonts w:hint="eastAsia"/>
                <w:spacing w:val="-20"/>
                <w:w w:val="95"/>
                <w:szCs w:val="24"/>
              </w:rPr>
              <w:t>建立電網脆弱度及重要度之分析方法</w:t>
            </w:r>
            <w:r w:rsidRPr="001557D3">
              <w:rPr>
                <w:rFonts w:hAnsi="標楷體" w:hint="eastAsia"/>
                <w:spacing w:val="-20"/>
                <w:w w:val="95"/>
                <w:szCs w:val="24"/>
              </w:rPr>
              <w:t>，</w:t>
            </w:r>
            <w:r w:rsidRPr="001557D3">
              <w:rPr>
                <w:rFonts w:hint="eastAsia"/>
                <w:spacing w:val="-20"/>
                <w:w w:val="95"/>
                <w:szCs w:val="24"/>
              </w:rPr>
              <w:t>研析能源供應設施/變電站/電網等三元素之關聯性</w:t>
            </w:r>
            <w:r w:rsidRPr="001557D3">
              <w:rPr>
                <w:rFonts w:hAnsi="標楷體" w:hint="eastAsia"/>
                <w:spacing w:val="-20"/>
                <w:w w:val="95"/>
                <w:szCs w:val="24"/>
              </w:rPr>
              <w:t>。</w:t>
            </w:r>
          </w:p>
        </w:tc>
        <w:tc>
          <w:tcPr>
            <w:tcW w:w="2693" w:type="dxa"/>
            <w:shd w:val="clear" w:color="auto" w:fill="auto"/>
          </w:tcPr>
          <w:p w:rsidR="00722210" w:rsidRPr="001557D3" w:rsidRDefault="00722210" w:rsidP="00E05A6A">
            <w:pPr>
              <w:pStyle w:val="142"/>
              <w:ind w:leftChars="-22" w:left="-62" w:rightChars="-13" w:right="-37"/>
              <w:jc w:val="both"/>
              <w:rPr>
                <w:spacing w:val="-20"/>
                <w:w w:val="95"/>
                <w:szCs w:val="24"/>
              </w:rPr>
            </w:pPr>
            <w:r w:rsidRPr="001557D3">
              <w:rPr>
                <w:rFonts w:hint="eastAsia"/>
                <w:spacing w:val="-20"/>
                <w:w w:val="95"/>
                <w:szCs w:val="24"/>
              </w:rPr>
              <w:t>確認電廠之評估範圍與執行數據分析</w:t>
            </w:r>
            <w:r w:rsidRPr="001557D3">
              <w:rPr>
                <w:rFonts w:hAnsi="標楷體" w:hint="eastAsia"/>
                <w:spacing w:val="-20"/>
                <w:w w:val="95"/>
                <w:szCs w:val="24"/>
              </w:rPr>
              <w:t>，執行故障樹分析與系統分析。</w:t>
            </w:r>
          </w:p>
        </w:tc>
        <w:tc>
          <w:tcPr>
            <w:tcW w:w="2939" w:type="dxa"/>
            <w:shd w:val="clear" w:color="auto" w:fill="auto"/>
          </w:tcPr>
          <w:p w:rsidR="00722210" w:rsidRPr="001557D3" w:rsidRDefault="00722210" w:rsidP="00E05A6A">
            <w:pPr>
              <w:pStyle w:val="142"/>
              <w:ind w:leftChars="-25" w:left="-71" w:firstLineChars="2" w:firstLine="4"/>
              <w:jc w:val="both"/>
              <w:rPr>
                <w:spacing w:val="-20"/>
                <w:w w:val="95"/>
                <w:szCs w:val="24"/>
              </w:rPr>
            </w:pPr>
            <w:r w:rsidRPr="001557D3">
              <w:rPr>
                <w:rFonts w:hint="eastAsia"/>
                <w:spacing w:val="-20"/>
                <w:w w:val="95"/>
                <w:szCs w:val="24"/>
              </w:rPr>
              <w:t>運用大數據分析</w:t>
            </w:r>
            <w:r w:rsidRPr="001557D3">
              <w:rPr>
                <w:rFonts w:hAnsi="標楷體" w:hint="eastAsia"/>
                <w:spacing w:val="-20"/>
                <w:w w:val="95"/>
                <w:szCs w:val="24"/>
              </w:rPr>
              <w:t>、</w:t>
            </w:r>
            <w:r w:rsidRPr="001557D3">
              <w:rPr>
                <w:rFonts w:hint="eastAsia"/>
                <w:spacing w:val="-20"/>
                <w:w w:val="95"/>
                <w:szCs w:val="24"/>
              </w:rPr>
              <w:t>人工智慧建模</w:t>
            </w:r>
            <w:r w:rsidRPr="001557D3">
              <w:rPr>
                <w:rFonts w:hAnsi="標楷體" w:hint="eastAsia"/>
                <w:spacing w:val="-20"/>
                <w:w w:val="95"/>
                <w:szCs w:val="24"/>
              </w:rPr>
              <w:t>、</w:t>
            </w:r>
            <w:r w:rsidRPr="001557D3">
              <w:rPr>
                <w:rFonts w:hint="eastAsia"/>
                <w:spacing w:val="-20"/>
                <w:w w:val="95"/>
                <w:szCs w:val="24"/>
              </w:rPr>
              <w:t>數位訊號處理與轉換</w:t>
            </w:r>
            <w:r w:rsidRPr="001557D3">
              <w:rPr>
                <w:rFonts w:hAnsi="標楷體" w:hint="eastAsia"/>
                <w:spacing w:val="-20"/>
                <w:w w:val="95"/>
                <w:szCs w:val="24"/>
              </w:rPr>
              <w:t>、輸電線</w:t>
            </w:r>
            <w:r w:rsidRPr="001557D3">
              <w:rPr>
                <w:rFonts w:hint="eastAsia"/>
                <w:spacing w:val="-20"/>
                <w:w w:val="95"/>
                <w:szCs w:val="24"/>
              </w:rPr>
              <w:t>路阻抗動態分析等技術</w:t>
            </w:r>
            <w:r w:rsidRPr="001557D3">
              <w:rPr>
                <w:rFonts w:hAnsi="標楷體" w:hint="eastAsia"/>
                <w:spacing w:val="-20"/>
                <w:w w:val="95"/>
                <w:szCs w:val="24"/>
              </w:rPr>
              <w:t>，</w:t>
            </w:r>
            <w:r w:rsidRPr="001557D3">
              <w:rPr>
                <w:rFonts w:hint="eastAsia"/>
                <w:spacing w:val="-20"/>
                <w:w w:val="95"/>
                <w:szCs w:val="24"/>
              </w:rPr>
              <w:t>分別針對上游之能源供應設備與中游之輸供電網測距電驛</w:t>
            </w:r>
            <w:r w:rsidRPr="001557D3">
              <w:rPr>
                <w:rFonts w:hAnsi="標楷體" w:hint="eastAsia"/>
                <w:spacing w:val="-20"/>
                <w:w w:val="95"/>
                <w:szCs w:val="24"/>
              </w:rPr>
              <w:t>，</w:t>
            </w:r>
            <w:r w:rsidRPr="001557D3">
              <w:rPr>
                <w:rFonts w:hint="eastAsia"/>
                <w:spacing w:val="-20"/>
                <w:w w:val="95"/>
                <w:szCs w:val="24"/>
              </w:rPr>
              <w:t>進行即時運轉偏離鑑別與保護協調機制</w:t>
            </w:r>
            <w:r w:rsidRPr="001557D3">
              <w:rPr>
                <w:rFonts w:hAnsi="標楷體" w:hint="eastAsia"/>
                <w:spacing w:val="-20"/>
                <w:w w:val="95"/>
                <w:szCs w:val="24"/>
              </w:rPr>
              <w:t>，</w:t>
            </w:r>
            <w:r w:rsidRPr="001557D3">
              <w:rPr>
                <w:rFonts w:hint="eastAsia"/>
                <w:spacing w:val="-20"/>
                <w:w w:val="95"/>
                <w:szCs w:val="24"/>
              </w:rPr>
              <w:t>以利故障發生時能適時隔離</w:t>
            </w:r>
            <w:r w:rsidRPr="001557D3">
              <w:rPr>
                <w:rFonts w:hAnsi="標楷體" w:hint="eastAsia"/>
                <w:spacing w:val="-20"/>
                <w:w w:val="95"/>
                <w:szCs w:val="24"/>
              </w:rPr>
              <w:t>，縮</w:t>
            </w:r>
            <w:r w:rsidRPr="001557D3">
              <w:rPr>
                <w:rFonts w:hint="eastAsia"/>
                <w:spacing w:val="-20"/>
                <w:w w:val="95"/>
                <w:szCs w:val="24"/>
              </w:rPr>
              <w:t>小故障範圍不再擴大</w:t>
            </w:r>
            <w:r w:rsidRPr="001557D3">
              <w:rPr>
                <w:rFonts w:hAnsi="標楷體" w:hint="eastAsia"/>
                <w:spacing w:val="-20"/>
                <w:w w:val="95"/>
                <w:szCs w:val="24"/>
              </w:rPr>
              <w:t>，</w:t>
            </w:r>
            <w:r w:rsidRPr="001557D3">
              <w:rPr>
                <w:rFonts w:hint="eastAsia"/>
                <w:spacing w:val="-20"/>
                <w:w w:val="95"/>
                <w:szCs w:val="24"/>
              </w:rPr>
              <w:t>並自動將訊息推播至系統</w:t>
            </w:r>
            <w:r w:rsidRPr="001557D3">
              <w:rPr>
                <w:rFonts w:hAnsi="標楷體" w:hint="eastAsia"/>
                <w:spacing w:val="-20"/>
                <w:w w:val="95"/>
                <w:szCs w:val="24"/>
              </w:rPr>
              <w:t>，</w:t>
            </w:r>
            <w:r w:rsidRPr="001557D3">
              <w:rPr>
                <w:rFonts w:hint="eastAsia"/>
                <w:spacing w:val="-20"/>
                <w:w w:val="95"/>
                <w:szCs w:val="24"/>
              </w:rPr>
              <w:t>提高運轉人員之事故處理與維修保養效率</w:t>
            </w:r>
            <w:r w:rsidRPr="001557D3">
              <w:rPr>
                <w:rFonts w:hAnsi="標楷體" w:hint="eastAsia"/>
                <w:spacing w:val="-20"/>
                <w:w w:val="95"/>
                <w:szCs w:val="24"/>
              </w:rPr>
              <w:t>。</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8005" w:type="dxa"/>
            <w:gridSpan w:val="3"/>
            <w:shd w:val="clear" w:color="auto" w:fill="auto"/>
          </w:tcPr>
          <w:p w:rsidR="00722210" w:rsidRPr="001557D3" w:rsidRDefault="00722210" w:rsidP="00E05A6A">
            <w:pPr>
              <w:pStyle w:val="142"/>
              <w:jc w:val="center"/>
              <w:rPr>
                <w:spacing w:val="-20"/>
                <w:w w:val="95"/>
                <w:szCs w:val="24"/>
              </w:rPr>
            </w:pPr>
            <w:r w:rsidRPr="001557D3">
              <w:rPr>
                <w:rFonts w:hint="eastAsia"/>
                <w:spacing w:val="-20"/>
                <w:w w:val="95"/>
                <w:szCs w:val="24"/>
              </w:rPr>
              <w:t>已完成項目</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2373" w:type="dxa"/>
            <w:shd w:val="clear" w:color="auto" w:fill="auto"/>
          </w:tcPr>
          <w:p w:rsidR="00722210" w:rsidRPr="001557D3" w:rsidRDefault="00722210" w:rsidP="00E05A6A">
            <w:pPr>
              <w:pStyle w:val="142"/>
              <w:ind w:leftChars="-25" w:left="-71" w:firstLineChars="2" w:firstLine="4"/>
              <w:jc w:val="both"/>
              <w:rPr>
                <w:spacing w:val="-20"/>
                <w:w w:val="95"/>
                <w:szCs w:val="24"/>
              </w:rPr>
            </w:pPr>
            <w:r w:rsidRPr="001557D3">
              <w:rPr>
                <w:rFonts w:hint="eastAsia"/>
                <w:spacing w:val="-20"/>
                <w:w w:val="95"/>
                <w:szCs w:val="24"/>
              </w:rPr>
              <w:t>已</w:t>
            </w:r>
            <w:r w:rsidRPr="001557D3">
              <w:rPr>
                <w:spacing w:val="-20"/>
                <w:w w:val="95"/>
                <w:szCs w:val="24"/>
              </w:rPr>
              <w:t>完成電網脆弱度及重要度之分析方法論，</w:t>
            </w:r>
            <w:r w:rsidRPr="001557D3">
              <w:rPr>
                <w:rFonts w:hint="eastAsia"/>
                <w:spacing w:val="-20"/>
                <w:w w:val="95"/>
                <w:szCs w:val="24"/>
              </w:rPr>
              <w:t>建立</w:t>
            </w:r>
            <w:r w:rsidRPr="001557D3">
              <w:rPr>
                <w:spacing w:val="-20"/>
                <w:w w:val="95"/>
                <w:szCs w:val="24"/>
              </w:rPr>
              <w:t>電網脆弱度及重要度分析模式</w:t>
            </w:r>
            <w:r w:rsidRPr="001557D3">
              <w:rPr>
                <w:rFonts w:hint="eastAsia"/>
                <w:spacing w:val="-20"/>
                <w:w w:val="95"/>
                <w:szCs w:val="24"/>
              </w:rPr>
              <w:t>，並應用</w:t>
            </w:r>
            <w:r w:rsidRPr="001557D3">
              <w:rPr>
                <w:spacing w:val="-20"/>
                <w:w w:val="95"/>
                <w:szCs w:val="24"/>
              </w:rPr>
              <w:t>至</w:t>
            </w:r>
            <w:r w:rsidRPr="001557D3">
              <w:rPr>
                <w:rFonts w:hint="eastAsia"/>
                <w:spacing w:val="-20"/>
                <w:w w:val="95"/>
                <w:szCs w:val="24"/>
              </w:rPr>
              <w:t>我國</w:t>
            </w:r>
            <w:r w:rsidRPr="001557D3">
              <w:rPr>
                <w:spacing w:val="-20"/>
                <w:w w:val="95"/>
                <w:szCs w:val="24"/>
              </w:rPr>
              <w:t>電力系統</w:t>
            </w:r>
            <w:r w:rsidRPr="001557D3">
              <w:rPr>
                <w:rFonts w:hint="eastAsia"/>
                <w:spacing w:val="-20"/>
                <w:w w:val="95"/>
                <w:szCs w:val="24"/>
              </w:rPr>
              <w:t>。</w:t>
            </w:r>
            <w:r w:rsidRPr="001557D3">
              <w:rPr>
                <w:spacing w:val="-20"/>
                <w:w w:val="95"/>
                <w:szCs w:val="24"/>
              </w:rPr>
              <w:t xml:space="preserve"> </w:t>
            </w:r>
          </w:p>
        </w:tc>
        <w:tc>
          <w:tcPr>
            <w:tcW w:w="2693" w:type="dxa"/>
            <w:shd w:val="clear" w:color="auto" w:fill="auto"/>
          </w:tcPr>
          <w:p w:rsidR="00722210" w:rsidRPr="001557D3" w:rsidRDefault="00722210" w:rsidP="00E05A6A">
            <w:pPr>
              <w:pStyle w:val="142"/>
              <w:ind w:leftChars="-25" w:left="-71" w:firstLineChars="2" w:firstLine="4"/>
              <w:jc w:val="both"/>
              <w:rPr>
                <w:spacing w:val="-20"/>
                <w:w w:val="95"/>
                <w:szCs w:val="24"/>
              </w:rPr>
            </w:pPr>
            <w:r w:rsidRPr="001557D3">
              <w:rPr>
                <w:rFonts w:hint="eastAsia"/>
                <w:spacing w:val="-20"/>
                <w:w w:val="95"/>
                <w:szCs w:val="24"/>
              </w:rPr>
              <w:t>建構</w:t>
            </w:r>
            <w:r w:rsidRPr="001557D3">
              <w:rPr>
                <w:spacing w:val="-20"/>
                <w:w w:val="95"/>
                <w:szCs w:val="24"/>
              </w:rPr>
              <w:t>燃氣電廠風險模式</w:t>
            </w:r>
            <w:r w:rsidRPr="001557D3">
              <w:rPr>
                <w:rFonts w:hint="eastAsia"/>
                <w:spacing w:val="-20"/>
                <w:w w:val="95"/>
                <w:szCs w:val="24"/>
              </w:rPr>
              <w:t>先導案例</w:t>
            </w:r>
            <w:r w:rsidRPr="001557D3">
              <w:rPr>
                <w:spacing w:val="-20"/>
                <w:w w:val="95"/>
                <w:szCs w:val="24"/>
              </w:rPr>
              <w:t>，</w:t>
            </w:r>
            <w:r w:rsidRPr="001557D3">
              <w:rPr>
                <w:rFonts w:hint="eastAsia"/>
                <w:spacing w:val="-20"/>
                <w:w w:val="95"/>
                <w:szCs w:val="24"/>
              </w:rPr>
              <w:t>建立失效模式與效應分析，已完成系統分析、</w:t>
            </w:r>
            <w:r w:rsidRPr="001557D3">
              <w:rPr>
                <w:spacing w:val="-20"/>
                <w:w w:val="95"/>
                <w:szCs w:val="24"/>
              </w:rPr>
              <w:t>故障樹分析</w:t>
            </w:r>
            <w:r w:rsidRPr="001557D3">
              <w:rPr>
                <w:rFonts w:hint="eastAsia"/>
                <w:spacing w:val="-20"/>
                <w:w w:val="95"/>
                <w:szCs w:val="24"/>
              </w:rPr>
              <w:t>、設備/組件失效基本事件之模擬。</w:t>
            </w:r>
          </w:p>
        </w:tc>
        <w:tc>
          <w:tcPr>
            <w:tcW w:w="2939" w:type="dxa"/>
            <w:shd w:val="clear" w:color="auto" w:fill="auto"/>
          </w:tcPr>
          <w:p w:rsidR="00722210" w:rsidRPr="001557D3" w:rsidRDefault="00722210" w:rsidP="00E05A6A">
            <w:pPr>
              <w:pStyle w:val="142"/>
              <w:ind w:leftChars="-25" w:left="-71" w:firstLineChars="2" w:firstLine="4"/>
              <w:jc w:val="both"/>
              <w:rPr>
                <w:spacing w:val="-20"/>
                <w:w w:val="95"/>
                <w:szCs w:val="24"/>
              </w:rPr>
            </w:pPr>
            <w:r w:rsidRPr="001557D3">
              <w:rPr>
                <w:rFonts w:hint="eastAsia"/>
                <w:spacing w:val="-20"/>
                <w:w w:val="95"/>
                <w:szCs w:val="24"/>
              </w:rPr>
              <w:t>已</w:t>
            </w:r>
            <w:r w:rsidRPr="001557D3">
              <w:rPr>
                <w:spacing w:val="-20"/>
                <w:w w:val="95"/>
                <w:szCs w:val="24"/>
              </w:rPr>
              <w:t>完成汽機排汽冷凝運轉狀態鑑別系統</w:t>
            </w:r>
            <w:r w:rsidRPr="001557D3">
              <w:rPr>
                <w:rFonts w:hint="eastAsia"/>
                <w:spacing w:val="-20"/>
                <w:w w:val="95"/>
                <w:szCs w:val="24"/>
              </w:rPr>
              <w:t>、</w:t>
            </w:r>
            <w:r w:rsidRPr="001557D3">
              <w:rPr>
                <w:spacing w:val="-20"/>
                <w:w w:val="95"/>
                <w:szCs w:val="24"/>
              </w:rPr>
              <w:t>電驛事件波形圖檔即時自動推播系統，並架設於實際場域進行測試</w:t>
            </w:r>
            <w:r w:rsidRPr="001557D3">
              <w:rPr>
                <w:rFonts w:hint="eastAsia"/>
                <w:spacing w:val="-20"/>
                <w:w w:val="95"/>
                <w:szCs w:val="24"/>
              </w:rPr>
              <w:t>。</w:t>
            </w:r>
          </w:p>
        </w:tc>
      </w:tr>
      <w:tr w:rsidR="00722210" w:rsidRPr="001557D3" w:rsidTr="00E05A6A">
        <w:tc>
          <w:tcPr>
            <w:tcW w:w="576" w:type="dxa"/>
            <w:vMerge w:val="restart"/>
            <w:shd w:val="clear" w:color="auto" w:fill="auto"/>
            <w:vAlign w:val="center"/>
          </w:tcPr>
          <w:p w:rsidR="00722210" w:rsidRPr="001557D3" w:rsidRDefault="00722210" w:rsidP="00E05A6A">
            <w:pPr>
              <w:pStyle w:val="142"/>
              <w:jc w:val="center"/>
              <w:rPr>
                <w:spacing w:val="-20"/>
                <w:w w:val="95"/>
                <w:szCs w:val="24"/>
              </w:rPr>
            </w:pPr>
            <w:r w:rsidRPr="001557D3">
              <w:rPr>
                <w:rFonts w:hint="eastAsia"/>
                <w:spacing w:val="-20"/>
                <w:w w:val="95"/>
                <w:szCs w:val="24"/>
              </w:rPr>
              <w:t>113年度</w:t>
            </w:r>
          </w:p>
        </w:tc>
        <w:tc>
          <w:tcPr>
            <w:tcW w:w="8005" w:type="dxa"/>
            <w:gridSpan w:val="3"/>
            <w:shd w:val="clear" w:color="auto" w:fill="auto"/>
          </w:tcPr>
          <w:p w:rsidR="00722210" w:rsidRPr="001557D3" w:rsidRDefault="00722210" w:rsidP="00E05A6A">
            <w:pPr>
              <w:pStyle w:val="142"/>
              <w:jc w:val="center"/>
              <w:rPr>
                <w:rFonts w:ascii="Times New Roman"/>
                <w:spacing w:val="-20"/>
                <w:w w:val="95"/>
                <w:szCs w:val="24"/>
              </w:rPr>
            </w:pPr>
            <w:r w:rsidRPr="001557D3">
              <w:rPr>
                <w:rFonts w:ascii="Times New Roman" w:hint="eastAsia"/>
                <w:spacing w:val="-20"/>
                <w:w w:val="95"/>
                <w:szCs w:val="24"/>
              </w:rPr>
              <w:t>目標</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2373" w:type="dxa"/>
            <w:shd w:val="clear" w:color="auto" w:fill="auto"/>
          </w:tcPr>
          <w:p w:rsidR="00722210" w:rsidRPr="001557D3" w:rsidRDefault="00722210" w:rsidP="00E05A6A">
            <w:pPr>
              <w:pStyle w:val="142"/>
              <w:ind w:leftChars="-25" w:left="-71" w:firstLineChars="2" w:firstLine="4"/>
              <w:jc w:val="both"/>
              <w:rPr>
                <w:spacing w:val="-20"/>
                <w:w w:val="95"/>
                <w:szCs w:val="24"/>
              </w:rPr>
            </w:pPr>
            <w:r w:rsidRPr="001557D3">
              <w:rPr>
                <w:rFonts w:hint="eastAsia"/>
                <w:spacing w:val="-20"/>
                <w:w w:val="95"/>
                <w:szCs w:val="24"/>
              </w:rPr>
              <w:t>納入我國本島31座超高壓變電所</w:t>
            </w:r>
            <w:r w:rsidRPr="001557D3">
              <w:rPr>
                <w:rFonts w:hAnsi="標楷體" w:hint="eastAsia"/>
                <w:spacing w:val="-20"/>
                <w:w w:val="95"/>
                <w:szCs w:val="24"/>
              </w:rPr>
              <w:t>，</w:t>
            </w:r>
            <w:r w:rsidRPr="001557D3">
              <w:rPr>
                <w:rFonts w:hint="eastAsia"/>
                <w:spacing w:val="-20"/>
                <w:w w:val="95"/>
                <w:szCs w:val="24"/>
              </w:rPr>
              <w:t>進行天然災害事件對電網之影響評估</w:t>
            </w:r>
            <w:r w:rsidRPr="001557D3">
              <w:rPr>
                <w:rFonts w:hAnsi="標楷體" w:hint="eastAsia"/>
                <w:spacing w:val="-20"/>
                <w:w w:val="95"/>
                <w:szCs w:val="24"/>
              </w:rPr>
              <w:t>。</w:t>
            </w:r>
          </w:p>
        </w:tc>
        <w:tc>
          <w:tcPr>
            <w:tcW w:w="2693" w:type="dxa"/>
            <w:shd w:val="clear" w:color="auto" w:fill="auto"/>
          </w:tcPr>
          <w:p w:rsidR="00722210" w:rsidRPr="001557D3" w:rsidRDefault="00722210" w:rsidP="00E05A6A">
            <w:pPr>
              <w:pStyle w:val="142"/>
              <w:ind w:leftChars="-25" w:left="-71" w:firstLineChars="2" w:firstLine="4"/>
              <w:jc w:val="both"/>
              <w:rPr>
                <w:spacing w:val="-20"/>
                <w:w w:val="95"/>
                <w:szCs w:val="24"/>
              </w:rPr>
            </w:pPr>
            <w:r w:rsidRPr="001557D3">
              <w:rPr>
                <w:rFonts w:hint="eastAsia"/>
                <w:spacing w:val="-20"/>
                <w:w w:val="95"/>
                <w:szCs w:val="24"/>
              </w:rPr>
              <w:t>執行先導電廠量化風險評估案例</w:t>
            </w:r>
            <w:r w:rsidRPr="001557D3">
              <w:rPr>
                <w:rFonts w:hAnsi="標楷體" w:hint="eastAsia"/>
                <w:spacing w:val="-20"/>
                <w:w w:val="95"/>
                <w:szCs w:val="24"/>
              </w:rPr>
              <w:t>，</w:t>
            </w:r>
            <w:r w:rsidRPr="001557D3">
              <w:rPr>
                <w:rFonts w:hint="eastAsia"/>
                <w:spacing w:val="-20"/>
                <w:w w:val="95"/>
                <w:szCs w:val="24"/>
              </w:rPr>
              <w:t>確認與辨識後果嚴重之危害項目</w:t>
            </w:r>
            <w:r w:rsidRPr="001557D3">
              <w:rPr>
                <w:rFonts w:hAnsi="標楷體" w:hint="eastAsia"/>
                <w:spacing w:val="-20"/>
                <w:w w:val="95"/>
                <w:szCs w:val="24"/>
              </w:rPr>
              <w:t>。</w:t>
            </w:r>
          </w:p>
        </w:tc>
        <w:tc>
          <w:tcPr>
            <w:tcW w:w="2939" w:type="dxa"/>
            <w:shd w:val="clear" w:color="auto" w:fill="auto"/>
          </w:tcPr>
          <w:p w:rsidR="00722210" w:rsidRPr="001557D3" w:rsidRDefault="00722210" w:rsidP="00E05A6A">
            <w:pPr>
              <w:pStyle w:val="142"/>
              <w:ind w:leftChars="-22" w:left="-62" w:rightChars="-13" w:right="-37"/>
              <w:jc w:val="both"/>
              <w:rPr>
                <w:spacing w:val="-20"/>
                <w:w w:val="95"/>
                <w:szCs w:val="24"/>
              </w:rPr>
            </w:pPr>
            <w:r w:rsidRPr="001557D3">
              <w:rPr>
                <w:rFonts w:hint="eastAsia"/>
                <w:spacing w:val="-20"/>
                <w:w w:val="95"/>
                <w:szCs w:val="24"/>
              </w:rPr>
              <w:t>發展供電場域關鍵設備之運轉效能提升策略</w:t>
            </w:r>
            <w:r w:rsidRPr="001557D3">
              <w:rPr>
                <w:rFonts w:hAnsi="標楷體" w:hint="eastAsia"/>
                <w:spacing w:val="-20"/>
                <w:w w:val="95"/>
                <w:szCs w:val="24"/>
              </w:rPr>
              <w:t>，</w:t>
            </w:r>
            <w:r w:rsidRPr="001557D3">
              <w:rPr>
                <w:rFonts w:hint="eastAsia"/>
                <w:spacing w:val="-20"/>
                <w:w w:val="95"/>
                <w:szCs w:val="24"/>
              </w:rPr>
              <w:t>並建立輸供電網測距電驛之保護協調自動驗證與故障訊號分析技術</w:t>
            </w:r>
            <w:r w:rsidRPr="001557D3">
              <w:rPr>
                <w:rFonts w:hAnsi="標楷體" w:hint="eastAsia"/>
                <w:spacing w:val="-20"/>
                <w:w w:val="95"/>
                <w:szCs w:val="24"/>
              </w:rPr>
              <w:t>。</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8005" w:type="dxa"/>
            <w:gridSpan w:val="3"/>
            <w:shd w:val="clear" w:color="auto" w:fill="auto"/>
          </w:tcPr>
          <w:p w:rsidR="00722210" w:rsidRPr="001557D3" w:rsidRDefault="00722210" w:rsidP="00E05A6A">
            <w:pPr>
              <w:pStyle w:val="142"/>
              <w:jc w:val="center"/>
              <w:rPr>
                <w:spacing w:val="-20"/>
                <w:w w:val="95"/>
                <w:szCs w:val="24"/>
              </w:rPr>
            </w:pPr>
            <w:r w:rsidRPr="001557D3">
              <w:rPr>
                <w:rFonts w:hint="eastAsia"/>
                <w:spacing w:val="-20"/>
                <w:w w:val="95"/>
                <w:szCs w:val="24"/>
              </w:rPr>
              <w:t>已完成項目</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2373" w:type="dxa"/>
            <w:shd w:val="clear" w:color="auto" w:fill="auto"/>
          </w:tcPr>
          <w:p w:rsidR="00722210" w:rsidRPr="001557D3" w:rsidRDefault="00722210" w:rsidP="00E05A6A">
            <w:pPr>
              <w:pStyle w:val="142"/>
              <w:ind w:leftChars="-25" w:left="-71" w:firstLineChars="2" w:firstLine="4"/>
              <w:jc w:val="both"/>
              <w:rPr>
                <w:spacing w:val="-20"/>
                <w:w w:val="95"/>
                <w:szCs w:val="24"/>
              </w:rPr>
            </w:pPr>
            <w:r w:rsidRPr="001557D3">
              <w:rPr>
                <w:rFonts w:hint="eastAsia"/>
                <w:spacing w:val="-20"/>
                <w:w w:val="95"/>
                <w:szCs w:val="24"/>
              </w:rPr>
              <w:t>整合我國電力系統之超高壓變電所與發電</w:t>
            </w:r>
            <w:r w:rsidRPr="001557D3">
              <w:rPr>
                <w:spacing w:val="-20"/>
                <w:w w:val="95"/>
                <w:szCs w:val="24"/>
              </w:rPr>
              <w:t xml:space="preserve"> </w:t>
            </w:r>
            <w:r w:rsidRPr="001557D3">
              <w:rPr>
                <w:rFonts w:hint="eastAsia"/>
                <w:spacing w:val="-20"/>
                <w:w w:val="95"/>
                <w:szCs w:val="24"/>
              </w:rPr>
              <w:t>廠等電網節點，利用危害、脆弱度、暴險與風險的關係，以地震災害事件為例，完成天然災害對電網節點之影響評估。</w:t>
            </w:r>
          </w:p>
        </w:tc>
        <w:tc>
          <w:tcPr>
            <w:tcW w:w="2693" w:type="dxa"/>
            <w:shd w:val="clear" w:color="auto" w:fill="auto"/>
          </w:tcPr>
          <w:p w:rsidR="00722210" w:rsidRPr="001557D3" w:rsidRDefault="00722210" w:rsidP="00E05A6A">
            <w:pPr>
              <w:pStyle w:val="142"/>
              <w:ind w:leftChars="-25" w:left="-71"/>
              <w:jc w:val="both"/>
              <w:rPr>
                <w:spacing w:val="-20"/>
                <w:w w:val="95"/>
                <w:szCs w:val="24"/>
              </w:rPr>
            </w:pPr>
            <w:r w:rsidRPr="001557D3">
              <w:rPr>
                <w:rFonts w:hint="eastAsia"/>
                <w:spacing w:val="-20"/>
                <w:w w:val="95"/>
                <w:szCs w:val="24"/>
              </w:rPr>
              <w:t>整合</w:t>
            </w:r>
            <w:r w:rsidRPr="001557D3">
              <w:rPr>
                <w:spacing w:val="-20"/>
                <w:w w:val="95"/>
                <w:szCs w:val="24"/>
              </w:rPr>
              <w:t>系統</w:t>
            </w:r>
            <w:r w:rsidRPr="001557D3">
              <w:rPr>
                <w:rFonts w:hint="eastAsia"/>
                <w:spacing w:val="-20"/>
                <w:w w:val="95"/>
                <w:szCs w:val="24"/>
              </w:rPr>
              <w:t>與</w:t>
            </w:r>
            <w:r w:rsidRPr="001557D3">
              <w:rPr>
                <w:spacing w:val="-20"/>
                <w:w w:val="95"/>
                <w:szCs w:val="24"/>
              </w:rPr>
              <w:t>組件運轉與失效數據分析</w:t>
            </w:r>
            <w:r w:rsidRPr="001557D3">
              <w:rPr>
                <w:rFonts w:hint="eastAsia"/>
                <w:spacing w:val="-20"/>
                <w:w w:val="95"/>
                <w:szCs w:val="24"/>
              </w:rPr>
              <w:t>、</w:t>
            </w:r>
            <w:r w:rsidRPr="001557D3">
              <w:rPr>
                <w:spacing w:val="-20"/>
                <w:w w:val="95"/>
                <w:szCs w:val="24"/>
              </w:rPr>
              <w:t>人為操作誤失模式與評估</w:t>
            </w:r>
            <w:r w:rsidRPr="001557D3">
              <w:rPr>
                <w:rFonts w:hint="eastAsia"/>
                <w:spacing w:val="-20"/>
                <w:w w:val="95"/>
                <w:szCs w:val="24"/>
              </w:rPr>
              <w:t>之結果，完成「</w:t>
            </w:r>
            <w:r w:rsidRPr="001557D3">
              <w:rPr>
                <w:spacing w:val="-20"/>
                <w:w w:val="95"/>
                <w:szCs w:val="24"/>
              </w:rPr>
              <w:t>我國首例燃氣機組量化風險評估模式</w:t>
            </w:r>
            <w:r w:rsidRPr="001557D3">
              <w:rPr>
                <w:rFonts w:hint="eastAsia"/>
                <w:spacing w:val="-20"/>
                <w:w w:val="95"/>
                <w:szCs w:val="24"/>
              </w:rPr>
              <w:t>」。依量化分析與靈敏度分析結果，確認與辨識</w:t>
            </w:r>
            <w:r w:rsidRPr="001557D3">
              <w:rPr>
                <w:spacing w:val="-20"/>
                <w:w w:val="95"/>
                <w:szCs w:val="24"/>
              </w:rPr>
              <w:t>後果嚴重之危害項目</w:t>
            </w:r>
            <w:r w:rsidRPr="001557D3">
              <w:rPr>
                <w:rFonts w:hint="eastAsia"/>
                <w:spacing w:val="-20"/>
                <w:w w:val="95"/>
                <w:szCs w:val="24"/>
              </w:rPr>
              <w:t>。</w:t>
            </w:r>
          </w:p>
        </w:tc>
        <w:tc>
          <w:tcPr>
            <w:tcW w:w="2939" w:type="dxa"/>
            <w:shd w:val="clear" w:color="auto" w:fill="auto"/>
          </w:tcPr>
          <w:p w:rsidR="00722210" w:rsidRPr="001557D3" w:rsidRDefault="00722210" w:rsidP="00E05A6A">
            <w:pPr>
              <w:pStyle w:val="142"/>
              <w:ind w:leftChars="-25" w:left="-71"/>
              <w:jc w:val="both"/>
              <w:rPr>
                <w:spacing w:val="-20"/>
                <w:w w:val="95"/>
                <w:szCs w:val="24"/>
              </w:rPr>
            </w:pPr>
            <w:r w:rsidRPr="001557D3">
              <w:rPr>
                <w:spacing w:val="-20"/>
                <w:w w:val="95"/>
                <w:szCs w:val="24"/>
              </w:rPr>
              <w:t>完成汽機排汽冷凝系統與鍋爐加熱器吹灰器之AI動態運轉偏離鑑別與最佳化運轉決策程式</w:t>
            </w:r>
            <w:r w:rsidRPr="001557D3">
              <w:rPr>
                <w:rFonts w:hint="eastAsia"/>
                <w:spacing w:val="-20"/>
                <w:w w:val="95"/>
                <w:szCs w:val="24"/>
              </w:rPr>
              <w:t>、</w:t>
            </w:r>
            <w:r w:rsidRPr="001557D3">
              <w:rPr>
                <w:spacing w:val="-20"/>
                <w:w w:val="95"/>
                <w:szCs w:val="24"/>
              </w:rPr>
              <w:t>電驛事件波形圖檔即時自動推播系統，並架設於實際場域進行測試</w:t>
            </w:r>
            <w:r w:rsidRPr="001557D3">
              <w:rPr>
                <w:rFonts w:hint="eastAsia"/>
                <w:spacing w:val="-20"/>
                <w:w w:val="95"/>
                <w:szCs w:val="24"/>
              </w:rPr>
              <w:t>。</w:t>
            </w:r>
          </w:p>
        </w:tc>
      </w:tr>
    </w:tbl>
    <w:p w:rsidR="00722210" w:rsidRDefault="00722210" w:rsidP="00E05A6A">
      <w:pPr>
        <w:pStyle w:val="142"/>
      </w:pPr>
      <w:r>
        <w:rPr>
          <w:rFonts w:hint="eastAsia"/>
        </w:rPr>
        <w:t>資料來源：國原院提供。</w:t>
      </w:r>
    </w:p>
    <w:p w:rsidR="00722210" w:rsidRDefault="00722210" w:rsidP="00E05A6A">
      <w:pPr>
        <w:adjustRightInd w:val="0"/>
        <w:spacing w:beforeLines="30" w:before="153" w:line="360" w:lineRule="exact"/>
        <w:ind w:leftChars="0" w:left="743" w:hangingChars="262" w:hanging="743"/>
        <w:jc w:val="left"/>
      </w:pPr>
      <w:r w:rsidRPr="00173792">
        <w:rPr>
          <w:rFonts w:hint="eastAsia"/>
          <w:b/>
        </w:rPr>
        <w:lastRenderedPageBreak/>
        <w:t>表</w:t>
      </w:r>
      <w:r>
        <w:rPr>
          <w:rFonts w:hint="eastAsia"/>
          <w:b/>
        </w:rPr>
        <w:t>4</w:t>
      </w:r>
      <w:r w:rsidRPr="00173792">
        <w:rPr>
          <w:rFonts w:hint="eastAsia"/>
          <w:b/>
        </w:rPr>
        <w:t xml:space="preserve"> </w:t>
      </w:r>
      <w:r>
        <w:rPr>
          <w:rFonts w:hint="eastAsia"/>
          <w:b/>
        </w:rPr>
        <w:t xml:space="preserve"> </w:t>
      </w:r>
      <w:r w:rsidRPr="00173792">
        <w:rPr>
          <w:rFonts w:hint="eastAsia"/>
          <w:b/>
        </w:rPr>
        <w:t>前瞻第4期「綠能發配電智慧管理與效能提升技術發展計畫」及「電網韌性分析計畫」</w:t>
      </w:r>
      <w:r>
        <w:rPr>
          <w:rFonts w:hint="eastAsia"/>
          <w:b/>
        </w:rPr>
        <w:t>績效指標達成情形概況</w:t>
      </w:r>
      <w:r w:rsidRPr="00173792">
        <w:rPr>
          <w:rFonts w:hint="eastAsia"/>
          <w:b/>
        </w:rPr>
        <w:t>表</w:t>
      </w:r>
      <w:r>
        <w:rPr>
          <w:rFonts w:hint="eastAsia"/>
          <w:b/>
        </w:rPr>
        <w:t xml:space="preserve">   </w:t>
      </w:r>
      <w:r w:rsidRPr="002E3055">
        <w:rPr>
          <w:rFonts w:hint="eastAsia"/>
          <w:sz w:val="24"/>
          <w:szCs w:val="24"/>
        </w:rPr>
        <w:t>單位：</w:t>
      </w:r>
      <w:r>
        <w:rPr>
          <w:rFonts w:hint="eastAsia"/>
          <w:sz w:val="24"/>
          <w:szCs w:val="24"/>
        </w:rPr>
        <w:t>篇；件</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2"/>
        <w:gridCol w:w="1400"/>
        <w:gridCol w:w="1262"/>
        <w:gridCol w:w="1263"/>
        <w:gridCol w:w="1262"/>
        <w:gridCol w:w="1378"/>
      </w:tblGrid>
      <w:tr w:rsidR="00722210" w:rsidRPr="00176D20" w:rsidTr="00E05A6A">
        <w:trPr>
          <w:tblHeader/>
        </w:trPr>
        <w:tc>
          <w:tcPr>
            <w:tcW w:w="3402" w:type="dxa"/>
            <w:gridSpan w:val="2"/>
            <w:vMerge w:val="restart"/>
            <w:tcBorders>
              <w:top w:val="single" w:sz="12" w:space="0" w:color="auto"/>
              <w:left w:val="single" w:sz="12" w:space="0" w:color="auto"/>
            </w:tcBorders>
            <w:shd w:val="clear" w:color="auto" w:fill="auto"/>
            <w:vAlign w:val="center"/>
          </w:tcPr>
          <w:p w:rsidR="00722210" w:rsidRPr="00176D20" w:rsidRDefault="00722210" w:rsidP="00E05A6A">
            <w:pPr>
              <w:pStyle w:val="142"/>
              <w:jc w:val="center"/>
            </w:pPr>
            <w:r>
              <w:rPr>
                <w:rFonts w:hint="eastAsia"/>
              </w:rPr>
              <w:t>績效指標</w:t>
            </w:r>
          </w:p>
        </w:tc>
        <w:tc>
          <w:tcPr>
            <w:tcW w:w="2525" w:type="dxa"/>
            <w:gridSpan w:val="2"/>
            <w:tcBorders>
              <w:top w:val="single" w:sz="12" w:space="0" w:color="auto"/>
            </w:tcBorders>
            <w:shd w:val="clear" w:color="auto" w:fill="auto"/>
          </w:tcPr>
          <w:p w:rsidR="00722210" w:rsidRPr="00176D20" w:rsidRDefault="00722210" w:rsidP="00E05A6A">
            <w:pPr>
              <w:pStyle w:val="142"/>
              <w:jc w:val="center"/>
            </w:pPr>
            <w:r w:rsidRPr="00176D20">
              <w:t>112</w:t>
            </w:r>
            <w:r>
              <w:rPr>
                <w:rFonts w:hint="eastAsia"/>
              </w:rPr>
              <w:t>年度</w:t>
            </w:r>
          </w:p>
        </w:tc>
        <w:tc>
          <w:tcPr>
            <w:tcW w:w="2640" w:type="dxa"/>
            <w:gridSpan w:val="2"/>
            <w:tcBorders>
              <w:top w:val="single" w:sz="12" w:space="0" w:color="auto"/>
              <w:right w:val="single" w:sz="12" w:space="0" w:color="auto"/>
            </w:tcBorders>
            <w:shd w:val="clear" w:color="auto" w:fill="auto"/>
          </w:tcPr>
          <w:p w:rsidR="00722210" w:rsidRPr="00176D20" w:rsidRDefault="00722210" w:rsidP="00E05A6A">
            <w:pPr>
              <w:pStyle w:val="142"/>
              <w:jc w:val="center"/>
            </w:pPr>
            <w:r w:rsidRPr="00176D20">
              <w:t>113</w:t>
            </w:r>
            <w:r>
              <w:rPr>
                <w:rFonts w:hint="eastAsia"/>
              </w:rPr>
              <w:t>年度</w:t>
            </w:r>
          </w:p>
        </w:tc>
      </w:tr>
      <w:tr w:rsidR="00722210" w:rsidRPr="00176D20" w:rsidTr="00E05A6A">
        <w:trPr>
          <w:tblHeader/>
        </w:trPr>
        <w:tc>
          <w:tcPr>
            <w:tcW w:w="3402" w:type="dxa"/>
            <w:gridSpan w:val="2"/>
            <w:vMerge/>
            <w:tcBorders>
              <w:left w:val="single" w:sz="12" w:space="0" w:color="auto"/>
            </w:tcBorders>
            <w:shd w:val="clear" w:color="auto" w:fill="auto"/>
          </w:tcPr>
          <w:p w:rsidR="00722210" w:rsidRPr="00176D20" w:rsidRDefault="00722210" w:rsidP="00E05A6A">
            <w:pPr>
              <w:pStyle w:val="142"/>
            </w:pPr>
          </w:p>
        </w:tc>
        <w:tc>
          <w:tcPr>
            <w:tcW w:w="1262" w:type="dxa"/>
            <w:shd w:val="clear" w:color="auto" w:fill="auto"/>
          </w:tcPr>
          <w:p w:rsidR="00722210" w:rsidRPr="00176D20" w:rsidRDefault="00722210" w:rsidP="00E05A6A">
            <w:pPr>
              <w:pStyle w:val="142"/>
              <w:jc w:val="center"/>
            </w:pPr>
            <w:r w:rsidRPr="00176D20">
              <w:t>預計</w:t>
            </w:r>
          </w:p>
        </w:tc>
        <w:tc>
          <w:tcPr>
            <w:tcW w:w="1263" w:type="dxa"/>
            <w:shd w:val="clear" w:color="auto" w:fill="auto"/>
          </w:tcPr>
          <w:p w:rsidR="00722210" w:rsidRPr="00176D20" w:rsidRDefault="00722210" w:rsidP="00E05A6A">
            <w:pPr>
              <w:pStyle w:val="142"/>
              <w:jc w:val="center"/>
            </w:pPr>
            <w:r w:rsidRPr="00176D20">
              <w:t>實際</w:t>
            </w:r>
          </w:p>
        </w:tc>
        <w:tc>
          <w:tcPr>
            <w:tcW w:w="1262" w:type="dxa"/>
            <w:shd w:val="clear" w:color="auto" w:fill="auto"/>
          </w:tcPr>
          <w:p w:rsidR="00722210" w:rsidRPr="00176D20" w:rsidRDefault="00722210" w:rsidP="00E05A6A">
            <w:pPr>
              <w:pStyle w:val="142"/>
              <w:jc w:val="center"/>
            </w:pPr>
            <w:r w:rsidRPr="00176D20">
              <w:t>預計</w:t>
            </w:r>
          </w:p>
        </w:tc>
        <w:tc>
          <w:tcPr>
            <w:tcW w:w="1378" w:type="dxa"/>
            <w:tcBorders>
              <w:right w:val="single" w:sz="12" w:space="0" w:color="auto"/>
            </w:tcBorders>
            <w:shd w:val="clear" w:color="auto" w:fill="auto"/>
          </w:tcPr>
          <w:p w:rsidR="00722210" w:rsidRPr="00176D20" w:rsidRDefault="00722210" w:rsidP="00E05A6A">
            <w:pPr>
              <w:pStyle w:val="142"/>
              <w:jc w:val="center"/>
            </w:pPr>
            <w:r w:rsidRPr="00176D20">
              <w:t>實際</w:t>
            </w:r>
          </w:p>
        </w:tc>
      </w:tr>
      <w:tr w:rsidR="00722210" w:rsidRPr="00176D20" w:rsidTr="00E05A6A">
        <w:tc>
          <w:tcPr>
            <w:tcW w:w="2002" w:type="dxa"/>
            <w:vMerge w:val="restart"/>
            <w:tcBorders>
              <w:left w:val="single" w:sz="12" w:space="0" w:color="auto"/>
            </w:tcBorders>
            <w:shd w:val="clear" w:color="auto" w:fill="auto"/>
            <w:vAlign w:val="center"/>
          </w:tcPr>
          <w:p w:rsidR="00722210" w:rsidRPr="00176D20" w:rsidRDefault="00722210" w:rsidP="00E05A6A">
            <w:pPr>
              <w:pStyle w:val="142"/>
            </w:pPr>
            <w:r w:rsidRPr="00176D20">
              <w:rPr>
                <w:rFonts w:hint="eastAsia"/>
              </w:rPr>
              <w:t>綠能發配電智慧管理與效能提升技術發展計畫</w:t>
            </w:r>
          </w:p>
        </w:tc>
        <w:tc>
          <w:tcPr>
            <w:tcW w:w="1400" w:type="dxa"/>
            <w:shd w:val="clear" w:color="auto" w:fill="auto"/>
          </w:tcPr>
          <w:p w:rsidR="00722210" w:rsidRPr="00176D20" w:rsidRDefault="00722210" w:rsidP="00E05A6A">
            <w:pPr>
              <w:pStyle w:val="142"/>
            </w:pPr>
            <w:r w:rsidRPr="00176D20">
              <w:t>論文</w:t>
            </w:r>
          </w:p>
        </w:tc>
        <w:tc>
          <w:tcPr>
            <w:tcW w:w="1262" w:type="dxa"/>
            <w:shd w:val="clear" w:color="auto" w:fill="auto"/>
          </w:tcPr>
          <w:p w:rsidR="00722210" w:rsidRPr="00176D20" w:rsidRDefault="00722210" w:rsidP="00E05A6A">
            <w:pPr>
              <w:pStyle w:val="142"/>
              <w:jc w:val="right"/>
            </w:pPr>
            <w:r w:rsidRPr="00176D20">
              <w:t>10</w:t>
            </w:r>
          </w:p>
        </w:tc>
        <w:tc>
          <w:tcPr>
            <w:tcW w:w="1263" w:type="dxa"/>
            <w:shd w:val="clear" w:color="auto" w:fill="auto"/>
          </w:tcPr>
          <w:p w:rsidR="00722210" w:rsidRPr="00176D20" w:rsidRDefault="00722210" w:rsidP="00E05A6A">
            <w:pPr>
              <w:pStyle w:val="142"/>
              <w:jc w:val="right"/>
            </w:pPr>
            <w:r w:rsidRPr="00176D20">
              <w:t>15</w:t>
            </w:r>
          </w:p>
        </w:tc>
        <w:tc>
          <w:tcPr>
            <w:tcW w:w="1262" w:type="dxa"/>
            <w:shd w:val="clear" w:color="auto" w:fill="auto"/>
          </w:tcPr>
          <w:p w:rsidR="00722210" w:rsidRPr="00176D20" w:rsidRDefault="00722210" w:rsidP="00E05A6A">
            <w:pPr>
              <w:pStyle w:val="142"/>
              <w:jc w:val="right"/>
            </w:pPr>
            <w:r w:rsidRPr="00176D20">
              <w:t>10</w:t>
            </w:r>
          </w:p>
        </w:tc>
        <w:tc>
          <w:tcPr>
            <w:tcW w:w="1378" w:type="dxa"/>
            <w:tcBorders>
              <w:right w:val="single" w:sz="12" w:space="0" w:color="auto"/>
            </w:tcBorders>
            <w:shd w:val="clear" w:color="auto" w:fill="auto"/>
          </w:tcPr>
          <w:p w:rsidR="00722210" w:rsidRPr="00176D20" w:rsidRDefault="00722210" w:rsidP="00E05A6A">
            <w:pPr>
              <w:pStyle w:val="142"/>
              <w:jc w:val="right"/>
            </w:pPr>
            <w:r w:rsidRPr="00176D20">
              <w:rPr>
                <w:rFonts w:hint="eastAsia"/>
              </w:rPr>
              <w:t>19</w:t>
            </w:r>
          </w:p>
        </w:tc>
      </w:tr>
      <w:tr w:rsidR="00722210" w:rsidRPr="00176D20" w:rsidTr="00E05A6A">
        <w:tc>
          <w:tcPr>
            <w:tcW w:w="2002" w:type="dxa"/>
            <w:vMerge/>
            <w:tcBorders>
              <w:left w:val="single" w:sz="12" w:space="0" w:color="auto"/>
            </w:tcBorders>
            <w:shd w:val="clear" w:color="auto" w:fill="auto"/>
            <w:vAlign w:val="center"/>
          </w:tcPr>
          <w:p w:rsidR="00722210" w:rsidRPr="00176D20" w:rsidRDefault="00722210" w:rsidP="00E05A6A">
            <w:pPr>
              <w:pStyle w:val="142"/>
            </w:pPr>
          </w:p>
        </w:tc>
        <w:tc>
          <w:tcPr>
            <w:tcW w:w="1400" w:type="dxa"/>
            <w:shd w:val="clear" w:color="auto" w:fill="auto"/>
          </w:tcPr>
          <w:p w:rsidR="00722210" w:rsidRPr="00176D20" w:rsidRDefault="00722210" w:rsidP="00E05A6A">
            <w:pPr>
              <w:pStyle w:val="142"/>
            </w:pPr>
            <w:r w:rsidRPr="00176D20">
              <w:t>研究報告</w:t>
            </w:r>
          </w:p>
        </w:tc>
        <w:tc>
          <w:tcPr>
            <w:tcW w:w="1262" w:type="dxa"/>
            <w:shd w:val="clear" w:color="auto" w:fill="auto"/>
          </w:tcPr>
          <w:p w:rsidR="00722210" w:rsidRPr="00176D20" w:rsidRDefault="00722210" w:rsidP="00E05A6A">
            <w:pPr>
              <w:pStyle w:val="142"/>
              <w:jc w:val="right"/>
            </w:pPr>
            <w:r w:rsidRPr="00176D20">
              <w:t>15</w:t>
            </w:r>
          </w:p>
        </w:tc>
        <w:tc>
          <w:tcPr>
            <w:tcW w:w="1263" w:type="dxa"/>
            <w:shd w:val="clear" w:color="auto" w:fill="auto"/>
          </w:tcPr>
          <w:p w:rsidR="00722210" w:rsidRPr="00176D20" w:rsidRDefault="00722210" w:rsidP="00E05A6A">
            <w:pPr>
              <w:pStyle w:val="142"/>
              <w:jc w:val="right"/>
            </w:pPr>
            <w:r w:rsidRPr="00176D20">
              <w:t>21</w:t>
            </w:r>
          </w:p>
        </w:tc>
        <w:tc>
          <w:tcPr>
            <w:tcW w:w="1262" w:type="dxa"/>
            <w:shd w:val="clear" w:color="auto" w:fill="auto"/>
          </w:tcPr>
          <w:p w:rsidR="00722210" w:rsidRPr="00176D20" w:rsidRDefault="00722210" w:rsidP="00E05A6A">
            <w:pPr>
              <w:pStyle w:val="142"/>
              <w:jc w:val="right"/>
            </w:pPr>
            <w:r w:rsidRPr="00176D20">
              <w:t>15</w:t>
            </w:r>
          </w:p>
        </w:tc>
        <w:tc>
          <w:tcPr>
            <w:tcW w:w="1378" w:type="dxa"/>
            <w:tcBorders>
              <w:right w:val="single" w:sz="12" w:space="0" w:color="auto"/>
            </w:tcBorders>
            <w:shd w:val="clear" w:color="auto" w:fill="auto"/>
          </w:tcPr>
          <w:p w:rsidR="00722210" w:rsidRPr="00176D20" w:rsidRDefault="00722210" w:rsidP="00E05A6A">
            <w:pPr>
              <w:pStyle w:val="142"/>
              <w:jc w:val="right"/>
            </w:pPr>
            <w:r w:rsidRPr="00176D20">
              <w:rPr>
                <w:rFonts w:hint="eastAsia"/>
              </w:rPr>
              <w:t>18</w:t>
            </w:r>
          </w:p>
        </w:tc>
      </w:tr>
      <w:tr w:rsidR="00722210" w:rsidRPr="00176D20" w:rsidTr="00E05A6A">
        <w:tc>
          <w:tcPr>
            <w:tcW w:w="2002" w:type="dxa"/>
            <w:vMerge/>
            <w:tcBorders>
              <w:left w:val="single" w:sz="12" w:space="0" w:color="auto"/>
            </w:tcBorders>
            <w:shd w:val="clear" w:color="auto" w:fill="auto"/>
            <w:vAlign w:val="center"/>
          </w:tcPr>
          <w:p w:rsidR="00722210" w:rsidRPr="00176D20" w:rsidRDefault="00722210" w:rsidP="00E05A6A">
            <w:pPr>
              <w:pStyle w:val="142"/>
            </w:pPr>
          </w:p>
        </w:tc>
        <w:tc>
          <w:tcPr>
            <w:tcW w:w="1400" w:type="dxa"/>
            <w:shd w:val="clear" w:color="auto" w:fill="auto"/>
          </w:tcPr>
          <w:p w:rsidR="00722210" w:rsidRPr="00176D20" w:rsidRDefault="00722210" w:rsidP="00E05A6A">
            <w:pPr>
              <w:pStyle w:val="142"/>
            </w:pPr>
            <w:r w:rsidRPr="00176D20">
              <w:t>智慧財產</w:t>
            </w:r>
          </w:p>
        </w:tc>
        <w:tc>
          <w:tcPr>
            <w:tcW w:w="1262" w:type="dxa"/>
            <w:shd w:val="clear" w:color="auto" w:fill="auto"/>
          </w:tcPr>
          <w:p w:rsidR="00722210" w:rsidRPr="00176D20" w:rsidRDefault="00722210" w:rsidP="00E05A6A">
            <w:pPr>
              <w:pStyle w:val="142"/>
              <w:jc w:val="right"/>
            </w:pPr>
            <w:r w:rsidRPr="00176D20">
              <w:t>3</w:t>
            </w:r>
          </w:p>
        </w:tc>
        <w:tc>
          <w:tcPr>
            <w:tcW w:w="1263" w:type="dxa"/>
            <w:shd w:val="clear" w:color="auto" w:fill="auto"/>
          </w:tcPr>
          <w:p w:rsidR="00722210" w:rsidRPr="00176D20" w:rsidRDefault="00722210" w:rsidP="00E05A6A">
            <w:pPr>
              <w:pStyle w:val="142"/>
              <w:jc w:val="right"/>
            </w:pPr>
            <w:r w:rsidRPr="00176D20">
              <w:t>6</w:t>
            </w:r>
          </w:p>
        </w:tc>
        <w:tc>
          <w:tcPr>
            <w:tcW w:w="1262" w:type="dxa"/>
            <w:shd w:val="clear" w:color="auto" w:fill="auto"/>
          </w:tcPr>
          <w:p w:rsidR="00722210" w:rsidRPr="00176D20" w:rsidRDefault="00722210" w:rsidP="00E05A6A">
            <w:pPr>
              <w:pStyle w:val="142"/>
              <w:jc w:val="right"/>
            </w:pPr>
            <w:r w:rsidRPr="00176D20">
              <w:t>3</w:t>
            </w:r>
          </w:p>
        </w:tc>
        <w:tc>
          <w:tcPr>
            <w:tcW w:w="1378" w:type="dxa"/>
            <w:tcBorders>
              <w:right w:val="single" w:sz="12" w:space="0" w:color="auto"/>
            </w:tcBorders>
            <w:shd w:val="clear" w:color="auto" w:fill="auto"/>
          </w:tcPr>
          <w:p w:rsidR="00722210" w:rsidRPr="00176D20" w:rsidRDefault="00722210" w:rsidP="00E05A6A">
            <w:pPr>
              <w:pStyle w:val="142"/>
              <w:jc w:val="right"/>
            </w:pPr>
            <w:r w:rsidRPr="00176D20">
              <w:rPr>
                <w:rFonts w:hint="eastAsia"/>
              </w:rPr>
              <w:t>8</w:t>
            </w:r>
          </w:p>
        </w:tc>
      </w:tr>
      <w:tr w:rsidR="00722210" w:rsidRPr="00176D20" w:rsidTr="00E05A6A">
        <w:tc>
          <w:tcPr>
            <w:tcW w:w="2002" w:type="dxa"/>
            <w:vMerge w:val="restart"/>
            <w:tcBorders>
              <w:left w:val="single" w:sz="12" w:space="0" w:color="auto"/>
            </w:tcBorders>
            <w:shd w:val="clear" w:color="auto" w:fill="auto"/>
            <w:vAlign w:val="center"/>
          </w:tcPr>
          <w:p w:rsidR="00722210" w:rsidRPr="00176D20" w:rsidRDefault="00722210" w:rsidP="00E05A6A">
            <w:pPr>
              <w:pStyle w:val="142"/>
            </w:pPr>
            <w:r w:rsidRPr="00176D20">
              <w:rPr>
                <w:rFonts w:hint="eastAsia"/>
              </w:rPr>
              <w:t>淨零排放-電網韌性分析計畫</w:t>
            </w:r>
          </w:p>
        </w:tc>
        <w:tc>
          <w:tcPr>
            <w:tcW w:w="1400" w:type="dxa"/>
            <w:shd w:val="clear" w:color="auto" w:fill="auto"/>
          </w:tcPr>
          <w:p w:rsidR="00722210" w:rsidRPr="00176D20" w:rsidRDefault="00722210" w:rsidP="00E05A6A">
            <w:pPr>
              <w:pStyle w:val="142"/>
            </w:pPr>
            <w:r w:rsidRPr="00176D20">
              <w:t>論文</w:t>
            </w:r>
          </w:p>
        </w:tc>
        <w:tc>
          <w:tcPr>
            <w:tcW w:w="1262" w:type="dxa"/>
            <w:shd w:val="clear" w:color="auto" w:fill="auto"/>
          </w:tcPr>
          <w:p w:rsidR="00722210" w:rsidRPr="00176D20" w:rsidRDefault="00722210" w:rsidP="00E05A6A">
            <w:pPr>
              <w:pStyle w:val="142"/>
              <w:jc w:val="right"/>
            </w:pPr>
            <w:r w:rsidRPr="00176D20">
              <w:rPr>
                <w:rFonts w:hint="eastAsia"/>
              </w:rPr>
              <w:t>2</w:t>
            </w:r>
          </w:p>
        </w:tc>
        <w:tc>
          <w:tcPr>
            <w:tcW w:w="1263" w:type="dxa"/>
            <w:shd w:val="clear" w:color="auto" w:fill="auto"/>
          </w:tcPr>
          <w:p w:rsidR="00722210" w:rsidRPr="00176D20" w:rsidRDefault="00722210" w:rsidP="00E05A6A">
            <w:pPr>
              <w:pStyle w:val="142"/>
              <w:jc w:val="right"/>
            </w:pPr>
            <w:r w:rsidRPr="00176D20">
              <w:rPr>
                <w:rFonts w:hint="eastAsia"/>
              </w:rPr>
              <w:t>2</w:t>
            </w:r>
          </w:p>
        </w:tc>
        <w:tc>
          <w:tcPr>
            <w:tcW w:w="1262" w:type="dxa"/>
            <w:shd w:val="clear" w:color="auto" w:fill="auto"/>
          </w:tcPr>
          <w:p w:rsidR="00722210" w:rsidRPr="00176D20" w:rsidRDefault="00722210" w:rsidP="00E05A6A">
            <w:pPr>
              <w:pStyle w:val="142"/>
              <w:jc w:val="right"/>
            </w:pPr>
            <w:r w:rsidRPr="00176D20">
              <w:rPr>
                <w:rFonts w:hint="eastAsia"/>
              </w:rPr>
              <w:t>2</w:t>
            </w:r>
          </w:p>
        </w:tc>
        <w:tc>
          <w:tcPr>
            <w:tcW w:w="1378" w:type="dxa"/>
            <w:tcBorders>
              <w:right w:val="single" w:sz="12" w:space="0" w:color="auto"/>
            </w:tcBorders>
            <w:shd w:val="clear" w:color="auto" w:fill="auto"/>
          </w:tcPr>
          <w:p w:rsidR="00722210" w:rsidRPr="00176D20" w:rsidRDefault="00722210" w:rsidP="00E05A6A">
            <w:pPr>
              <w:pStyle w:val="142"/>
              <w:jc w:val="right"/>
            </w:pPr>
            <w:r w:rsidRPr="00176D20">
              <w:rPr>
                <w:rFonts w:hint="eastAsia"/>
              </w:rPr>
              <w:t>4</w:t>
            </w:r>
          </w:p>
        </w:tc>
      </w:tr>
      <w:tr w:rsidR="00722210" w:rsidRPr="00176D20" w:rsidTr="00E05A6A">
        <w:tc>
          <w:tcPr>
            <w:tcW w:w="2002" w:type="dxa"/>
            <w:vMerge/>
            <w:tcBorders>
              <w:left w:val="single" w:sz="12" w:space="0" w:color="auto"/>
            </w:tcBorders>
            <w:shd w:val="clear" w:color="auto" w:fill="auto"/>
          </w:tcPr>
          <w:p w:rsidR="00722210" w:rsidRPr="00176D20" w:rsidRDefault="00722210" w:rsidP="00E05A6A">
            <w:pPr>
              <w:pStyle w:val="142"/>
            </w:pPr>
          </w:p>
        </w:tc>
        <w:tc>
          <w:tcPr>
            <w:tcW w:w="1400" w:type="dxa"/>
            <w:shd w:val="clear" w:color="auto" w:fill="auto"/>
          </w:tcPr>
          <w:p w:rsidR="00722210" w:rsidRPr="00176D20" w:rsidRDefault="00722210" w:rsidP="00E05A6A">
            <w:pPr>
              <w:pStyle w:val="142"/>
            </w:pPr>
            <w:r w:rsidRPr="00176D20">
              <w:t>研究報告</w:t>
            </w:r>
          </w:p>
        </w:tc>
        <w:tc>
          <w:tcPr>
            <w:tcW w:w="1262" w:type="dxa"/>
            <w:shd w:val="clear" w:color="auto" w:fill="auto"/>
          </w:tcPr>
          <w:p w:rsidR="00722210" w:rsidRPr="00176D20" w:rsidRDefault="00722210" w:rsidP="00E05A6A">
            <w:pPr>
              <w:pStyle w:val="142"/>
              <w:jc w:val="right"/>
            </w:pPr>
            <w:r w:rsidRPr="00176D20">
              <w:rPr>
                <w:rFonts w:hint="eastAsia"/>
              </w:rPr>
              <w:t>6</w:t>
            </w:r>
          </w:p>
        </w:tc>
        <w:tc>
          <w:tcPr>
            <w:tcW w:w="1263" w:type="dxa"/>
            <w:shd w:val="clear" w:color="auto" w:fill="auto"/>
          </w:tcPr>
          <w:p w:rsidR="00722210" w:rsidRPr="00176D20" w:rsidRDefault="00722210" w:rsidP="00E05A6A">
            <w:pPr>
              <w:pStyle w:val="142"/>
              <w:jc w:val="right"/>
            </w:pPr>
            <w:r w:rsidRPr="00176D20">
              <w:rPr>
                <w:rFonts w:hint="eastAsia"/>
              </w:rPr>
              <w:t>10</w:t>
            </w:r>
          </w:p>
        </w:tc>
        <w:tc>
          <w:tcPr>
            <w:tcW w:w="1262" w:type="dxa"/>
            <w:shd w:val="clear" w:color="auto" w:fill="auto"/>
          </w:tcPr>
          <w:p w:rsidR="00722210" w:rsidRPr="00176D20" w:rsidRDefault="00722210" w:rsidP="00E05A6A">
            <w:pPr>
              <w:pStyle w:val="142"/>
              <w:jc w:val="right"/>
            </w:pPr>
            <w:r w:rsidRPr="00176D20">
              <w:rPr>
                <w:rFonts w:hint="eastAsia"/>
              </w:rPr>
              <w:t>5</w:t>
            </w:r>
          </w:p>
        </w:tc>
        <w:tc>
          <w:tcPr>
            <w:tcW w:w="1378" w:type="dxa"/>
            <w:tcBorders>
              <w:right w:val="single" w:sz="12" w:space="0" w:color="auto"/>
            </w:tcBorders>
            <w:shd w:val="clear" w:color="auto" w:fill="auto"/>
          </w:tcPr>
          <w:p w:rsidR="00722210" w:rsidRPr="00176D20" w:rsidRDefault="00722210" w:rsidP="00E05A6A">
            <w:pPr>
              <w:pStyle w:val="142"/>
              <w:jc w:val="right"/>
            </w:pPr>
            <w:r w:rsidRPr="00176D20">
              <w:rPr>
                <w:rFonts w:hint="eastAsia"/>
              </w:rPr>
              <w:t>8</w:t>
            </w:r>
          </w:p>
        </w:tc>
      </w:tr>
      <w:tr w:rsidR="00722210" w:rsidRPr="00176D20" w:rsidTr="00E05A6A">
        <w:tc>
          <w:tcPr>
            <w:tcW w:w="2002" w:type="dxa"/>
            <w:vMerge/>
            <w:tcBorders>
              <w:left w:val="single" w:sz="12" w:space="0" w:color="auto"/>
            </w:tcBorders>
            <w:shd w:val="clear" w:color="auto" w:fill="auto"/>
          </w:tcPr>
          <w:p w:rsidR="00722210" w:rsidRPr="00176D20" w:rsidRDefault="00722210" w:rsidP="00E05A6A">
            <w:pPr>
              <w:pStyle w:val="142"/>
            </w:pPr>
          </w:p>
        </w:tc>
        <w:tc>
          <w:tcPr>
            <w:tcW w:w="1400" w:type="dxa"/>
            <w:shd w:val="clear" w:color="auto" w:fill="auto"/>
          </w:tcPr>
          <w:p w:rsidR="00722210" w:rsidRPr="00176D20" w:rsidRDefault="00722210" w:rsidP="00E05A6A">
            <w:pPr>
              <w:pStyle w:val="142"/>
            </w:pPr>
            <w:r w:rsidRPr="00176D20">
              <w:t>智慧財產</w:t>
            </w:r>
          </w:p>
        </w:tc>
        <w:tc>
          <w:tcPr>
            <w:tcW w:w="1262" w:type="dxa"/>
            <w:shd w:val="clear" w:color="auto" w:fill="auto"/>
          </w:tcPr>
          <w:p w:rsidR="00722210" w:rsidRPr="00176D20" w:rsidRDefault="00722210" w:rsidP="00E05A6A">
            <w:pPr>
              <w:pStyle w:val="142"/>
              <w:jc w:val="right"/>
            </w:pPr>
            <w:r w:rsidRPr="00176D20">
              <w:rPr>
                <w:rFonts w:hint="eastAsia"/>
              </w:rPr>
              <w:t>1</w:t>
            </w:r>
          </w:p>
        </w:tc>
        <w:tc>
          <w:tcPr>
            <w:tcW w:w="1263" w:type="dxa"/>
            <w:shd w:val="clear" w:color="auto" w:fill="auto"/>
          </w:tcPr>
          <w:p w:rsidR="00722210" w:rsidRPr="00176D20" w:rsidRDefault="00722210" w:rsidP="00E05A6A">
            <w:pPr>
              <w:pStyle w:val="142"/>
              <w:jc w:val="right"/>
            </w:pPr>
            <w:r w:rsidRPr="00176D20">
              <w:rPr>
                <w:rFonts w:hint="eastAsia"/>
              </w:rPr>
              <w:t>1</w:t>
            </w:r>
          </w:p>
        </w:tc>
        <w:tc>
          <w:tcPr>
            <w:tcW w:w="1262" w:type="dxa"/>
            <w:shd w:val="clear" w:color="auto" w:fill="auto"/>
          </w:tcPr>
          <w:p w:rsidR="00722210" w:rsidRPr="00176D20" w:rsidRDefault="00722210" w:rsidP="00E05A6A">
            <w:pPr>
              <w:pStyle w:val="142"/>
              <w:jc w:val="right"/>
            </w:pPr>
            <w:r w:rsidRPr="00176D20">
              <w:rPr>
                <w:rFonts w:hint="eastAsia"/>
              </w:rPr>
              <w:t>1</w:t>
            </w:r>
          </w:p>
        </w:tc>
        <w:tc>
          <w:tcPr>
            <w:tcW w:w="1378" w:type="dxa"/>
            <w:tcBorders>
              <w:right w:val="single" w:sz="12" w:space="0" w:color="auto"/>
            </w:tcBorders>
            <w:shd w:val="clear" w:color="auto" w:fill="auto"/>
          </w:tcPr>
          <w:p w:rsidR="00722210" w:rsidRPr="00176D20" w:rsidRDefault="00722210" w:rsidP="00E05A6A">
            <w:pPr>
              <w:pStyle w:val="142"/>
              <w:jc w:val="right"/>
            </w:pPr>
            <w:r w:rsidRPr="00176D20">
              <w:rPr>
                <w:rFonts w:hint="eastAsia"/>
              </w:rPr>
              <w:t>1</w:t>
            </w:r>
          </w:p>
        </w:tc>
      </w:tr>
      <w:tr w:rsidR="00722210" w:rsidRPr="00176D20" w:rsidTr="00E05A6A">
        <w:tc>
          <w:tcPr>
            <w:tcW w:w="3402" w:type="dxa"/>
            <w:gridSpan w:val="2"/>
            <w:tcBorders>
              <w:left w:val="single" w:sz="12" w:space="0" w:color="auto"/>
              <w:bottom w:val="single" w:sz="12" w:space="0" w:color="auto"/>
            </w:tcBorders>
            <w:shd w:val="clear" w:color="auto" w:fill="auto"/>
          </w:tcPr>
          <w:p w:rsidR="00722210" w:rsidRPr="001557D3" w:rsidRDefault="00722210" w:rsidP="00E05A6A">
            <w:pPr>
              <w:pStyle w:val="142"/>
              <w:jc w:val="center"/>
              <w:rPr>
                <w:b/>
              </w:rPr>
            </w:pPr>
            <w:r w:rsidRPr="001557D3">
              <w:rPr>
                <w:rFonts w:hint="eastAsia"/>
                <w:b/>
              </w:rPr>
              <w:t>智慧財產小計</w:t>
            </w:r>
          </w:p>
        </w:tc>
        <w:tc>
          <w:tcPr>
            <w:tcW w:w="1262" w:type="dxa"/>
            <w:tcBorders>
              <w:bottom w:val="single" w:sz="12" w:space="0" w:color="auto"/>
            </w:tcBorders>
            <w:shd w:val="clear" w:color="auto" w:fill="auto"/>
          </w:tcPr>
          <w:p w:rsidR="00722210" w:rsidRPr="001557D3" w:rsidRDefault="00722210" w:rsidP="00E05A6A">
            <w:pPr>
              <w:pStyle w:val="142"/>
              <w:jc w:val="right"/>
              <w:rPr>
                <w:b/>
              </w:rPr>
            </w:pPr>
            <w:r w:rsidRPr="001557D3">
              <w:rPr>
                <w:b/>
              </w:rPr>
              <w:t>4</w:t>
            </w:r>
          </w:p>
        </w:tc>
        <w:tc>
          <w:tcPr>
            <w:tcW w:w="1263" w:type="dxa"/>
            <w:tcBorders>
              <w:bottom w:val="single" w:sz="12" w:space="0" w:color="auto"/>
            </w:tcBorders>
            <w:shd w:val="clear" w:color="auto" w:fill="auto"/>
          </w:tcPr>
          <w:p w:rsidR="00722210" w:rsidRPr="001557D3" w:rsidRDefault="00722210" w:rsidP="00E05A6A">
            <w:pPr>
              <w:pStyle w:val="142"/>
              <w:jc w:val="right"/>
              <w:rPr>
                <w:b/>
              </w:rPr>
            </w:pPr>
            <w:r w:rsidRPr="001557D3">
              <w:rPr>
                <w:b/>
              </w:rPr>
              <w:t>7</w:t>
            </w:r>
          </w:p>
        </w:tc>
        <w:tc>
          <w:tcPr>
            <w:tcW w:w="1262" w:type="dxa"/>
            <w:tcBorders>
              <w:bottom w:val="single" w:sz="12" w:space="0" w:color="auto"/>
            </w:tcBorders>
            <w:shd w:val="clear" w:color="auto" w:fill="auto"/>
          </w:tcPr>
          <w:p w:rsidR="00722210" w:rsidRPr="001557D3" w:rsidRDefault="00722210" w:rsidP="00E05A6A">
            <w:pPr>
              <w:pStyle w:val="142"/>
              <w:jc w:val="right"/>
              <w:rPr>
                <w:b/>
              </w:rPr>
            </w:pPr>
            <w:r w:rsidRPr="001557D3">
              <w:rPr>
                <w:b/>
              </w:rPr>
              <w:t>4</w:t>
            </w:r>
          </w:p>
        </w:tc>
        <w:tc>
          <w:tcPr>
            <w:tcW w:w="1378" w:type="dxa"/>
            <w:tcBorders>
              <w:bottom w:val="single" w:sz="12" w:space="0" w:color="auto"/>
              <w:right w:val="single" w:sz="12" w:space="0" w:color="auto"/>
            </w:tcBorders>
            <w:shd w:val="clear" w:color="auto" w:fill="auto"/>
          </w:tcPr>
          <w:p w:rsidR="00722210" w:rsidRPr="001557D3" w:rsidRDefault="00722210" w:rsidP="00E05A6A">
            <w:pPr>
              <w:pStyle w:val="142"/>
              <w:jc w:val="right"/>
              <w:rPr>
                <w:b/>
              </w:rPr>
            </w:pPr>
            <w:r w:rsidRPr="001557D3">
              <w:rPr>
                <w:rFonts w:hint="eastAsia"/>
                <w:b/>
              </w:rPr>
              <w:t>9</w:t>
            </w:r>
          </w:p>
        </w:tc>
      </w:tr>
    </w:tbl>
    <w:p w:rsidR="00722210" w:rsidRDefault="00722210" w:rsidP="00E05A6A">
      <w:pPr>
        <w:pStyle w:val="142"/>
      </w:pPr>
      <w:r>
        <w:rPr>
          <w:rFonts w:hint="eastAsia"/>
        </w:rPr>
        <w:t>說    明：國原會表示，智慧財產係指申請或獲得國內外專利。</w:t>
      </w:r>
    </w:p>
    <w:p w:rsidR="00722210" w:rsidRDefault="00722210" w:rsidP="00E05A6A">
      <w:pPr>
        <w:pStyle w:val="142"/>
      </w:pPr>
      <w:r>
        <w:rPr>
          <w:rFonts w:hint="eastAsia"/>
        </w:rPr>
        <w:t>資料來源：國原院提供。</w:t>
      </w:r>
    </w:p>
    <w:p w:rsidR="00722210" w:rsidRPr="00EB4A25" w:rsidRDefault="00722210" w:rsidP="00E05A6A">
      <w:pPr>
        <w:pStyle w:val="ae"/>
        <w:wordWrap w:val="0"/>
      </w:pPr>
      <w:r w:rsidRPr="00EB4A25">
        <w:rPr>
          <w:rFonts w:hint="eastAsia"/>
        </w:rPr>
        <w:t xml:space="preserve"> (分機</w:t>
      </w:r>
      <w:r w:rsidRPr="00EB4A25">
        <w:rPr>
          <w:rFonts w:hAnsi="標楷體" w:hint="eastAsia"/>
        </w:rPr>
        <w:t>：</w:t>
      </w:r>
      <w:r w:rsidRPr="00EB4A25">
        <w:rPr>
          <w:rFonts w:hint="eastAsia"/>
        </w:rPr>
        <w:t>8653 江穗美)</w:t>
      </w:r>
    </w:p>
    <w:p w:rsidR="00722210" w:rsidRPr="008A6D75" w:rsidRDefault="00722210" w:rsidP="00E05A6A">
      <w:pPr>
        <w:ind w:leftChars="0" w:left="0" w:firstLineChars="0" w:firstLine="0"/>
        <w:rPr>
          <w:color w:val="8EAADB"/>
        </w:rPr>
      </w:pPr>
    </w:p>
    <w:sectPr w:rsidR="00722210" w:rsidRPr="008A6D75" w:rsidSect="004E3BA5">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191" w:rsidRDefault="00310191">
      <w:pPr>
        <w:spacing w:line="240" w:lineRule="auto"/>
        <w:ind w:left="560" w:firstLine="560"/>
      </w:pPr>
      <w:r>
        <w:separator/>
      </w:r>
    </w:p>
  </w:endnote>
  <w:endnote w:type="continuationSeparator" w:id="0">
    <w:p w:rsidR="00310191" w:rsidRDefault="0031019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標楷體a....">
    <w:altName w:val="標楷體"/>
    <w:panose1 w:val="00000000000000000000"/>
    <w:charset w:val="88"/>
    <w:family w:val="roman"/>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B26C9">
      <w:rPr>
        <w:rStyle w:val="afb"/>
        <w:noProof/>
      </w:rPr>
      <w:t>2</w:t>
    </w:r>
    <w:r>
      <w:rPr>
        <w:rStyle w:val="afb"/>
      </w:rPr>
      <w:fldChar w:fldCharType="end"/>
    </w:r>
  </w:p>
  <w:p w:rsidR="00D815FE" w:rsidRPr="004E3BA5" w:rsidRDefault="00D815FE" w:rsidP="004E3BA5">
    <w:pPr>
      <w:pStyle w:val="af5"/>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191" w:rsidRDefault="00310191">
      <w:pPr>
        <w:spacing w:line="240" w:lineRule="auto"/>
        <w:ind w:left="560" w:firstLine="560"/>
      </w:pPr>
      <w:r>
        <w:separator/>
      </w:r>
    </w:p>
  </w:footnote>
  <w:footnote w:type="continuationSeparator" w:id="0">
    <w:p w:rsidR="00310191" w:rsidRDefault="00310191">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59F4AF4"/>
    <w:multiLevelType w:val="hybridMultilevel"/>
    <w:tmpl w:val="D3921334"/>
    <w:lvl w:ilvl="0" w:tplc="B2DE9EE8">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3E3A"/>
    <w:multiLevelType w:val="hybridMultilevel"/>
    <w:tmpl w:val="1A9C4FC2"/>
    <w:lvl w:ilvl="0" w:tplc="77D8155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0CE6739B"/>
    <w:multiLevelType w:val="hybridMultilevel"/>
    <w:tmpl w:val="D37AADE6"/>
    <w:lvl w:ilvl="0" w:tplc="ABBCD592">
      <w:start w:val="1"/>
      <w:numFmt w:val="decimal"/>
      <w:lvlText w:val="%1."/>
      <w:lvlJc w:val="left"/>
      <w:pPr>
        <w:ind w:left="1654" w:hanging="396"/>
      </w:pPr>
      <w:rPr>
        <w:rFonts w:hint="default"/>
      </w:rPr>
    </w:lvl>
    <w:lvl w:ilvl="1" w:tplc="04090019" w:tentative="1">
      <w:start w:val="1"/>
      <w:numFmt w:val="ideographTraditional"/>
      <w:lvlText w:val="%2、"/>
      <w:lvlJc w:val="left"/>
      <w:pPr>
        <w:ind w:left="2218" w:hanging="480"/>
      </w:pPr>
    </w:lvl>
    <w:lvl w:ilvl="2" w:tplc="0409001B" w:tentative="1">
      <w:start w:val="1"/>
      <w:numFmt w:val="lowerRoman"/>
      <w:lvlText w:val="%3."/>
      <w:lvlJc w:val="right"/>
      <w:pPr>
        <w:ind w:left="2698" w:hanging="480"/>
      </w:pPr>
    </w:lvl>
    <w:lvl w:ilvl="3" w:tplc="0409000F" w:tentative="1">
      <w:start w:val="1"/>
      <w:numFmt w:val="decimal"/>
      <w:lvlText w:val="%4."/>
      <w:lvlJc w:val="left"/>
      <w:pPr>
        <w:ind w:left="3178" w:hanging="480"/>
      </w:pPr>
    </w:lvl>
    <w:lvl w:ilvl="4" w:tplc="04090019" w:tentative="1">
      <w:start w:val="1"/>
      <w:numFmt w:val="ideographTraditional"/>
      <w:lvlText w:val="%5、"/>
      <w:lvlJc w:val="left"/>
      <w:pPr>
        <w:ind w:left="3658" w:hanging="480"/>
      </w:pPr>
    </w:lvl>
    <w:lvl w:ilvl="5" w:tplc="0409001B" w:tentative="1">
      <w:start w:val="1"/>
      <w:numFmt w:val="lowerRoman"/>
      <w:lvlText w:val="%6."/>
      <w:lvlJc w:val="right"/>
      <w:pPr>
        <w:ind w:left="4138" w:hanging="480"/>
      </w:pPr>
    </w:lvl>
    <w:lvl w:ilvl="6" w:tplc="0409000F" w:tentative="1">
      <w:start w:val="1"/>
      <w:numFmt w:val="decimal"/>
      <w:lvlText w:val="%7."/>
      <w:lvlJc w:val="left"/>
      <w:pPr>
        <w:ind w:left="4618" w:hanging="480"/>
      </w:pPr>
    </w:lvl>
    <w:lvl w:ilvl="7" w:tplc="04090019" w:tentative="1">
      <w:start w:val="1"/>
      <w:numFmt w:val="ideographTraditional"/>
      <w:lvlText w:val="%8、"/>
      <w:lvlJc w:val="left"/>
      <w:pPr>
        <w:ind w:left="5098" w:hanging="480"/>
      </w:pPr>
    </w:lvl>
    <w:lvl w:ilvl="8" w:tplc="0409001B" w:tentative="1">
      <w:start w:val="1"/>
      <w:numFmt w:val="lowerRoman"/>
      <w:lvlText w:val="%9."/>
      <w:lvlJc w:val="right"/>
      <w:pPr>
        <w:ind w:left="5578" w:hanging="480"/>
      </w:pPr>
    </w:lvl>
  </w:abstractNum>
  <w:abstractNum w:abstractNumId="6" w15:restartNumberingAfterBreak="0">
    <w:nsid w:val="0DBF1215"/>
    <w:multiLevelType w:val="hybridMultilevel"/>
    <w:tmpl w:val="915279B4"/>
    <w:lvl w:ilvl="0" w:tplc="6ADE2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1E2B34"/>
    <w:multiLevelType w:val="hybridMultilevel"/>
    <w:tmpl w:val="D6BEE880"/>
    <w:lvl w:ilvl="0" w:tplc="FFFFFFFF">
      <w:start w:val="1"/>
      <w:numFmt w:val="taiwaneseCountingThousand"/>
      <w:lvlText w:val="%1、"/>
      <w:lvlJc w:val="left"/>
      <w:pPr>
        <w:ind w:left="480" w:hanging="480"/>
      </w:pPr>
      <w:rPr>
        <w:rFonts w:ascii="Times New Roman" w:hAnsi="Times New Roman"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9" w15:restartNumberingAfterBreak="0">
    <w:nsid w:val="1D032EB1"/>
    <w:multiLevelType w:val="hybridMultilevel"/>
    <w:tmpl w:val="0542F56C"/>
    <w:lvl w:ilvl="0" w:tplc="06403DFA">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1" w15:restartNumberingAfterBreak="0">
    <w:nsid w:val="1DA20E01"/>
    <w:multiLevelType w:val="hybridMultilevel"/>
    <w:tmpl w:val="FF2CFD36"/>
    <w:lvl w:ilvl="0" w:tplc="ABBCD592">
      <w:start w:val="1"/>
      <w:numFmt w:val="decimal"/>
      <w:lvlText w:val="%1."/>
      <w:lvlJc w:val="left"/>
      <w:pPr>
        <w:ind w:left="1654" w:hanging="396"/>
      </w:pPr>
    </w:lvl>
    <w:lvl w:ilvl="1" w:tplc="04090019">
      <w:start w:val="1"/>
      <w:numFmt w:val="ideographTraditional"/>
      <w:lvlText w:val="%2、"/>
      <w:lvlJc w:val="left"/>
      <w:pPr>
        <w:ind w:left="2218" w:hanging="480"/>
      </w:pPr>
    </w:lvl>
    <w:lvl w:ilvl="2" w:tplc="0409001B">
      <w:start w:val="1"/>
      <w:numFmt w:val="lowerRoman"/>
      <w:lvlText w:val="%3."/>
      <w:lvlJc w:val="right"/>
      <w:pPr>
        <w:ind w:left="2698" w:hanging="480"/>
      </w:pPr>
    </w:lvl>
    <w:lvl w:ilvl="3" w:tplc="0409000F">
      <w:start w:val="1"/>
      <w:numFmt w:val="decimal"/>
      <w:lvlText w:val="%4."/>
      <w:lvlJc w:val="left"/>
      <w:pPr>
        <w:ind w:left="3178" w:hanging="480"/>
      </w:pPr>
    </w:lvl>
    <w:lvl w:ilvl="4" w:tplc="04090019">
      <w:start w:val="1"/>
      <w:numFmt w:val="ideographTraditional"/>
      <w:lvlText w:val="%5、"/>
      <w:lvlJc w:val="left"/>
      <w:pPr>
        <w:ind w:left="3658" w:hanging="480"/>
      </w:pPr>
    </w:lvl>
    <w:lvl w:ilvl="5" w:tplc="0409001B">
      <w:start w:val="1"/>
      <w:numFmt w:val="lowerRoman"/>
      <w:lvlText w:val="%6."/>
      <w:lvlJc w:val="right"/>
      <w:pPr>
        <w:ind w:left="4138" w:hanging="480"/>
      </w:pPr>
    </w:lvl>
    <w:lvl w:ilvl="6" w:tplc="0409000F">
      <w:start w:val="1"/>
      <w:numFmt w:val="decimal"/>
      <w:lvlText w:val="%7."/>
      <w:lvlJc w:val="left"/>
      <w:pPr>
        <w:ind w:left="4618" w:hanging="480"/>
      </w:pPr>
    </w:lvl>
    <w:lvl w:ilvl="7" w:tplc="04090019">
      <w:start w:val="1"/>
      <w:numFmt w:val="ideographTraditional"/>
      <w:lvlText w:val="%8、"/>
      <w:lvlJc w:val="left"/>
      <w:pPr>
        <w:ind w:left="5098" w:hanging="480"/>
      </w:pPr>
    </w:lvl>
    <w:lvl w:ilvl="8" w:tplc="0409001B">
      <w:start w:val="1"/>
      <w:numFmt w:val="lowerRoman"/>
      <w:lvlText w:val="%9."/>
      <w:lvlJc w:val="right"/>
      <w:pPr>
        <w:ind w:left="5578" w:hanging="480"/>
      </w:pPr>
    </w:lvl>
  </w:abstractNum>
  <w:abstractNum w:abstractNumId="12"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1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12920"/>
    <w:multiLevelType w:val="hybridMultilevel"/>
    <w:tmpl w:val="246A6802"/>
    <w:lvl w:ilvl="0" w:tplc="427E3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103207"/>
    <w:multiLevelType w:val="hybridMultilevel"/>
    <w:tmpl w:val="E06888BA"/>
    <w:lvl w:ilvl="0" w:tplc="E276605A">
      <w:start w:val="1"/>
      <w:numFmt w:val="taiwaneseCountingThousand"/>
      <w:lvlText w:val="(%1)"/>
      <w:lvlJc w:val="left"/>
      <w:pPr>
        <w:ind w:left="480" w:hanging="480"/>
      </w:pPr>
      <w:rPr>
        <w:rFonts w:ascii="標楷體" w:eastAsia="標楷體" w:hAnsi="標楷體"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21"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24"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15:restartNumberingAfterBreak="0">
    <w:nsid w:val="4DC07DB5"/>
    <w:multiLevelType w:val="hybridMultilevel"/>
    <w:tmpl w:val="36C4754A"/>
    <w:lvl w:ilvl="0" w:tplc="FD50777C">
      <w:start w:val="1"/>
      <w:numFmt w:val="decimal"/>
      <w:lvlText w:val="(%1)"/>
      <w:lvlJc w:val="left"/>
      <w:pPr>
        <w:ind w:left="5747" w:hanging="360"/>
      </w:pPr>
      <w:rPr>
        <w:rFonts w:cs="Times New Roman" w:hint="default"/>
      </w:rPr>
    </w:lvl>
    <w:lvl w:ilvl="1" w:tplc="04090019" w:tentative="1">
      <w:start w:val="1"/>
      <w:numFmt w:val="ideographTraditional"/>
      <w:lvlText w:val="%2、"/>
      <w:lvlJc w:val="left"/>
      <w:pPr>
        <w:ind w:left="6347" w:hanging="480"/>
      </w:pPr>
      <w:rPr>
        <w:rFonts w:cs="Times New Roman"/>
      </w:rPr>
    </w:lvl>
    <w:lvl w:ilvl="2" w:tplc="0409001B" w:tentative="1">
      <w:start w:val="1"/>
      <w:numFmt w:val="lowerRoman"/>
      <w:lvlText w:val="%3."/>
      <w:lvlJc w:val="right"/>
      <w:pPr>
        <w:ind w:left="6827" w:hanging="480"/>
      </w:pPr>
      <w:rPr>
        <w:rFonts w:cs="Times New Roman"/>
      </w:rPr>
    </w:lvl>
    <w:lvl w:ilvl="3" w:tplc="0409000F" w:tentative="1">
      <w:start w:val="1"/>
      <w:numFmt w:val="decimal"/>
      <w:lvlText w:val="%4."/>
      <w:lvlJc w:val="left"/>
      <w:pPr>
        <w:ind w:left="7307" w:hanging="480"/>
      </w:pPr>
      <w:rPr>
        <w:rFonts w:cs="Times New Roman"/>
      </w:rPr>
    </w:lvl>
    <w:lvl w:ilvl="4" w:tplc="04090019" w:tentative="1">
      <w:start w:val="1"/>
      <w:numFmt w:val="ideographTraditional"/>
      <w:lvlText w:val="%5、"/>
      <w:lvlJc w:val="left"/>
      <w:pPr>
        <w:ind w:left="7787" w:hanging="480"/>
      </w:pPr>
      <w:rPr>
        <w:rFonts w:cs="Times New Roman"/>
      </w:rPr>
    </w:lvl>
    <w:lvl w:ilvl="5" w:tplc="0409001B" w:tentative="1">
      <w:start w:val="1"/>
      <w:numFmt w:val="lowerRoman"/>
      <w:lvlText w:val="%6."/>
      <w:lvlJc w:val="right"/>
      <w:pPr>
        <w:ind w:left="8267" w:hanging="480"/>
      </w:pPr>
      <w:rPr>
        <w:rFonts w:cs="Times New Roman"/>
      </w:rPr>
    </w:lvl>
    <w:lvl w:ilvl="6" w:tplc="0409000F" w:tentative="1">
      <w:start w:val="1"/>
      <w:numFmt w:val="decimal"/>
      <w:lvlText w:val="%7."/>
      <w:lvlJc w:val="left"/>
      <w:pPr>
        <w:ind w:left="8747" w:hanging="480"/>
      </w:pPr>
      <w:rPr>
        <w:rFonts w:cs="Times New Roman"/>
      </w:rPr>
    </w:lvl>
    <w:lvl w:ilvl="7" w:tplc="04090019" w:tentative="1">
      <w:start w:val="1"/>
      <w:numFmt w:val="ideographTraditional"/>
      <w:lvlText w:val="%8、"/>
      <w:lvlJc w:val="left"/>
      <w:pPr>
        <w:ind w:left="9227" w:hanging="480"/>
      </w:pPr>
      <w:rPr>
        <w:rFonts w:cs="Times New Roman"/>
      </w:rPr>
    </w:lvl>
    <w:lvl w:ilvl="8" w:tplc="0409001B" w:tentative="1">
      <w:start w:val="1"/>
      <w:numFmt w:val="lowerRoman"/>
      <w:lvlText w:val="%9."/>
      <w:lvlJc w:val="right"/>
      <w:pPr>
        <w:ind w:left="9707" w:hanging="480"/>
      </w:pPr>
      <w:rPr>
        <w:rFonts w:cs="Times New Roman"/>
      </w:rPr>
    </w:lvl>
  </w:abstractNum>
  <w:abstractNum w:abstractNumId="27" w15:restartNumberingAfterBreak="0">
    <w:nsid w:val="51FA396F"/>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8"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F6534F"/>
    <w:multiLevelType w:val="hybridMultilevel"/>
    <w:tmpl w:val="5AF49A06"/>
    <w:lvl w:ilvl="0" w:tplc="50509A48">
      <w:start w:val="1"/>
      <w:numFmt w:val="decimal"/>
      <w:lvlText w:val="第%1項、"/>
      <w:lvlJc w:val="left"/>
      <w:pPr>
        <w:ind w:left="1152" w:hanging="11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18735A4"/>
    <w:multiLevelType w:val="hybridMultilevel"/>
    <w:tmpl w:val="46A0E1E6"/>
    <w:lvl w:ilvl="0" w:tplc="7D2431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4DB4C83"/>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41" w15:restartNumberingAfterBreak="0">
    <w:nsid w:val="7A4B6A63"/>
    <w:multiLevelType w:val="hybridMultilevel"/>
    <w:tmpl w:val="DB00499E"/>
    <w:lvl w:ilvl="0" w:tplc="58E6FE34">
      <w:start w:val="1"/>
      <w:numFmt w:val="decimal"/>
      <w:lvlText w:val="%1."/>
      <w:lvlJc w:val="left"/>
      <w:pPr>
        <w:ind w:left="1832" w:hanging="432"/>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num w:numId="1">
    <w:abstractNumId w:val="30"/>
  </w:num>
  <w:num w:numId="2">
    <w:abstractNumId w:val="24"/>
  </w:num>
  <w:num w:numId="3">
    <w:abstractNumId w:val="35"/>
  </w:num>
  <w:num w:numId="4">
    <w:abstractNumId w:val="14"/>
  </w:num>
  <w:num w:numId="5">
    <w:abstractNumId w:val="33"/>
  </w:num>
  <w:num w:numId="6">
    <w:abstractNumId w:val="22"/>
  </w:num>
  <w:num w:numId="7">
    <w:abstractNumId w:val="38"/>
  </w:num>
  <w:num w:numId="8">
    <w:abstractNumId w:val="15"/>
  </w:num>
  <w:num w:numId="9">
    <w:abstractNumId w:val="39"/>
  </w:num>
  <w:num w:numId="10">
    <w:abstractNumId w:val="16"/>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6"/>
  </w:num>
  <w:num w:numId="16">
    <w:abstractNumId w:val="0"/>
  </w:num>
  <w:num w:numId="17">
    <w:abstractNumId w:val="32"/>
  </w:num>
  <w:num w:numId="18">
    <w:abstractNumId w:val="9"/>
  </w:num>
  <w:num w:numId="19">
    <w:abstractNumId w:val="26"/>
  </w:num>
  <w:num w:numId="20">
    <w:abstractNumId w:val="40"/>
  </w:num>
  <w:num w:numId="21">
    <w:abstractNumId w:val="27"/>
  </w:num>
  <w:num w:numId="22">
    <w:abstractNumId w:val="4"/>
  </w:num>
  <w:num w:numId="23">
    <w:abstractNumId w:val="17"/>
  </w:num>
  <w:num w:numId="24">
    <w:abstractNumId w:val="25"/>
  </w:num>
  <w:num w:numId="25">
    <w:abstractNumId w:val="41"/>
  </w:num>
  <w:num w:numId="26">
    <w:abstractNumId w:val="2"/>
  </w:num>
  <w:num w:numId="27">
    <w:abstractNumId w:val="7"/>
  </w:num>
  <w:num w:numId="28">
    <w:abstractNumId w:val="19"/>
  </w:num>
  <w:num w:numId="29">
    <w:abstractNumId w:val="34"/>
  </w:num>
  <w:num w:numId="30">
    <w:abstractNumId w:val="10"/>
  </w:num>
  <w:num w:numId="31">
    <w:abstractNumId w:val="23"/>
  </w:num>
  <w:num w:numId="32">
    <w:abstractNumId w:val="8"/>
  </w:num>
  <w:num w:numId="33">
    <w:abstractNumId w:val="1"/>
  </w:num>
  <w:num w:numId="34">
    <w:abstractNumId w:val="21"/>
  </w:num>
  <w:num w:numId="35">
    <w:abstractNumId w:val="3"/>
  </w:num>
  <w:num w:numId="36">
    <w:abstractNumId w:val="20"/>
  </w:num>
  <w:num w:numId="37">
    <w:abstractNumId w:val="13"/>
  </w:num>
  <w:num w:numId="38">
    <w:abstractNumId w:val="36"/>
  </w:num>
  <w:num w:numId="39">
    <w:abstractNumId w:val="12"/>
  </w:num>
  <w:num w:numId="40">
    <w:abstractNumId w:val="28"/>
  </w:num>
  <w:num w:numId="41">
    <w:abstractNumId w:val="3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77FFC"/>
    <w:rsid w:val="00184526"/>
    <w:rsid w:val="00192D67"/>
    <w:rsid w:val="00310191"/>
    <w:rsid w:val="003D4FB6"/>
    <w:rsid w:val="00460034"/>
    <w:rsid w:val="004E3BA5"/>
    <w:rsid w:val="004F5824"/>
    <w:rsid w:val="00682B18"/>
    <w:rsid w:val="006B2286"/>
    <w:rsid w:val="006C1E7B"/>
    <w:rsid w:val="00722210"/>
    <w:rsid w:val="007D6DEE"/>
    <w:rsid w:val="0084293D"/>
    <w:rsid w:val="00A81B3A"/>
    <w:rsid w:val="00CC214D"/>
    <w:rsid w:val="00D63DB9"/>
    <w:rsid w:val="00D815FE"/>
    <w:rsid w:val="00DB26C9"/>
    <w:rsid w:val="00DC4625"/>
    <w:rsid w:val="00E05A6A"/>
    <w:rsid w:val="00E75A6A"/>
    <w:rsid w:val="00EA481F"/>
    <w:rsid w:val="00EE791D"/>
    <w:rsid w:val="00FB0065"/>
    <w:rsid w:val="00FB18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757A717-BAD0-4532-80DA-304FE4C8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3D4FB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3D4FB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3D4FB6"/>
    <w:pPr>
      <w:keepNext/>
      <w:spacing w:line="720" w:lineRule="atLeast"/>
      <w:outlineLvl w:val="2"/>
    </w:pPr>
    <w:rPr>
      <w:rFonts w:ascii="Arial" w:eastAsia="新細明體" w:hAnsi="Arial"/>
      <w:b/>
      <w:bCs/>
      <w:sz w:val="36"/>
      <w:szCs w:val="36"/>
    </w:rPr>
  </w:style>
  <w:style w:type="paragraph" w:styleId="4">
    <w:name w:val="heading 4"/>
    <w:aliases w:val="標題 4-1 字元 字元,標題 4-1 字元"/>
    <w:basedOn w:val="a0"/>
    <w:next w:val="a0"/>
    <w:link w:val="40"/>
    <w:qFormat/>
    <w:rsid w:val="003D4FB6"/>
    <w:pPr>
      <w:keepNext/>
      <w:spacing w:line="720" w:lineRule="auto"/>
      <w:ind w:leftChars="0" w:left="0" w:firstLineChars="0" w:firstLine="0"/>
      <w:jc w:val="left"/>
      <w:outlineLvl w:val="3"/>
    </w:pPr>
    <w:rPr>
      <w:rFonts w:ascii="Arial" w:eastAsia="新細明體" w:hAnsi="Arial"/>
      <w:sz w:val="36"/>
      <w:szCs w:val="36"/>
    </w:rPr>
  </w:style>
  <w:style w:type="paragraph" w:styleId="8">
    <w:name w:val="heading 8"/>
    <w:basedOn w:val="a0"/>
    <w:next w:val="a0"/>
    <w:link w:val="80"/>
    <w:uiPriority w:val="9"/>
    <w:semiHidden/>
    <w:unhideWhenUsed/>
    <w:qFormat/>
    <w:rsid w:val="003D4FB6"/>
    <w:pPr>
      <w:keepNext/>
      <w:spacing w:line="720" w:lineRule="atLeast"/>
      <w:ind w:leftChars="400" w:left="400"/>
      <w:outlineLvl w:val="7"/>
    </w:pPr>
    <w:rPr>
      <w:rFonts w:ascii="Cambria" w:eastAsia="新細明體" w:hAnsi="Cambria"/>
      <w:snapToGri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11"/>
    <w:qFormat/>
    <w:pPr>
      <w:ind w:left="300" w:hangingChars="100" w:hanging="100"/>
    </w:pPr>
  </w:style>
  <w:style w:type="paragraph" w:customStyle="1" w:styleId="a7">
    <w:name w:val="(一)下內文"/>
    <w:basedOn w:val="a6"/>
    <w:link w:val="a8"/>
    <w:qFormat/>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2">
    <w:name w:val="header"/>
    <w:basedOn w:val="a0"/>
    <w:link w:val="af3"/>
    <w:uiPriority w:val="99"/>
    <w:unhideWhenUsed/>
    <w:rsid w:val="00682B18"/>
    <w:pPr>
      <w:tabs>
        <w:tab w:val="center" w:pos="4153"/>
        <w:tab w:val="right" w:pos="8306"/>
      </w:tabs>
      <w:snapToGrid w:val="0"/>
    </w:pPr>
    <w:rPr>
      <w:sz w:val="20"/>
      <w:szCs w:val="20"/>
    </w:rPr>
  </w:style>
  <w:style w:type="paragraph" w:styleId="ac">
    <w:name w:val="table of figures"/>
    <w:basedOn w:val="a0"/>
    <w:next w:val="a0"/>
    <w:link w:val="af4"/>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pPr>
      <w:tabs>
        <w:tab w:val="right" w:leader="hyphen" w:pos="8490"/>
      </w:tabs>
      <w:ind w:leftChars="0" w:left="0" w:hangingChars="200" w:hanging="200"/>
    </w:pPr>
  </w:style>
  <w:style w:type="paragraph" w:styleId="23">
    <w:name w:val="toc 2"/>
    <w:aliases w:val="目錄 2 凸排"/>
    <w:basedOn w:val="a0"/>
    <w:next w:val="a0"/>
    <w:autoRedefine/>
    <w:qFormat/>
    <w:pPr>
      <w:tabs>
        <w:tab w:val="right" w:leader="hyphen" w:pos="8490"/>
      </w:tabs>
      <w:ind w:leftChars="0" w:left="566" w:hangingChars="200" w:hanging="566"/>
    </w:pPr>
  </w:style>
  <w:style w:type="character" w:customStyle="1" w:styleId="af3">
    <w:name w:val="頁首 字元"/>
    <w:basedOn w:val="a1"/>
    <w:link w:val="af2"/>
    <w:uiPriority w:val="99"/>
    <w:rsid w:val="00682B18"/>
    <w:rPr>
      <w:rFonts w:ascii="標楷體" w:eastAsia="標楷體"/>
      <w:snapToGrid w:val="0"/>
      <w:kern w:val="2"/>
    </w:rPr>
  </w:style>
  <w:style w:type="paragraph" w:styleId="af5">
    <w:name w:val="footer"/>
    <w:basedOn w:val="a0"/>
    <w:link w:val="af6"/>
    <w:uiPriority w:val="99"/>
    <w:unhideWhenUsed/>
    <w:rsid w:val="00682B18"/>
    <w:pPr>
      <w:tabs>
        <w:tab w:val="center" w:pos="4153"/>
        <w:tab w:val="right" w:pos="8306"/>
      </w:tabs>
      <w:snapToGrid w:val="0"/>
    </w:pPr>
    <w:rPr>
      <w:sz w:val="20"/>
      <w:szCs w:val="20"/>
    </w:rPr>
  </w:style>
  <w:style w:type="character" w:customStyle="1" w:styleId="af6">
    <w:name w:val="頁尾 字元"/>
    <w:basedOn w:val="a1"/>
    <w:link w:val="af5"/>
    <w:uiPriority w:val="99"/>
    <w:rsid w:val="00682B18"/>
    <w:rPr>
      <w:rFonts w:ascii="標楷體" w:eastAsia="標楷體"/>
      <w:snapToGrid w:val="0"/>
      <w:kern w:val="2"/>
    </w:rPr>
  </w:style>
  <w:style w:type="paragraph" w:styleId="af7">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0"/>
    <w:link w:val="af8"/>
    <w:uiPriority w:val="99"/>
    <w:unhideWhenUsed/>
    <w:qFormat/>
    <w:rsid w:val="003D4FB6"/>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1"/>
    <w:basedOn w:val="a1"/>
    <w:link w:val="af7"/>
    <w:uiPriority w:val="99"/>
    <w:qFormat/>
    <w:rsid w:val="003D4FB6"/>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3D4FB6"/>
    <w:rPr>
      <w:vertAlign w:val="superscript"/>
    </w:rPr>
  </w:style>
  <w:style w:type="character" w:customStyle="1" w:styleId="143">
    <w:name w:val="表格內文(14行高) 字元"/>
    <w:link w:val="142"/>
    <w:qFormat/>
    <w:rsid w:val="003D4FB6"/>
    <w:rPr>
      <w:rFonts w:ascii="標楷體" w:eastAsia="標楷體"/>
      <w:snapToGrid w:val="0"/>
      <w:kern w:val="2"/>
      <w:sz w:val="24"/>
      <w:szCs w:val="28"/>
    </w:rPr>
  </w:style>
  <w:style w:type="character" w:customStyle="1" w:styleId="11">
    <w:name w:val="(一)(二)(三) 字元1"/>
    <w:link w:val="a6"/>
    <w:rsid w:val="003D4FB6"/>
    <w:rPr>
      <w:rFonts w:ascii="標楷體" w:eastAsia="標楷體"/>
      <w:snapToGrid w:val="0"/>
      <w:kern w:val="2"/>
      <w:sz w:val="28"/>
      <w:szCs w:val="28"/>
    </w:rPr>
  </w:style>
  <w:style w:type="character" w:customStyle="1" w:styleId="af">
    <w:name w:val="姓名及分機 字元"/>
    <w:link w:val="ae"/>
    <w:rsid w:val="003D4FB6"/>
    <w:rPr>
      <w:rFonts w:ascii="標楷體" w:eastAsia="標楷體"/>
      <w:snapToGrid w:val="0"/>
      <w:kern w:val="2"/>
      <w:sz w:val="24"/>
      <w:szCs w:val="28"/>
    </w:rPr>
  </w:style>
  <w:style w:type="character" w:customStyle="1" w:styleId="a5">
    <w:name w:val="預備金及追加預算標題 字元"/>
    <w:link w:val="a4"/>
    <w:rsid w:val="003D4FB6"/>
    <w:rPr>
      <w:rFonts w:ascii="標楷體" w:eastAsia="標楷體"/>
      <w:b/>
      <w:snapToGrid w:val="0"/>
      <w:kern w:val="2"/>
      <w:sz w:val="28"/>
    </w:rPr>
  </w:style>
  <w:style w:type="character" w:customStyle="1" w:styleId="145">
    <w:name w:val="第一層(14號字) 字元"/>
    <w:link w:val="144"/>
    <w:rsid w:val="003D4FB6"/>
    <w:rPr>
      <w:rFonts w:ascii="標楷體" w:eastAsia="標楷體"/>
      <w:b/>
      <w:snapToGrid w:val="0"/>
      <w:kern w:val="2"/>
      <w:sz w:val="28"/>
    </w:rPr>
  </w:style>
  <w:style w:type="character" w:customStyle="1" w:styleId="a8">
    <w:name w:val="(一)下內文 字元"/>
    <w:link w:val="a7"/>
    <w:rsid w:val="003D4FB6"/>
    <w:rPr>
      <w:rFonts w:ascii="標楷體" w:eastAsia="標楷體"/>
      <w:snapToGrid w:val="0"/>
      <w:kern w:val="2"/>
      <w:sz w:val="28"/>
      <w:szCs w:val="28"/>
    </w:rPr>
  </w:style>
  <w:style w:type="character" w:customStyle="1" w:styleId="140">
    <w:name w:val="第二層(14號字) 字元"/>
    <w:link w:val="14"/>
    <w:rsid w:val="003D4FB6"/>
    <w:rPr>
      <w:rFonts w:ascii="標楷體" w:eastAsia="標楷體"/>
      <w:b/>
      <w:snapToGrid w:val="0"/>
      <w:kern w:val="2"/>
      <w:sz w:val="28"/>
    </w:rPr>
  </w:style>
  <w:style w:type="character" w:customStyle="1" w:styleId="afa">
    <w:name w:val="(一)(二)(三) 字元"/>
    <w:rsid w:val="003D4FB6"/>
    <w:rPr>
      <w:rFonts w:ascii="標楷體" w:eastAsia="標楷體"/>
      <w:b/>
      <w:snapToGrid w:val="0"/>
      <w:kern w:val="2"/>
      <w:sz w:val="28"/>
      <w:szCs w:val="28"/>
    </w:rPr>
  </w:style>
  <w:style w:type="character" w:customStyle="1" w:styleId="1230">
    <w:name w:val="1.2.3. 字元"/>
    <w:link w:val="123"/>
    <w:rsid w:val="003D4FB6"/>
    <w:rPr>
      <w:rFonts w:ascii="標楷體" w:eastAsia="標楷體"/>
      <w:snapToGrid w:val="0"/>
      <w:kern w:val="2"/>
      <w:sz w:val="28"/>
      <w:szCs w:val="28"/>
    </w:rPr>
  </w:style>
  <w:style w:type="character" w:customStyle="1" w:styleId="af1">
    <w:name w:val="前言(一)(二)(三) 字元"/>
    <w:link w:val="af0"/>
    <w:rsid w:val="003D4FB6"/>
    <w:rPr>
      <w:rFonts w:ascii="標楷體" w:eastAsia="標楷體"/>
      <w:snapToGrid w:val="0"/>
      <w:kern w:val="2"/>
      <w:sz w:val="28"/>
      <w:szCs w:val="28"/>
    </w:rPr>
  </w:style>
  <w:style w:type="character" w:customStyle="1" w:styleId="22">
    <w:name w:val="(一)下內文縮2 字元"/>
    <w:link w:val="21"/>
    <w:qFormat/>
    <w:rsid w:val="003D4FB6"/>
    <w:rPr>
      <w:rFonts w:ascii="標楷體" w:eastAsia="標楷體"/>
      <w:snapToGrid w:val="0"/>
      <w:kern w:val="2"/>
      <w:sz w:val="28"/>
      <w:szCs w:val="28"/>
    </w:rPr>
  </w:style>
  <w:style w:type="character" w:styleId="afb">
    <w:name w:val="page number"/>
    <w:rsid w:val="003D4FB6"/>
  </w:style>
  <w:style w:type="character" w:styleId="afc">
    <w:name w:val="Hyperlink"/>
    <w:uiPriority w:val="99"/>
    <w:unhideWhenUsed/>
    <w:rsid w:val="003D4FB6"/>
    <w:rPr>
      <w:rFonts w:eastAsia="標楷體"/>
      <w:color w:val="0000FF"/>
      <w:sz w:val="24"/>
      <w:u w:val="single"/>
    </w:rPr>
  </w:style>
  <w:style w:type="character" w:customStyle="1" w:styleId="1410">
    <w:name w:val="第二層(14號字) 字元1"/>
    <w:rsid w:val="003D4FB6"/>
    <w:rPr>
      <w:rFonts w:ascii="標楷體" w:eastAsia="標楷體"/>
      <w:b/>
      <w:snapToGrid w:val="0"/>
      <w:kern w:val="2"/>
      <w:sz w:val="28"/>
      <w:lang w:val="en-US" w:eastAsia="zh-TW" w:bidi="ar-SA"/>
    </w:rPr>
  </w:style>
  <w:style w:type="paragraph" w:customStyle="1" w:styleId="24">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unhideWhenUsed/>
    <w:rsid w:val="003D4FB6"/>
    <w:pPr>
      <w:spacing w:line="240" w:lineRule="auto"/>
    </w:pPr>
    <w:rPr>
      <w:rFonts w:ascii="Cambria" w:eastAsia="新細明體" w:hAnsi="Cambria"/>
      <w:sz w:val="18"/>
      <w:szCs w:val="18"/>
      <w:lang w:val="x-none" w:eastAsia="x-none"/>
    </w:rPr>
  </w:style>
  <w:style w:type="character" w:customStyle="1" w:styleId="afe">
    <w:name w:val="註解方塊文字 字元"/>
    <w:basedOn w:val="a1"/>
    <w:link w:val="afd"/>
    <w:uiPriority w:val="99"/>
    <w:rsid w:val="003D4FB6"/>
    <w:rPr>
      <w:rFonts w:ascii="Cambria" w:hAnsi="Cambria"/>
      <w:snapToGrid w:val="0"/>
      <w:kern w:val="2"/>
      <w:sz w:val="18"/>
      <w:szCs w:val="18"/>
      <w:lang w:val="x-none" w:eastAsia="x-none"/>
    </w:rPr>
  </w:style>
  <w:style w:type="character" w:customStyle="1" w:styleId="25">
    <w:name w:val="(一)(二)(三) 字元2"/>
    <w:qFormat/>
    <w:rsid w:val="003D4FB6"/>
    <w:rPr>
      <w:rFonts w:ascii="標楷體" w:eastAsia="標楷體"/>
      <w:snapToGrid w:val="0"/>
      <w:kern w:val="2"/>
      <w:sz w:val="28"/>
      <w:szCs w:val="28"/>
      <w:lang w:val="x-none" w:eastAsia="x-none"/>
    </w:rPr>
  </w:style>
  <w:style w:type="paragraph" w:customStyle="1" w:styleId="13">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f">
    <w:name w:val="Table Grid"/>
    <w:basedOn w:val="a2"/>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4FB6"/>
    <w:pPr>
      <w:widowControl w:val="0"/>
      <w:autoSpaceDE w:val="0"/>
      <w:autoSpaceDN w:val="0"/>
      <w:adjustRightInd w:val="0"/>
    </w:pPr>
    <w:rPr>
      <w:rFonts w:ascii="標楷體a...." w:eastAsia="標楷體a...." w:cs="標楷體a...."/>
      <w:color w:val="000000"/>
      <w:sz w:val="24"/>
      <w:szCs w:val="24"/>
    </w:rPr>
  </w:style>
  <w:style w:type="paragraph" w:customStyle="1" w:styleId="aff0">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basedOn w:val="a1"/>
    <w:link w:val="1"/>
    <w:uiPriority w:val="9"/>
    <w:rsid w:val="003D4FB6"/>
    <w:rPr>
      <w:rFonts w:ascii="Arial" w:hAnsi="Arial"/>
      <w:b/>
      <w:bCs/>
      <w:snapToGrid w:val="0"/>
      <w:kern w:val="52"/>
      <w:sz w:val="52"/>
      <w:szCs w:val="52"/>
    </w:rPr>
  </w:style>
  <w:style w:type="character" w:customStyle="1" w:styleId="20">
    <w:name w:val="標題 2 字元"/>
    <w:basedOn w:val="a1"/>
    <w:link w:val="2"/>
    <w:rsid w:val="003D4FB6"/>
    <w:rPr>
      <w:rFonts w:ascii="Arial" w:hAnsi="Arial"/>
      <w:b/>
      <w:bCs/>
      <w:snapToGrid w:val="0"/>
      <w:kern w:val="2"/>
      <w:sz w:val="48"/>
      <w:szCs w:val="48"/>
    </w:rPr>
  </w:style>
  <w:style w:type="character" w:customStyle="1" w:styleId="30">
    <w:name w:val="標題 3 字元"/>
    <w:basedOn w:val="a1"/>
    <w:link w:val="3"/>
    <w:rsid w:val="003D4FB6"/>
    <w:rPr>
      <w:rFonts w:ascii="Arial" w:hAnsi="Arial"/>
      <w:b/>
      <w:bCs/>
      <w:snapToGrid w:val="0"/>
      <w:kern w:val="2"/>
      <w:sz w:val="36"/>
      <w:szCs w:val="36"/>
    </w:rPr>
  </w:style>
  <w:style w:type="character" w:customStyle="1" w:styleId="40">
    <w:name w:val="標題 4 字元"/>
    <w:aliases w:val="標題 4-1 字元 字元 字元,標題 4-1 字元 字元1"/>
    <w:basedOn w:val="a1"/>
    <w:link w:val="4"/>
    <w:rsid w:val="003D4FB6"/>
    <w:rPr>
      <w:rFonts w:ascii="Arial" w:hAnsi="Arial"/>
      <w:snapToGrid w:val="0"/>
      <w:kern w:val="2"/>
      <w:sz w:val="36"/>
      <w:szCs w:val="36"/>
    </w:rPr>
  </w:style>
  <w:style w:type="character" w:customStyle="1" w:styleId="80">
    <w:name w:val="標題 8 字元"/>
    <w:basedOn w:val="a1"/>
    <w:link w:val="8"/>
    <w:uiPriority w:val="9"/>
    <w:semiHidden/>
    <w:rsid w:val="003D4FB6"/>
    <w:rPr>
      <w:rFonts w:ascii="Cambria" w:hAnsi="Cambria"/>
      <w:kern w:val="2"/>
      <w:sz w:val="36"/>
      <w:szCs w:val="36"/>
    </w:rPr>
  </w:style>
  <w:style w:type="character" w:customStyle="1" w:styleId="160">
    <w:name w:val="第一層(16號字) 字元"/>
    <w:link w:val="16"/>
    <w:rsid w:val="003D4FB6"/>
    <w:rPr>
      <w:rFonts w:ascii="標楷體" w:eastAsia="標楷體"/>
      <w:b/>
      <w:snapToGrid w:val="0"/>
      <w:kern w:val="2"/>
      <w:sz w:val="32"/>
    </w:rPr>
  </w:style>
  <w:style w:type="character" w:customStyle="1" w:styleId="af4">
    <w:name w:val="圖表目錄 字元"/>
    <w:link w:val="ac"/>
    <w:rsid w:val="003D4FB6"/>
    <w:rPr>
      <w:rFonts w:ascii="標楷體" w:eastAsia="標楷體"/>
      <w:snapToGrid w:val="0"/>
      <w:kern w:val="2"/>
      <w:sz w:val="28"/>
      <w:szCs w:val="28"/>
    </w:rPr>
  </w:style>
  <w:style w:type="character" w:customStyle="1" w:styleId="1232">
    <w:name w:val="(1)(2)(3) 字元"/>
    <w:link w:val="1231"/>
    <w:rsid w:val="003D4FB6"/>
    <w:rPr>
      <w:rFonts w:ascii="標楷體" w:eastAsia="標楷體"/>
      <w:snapToGrid w:val="0"/>
      <w:kern w:val="2"/>
      <w:sz w:val="28"/>
      <w:szCs w:val="28"/>
    </w:rPr>
  </w:style>
  <w:style w:type="character" w:customStyle="1" w:styleId="201">
    <w:name w:val="表格內文(20行高) 字元"/>
    <w:link w:val="200"/>
    <w:rsid w:val="003D4FB6"/>
    <w:rPr>
      <w:rFonts w:ascii="標楷體" w:eastAsia="標楷體"/>
      <w:snapToGrid w:val="0"/>
      <w:kern w:val="2"/>
      <w:sz w:val="24"/>
      <w:szCs w:val="28"/>
    </w:rPr>
  </w:style>
  <w:style w:type="paragraph" w:customStyle="1" w:styleId="aff1">
    <w:name w:val="註腳"/>
    <w:basedOn w:val="af7"/>
    <w:qFormat/>
    <w:rsid w:val="003D4FB6"/>
    <w:pPr>
      <w:spacing w:line="280" w:lineRule="exact"/>
      <w:ind w:leftChars="0" w:left="0" w:hangingChars="103" w:hanging="249"/>
      <w:jc w:val="both"/>
    </w:pPr>
    <w:rPr>
      <w:sz w:val="24"/>
      <w:szCs w:val="24"/>
    </w:rPr>
  </w:style>
  <w:style w:type="paragraph" w:customStyle="1" w:styleId="26">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w:basedOn w:val="a0"/>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 字元 字元 字元1 字元 字元 字元 字元"/>
    <w:basedOn w:val="a0"/>
    <w:semiHidden/>
    <w:rsid w:val="003D4FB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4">
    <w:name w:val="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1">
    <w:name w:val="toc 3"/>
    <w:basedOn w:val="a0"/>
    <w:next w:val="a0"/>
    <w:autoRedefine/>
    <w:qFormat/>
    <w:rsid w:val="003D4FB6"/>
    <w:pPr>
      <w:tabs>
        <w:tab w:val="right" w:leader="hyphen" w:pos="8494"/>
      </w:tabs>
      <w:ind w:leftChars="0" w:left="0" w:firstLineChars="0" w:firstLine="0"/>
    </w:pPr>
  </w:style>
  <w:style w:type="paragraph" w:styleId="aff5">
    <w:name w:val="Body Text Indent"/>
    <w:basedOn w:val="a0"/>
    <w:link w:val="aff6"/>
    <w:rsid w:val="003D4FB6"/>
    <w:pPr>
      <w:spacing w:line="560" w:lineRule="exact"/>
      <w:ind w:leftChars="448" w:left="1075" w:firstLineChars="226" w:firstLine="723"/>
    </w:pPr>
    <w:rPr>
      <w:rFonts w:ascii="Times New Roman"/>
      <w:snapToGrid/>
      <w:color w:val="000000"/>
      <w:sz w:val="32"/>
      <w:szCs w:val="24"/>
      <w:lang w:val="x-none" w:eastAsia="x-none"/>
    </w:rPr>
  </w:style>
  <w:style w:type="character" w:customStyle="1" w:styleId="aff6">
    <w:name w:val="本文縮排 字元"/>
    <w:basedOn w:val="a1"/>
    <w:link w:val="aff5"/>
    <w:rsid w:val="003D4FB6"/>
    <w:rPr>
      <w:rFonts w:eastAsia="標楷體"/>
      <w:color w:val="000000"/>
      <w:kern w:val="2"/>
      <w:sz w:val="32"/>
      <w:szCs w:val="24"/>
      <w:lang w:val="x-none" w:eastAsia="x-none"/>
    </w:rPr>
  </w:style>
  <w:style w:type="paragraph" w:styleId="Web">
    <w:name w:val="Normal (Web)"/>
    <w:basedOn w:val="a0"/>
    <w:uiPriority w:val="99"/>
    <w:unhideWhenUsed/>
    <w:rsid w:val="003D4FB6"/>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7">
    <w:name w:val="字元1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Body Text"/>
    <w:basedOn w:val="a0"/>
    <w:link w:val="aff8"/>
    <w:unhideWhenUsed/>
    <w:rsid w:val="003D4FB6"/>
    <w:pPr>
      <w:spacing w:after="120"/>
    </w:pPr>
  </w:style>
  <w:style w:type="character" w:customStyle="1" w:styleId="aff8">
    <w:name w:val="本文 字元"/>
    <w:basedOn w:val="a1"/>
    <w:link w:val="aff7"/>
    <w:rsid w:val="003D4FB6"/>
    <w:rPr>
      <w:rFonts w:ascii="標楷體" w:eastAsia="標楷體"/>
      <w:snapToGrid w:val="0"/>
      <w:kern w:val="2"/>
      <w:sz w:val="28"/>
      <w:szCs w:val="28"/>
    </w:rPr>
  </w:style>
  <w:style w:type="table" w:customStyle="1" w:styleId="18">
    <w:name w:val="表格格線1"/>
    <w:basedOn w:val="a2"/>
    <w:next w:val="aff"/>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9">
    <w:name w:val="toc 9"/>
    <w:basedOn w:val="a0"/>
    <w:next w:val="a0"/>
    <w:autoRedefine/>
    <w:semiHidden/>
    <w:unhideWhenUsed/>
    <w:rsid w:val="003D4FB6"/>
    <w:pPr>
      <w:ind w:leftChars="1600" w:left="3840"/>
    </w:pPr>
  </w:style>
  <w:style w:type="paragraph" w:styleId="aff9">
    <w:name w:val="TOC Heading"/>
    <w:basedOn w:val="1"/>
    <w:next w:val="a0"/>
    <w:uiPriority w:val="39"/>
    <w:unhideWhenUsed/>
    <w:qFormat/>
    <w:rsid w:val="003D4FB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170">
    <w:name w:val="字元17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內文一"/>
    <w:basedOn w:val="affb"/>
    <w:rsid w:val="003D4FB6"/>
    <w:pPr>
      <w:autoSpaceDE w:val="0"/>
      <w:autoSpaceDN w:val="0"/>
      <w:adjustRightInd w:val="0"/>
      <w:ind w:leftChars="100" w:left="100" w:firstLineChars="0" w:firstLine="601"/>
      <w:textAlignment w:val="baseline"/>
    </w:pPr>
    <w:rPr>
      <w:rFonts w:ascii="標楷體" w:eastAsia="標楷體" w:hAnsi="標楷體" w:cs="華康楷書體W5外字集"/>
      <w:snapToGrid/>
      <w:sz w:val="28"/>
      <w:szCs w:val="20"/>
    </w:rPr>
  </w:style>
  <w:style w:type="paragraph" w:styleId="affb">
    <w:name w:val="Plain Text"/>
    <w:basedOn w:val="a0"/>
    <w:link w:val="affc"/>
    <w:uiPriority w:val="99"/>
    <w:semiHidden/>
    <w:unhideWhenUsed/>
    <w:rsid w:val="003D4FB6"/>
    <w:rPr>
      <w:rFonts w:ascii="細明體" w:eastAsia="細明體" w:hAnsi="Courier New" w:cs="Courier New"/>
      <w:sz w:val="24"/>
      <w:szCs w:val="24"/>
    </w:rPr>
  </w:style>
  <w:style w:type="character" w:customStyle="1" w:styleId="affc">
    <w:name w:val="純文字 字元"/>
    <w:basedOn w:val="a1"/>
    <w:link w:val="affb"/>
    <w:uiPriority w:val="99"/>
    <w:semiHidden/>
    <w:rsid w:val="003D4FB6"/>
    <w:rPr>
      <w:rFonts w:ascii="細明體" w:eastAsia="細明體" w:hAnsi="Courier New" w:cs="Courier New"/>
      <w:snapToGrid w:val="0"/>
      <w:kern w:val="2"/>
      <w:sz w:val="24"/>
      <w:szCs w:val="24"/>
    </w:rPr>
  </w:style>
  <w:style w:type="table" w:customStyle="1" w:styleId="27">
    <w:name w:val="表格格線2"/>
    <w:basedOn w:val="a2"/>
    <w:next w:val="aff"/>
    <w:uiPriority w:val="3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2 字元 字元 字元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d">
    <w:name w:val="annotation reference"/>
    <w:uiPriority w:val="99"/>
    <w:semiHidden/>
    <w:rsid w:val="003D4FB6"/>
    <w:rPr>
      <w:sz w:val="18"/>
      <w:szCs w:val="18"/>
    </w:rPr>
  </w:style>
  <w:style w:type="paragraph" w:styleId="affe">
    <w:name w:val="annotation text"/>
    <w:basedOn w:val="a0"/>
    <w:link w:val="afff"/>
    <w:uiPriority w:val="99"/>
    <w:semiHidden/>
    <w:rsid w:val="003D4FB6"/>
    <w:pPr>
      <w:jc w:val="left"/>
    </w:pPr>
  </w:style>
  <w:style w:type="character" w:customStyle="1" w:styleId="afff">
    <w:name w:val="註解文字 字元"/>
    <w:basedOn w:val="a1"/>
    <w:link w:val="affe"/>
    <w:uiPriority w:val="99"/>
    <w:semiHidden/>
    <w:rsid w:val="003D4FB6"/>
    <w:rPr>
      <w:rFonts w:ascii="標楷體" w:eastAsia="標楷體"/>
      <w:snapToGrid w:val="0"/>
      <w:kern w:val="2"/>
      <w:sz w:val="28"/>
      <w:szCs w:val="28"/>
    </w:rPr>
  </w:style>
  <w:style w:type="paragraph" w:styleId="afff0">
    <w:name w:val="annotation subject"/>
    <w:basedOn w:val="affe"/>
    <w:next w:val="affe"/>
    <w:link w:val="afff1"/>
    <w:uiPriority w:val="99"/>
    <w:semiHidden/>
    <w:rsid w:val="003D4FB6"/>
    <w:rPr>
      <w:b/>
      <w:bCs/>
    </w:rPr>
  </w:style>
  <w:style w:type="character" w:customStyle="1" w:styleId="afff1">
    <w:name w:val="註解主旨 字元"/>
    <w:basedOn w:val="afff"/>
    <w:link w:val="afff0"/>
    <w:uiPriority w:val="99"/>
    <w:semiHidden/>
    <w:rsid w:val="003D4FB6"/>
    <w:rPr>
      <w:rFonts w:ascii="標楷體" w:eastAsia="標楷體"/>
      <w:b/>
      <w:bCs/>
      <w:snapToGrid w:val="0"/>
      <w:kern w:val="2"/>
      <w:sz w:val="28"/>
      <w:szCs w:val="28"/>
    </w:rPr>
  </w:style>
  <w:style w:type="paragraph" w:customStyle="1" w:styleId="afff2">
    <w:name w:val="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字元 字元 字元 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章戳"/>
    <w:basedOn w:val="a0"/>
    <w:qFormat/>
    <w:rsid w:val="003D4FB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f7">
    <w:name w:val="FollowedHyperlink"/>
    <w:uiPriority w:val="99"/>
    <w:unhideWhenUsed/>
    <w:rsid w:val="003D4FB6"/>
    <w:rPr>
      <w:color w:val="800080"/>
      <w:u w:val="single"/>
    </w:rPr>
  </w:style>
  <w:style w:type="paragraph" w:styleId="a">
    <w:name w:val="List Bullet"/>
    <w:basedOn w:val="a0"/>
    <w:uiPriority w:val="99"/>
    <w:unhideWhenUsed/>
    <w:rsid w:val="003D4FB6"/>
    <w:pPr>
      <w:numPr>
        <w:numId w:val="16"/>
      </w:numPr>
      <w:contextualSpacing/>
    </w:pPr>
  </w:style>
  <w:style w:type="paragraph" w:customStyle="1" w:styleId="afff8">
    <w:name w:val="高雄中長程 (一)文"/>
    <w:basedOn w:val="a0"/>
    <w:qFormat/>
    <w:rsid w:val="003D4FB6"/>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9">
    <w:name w:val="高雄中長程 表標題"/>
    <w:basedOn w:val="8"/>
    <w:uiPriority w:val="99"/>
    <w:qFormat/>
    <w:rsid w:val="003D4FB6"/>
    <w:pPr>
      <w:keepNext w:val="0"/>
      <w:widowControl/>
      <w:adjustRightInd w:val="0"/>
      <w:snapToGrid w:val="0"/>
      <w:spacing w:line="240" w:lineRule="auto"/>
      <w:ind w:leftChars="0" w:left="0" w:firstLineChars="0" w:firstLine="0"/>
      <w:jc w:val="center"/>
    </w:pPr>
    <w:rPr>
      <w:rFonts w:ascii="Times New Roman" w:eastAsia="標楷體" w:hAnsi="標楷體"/>
      <w:snapToGrid w:val="0"/>
      <w:kern w:val="0"/>
      <w:sz w:val="28"/>
      <w:szCs w:val="32"/>
    </w:rPr>
  </w:style>
  <w:style w:type="paragraph" w:styleId="afffa">
    <w:name w:val="List Paragraph"/>
    <w:aliases w:val="標題 (4),List Paragraph,(二),1.1.1.1清單段落,圖標,清單段落1,01章名,樣式A,列點,標題一,Recommendation,Footnote Sam,List Paragraph (numbered (a)),Text,Noise heading,RUS List,Rec para,Dot pt,F5 List Paragraph,No Spacing1,List Paragraph Char Char Char,Indicator Text,標1,圖標號,標"/>
    <w:basedOn w:val="a0"/>
    <w:link w:val="afffb"/>
    <w:uiPriority w:val="99"/>
    <w:qFormat/>
    <w:rsid w:val="003D4FB6"/>
    <w:pPr>
      <w:snapToGrid w:val="0"/>
      <w:spacing w:line="240" w:lineRule="auto"/>
      <w:ind w:left="480" w:firstLineChars="0" w:firstLine="0"/>
    </w:pPr>
    <w:rPr>
      <w:rFonts w:ascii="Times New Roman" w:eastAsia="新細明體"/>
      <w:snapToGrid/>
      <w:sz w:val="24"/>
      <w:szCs w:val="24"/>
    </w:rPr>
  </w:style>
  <w:style w:type="character" w:customStyle="1" w:styleId="afffb">
    <w:name w:val="清單段落 字元"/>
    <w:aliases w:val="標題 (4) 字元,List Paragraph 字元,(二) 字元,1.1.1.1清單段落 字元,圖標 字元,清單段落1 字元,01章名 字元,樣式A 字元,列點 字元,標題一 字元,Recommendation 字元,Footnote Sam 字元,List Paragraph (numbered (a)) 字元,Text 字元,Noise heading 字元,RUS List 字元,Rec para 字元,Dot pt 字元,F5 List Paragraph 字元,標1 字元"/>
    <w:link w:val="afffa"/>
    <w:uiPriority w:val="34"/>
    <w:qFormat/>
    <w:rsid w:val="003D4FB6"/>
    <w:rPr>
      <w:kern w:val="2"/>
      <w:sz w:val="24"/>
      <w:szCs w:val="24"/>
    </w:rPr>
  </w:style>
  <w:style w:type="table" w:customStyle="1" w:styleId="211">
    <w:name w:val="表格格線21"/>
    <w:basedOn w:val="a2"/>
    <w:next w:val="aff"/>
    <w:uiPriority w:val="59"/>
    <w:rsid w:val="003D4FB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nhideWhenUsed/>
    <w:rsid w:val="003D4F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basedOn w:val="a1"/>
    <w:link w:val="HTML"/>
    <w:rsid w:val="003D4FB6"/>
    <w:rPr>
      <w:rFonts w:ascii="細明體" w:eastAsia="細明體" w:hAnsi="細明體" w:cs="細明體"/>
      <w:sz w:val="24"/>
      <w:szCs w:val="24"/>
    </w:rPr>
  </w:style>
  <w:style w:type="paragraph" w:styleId="2b">
    <w:name w:val="Body Text 2"/>
    <w:basedOn w:val="a0"/>
    <w:link w:val="2c"/>
    <w:rsid w:val="003D4FB6"/>
    <w:pPr>
      <w:spacing w:line="400" w:lineRule="exact"/>
      <w:ind w:leftChars="0" w:left="0" w:firstLineChars="0" w:firstLine="0"/>
      <w:jc w:val="left"/>
    </w:pPr>
    <w:rPr>
      <w:rFonts w:ascii="Times New Roman"/>
      <w:snapToGrid/>
      <w:szCs w:val="24"/>
    </w:rPr>
  </w:style>
  <w:style w:type="character" w:customStyle="1" w:styleId="2c">
    <w:name w:val="本文 2 字元"/>
    <w:basedOn w:val="a1"/>
    <w:link w:val="2b"/>
    <w:rsid w:val="003D4FB6"/>
    <w:rPr>
      <w:rFonts w:eastAsia="標楷體"/>
      <w:kern w:val="2"/>
      <w:sz w:val="28"/>
      <w:szCs w:val="24"/>
    </w:rPr>
  </w:style>
  <w:style w:type="paragraph" w:customStyle="1" w:styleId="32">
    <w:name w:val="樣式 點樣式 + 左:  3 字元 字元"/>
    <w:basedOn w:val="a0"/>
    <w:link w:val="33"/>
    <w:rsid w:val="003D4FB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3">
    <w:name w:val="樣式 點樣式 + 左:  3 字元 字元 字元"/>
    <w:link w:val="32"/>
    <w:rsid w:val="003D4FB6"/>
    <w:rPr>
      <w:rFonts w:ascii="標楷體" w:eastAsia="標楷體" w:hAnsi="標楷體"/>
      <w:b/>
      <w:bCs/>
      <w:kern w:val="2"/>
      <w:sz w:val="28"/>
    </w:rPr>
  </w:style>
  <w:style w:type="character" w:customStyle="1" w:styleId="Checkbox">
    <w:name w:val="Checkbox"/>
    <w:rsid w:val="003D4FB6"/>
    <w:rPr>
      <w:rFonts w:ascii="Times New Roman" w:hAnsi="Times New Roman"/>
      <w:sz w:val="22"/>
    </w:rPr>
  </w:style>
  <w:style w:type="paragraph" w:customStyle="1" w:styleId="111">
    <w:name w:val="1.1.1文"/>
    <w:link w:val="1110"/>
    <w:rsid w:val="003D4FB6"/>
    <w:pPr>
      <w:spacing w:line="440" w:lineRule="exact"/>
      <w:ind w:leftChars="300" w:left="600" w:firstLineChars="200" w:firstLine="560"/>
      <w:jc w:val="both"/>
    </w:pPr>
    <w:rPr>
      <w:rFonts w:eastAsia="標楷體"/>
      <w:snapToGrid w:val="0"/>
      <w:sz w:val="28"/>
      <w:szCs w:val="28"/>
    </w:rPr>
  </w:style>
  <w:style w:type="character" w:customStyle="1" w:styleId="1110">
    <w:name w:val="1.1.1文 字元 字元"/>
    <w:link w:val="111"/>
    <w:rsid w:val="003D4FB6"/>
    <w:rPr>
      <w:rFonts w:eastAsia="標楷體"/>
      <w:snapToGrid w:val="0"/>
      <w:sz w:val="28"/>
      <w:szCs w:val="28"/>
    </w:rPr>
  </w:style>
  <w:style w:type="paragraph" w:customStyle="1" w:styleId="110">
    <w:name w:val="字元 字元1 字元 字元 字元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c">
    <w:name w:val="Book Title"/>
    <w:uiPriority w:val="33"/>
    <w:qFormat/>
    <w:rsid w:val="003D4FB6"/>
    <w:rPr>
      <w:b/>
      <w:bCs/>
      <w:smallCaps/>
      <w:spacing w:val="5"/>
    </w:rPr>
  </w:style>
  <w:style w:type="paragraph" w:customStyle="1" w:styleId="afffd">
    <w:name w:val="計畫名稱"/>
    <w:basedOn w:val="a0"/>
    <w:uiPriority w:val="99"/>
    <w:rsid w:val="003D4FB6"/>
    <w:pPr>
      <w:snapToGrid w:val="0"/>
      <w:spacing w:line="360" w:lineRule="auto"/>
      <w:ind w:leftChars="0" w:left="0" w:firstLineChars="0" w:firstLine="0"/>
      <w:jc w:val="center"/>
    </w:pPr>
    <w:rPr>
      <w:rFonts w:ascii="Times New Roman" w:eastAsia="華康楷書體W5"/>
      <w:b/>
      <w:snapToGrid/>
      <w:sz w:val="44"/>
      <w:szCs w:val="20"/>
    </w:rPr>
  </w:style>
  <w:style w:type="table" w:customStyle="1" w:styleId="34">
    <w:name w:val="表格格線3"/>
    <w:basedOn w:val="a2"/>
    <w:next w:val="aff"/>
    <w:rsid w:val="003D4FB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2">
    <w:name w:val="表格內文11及緊縮"/>
    <w:basedOn w:val="142"/>
    <w:qFormat/>
    <w:rsid w:val="003D4FB6"/>
    <w:pPr>
      <w:jc w:val="both"/>
    </w:pPr>
    <w:rPr>
      <w:spacing w:val="-20"/>
      <w:sz w:val="22"/>
      <w:szCs w:val="22"/>
    </w:rPr>
  </w:style>
  <w:style w:type="paragraph" w:customStyle="1" w:styleId="afffe">
    <w:name w:val="表格內文說明１。"/>
    <w:basedOn w:val="a0"/>
    <w:qFormat/>
    <w:rsid w:val="003D4FB6"/>
    <w:pPr>
      <w:spacing w:line="280" w:lineRule="exact"/>
      <w:ind w:leftChars="5" w:left="1442" w:hangingChars="587" w:hanging="1428"/>
    </w:pPr>
    <w:rPr>
      <w:sz w:val="24"/>
      <w:lang w:eastAsia="zh-HK"/>
    </w:rPr>
  </w:style>
  <w:style w:type="character" w:customStyle="1" w:styleId="x-label-value">
    <w:name w:val="x-label-value"/>
    <w:rsid w:val="003D4FB6"/>
  </w:style>
  <w:style w:type="paragraph" w:customStyle="1" w:styleId="146">
    <w:name w:val="註腳(表格內文14行高左右齊)"/>
    <w:basedOn w:val="142"/>
    <w:qFormat/>
    <w:rsid w:val="003D4FB6"/>
    <w:pPr>
      <w:wordWrap w:val="0"/>
      <w:ind w:leftChars="-15" w:left="153" w:hangingChars="80" w:hanging="195"/>
      <w:jc w:val="both"/>
    </w:pPr>
  </w:style>
  <w:style w:type="paragraph" w:styleId="affff">
    <w:name w:val="Date"/>
    <w:basedOn w:val="a0"/>
    <w:next w:val="a0"/>
    <w:link w:val="affff0"/>
    <w:uiPriority w:val="99"/>
    <w:rsid w:val="003D4FB6"/>
    <w:pPr>
      <w:spacing w:line="240" w:lineRule="auto"/>
      <w:ind w:leftChars="0" w:left="0" w:firstLineChars="0" w:firstLine="0"/>
      <w:jc w:val="right"/>
    </w:pPr>
    <w:rPr>
      <w:rFonts w:ascii="Times New Roman"/>
      <w:b/>
      <w:bCs/>
      <w:snapToGrid/>
      <w:sz w:val="36"/>
      <w:szCs w:val="24"/>
    </w:rPr>
  </w:style>
  <w:style w:type="character" w:customStyle="1" w:styleId="affff0">
    <w:name w:val="日期 字元"/>
    <w:basedOn w:val="a1"/>
    <w:link w:val="affff"/>
    <w:uiPriority w:val="99"/>
    <w:rsid w:val="003D4FB6"/>
    <w:rPr>
      <w:rFonts w:eastAsia="標楷體"/>
      <w:b/>
      <w:bCs/>
      <w:kern w:val="2"/>
      <w:sz w:val="36"/>
      <w:szCs w:val="24"/>
    </w:rPr>
  </w:style>
  <w:style w:type="character" w:styleId="affff1">
    <w:name w:val="Strong"/>
    <w:uiPriority w:val="22"/>
    <w:qFormat/>
    <w:rsid w:val="003D4FB6"/>
    <w:rPr>
      <w:b/>
      <w:bCs/>
    </w:rPr>
  </w:style>
  <w:style w:type="paragraph" w:styleId="affff2">
    <w:name w:val="Normal Indent"/>
    <w:basedOn w:val="a0"/>
    <w:uiPriority w:val="99"/>
    <w:rsid w:val="003D4FB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uiPriority w:val="99"/>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3">
    <w:name w:val="Emphasis"/>
    <w:uiPriority w:val="20"/>
    <w:qFormat/>
    <w:rsid w:val="003D4FB6"/>
    <w:rPr>
      <w:i/>
      <w:iCs/>
    </w:rPr>
  </w:style>
  <w:style w:type="paragraph" w:styleId="affff4">
    <w:name w:val="Salutation"/>
    <w:basedOn w:val="a0"/>
    <w:next w:val="a0"/>
    <w:link w:val="affff5"/>
    <w:uiPriority w:val="99"/>
    <w:rsid w:val="003D4FB6"/>
    <w:rPr>
      <w:lang w:val="x-none" w:eastAsia="x-none"/>
    </w:rPr>
  </w:style>
  <w:style w:type="character" w:customStyle="1" w:styleId="affff5">
    <w:name w:val="問候 字元"/>
    <w:basedOn w:val="a1"/>
    <w:link w:val="affff4"/>
    <w:uiPriority w:val="99"/>
    <w:rsid w:val="003D4FB6"/>
    <w:rPr>
      <w:rFonts w:ascii="標楷體" w:eastAsia="標楷體"/>
      <w:snapToGrid w:val="0"/>
      <w:kern w:val="2"/>
      <w:sz w:val="28"/>
      <w:szCs w:val="28"/>
      <w:lang w:val="x-none" w:eastAsia="x-none"/>
    </w:rPr>
  </w:style>
  <w:style w:type="paragraph" w:styleId="affff6">
    <w:name w:val="Closing"/>
    <w:basedOn w:val="a0"/>
    <w:link w:val="affff7"/>
    <w:uiPriority w:val="99"/>
    <w:rsid w:val="003D4FB6"/>
    <w:pPr>
      <w:ind w:leftChars="1800" w:left="100"/>
    </w:pPr>
    <w:rPr>
      <w:lang w:val="x-none" w:eastAsia="x-none"/>
    </w:rPr>
  </w:style>
  <w:style w:type="character" w:customStyle="1" w:styleId="affff7">
    <w:name w:val="結語 字元"/>
    <w:basedOn w:val="a1"/>
    <w:link w:val="affff6"/>
    <w:uiPriority w:val="99"/>
    <w:rsid w:val="003D4FB6"/>
    <w:rPr>
      <w:rFonts w:ascii="標楷體" w:eastAsia="標楷體"/>
      <w:snapToGrid w:val="0"/>
      <w:kern w:val="2"/>
      <w:sz w:val="28"/>
      <w:szCs w:val="28"/>
      <w:lang w:val="x-none" w:eastAsia="x-none"/>
    </w:rPr>
  </w:style>
  <w:style w:type="paragraph" w:customStyle="1" w:styleId="affff8">
    <w:name w:val="表格註"/>
    <w:basedOn w:val="142"/>
    <w:uiPriority w:val="99"/>
    <w:rsid w:val="003D4FB6"/>
    <w:pPr>
      <w:kinsoku w:val="0"/>
      <w:autoSpaceDE w:val="0"/>
      <w:autoSpaceDN w:val="0"/>
      <w:adjustRightInd w:val="0"/>
      <w:snapToGrid w:val="0"/>
      <w:ind w:leftChars="5" w:left="1203" w:hangingChars="489" w:hanging="1189"/>
      <w:jc w:val="both"/>
    </w:pPr>
    <w:rPr>
      <w:color w:val="0000CC"/>
      <w:kern w:val="0"/>
      <w:lang w:eastAsia="zh-HK"/>
    </w:rPr>
  </w:style>
  <w:style w:type="paragraph" w:customStyle="1" w:styleId="msonormal0">
    <w:name w:val="msonormal"/>
    <w:basedOn w:val="a0"/>
    <w:uiPriority w:val="99"/>
    <w:rsid w:val="003D4FB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d">
    <w:name w:val="字元 字元2 字元 字元 字元"/>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1">
    <w:name w:val="表格內文(14行高) 字元1"/>
    <w:rsid w:val="006C1E7B"/>
    <w:rPr>
      <w:rFonts w:ascii="標楷體" w:eastAsia="標楷體"/>
      <w:snapToGrid w:val="0"/>
      <w:kern w:val="2"/>
      <w:sz w:val="24"/>
      <w:szCs w:val="28"/>
      <w:lang w:val="en-US" w:eastAsia="zh-TW" w:bidi="ar-SA"/>
    </w:rPr>
  </w:style>
  <w:style w:type="character" w:customStyle="1" w:styleId="147">
    <w:name w:val="表格內文(14行高) 字元 字元 字元"/>
    <w:link w:val="148"/>
    <w:locked/>
    <w:rsid w:val="006C1E7B"/>
    <w:rPr>
      <w:rFonts w:ascii="標楷體" w:eastAsia="標楷體" w:hAnsi="標楷體"/>
      <w:spacing w:val="-5"/>
    </w:rPr>
  </w:style>
  <w:style w:type="paragraph" w:customStyle="1" w:styleId="148">
    <w:name w:val="表格內文(14行高) 字元 字元"/>
    <w:basedOn w:val="a0"/>
    <w:link w:val="147"/>
    <w:rsid w:val="006C1E7B"/>
    <w:pPr>
      <w:widowControl/>
      <w:snapToGrid w:val="0"/>
      <w:spacing w:line="280" w:lineRule="exact"/>
      <w:ind w:leftChars="0" w:left="0" w:firstLineChars="0" w:firstLine="0"/>
      <w:jc w:val="left"/>
    </w:pPr>
    <w:rPr>
      <w:rFonts w:hAnsi="標楷體"/>
      <w:snapToGrid/>
      <w:spacing w:val="-5"/>
      <w:kern w:val="0"/>
      <w:sz w:val="20"/>
      <w:szCs w:val="20"/>
    </w:rPr>
  </w:style>
  <w:style w:type="character" w:customStyle="1" w:styleId="affff9">
    <w:name w:val="(一)(二)(三) 字元 字元"/>
    <w:rsid w:val="006C1E7B"/>
    <w:rPr>
      <w:rFonts w:ascii="標楷體" w:eastAsia="標楷體"/>
      <w:snapToGrid w:val="0"/>
      <w:kern w:val="2"/>
      <w:sz w:val="28"/>
      <w:szCs w:val="28"/>
      <w:lang w:val="en-US" w:eastAsia="zh-TW" w:bidi="ar-SA"/>
    </w:rPr>
  </w:style>
  <w:style w:type="character" w:customStyle="1" w:styleId="affffa">
    <w:name w:val="(一)(二)(三) 字元 字元 字元"/>
    <w:rsid w:val="006C1E7B"/>
    <w:rPr>
      <w:rFonts w:eastAsia="標楷體"/>
      <w:snapToGrid w:val="0"/>
      <w:kern w:val="2"/>
      <w:sz w:val="28"/>
      <w:szCs w:val="28"/>
      <w:lang w:val="en-US" w:eastAsia="zh-TW" w:bidi="ar-SA"/>
    </w:rPr>
  </w:style>
  <w:style w:type="table" w:customStyle="1" w:styleId="202">
    <w:name w:val="表格格線20"/>
    <w:basedOn w:val="a2"/>
    <w:next w:val="aff"/>
    <w:uiPriority w:val="39"/>
    <w:qFormat/>
    <w:rsid w:val="006C1E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
    <w:name w:val="1.1.1"/>
    <w:basedOn w:val="a0"/>
    <w:link w:val="1112"/>
    <w:rsid w:val="006C1E7B"/>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2">
    <w:name w:val="1.1.1 字元"/>
    <w:link w:val="1111"/>
    <w:rsid w:val="006C1E7B"/>
    <w:rPr>
      <w:rFonts w:ascii="Book Antiqua" w:eastAsia="標楷體" w:hAnsi="Book Antiqua"/>
      <w:spacing w:val="6"/>
      <w:sz w:val="28"/>
      <w:szCs w:val="24"/>
    </w:rPr>
  </w:style>
  <w:style w:type="paragraph" w:customStyle="1" w:styleId="affffb">
    <w:name w:val="圖目錄"/>
    <w:basedOn w:val="a0"/>
    <w:link w:val="affffc"/>
    <w:qFormat/>
    <w:rsid w:val="006C1E7B"/>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c">
    <w:name w:val="圖目錄 字元"/>
    <w:link w:val="affffb"/>
    <w:rsid w:val="006C1E7B"/>
    <w:rPr>
      <w:rFonts w:eastAsia="華康細圓體" w:cs="新細明體"/>
      <w:sz w:val="22"/>
    </w:rPr>
  </w:style>
  <w:style w:type="paragraph" w:customStyle="1" w:styleId="113">
    <w:name w:val="1.1 內文"/>
    <w:basedOn w:val="a0"/>
    <w:qFormat/>
    <w:rsid w:val="006C1E7B"/>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paragraph" w:styleId="affffd">
    <w:name w:val="Signature"/>
    <w:basedOn w:val="a0"/>
    <w:link w:val="affffe"/>
    <w:rsid w:val="006C1E7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e">
    <w:name w:val="簽名 字元"/>
    <w:basedOn w:val="a1"/>
    <w:link w:val="affffd"/>
    <w:rsid w:val="006C1E7B"/>
    <w:rPr>
      <w:spacing w:val="-5"/>
      <w:sz w:val="18"/>
    </w:rPr>
  </w:style>
  <w:style w:type="paragraph" w:customStyle="1" w:styleId="afffff">
    <w:name w:val="表格內文之標頭"/>
    <w:basedOn w:val="142"/>
    <w:rsid w:val="006C1E7B"/>
    <w:pPr>
      <w:spacing w:before="250"/>
    </w:pPr>
    <w:rPr>
      <w:rFonts w:cs="新細明體"/>
      <w:b/>
      <w:bCs/>
      <w:sz w:val="28"/>
      <w:szCs w:val="20"/>
    </w:rPr>
  </w:style>
  <w:style w:type="paragraph" w:customStyle="1" w:styleId="1b">
    <w:name w:val="字元 字元 字元 字元 字元 字元 字元 字元 字元1 字元 字元 字元 字元 字元"/>
    <w:basedOn w:val="a0"/>
    <w:semiHidden/>
    <w:rsid w:val="0072221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722210"/>
    <w:rPr>
      <w:rFonts w:ascii="標楷體" w:eastAsia="標楷體"/>
      <w:snapToGrid w:val="0"/>
      <w:kern w:val="2"/>
      <w:sz w:val="28"/>
      <w:szCs w:val="28"/>
    </w:rPr>
  </w:style>
  <w:style w:type="character" w:customStyle="1" w:styleId="categoryright1">
    <w:name w:val="categoryright1"/>
    <w:rsid w:val="00722210"/>
    <w:rPr>
      <w:b w:val="0"/>
      <w:bCs w:val="0"/>
    </w:rPr>
  </w:style>
  <w:style w:type="character" w:customStyle="1" w:styleId="h11">
    <w:name w:val="h11"/>
    <w:rsid w:val="00722210"/>
    <w:rPr>
      <w:b/>
      <w:bCs/>
      <w:color w:val="FF6600"/>
      <w:sz w:val="24"/>
      <w:szCs w:val="24"/>
    </w:rPr>
  </w:style>
  <w:style w:type="paragraph" w:styleId="41">
    <w:name w:val="toc 4"/>
    <w:basedOn w:val="a0"/>
    <w:next w:val="a0"/>
    <w:autoRedefine/>
    <w:semiHidden/>
    <w:rsid w:val="00722210"/>
    <w:pPr>
      <w:ind w:leftChars="600" w:left="1440"/>
    </w:pPr>
  </w:style>
  <w:style w:type="paragraph" w:styleId="50">
    <w:name w:val="toc 5"/>
    <w:basedOn w:val="a0"/>
    <w:next w:val="a0"/>
    <w:autoRedefine/>
    <w:semiHidden/>
    <w:rsid w:val="00722210"/>
    <w:pPr>
      <w:ind w:leftChars="800" w:left="1920"/>
    </w:pPr>
  </w:style>
  <w:style w:type="paragraph" w:styleId="6">
    <w:name w:val="toc 6"/>
    <w:basedOn w:val="a0"/>
    <w:next w:val="a0"/>
    <w:autoRedefine/>
    <w:semiHidden/>
    <w:rsid w:val="00722210"/>
    <w:pPr>
      <w:ind w:leftChars="1000" w:left="2400"/>
    </w:pPr>
  </w:style>
  <w:style w:type="paragraph" w:styleId="70">
    <w:name w:val="toc 7"/>
    <w:basedOn w:val="a0"/>
    <w:next w:val="a0"/>
    <w:autoRedefine/>
    <w:semiHidden/>
    <w:rsid w:val="00722210"/>
    <w:pPr>
      <w:ind w:leftChars="1200" w:left="2880"/>
    </w:pPr>
  </w:style>
  <w:style w:type="paragraph" w:styleId="81">
    <w:name w:val="toc 8"/>
    <w:basedOn w:val="a0"/>
    <w:next w:val="a0"/>
    <w:autoRedefine/>
    <w:semiHidden/>
    <w:rsid w:val="00722210"/>
    <w:pPr>
      <w:ind w:leftChars="1400" w:left="3360"/>
    </w:pPr>
  </w:style>
  <w:style w:type="paragraph" w:customStyle="1" w:styleId="2e">
    <w:name w:val="內文2(預備金及追加用)"/>
    <w:rsid w:val="00722210"/>
    <w:pPr>
      <w:spacing w:line="480" w:lineRule="exact"/>
      <w:ind w:left="200" w:hangingChars="200" w:hanging="200"/>
    </w:pPr>
    <w:rPr>
      <w:rFonts w:eastAsia="標楷體"/>
      <w:sz w:val="28"/>
    </w:rPr>
  </w:style>
  <w:style w:type="paragraph" w:customStyle="1" w:styleId="afffff0">
    <w:name w:val="字元 字元 字元 字元 字元 字元"/>
    <w:basedOn w:val="a0"/>
    <w:semiHidden/>
    <w:rsid w:val="0072221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報告引言"/>
    <w:basedOn w:val="aa"/>
    <w:qFormat/>
    <w:rsid w:val="00722210"/>
    <w:pPr>
      <w:ind w:firstLine="566"/>
    </w:pPr>
    <w:rPr>
      <w:lang w:eastAsia="zh-HK"/>
    </w:rPr>
  </w:style>
  <w:style w:type="character" w:customStyle="1" w:styleId="fontstyle01">
    <w:name w:val="fontstyle01"/>
    <w:rsid w:val="00177FFC"/>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4321D-1272-4CB2-B3B0-D1066F16E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117</Pages>
  <Words>684</Words>
  <Characters>3905</Characters>
  <Application>Microsoft Office Word</Application>
  <DocSecurity>0</DocSecurity>
  <Lines>32</Lines>
  <Paragraphs>9</Paragraphs>
  <ScaleCrop>false</ScaleCrop>
  <Company>HOME</Company>
  <LinksUpToDate>false</LinksUpToDate>
  <CharactersWithSpaces>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2025-10-31T06:07:00Z</dcterms:created>
  <dcterms:modified xsi:type="dcterms:W3CDTF">2025-10-31T06:07:00Z</dcterms:modified>
</cp:coreProperties>
</file>