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177FFC" w:rsidRPr="00EF79AD" w:rsidRDefault="00177FFC" w:rsidP="00E05A6A">
      <w:pPr>
        <w:pStyle w:val="144"/>
        <w:tabs>
          <w:tab w:val="left" w:pos="1701"/>
        </w:tabs>
        <w:ind w:leftChars="1" w:left="230" w:hangingChars="80" w:hanging="227"/>
        <w:rPr>
          <w:rFonts w:hAnsi="標楷體"/>
        </w:rPr>
      </w:pPr>
      <w:bookmarkStart w:id="3" w:name="_Toc86652232"/>
      <w:bookmarkStart w:id="4" w:name="_Toc150182120"/>
      <w:bookmarkStart w:id="5" w:name="_Toc212558126"/>
      <w:bookmarkStart w:id="6" w:name="_Toc222801093"/>
      <w:bookmarkStart w:id="7" w:name="_Toc223144184"/>
      <w:bookmarkStart w:id="8" w:name="_GoBack"/>
      <w:bookmarkEnd w:id="0"/>
      <w:bookmarkEnd w:id="1"/>
      <w:r w:rsidRPr="00EF79AD">
        <w:rPr>
          <w:rFonts w:hAnsi="標楷體" w:hint="eastAsia"/>
        </w:rPr>
        <w:t>第15款、國家科學及技術委員會</w:t>
      </w:r>
      <w:bookmarkEnd w:id="3"/>
      <w:r w:rsidRPr="00EF79AD">
        <w:rPr>
          <w:rFonts w:hAnsi="標楷體" w:hint="eastAsia"/>
        </w:rPr>
        <w:t>主管</w:t>
      </w:r>
      <w:bookmarkEnd w:id="4"/>
      <w:bookmarkEnd w:id="5"/>
      <w:bookmarkEnd w:id="8"/>
    </w:p>
    <w:p w:rsidR="00177FFC" w:rsidRPr="00EF79AD" w:rsidRDefault="00177FFC" w:rsidP="00E05A6A">
      <w:pPr>
        <w:adjustRightInd w:val="0"/>
        <w:ind w:leftChars="0" w:left="0" w:firstLine="566"/>
        <w:rPr>
          <w:rFonts w:hAnsi="標楷體"/>
        </w:rPr>
      </w:pPr>
      <w:r w:rsidRPr="00EF79AD">
        <w:rPr>
          <w:rFonts w:hAnsi="標楷體" w:hint="eastAsia"/>
        </w:rPr>
        <w:t>前瞻第4期特別決算國家科學及技術委員會(下稱國科會)主管法定預算數54億元，執行結果實現數50億849萬元、保留數3億426萬9千元，決算審定數合計53億1</w:t>
      </w:r>
      <w:r w:rsidRPr="00EF79AD">
        <w:rPr>
          <w:rFonts w:hAnsi="標楷體"/>
        </w:rPr>
        <w:t>,</w:t>
      </w:r>
      <w:r w:rsidRPr="00EF79AD">
        <w:rPr>
          <w:rFonts w:hAnsi="標楷體" w:hint="eastAsia"/>
        </w:rPr>
        <w:t>275萬9千元，決算審定數占法定預算數比率98.38%(詳表1)，謹評析如後：</w:t>
      </w:r>
    </w:p>
    <w:p w:rsidR="00177FFC" w:rsidRPr="00EF79AD" w:rsidRDefault="00177FFC" w:rsidP="00E05A6A">
      <w:pPr>
        <w:ind w:leftChars="0" w:left="0" w:firstLineChars="0" w:firstLine="0"/>
        <w:rPr>
          <w:rFonts w:hAnsi="標楷體"/>
          <w:sz w:val="24"/>
          <w:szCs w:val="24"/>
        </w:rPr>
      </w:pPr>
      <w:r w:rsidRPr="00EF79AD">
        <w:rPr>
          <w:rFonts w:hAnsi="標楷體" w:hint="eastAsia"/>
          <w:b/>
          <w:spacing w:val="-2"/>
        </w:rPr>
        <w:t xml:space="preserve">表1  前瞻第4期特別決算國科會主管預、決算概況表 </w:t>
      </w:r>
      <w:r w:rsidRPr="00EF79AD">
        <w:rPr>
          <w:rFonts w:hAnsi="標楷體" w:hint="eastAsia"/>
          <w:sz w:val="24"/>
          <w:szCs w:val="24"/>
        </w:rPr>
        <w:t>單位：新臺幣千元</w:t>
      </w:r>
    </w:p>
    <w:tbl>
      <w:tblPr>
        <w:tblW w:w="848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0"/>
        <w:gridCol w:w="1960"/>
        <w:gridCol w:w="1582"/>
        <w:gridCol w:w="1483"/>
        <w:gridCol w:w="1316"/>
        <w:gridCol w:w="1440"/>
      </w:tblGrid>
      <w:tr w:rsidR="00177FFC" w:rsidRPr="00EF79AD" w:rsidTr="00E05A6A">
        <w:tc>
          <w:tcPr>
            <w:tcW w:w="2660" w:type="dxa"/>
            <w:gridSpan w:val="2"/>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科目名稱</w:t>
            </w:r>
          </w:p>
        </w:tc>
        <w:tc>
          <w:tcPr>
            <w:tcW w:w="1582"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法定預算數</w:t>
            </w:r>
          </w:p>
        </w:tc>
        <w:tc>
          <w:tcPr>
            <w:tcW w:w="4239" w:type="dxa"/>
            <w:gridSpan w:val="3"/>
            <w:shd w:val="clear" w:color="auto" w:fill="auto"/>
            <w:vAlign w:val="center"/>
          </w:tcPr>
          <w:p w:rsidR="00177FFC" w:rsidRPr="00EF79AD" w:rsidRDefault="00177FFC" w:rsidP="00E05A6A">
            <w:pPr>
              <w:pStyle w:val="142"/>
              <w:jc w:val="center"/>
              <w:rPr>
                <w:rFonts w:hAnsi="標楷體"/>
              </w:rPr>
            </w:pPr>
            <w:r w:rsidRPr="00EF79AD">
              <w:rPr>
                <w:rFonts w:hAnsi="標楷體" w:hint="eastAsia"/>
              </w:rPr>
              <w:t>決算審定數</w:t>
            </w:r>
          </w:p>
        </w:tc>
      </w:tr>
      <w:tr w:rsidR="00177FFC" w:rsidRPr="00EF79AD" w:rsidTr="00E05A6A">
        <w:tc>
          <w:tcPr>
            <w:tcW w:w="2660" w:type="dxa"/>
            <w:gridSpan w:val="2"/>
            <w:vMerge/>
            <w:shd w:val="clear" w:color="auto" w:fill="auto"/>
            <w:vAlign w:val="center"/>
          </w:tcPr>
          <w:p w:rsidR="00177FFC" w:rsidRPr="00EF79AD" w:rsidRDefault="00177FFC" w:rsidP="00E05A6A">
            <w:pPr>
              <w:pStyle w:val="142"/>
              <w:jc w:val="center"/>
              <w:rPr>
                <w:rFonts w:hAnsi="標楷體"/>
              </w:rPr>
            </w:pPr>
          </w:p>
        </w:tc>
        <w:tc>
          <w:tcPr>
            <w:tcW w:w="1582" w:type="dxa"/>
            <w:vMerge/>
            <w:shd w:val="clear" w:color="auto" w:fill="auto"/>
            <w:vAlign w:val="center"/>
          </w:tcPr>
          <w:p w:rsidR="00177FFC" w:rsidRPr="00EF79AD" w:rsidRDefault="00177FFC" w:rsidP="00E05A6A">
            <w:pPr>
              <w:pStyle w:val="142"/>
              <w:jc w:val="center"/>
              <w:rPr>
                <w:rFonts w:hAnsi="標楷體"/>
              </w:rPr>
            </w:pPr>
          </w:p>
        </w:tc>
        <w:tc>
          <w:tcPr>
            <w:tcW w:w="1483"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實現數</w:t>
            </w:r>
          </w:p>
        </w:tc>
        <w:tc>
          <w:tcPr>
            <w:tcW w:w="1316"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保留數</w:t>
            </w:r>
          </w:p>
        </w:tc>
        <w:tc>
          <w:tcPr>
            <w:tcW w:w="1440"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合計</w:t>
            </w:r>
          </w:p>
        </w:tc>
      </w:tr>
      <w:tr w:rsidR="00177FFC" w:rsidRPr="00EF79AD" w:rsidTr="00E05A6A">
        <w:tc>
          <w:tcPr>
            <w:tcW w:w="2660" w:type="dxa"/>
            <w:gridSpan w:val="2"/>
            <w:shd w:val="clear" w:color="auto" w:fill="auto"/>
          </w:tcPr>
          <w:p w:rsidR="00177FFC" w:rsidRPr="00EF79AD" w:rsidRDefault="00177FFC" w:rsidP="00E05A6A">
            <w:pPr>
              <w:pStyle w:val="142"/>
              <w:rPr>
                <w:rFonts w:hAnsi="標楷體"/>
              </w:rPr>
            </w:pPr>
            <w:r w:rsidRPr="00EF79AD">
              <w:rPr>
                <w:rFonts w:hAnsi="標楷體" w:hint="eastAsia"/>
              </w:rPr>
              <w:t>綠能建設</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270,000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270,000</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270,000</w:t>
            </w:r>
          </w:p>
        </w:tc>
      </w:tr>
      <w:tr w:rsidR="00177FFC" w:rsidRPr="00EF79AD" w:rsidTr="00E05A6A">
        <w:tc>
          <w:tcPr>
            <w:tcW w:w="700" w:type="dxa"/>
            <w:vMerge w:val="restart"/>
            <w:shd w:val="clear" w:color="auto" w:fill="auto"/>
            <w:vAlign w:val="center"/>
          </w:tcPr>
          <w:p w:rsidR="00177FFC" w:rsidRPr="00EF79AD" w:rsidRDefault="00177FFC" w:rsidP="00E05A6A">
            <w:pPr>
              <w:pStyle w:val="142"/>
              <w:jc w:val="both"/>
              <w:rPr>
                <w:rFonts w:hAnsi="標楷體"/>
              </w:rPr>
            </w:pPr>
            <w:r w:rsidRPr="00EF79AD">
              <w:rPr>
                <w:rFonts w:hAnsi="標楷體" w:hint="eastAsia"/>
              </w:rPr>
              <w:t>數位建設</w:t>
            </w:r>
          </w:p>
        </w:tc>
        <w:tc>
          <w:tcPr>
            <w:tcW w:w="1960" w:type="dxa"/>
          </w:tcPr>
          <w:p w:rsidR="00177FFC" w:rsidRPr="00EF79AD" w:rsidRDefault="00177FFC" w:rsidP="00E05A6A">
            <w:pPr>
              <w:pStyle w:val="142"/>
              <w:rPr>
                <w:rFonts w:hAnsi="標楷體"/>
              </w:rPr>
            </w:pPr>
            <w:r w:rsidRPr="00EF79AD">
              <w:rPr>
                <w:rFonts w:hAnsi="標楷體" w:hint="eastAsia"/>
              </w:rPr>
              <w:t>建構開放政府及智慧城鄉服務</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510,000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504,8</w:t>
            </w:r>
            <w:r w:rsidRPr="00EF79AD">
              <w:rPr>
                <w:rFonts w:hAnsi="標楷體" w:hint="eastAsia"/>
              </w:rPr>
              <w:t>80</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4,24</w:t>
            </w:r>
            <w:r w:rsidRPr="00EF79AD">
              <w:rPr>
                <w:rFonts w:hAnsi="標楷體" w:hint="eastAsia"/>
              </w:rPr>
              <w:t>3</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509,12</w:t>
            </w:r>
            <w:r w:rsidRPr="00EF79AD">
              <w:rPr>
                <w:rFonts w:hAnsi="標楷體" w:hint="eastAsia"/>
              </w:rPr>
              <w:t>3</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基礎建設環境</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1,069,000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1,039,79</w:t>
            </w:r>
            <w:r w:rsidRPr="00EF79AD">
              <w:rPr>
                <w:rFonts w:hAnsi="標楷體" w:hint="eastAsia"/>
              </w:rPr>
              <w:t>6</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26,430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1,066,225</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產業數位轉型</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918,000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907,741</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8</w:t>
            </w:r>
            <w:r w:rsidRPr="00EF79AD">
              <w:rPr>
                <w:rFonts w:hAnsi="標楷體"/>
              </w:rPr>
              <w:t>,</w:t>
            </w:r>
            <w:r w:rsidRPr="00EF79AD">
              <w:rPr>
                <w:rFonts w:hAnsi="標楷體" w:hint="eastAsia"/>
              </w:rPr>
              <w:t>000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915,741</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數位人才淬煉</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150,000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149,84</w:t>
            </w:r>
            <w:r w:rsidRPr="00EF79AD">
              <w:rPr>
                <w:rFonts w:hAnsi="標楷體" w:hint="eastAsia"/>
              </w:rPr>
              <w:t>3</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149,84</w:t>
            </w:r>
            <w:r w:rsidRPr="00EF79AD">
              <w:rPr>
                <w:rFonts w:hAnsi="標楷體" w:hint="eastAsia"/>
              </w:rPr>
              <w:t>3</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5G基礎公共建設</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818,000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552,404</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265,59</w:t>
            </w:r>
            <w:r w:rsidRPr="00EF79AD">
              <w:rPr>
                <w:rFonts w:hAnsi="標楷體" w:hint="eastAsia"/>
              </w:rPr>
              <w:t>6</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818,000</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小計</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3,465,000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3,154,66</w:t>
            </w:r>
            <w:r w:rsidRPr="00EF79AD">
              <w:rPr>
                <w:rFonts w:hAnsi="標楷體" w:hint="eastAsia"/>
              </w:rPr>
              <w:t>4</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304,26</w:t>
            </w:r>
            <w:r w:rsidRPr="00EF79AD">
              <w:rPr>
                <w:rFonts w:hAnsi="標楷體" w:hint="eastAsia"/>
              </w:rPr>
              <w:t>9</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3,458,932</w:t>
            </w:r>
          </w:p>
        </w:tc>
      </w:tr>
      <w:tr w:rsidR="00177FFC" w:rsidRPr="00EF79AD" w:rsidTr="00E05A6A">
        <w:tc>
          <w:tcPr>
            <w:tcW w:w="2660" w:type="dxa"/>
            <w:gridSpan w:val="2"/>
            <w:shd w:val="clear" w:color="auto" w:fill="auto"/>
          </w:tcPr>
          <w:p w:rsidR="00177FFC" w:rsidRPr="00EF79AD" w:rsidRDefault="00177FFC" w:rsidP="00E05A6A">
            <w:pPr>
              <w:pStyle w:val="142"/>
              <w:rPr>
                <w:rFonts w:hAnsi="標楷體"/>
              </w:rPr>
            </w:pPr>
            <w:r w:rsidRPr="00EF79AD">
              <w:rPr>
                <w:rFonts w:hAnsi="標楷體" w:hint="eastAsia"/>
              </w:rPr>
              <w:t>人才培育促進就業建設</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1,665,000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1,583,82</w:t>
            </w:r>
            <w:r w:rsidRPr="00EF79AD">
              <w:rPr>
                <w:rFonts w:hAnsi="標楷體" w:hint="eastAsia"/>
              </w:rPr>
              <w:t>7</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1,583,82</w:t>
            </w:r>
            <w:r w:rsidRPr="00EF79AD">
              <w:rPr>
                <w:rFonts w:hAnsi="標楷體" w:hint="eastAsia"/>
              </w:rPr>
              <w:t>7</w:t>
            </w:r>
          </w:p>
        </w:tc>
      </w:tr>
      <w:tr w:rsidR="00177FFC" w:rsidRPr="00EF79AD" w:rsidTr="00E05A6A">
        <w:tc>
          <w:tcPr>
            <w:tcW w:w="700" w:type="dxa"/>
            <w:shd w:val="clear" w:color="auto" w:fill="auto"/>
            <w:vAlign w:val="center"/>
          </w:tcPr>
          <w:p w:rsidR="00177FFC" w:rsidRPr="00EF79AD" w:rsidRDefault="00177FFC" w:rsidP="00E05A6A">
            <w:pPr>
              <w:pStyle w:val="142"/>
              <w:rPr>
                <w:rFonts w:hAnsi="標楷體"/>
                <w:b/>
              </w:rPr>
            </w:pPr>
            <w:r w:rsidRPr="00EF79AD">
              <w:rPr>
                <w:rFonts w:hAnsi="標楷體" w:hint="eastAsia"/>
                <w:b/>
              </w:rPr>
              <w:t>合計</w:t>
            </w:r>
          </w:p>
        </w:tc>
        <w:tc>
          <w:tcPr>
            <w:tcW w:w="1960" w:type="dxa"/>
          </w:tcPr>
          <w:p w:rsidR="00177FFC" w:rsidRPr="00EF79AD" w:rsidRDefault="00177FFC" w:rsidP="00E05A6A">
            <w:pPr>
              <w:pStyle w:val="142"/>
              <w:rPr>
                <w:rFonts w:hAnsi="標楷體"/>
                <w:b/>
              </w:rPr>
            </w:pPr>
          </w:p>
        </w:tc>
        <w:tc>
          <w:tcPr>
            <w:tcW w:w="1582" w:type="dxa"/>
            <w:shd w:val="clear" w:color="auto" w:fill="auto"/>
            <w:vAlign w:val="center"/>
          </w:tcPr>
          <w:p w:rsidR="00177FFC" w:rsidRPr="00EF79AD" w:rsidRDefault="00177FFC" w:rsidP="00E05A6A">
            <w:pPr>
              <w:pStyle w:val="142"/>
              <w:jc w:val="right"/>
              <w:rPr>
                <w:rFonts w:hAnsi="標楷體"/>
                <w:b/>
              </w:rPr>
            </w:pPr>
            <w:r w:rsidRPr="00EF79AD">
              <w:rPr>
                <w:rFonts w:hAnsi="標楷體"/>
                <w:b/>
              </w:rPr>
              <w:t>5,400,000</w:t>
            </w:r>
          </w:p>
        </w:tc>
        <w:tc>
          <w:tcPr>
            <w:tcW w:w="1483" w:type="dxa"/>
            <w:shd w:val="clear" w:color="auto" w:fill="auto"/>
            <w:vAlign w:val="center"/>
          </w:tcPr>
          <w:p w:rsidR="00177FFC" w:rsidRPr="00EF79AD" w:rsidRDefault="00177FFC" w:rsidP="00E05A6A">
            <w:pPr>
              <w:pStyle w:val="142"/>
              <w:jc w:val="right"/>
              <w:rPr>
                <w:rFonts w:hAnsi="標楷體"/>
                <w:b/>
              </w:rPr>
            </w:pPr>
            <w:r w:rsidRPr="00EF79AD">
              <w:rPr>
                <w:rFonts w:hAnsi="標楷體"/>
                <w:b/>
              </w:rPr>
              <w:t>5,008,490</w:t>
            </w:r>
          </w:p>
        </w:tc>
        <w:tc>
          <w:tcPr>
            <w:tcW w:w="1316" w:type="dxa"/>
            <w:shd w:val="clear" w:color="auto" w:fill="auto"/>
            <w:vAlign w:val="center"/>
          </w:tcPr>
          <w:p w:rsidR="00177FFC" w:rsidRPr="00EF79AD" w:rsidRDefault="00177FFC" w:rsidP="00E05A6A">
            <w:pPr>
              <w:pStyle w:val="142"/>
              <w:jc w:val="right"/>
              <w:rPr>
                <w:rFonts w:hAnsi="標楷體"/>
                <w:b/>
              </w:rPr>
            </w:pPr>
            <w:r w:rsidRPr="00EF79AD">
              <w:rPr>
                <w:rFonts w:hAnsi="標楷體"/>
                <w:b/>
              </w:rPr>
              <w:t>304,26</w:t>
            </w:r>
            <w:r w:rsidRPr="00EF79AD">
              <w:rPr>
                <w:rFonts w:hAnsi="標楷體" w:hint="eastAsia"/>
                <w:b/>
              </w:rPr>
              <w:t>9</w:t>
            </w:r>
          </w:p>
        </w:tc>
        <w:tc>
          <w:tcPr>
            <w:tcW w:w="1440" w:type="dxa"/>
            <w:shd w:val="clear" w:color="auto" w:fill="auto"/>
            <w:vAlign w:val="center"/>
          </w:tcPr>
          <w:p w:rsidR="00177FFC" w:rsidRPr="00EF79AD" w:rsidRDefault="00177FFC" w:rsidP="00E05A6A">
            <w:pPr>
              <w:pStyle w:val="142"/>
              <w:jc w:val="right"/>
              <w:rPr>
                <w:rFonts w:hAnsi="標楷體"/>
                <w:b/>
              </w:rPr>
            </w:pPr>
            <w:r w:rsidRPr="00EF79AD">
              <w:rPr>
                <w:rFonts w:hAnsi="標楷體" w:hint="eastAsia"/>
                <w:b/>
              </w:rPr>
              <w:t>5</w:t>
            </w:r>
            <w:r w:rsidRPr="00EF79AD">
              <w:rPr>
                <w:rFonts w:hAnsi="標楷體"/>
                <w:b/>
              </w:rPr>
              <w:t>,</w:t>
            </w:r>
            <w:r w:rsidRPr="00EF79AD">
              <w:rPr>
                <w:rFonts w:hAnsi="標楷體" w:hint="eastAsia"/>
                <w:b/>
              </w:rPr>
              <w:t>312</w:t>
            </w:r>
            <w:r w:rsidRPr="00EF79AD">
              <w:rPr>
                <w:rFonts w:hAnsi="標楷體"/>
                <w:b/>
              </w:rPr>
              <w:t>,</w:t>
            </w:r>
            <w:r w:rsidRPr="00EF79AD">
              <w:rPr>
                <w:rFonts w:hAnsi="標楷體" w:hint="eastAsia"/>
                <w:b/>
              </w:rPr>
              <w:t>759</w:t>
            </w:r>
          </w:p>
        </w:tc>
      </w:tr>
    </w:tbl>
    <w:p w:rsidR="00177FFC" w:rsidRPr="00EF79AD" w:rsidRDefault="00177FFC" w:rsidP="00E05A6A">
      <w:pPr>
        <w:pStyle w:val="142"/>
        <w:rPr>
          <w:rFonts w:hAnsi="標楷體"/>
        </w:rPr>
      </w:pPr>
      <w:r w:rsidRPr="00EF79AD">
        <w:rPr>
          <w:rFonts w:hAnsi="標楷體" w:hint="eastAsia"/>
        </w:rPr>
        <w:t>資料來源：前瞻第4期特別決算審核報告。</w:t>
      </w:r>
    </w:p>
    <w:p w:rsidR="00177FFC" w:rsidRPr="00EF79AD" w:rsidRDefault="00177FFC" w:rsidP="00E05A6A">
      <w:pPr>
        <w:pStyle w:val="a4"/>
        <w:ind w:left="567" w:hanging="567"/>
        <w:rPr>
          <w:rFonts w:hAnsi="標楷體"/>
        </w:rPr>
      </w:pPr>
      <w:r w:rsidRPr="00EF79AD">
        <w:rPr>
          <w:rFonts w:hAnsi="標楷體" w:hint="eastAsia"/>
        </w:rPr>
        <w:t>一、</w:t>
      </w:r>
      <w:bookmarkStart w:id="9" w:name="_Hlk207636414"/>
      <w:r w:rsidRPr="00EF79AD">
        <w:rPr>
          <w:rFonts w:hAnsi="標楷體" w:hint="eastAsia"/>
        </w:rPr>
        <w:t>年輕學者養成計畫參與者職位升等優勢不明顯，且計畫結束後僅二成銜接「2030跨世代年輕學者方案」，允宜持續強化計畫銜接機制與學者研究水準，俾利職涯發展路徑增添優勢</w:t>
      </w:r>
      <w:bookmarkEnd w:id="9"/>
    </w:p>
    <w:p w:rsidR="00177FFC" w:rsidRPr="00EF79AD" w:rsidRDefault="00177FFC" w:rsidP="00E05A6A">
      <w:pPr>
        <w:ind w:left="566" w:firstLine="566"/>
        <w:rPr>
          <w:rFonts w:hAnsi="標楷體"/>
        </w:rPr>
      </w:pPr>
      <w:r w:rsidRPr="00EF79AD">
        <w:rPr>
          <w:rFonts w:hAnsi="標楷體" w:hint="eastAsia"/>
        </w:rPr>
        <w:t>國科會於前瞻第4期特別預算「人才培育促進就業建設」科目項下編列16億6</w:t>
      </w:r>
      <w:r w:rsidRPr="00EF79AD">
        <w:rPr>
          <w:rFonts w:hAnsi="標楷體"/>
        </w:rPr>
        <w:t>,</w:t>
      </w:r>
      <w:r w:rsidRPr="00EF79AD">
        <w:rPr>
          <w:rFonts w:hAnsi="標楷體" w:hint="eastAsia"/>
        </w:rPr>
        <w:t>500萬元，其中包含辦理「年輕學者養成計畫」9億2</w:t>
      </w:r>
      <w:r w:rsidRPr="00EF79AD">
        <w:rPr>
          <w:rFonts w:hAnsi="標楷體"/>
        </w:rPr>
        <w:t>,</w:t>
      </w:r>
      <w:r w:rsidRPr="00EF79AD">
        <w:rPr>
          <w:rFonts w:hAnsi="標楷體" w:hint="eastAsia"/>
        </w:rPr>
        <w:t>7</w:t>
      </w:r>
      <w:r w:rsidRPr="00EF79AD">
        <w:rPr>
          <w:rFonts w:hAnsi="標楷體"/>
        </w:rPr>
        <w:t>00</w:t>
      </w:r>
      <w:r w:rsidRPr="00EF79AD">
        <w:rPr>
          <w:rFonts w:hAnsi="標楷體" w:hint="eastAsia"/>
        </w:rPr>
        <w:t>萬元，決算數8億7</w:t>
      </w:r>
      <w:r w:rsidRPr="00EF79AD">
        <w:rPr>
          <w:rFonts w:hAnsi="標楷體"/>
        </w:rPr>
        <w:t>,</w:t>
      </w:r>
      <w:r w:rsidRPr="00EF79AD">
        <w:rPr>
          <w:rFonts w:hAnsi="標楷體" w:hint="eastAsia"/>
        </w:rPr>
        <w:t>132萬5千元，預算執行率93.99%。經查：</w:t>
      </w:r>
    </w:p>
    <w:p w:rsidR="00177FFC" w:rsidRPr="00EF79AD" w:rsidRDefault="00177FFC" w:rsidP="00E05A6A">
      <w:pPr>
        <w:pStyle w:val="a6"/>
        <w:ind w:left="849" w:hanging="283"/>
        <w:rPr>
          <w:rFonts w:hAnsi="標楷體"/>
          <w:b/>
        </w:rPr>
      </w:pPr>
      <w:r w:rsidRPr="00EF79AD">
        <w:rPr>
          <w:rFonts w:hAnsi="標楷體" w:hint="eastAsia"/>
          <w:b/>
        </w:rPr>
        <w:lastRenderedPageBreak/>
        <w:t>(一)年輕學者養成計畫概要及績效指標達成情形</w:t>
      </w:r>
    </w:p>
    <w:p w:rsidR="00177FFC" w:rsidRPr="00EF79AD" w:rsidRDefault="00177FFC" w:rsidP="00E05A6A">
      <w:pPr>
        <w:pStyle w:val="123"/>
        <w:ind w:left="1133" w:hanging="283"/>
        <w:rPr>
          <w:rFonts w:hAnsi="標楷體"/>
        </w:rPr>
      </w:pPr>
      <w:r w:rsidRPr="00EF79AD">
        <w:rPr>
          <w:rFonts w:hAnsi="標楷體" w:hint="eastAsia"/>
        </w:rPr>
        <w:t>1.</w:t>
      </w:r>
      <w:bookmarkStart w:id="10" w:name="_Hlk207120397"/>
      <w:r w:rsidRPr="00EF79AD">
        <w:rPr>
          <w:rFonts w:hAnsi="標楷體" w:hint="eastAsia"/>
        </w:rPr>
        <w:t>年輕學者養成計畫</w:t>
      </w:r>
      <w:bookmarkEnd w:id="10"/>
      <w:r w:rsidRPr="00EF79AD">
        <w:rPr>
          <w:rFonts w:hAnsi="標楷體" w:hint="eastAsia"/>
        </w:rPr>
        <w:t>(110至113年度)係年輕學者養成計畫(107至109年度，包含愛因斯坦培植計畫及哥倫布計畫）屆期延續之計畫。該計畫係藉由提供長期資源挹注，鼓勵年輕研究菁英，積極投入具有大膽創新、有潛力之開創性研究計畫，勇於創新與挑戰未知科研環境，提升臺灣科研實力，並</w:t>
      </w:r>
      <w:r w:rsidRPr="00EF79AD">
        <w:rPr>
          <w:rFonts w:hAnsi="標楷體" w:hint="eastAsia"/>
        </w:rPr>
        <w:lastRenderedPageBreak/>
        <w:t>鼓勵至國外實驗室或研究中心進行交流，培養宏觀國際視野，增進臺灣在國際學術社群之知名度及影響力。</w:t>
      </w:r>
    </w:p>
    <w:p w:rsidR="00177FFC" w:rsidRPr="00EF79AD" w:rsidRDefault="00177FFC" w:rsidP="00E05A6A">
      <w:pPr>
        <w:pStyle w:val="123"/>
        <w:ind w:left="1133" w:hanging="283"/>
        <w:rPr>
          <w:rFonts w:hAnsi="標楷體"/>
        </w:rPr>
      </w:pPr>
      <w:r w:rsidRPr="00EF79AD">
        <w:rPr>
          <w:rFonts w:hAnsi="標楷體" w:hint="eastAsia"/>
        </w:rPr>
        <w:t>2.該計畫績效指標設定，於1</w:t>
      </w:r>
      <w:r w:rsidRPr="00EF79AD">
        <w:rPr>
          <w:rFonts w:hAnsi="標楷體"/>
        </w:rPr>
        <w:t>1</w:t>
      </w:r>
      <w:r w:rsidRPr="00EF79AD">
        <w:rPr>
          <w:rFonts w:hAnsi="標楷體" w:hint="eastAsia"/>
        </w:rPr>
        <w:t>3年底止產出高品質(</w:t>
      </w:r>
      <w:r w:rsidRPr="00EF79AD">
        <w:rPr>
          <w:rFonts w:hAnsi="標楷體"/>
        </w:rPr>
        <w:t>Q1)</w:t>
      </w:r>
      <w:r w:rsidRPr="00EF79AD">
        <w:rPr>
          <w:rFonts w:hAnsi="標楷體" w:hint="eastAsia"/>
        </w:rPr>
        <w:t>論文篇數180篇，及獲國際獎項、擔任國際期刊編輯、審查委員與學術社群重要職位計40個，辦理國際研討會論壇等學術交流活動4場次，實際值分別為974篇、290個及5場次，均已達成預計目標。</w:t>
      </w:r>
    </w:p>
    <w:p w:rsidR="00177FFC" w:rsidRPr="00EF79AD" w:rsidRDefault="00177FFC" w:rsidP="00E05A6A">
      <w:pPr>
        <w:pStyle w:val="a6"/>
        <w:ind w:left="849" w:hanging="283"/>
        <w:rPr>
          <w:rFonts w:hAnsi="標楷體"/>
          <w:b/>
        </w:rPr>
      </w:pPr>
      <w:r w:rsidRPr="00EF79AD">
        <w:rPr>
          <w:rFonts w:hAnsi="標楷體" w:hint="eastAsia"/>
          <w:b/>
        </w:rPr>
        <w:t>(二)</w:t>
      </w:r>
      <w:bookmarkStart w:id="11" w:name="_Hlk207199084"/>
      <w:r w:rsidRPr="00EF79AD">
        <w:rPr>
          <w:rFonts w:hAnsi="標楷體" w:hint="eastAsia"/>
          <w:b/>
        </w:rPr>
        <w:t>參與學者職位升等優勢不明顯，僅二成銜接「2030跨世代年輕學者方案」，允宜有效協助年輕學者銜接後續研究資源及確保職涯發展途徑</w:t>
      </w:r>
      <w:bookmarkEnd w:id="11"/>
    </w:p>
    <w:p w:rsidR="00177FFC" w:rsidRPr="00EF79AD" w:rsidRDefault="00177FFC" w:rsidP="00E05A6A">
      <w:pPr>
        <w:pStyle w:val="123"/>
        <w:ind w:left="1133" w:hanging="283"/>
        <w:rPr>
          <w:rFonts w:hAnsi="標楷體"/>
        </w:rPr>
      </w:pPr>
      <w:r w:rsidRPr="00EF79AD">
        <w:rPr>
          <w:rFonts w:hAnsi="標楷體" w:hint="eastAsia"/>
        </w:rPr>
        <w:t>1.依據國科會函報本院前瞻113年度執行進度及績效報告</w:t>
      </w:r>
      <w:r w:rsidRPr="00EF79AD">
        <w:rPr>
          <w:rStyle w:val="af9"/>
          <w:rFonts w:hAnsi="標楷體"/>
        </w:rPr>
        <w:footnoteReference w:id="1"/>
      </w:r>
      <w:r w:rsidRPr="00EF79AD">
        <w:rPr>
          <w:rFonts w:hAnsi="標楷體" w:hint="eastAsia"/>
        </w:rPr>
        <w:t>，以職位升等速度觀之，比較該計畫補助之年輕學者與申請本計畫未通過者升等時間差異，該計畫年輕學者自助理教授升等至副教授所需時間平均</w:t>
      </w:r>
      <w:r w:rsidRPr="00EF79AD">
        <w:rPr>
          <w:rFonts w:hAnsi="標楷體"/>
        </w:rPr>
        <w:t>4</w:t>
      </w:r>
      <w:r w:rsidRPr="00EF79AD">
        <w:rPr>
          <w:rFonts w:hAnsi="標楷體" w:hint="eastAsia"/>
        </w:rPr>
        <w:t>年，如為助理教授升等至教授為平均</w:t>
      </w:r>
      <w:r w:rsidRPr="00EF79AD">
        <w:rPr>
          <w:rFonts w:hAnsi="標楷體"/>
        </w:rPr>
        <w:t>7</w:t>
      </w:r>
      <w:r w:rsidRPr="00EF79AD">
        <w:rPr>
          <w:rFonts w:hAnsi="標楷體" w:hint="eastAsia"/>
        </w:rPr>
        <w:t>.72年，申請本計畫未通過者由助理教授升等至教授平均時間需</w:t>
      </w:r>
      <w:r w:rsidRPr="00EF79AD">
        <w:rPr>
          <w:rFonts w:hAnsi="標楷體"/>
        </w:rPr>
        <w:t>8</w:t>
      </w:r>
      <w:r w:rsidRPr="00EF79AD">
        <w:rPr>
          <w:rFonts w:hAnsi="標楷體" w:hint="eastAsia"/>
        </w:rPr>
        <w:t>.28年，兩者差距僅0.56年(約半年)，顯示參與該計畫之學者職位升等相較未參與者並無明顯優勢(詳表2)。</w:t>
      </w:r>
    </w:p>
    <w:p w:rsidR="00177FFC" w:rsidRPr="00EF79AD" w:rsidRDefault="00177FFC" w:rsidP="00E05A6A">
      <w:pPr>
        <w:spacing w:line="400" w:lineRule="exact"/>
        <w:ind w:leftChars="0" w:left="850" w:hangingChars="300" w:hanging="850"/>
        <w:rPr>
          <w:rFonts w:hAnsi="標楷體"/>
          <w:sz w:val="24"/>
          <w:szCs w:val="24"/>
        </w:rPr>
      </w:pPr>
      <w:r w:rsidRPr="00EF79AD">
        <w:rPr>
          <w:rFonts w:hAnsi="標楷體"/>
          <w:b/>
        </w:rPr>
        <w:t>表</w:t>
      </w:r>
      <w:r w:rsidRPr="00EF79AD">
        <w:rPr>
          <w:rFonts w:hAnsi="標楷體" w:hint="eastAsia"/>
          <w:b/>
        </w:rPr>
        <w:t>2  參與及未參與年輕學者養成計畫之學者</w:t>
      </w:r>
      <w:r w:rsidRPr="00EF79AD">
        <w:rPr>
          <w:rFonts w:hAnsi="標楷體"/>
          <w:b/>
        </w:rPr>
        <w:t>自助理教授升等至教授所需時間</w:t>
      </w:r>
      <w:r w:rsidRPr="00EF79AD">
        <w:rPr>
          <w:rFonts w:hAnsi="標楷體" w:hint="eastAsia"/>
          <w:b/>
        </w:rPr>
        <w:t>及</w:t>
      </w:r>
      <w:r w:rsidRPr="00EF79AD">
        <w:rPr>
          <w:rFonts w:hAnsi="標楷體"/>
          <w:b/>
        </w:rPr>
        <w:t>人數</w:t>
      </w:r>
      <w:r w:rsidRPr="00EF79AD">
        <w:rPr>
          <w:rFonts w:hAnsi="標楷體" w:hint="eastAsia"/>
          <w:b/>
        </w:rPr>
        <w:t xml:space="preserve">占比表                         </w:t>
      </w:r>
      <w:r w:rsidRPr="00EF79AD">
        <w:rPr>
          <w:rFonts w:hAnsi="標楷體" w:hint="eastAsia"/>
          <w:sz w:val="24"/>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1043"/>
        <w:gridCol w:w="689"/>
        <w:gridCol w:w="690"/>
        <w:gridCol w:w="689"/>
        <w:gridCol w:w="690"/>
        <w:gridCol w:w="689"/>
        <w:gridCol w:w="690"/>
        <w:gridCol w:w="689"/>
        <w:gridCol w:w="690"/>
        <w:gridCol w:w="689"/>
        <w:gridCol w:w="690"/>
      </w:tblGrid>
      <w:tr w:rsidR="00177FFC" w:rsidRPr="00EF79AD" w:rsidTr="00E05A6A">
        <w:trPr>
          <w:tblHeader/>
        </w:trPr>
        <w:tc>
          <w:tcPr>
            <w:tcW w:w="1610" w:type="dxa"/>
            <w:gridSpan w:val="2"/>
            <w:tcBorders>
              <w:top w:val="single" w:sz="12" w:space="0" w:color="auto"/>
              <w:bottom w:val="single" w:sz="6" w:space="0" w:color="auto"/>
              <w:tl2br w:val="single" w:sz="6" w:space="0" w:color="auto"/>
            </w:tcBorders>
            <w:vAlign w:val="center"/>
          </w:tcPr>
          <w:p w:rsidR="00177FFC" w:rsidRPr="00EF79AD" w:rsidRDefault="00177FFC" w:rsidP="00E05A6A">
            <w:pPr>
              <w:pStyle w:val="142"/>
              <w:jc w:val="right"/>
              <w:rPr>
                <w:rFonts w:hAnsi="標楷體"/>
              </w:rPr>
            </w:pPr>
            <w:r w:rsidRPr="00EF79AD">
              <w:rPr>
                <w:rFonts w:hAnsi="標楷體" w:hint="eastAsia"/>
              </w:rPr>
              <w:lastRenderedPageBreak/>
              <w:t>時間</w:t>
            </w:r>
          </w:p>
          <w:p w:rsidR="00177FFC" w:rsidRPr="00EF79AD" w:rsidRDefault="00177FFC" w:rsidP="00E05A6A">
            <w:pPr>
              <w:pStyle w:val="142"/>
              <w:rPr>
                <w:rFonts w:hAnsi="標楷體"/>
              </w:rPr>
            </w:pPr>
            <w:r w:rsidRPr="00EF79AD">
              <w:rPr>
                <w:rFonts w:hAnsi="標楷體"/>
              </w:rPr>
              <w:t>類別</w:t>
            </w:r>
          </w:p>
        </w:tc>
        <w:tc>
          <w:tcPr>
            <w:tcW w:w="689" w:type="dxa"/>
            <w:vAlign w:val="center"/>
          </w:tcPr>
          <w:p w:rsidR="00177FFC" w:rsidRPr="00EF79AD" w:rsidRDefault="00177FFC" w:rsidP="00E05A6A">
            <w:pPr>
              <w:pStyle w:val="142"/>
              <w:jc w:val="center"/>
              <w:rPr>
                <w:rFonts w:hAnsi="標楷體"/>
              </w:rPr>
            </w:pPr>
            <w:r w:rsidRPr="00EF79AD">
              <w:rPr>
                <w:rFonts w:hAnsi="標楷體"/>
              </w:rPr>
              <w:t>5</w:t>
            </w:r>
            <w:r w:rsidRPr="00EF79AD">
              <w:rPr>
                <w:rFonts w:hAnsi="標楷體" w:hint="eastAsia"/>
              </w:rPr>
              <w:t>年</w:t>
            </w:r>
          </w:p>
        </w:tc>
        <w:tc>
          <w:tcPr>
            <w:tcW w:w="690" w:type="dxa"/>
            <w:vAlign w:val="center"/>
          </w:tcPr>
          <w:p w:rsidR="00177FFC" w:rsidRPr="00EF79AD" w:rsidRDefault="00177FFC" w:rsidP="00E05A6A">
            <w:pPr>
              <w:pStyle w:val="142"/>
              <w:jc w:val="center"/>
              <w:rPr>
                <w:rFonts w:hAnsi="標楷體"/>
              </w:rPr>
            </w:pPr>
            <w:r w:rsidRPr="00EF79AD">
              <w:rPr>
                <w:rFonts w:hAnsi="標楷體"/>
              </w:rPr>
              <w:t>6</w:t>
            </w:r>
            <w:r w:rsidRPr="00EF79AD">
              <w:rPr>
                <w:rFonts w:hAnsi="標楷體" w:hint="eastAsia"/>
              </w:rPr>
              <w:t>年</w:t>
            </w:r>
          </w:p>
        </w:tc>
        <w:tc>
          <w:tcPr>
            <w:tcW w:w="689" w:type="dxa"/>
            <w:vAlign w:val="center"/>
          </w:tcPr>
          <w:p w:rsidR="00177FFC" w:rsidRPr="00EF79AD" w:rsidRDefault="00177FFC" w:rsidP="00E05A6A">
            <w:pPr>
              <w:pStyle w:val="142"/>
              <w:jc w:val="center"/>
              <w:rPr>
                <w:rFonts w:hAnsi="標楷體"/>
              </w:rPr>
            </w:pPr>
            <w:r w:rsidRPr="00EF79AD">
              <w:rPr>
                <w:rFonts w:hAnsi="標楷體"/>
              </w:rPr>
              <w:t>7</w:t>
            </w:r>
            <w:r w:rsidRPr="00EF79AD">
              <w:rPr>
                <w:rFonts w:hAnsi="標楷體" w:hint="eastAsia"/>
              </w:rPr>
              <w:t>年</w:t>
            </w:r>
          </w:p>
        </w:tc>
        <w:tc>
          <w:tcPr>
            <w:tcW w:w="690" w:type="dxa"/>
            <w:vAlign w:val="center"/>
          </w:tcPr>
          <w:p w:rsidR="00177FFC" w:rsidRPr="00EF79AD" w:rsidRDefault="00177FFC" w:rsidP="00E05A6A">
            <w:pPr>
              <w:pStyle w:val="142"/>
              <w:jc w:val="center"/>
              <w:rPr>
                <w:rFonts w:hAnsi="標楷體"/>
              </w:rPr>
            </w:pPr>
            <w:r w:rsidRPr="00EF79AD">
              <w:rPr>
                <w:rFonts w:hAnsi="標楷體"/>
              </w:rPr>
              <w:t>8</w:t>
            </w:r>
            <w:r w:rsidRPr="00EF79AD">
              <w:rPr>
                <w:rFonts w:hAnsi="標楷體" w:hint="eastAsia"/>
              </w:rPr>
              <w:t>年</w:t>
            </w:r>
          </w:p>
        </w:tc>
        <w:tc>
          <w:tcPr>
            <w:tcW w:w="689" w:type="dxa"/>
            <w:vAlign w:val="center"/>
          </w:tcPr>
          <w:p w:rsidR="00177FFC" w:rsidRPr="00EF79AD" w:rsidRDefault="00177FFC" w:rsidP="00E05A6A">
            <w:pPr>
              <w:pStyle w:val="142"/>
              <w:jc w:val="center"/>
              <w:rPr>
                <w:rFonts w:hAnsi="標楷體"/>
              </w:rPr>
            </w:pPr>
            <w:r w:rsidRPr="00EF79AD">
              <w:rPr>
                <w:rFonts w:hAnsi="標楷體"/>
              </w:rPr>
              <w:t>9</w:t>
            </w:r>
            <w:r w:rsidRPr="00EF79AD">
              <w:rPr>
                <w:rFonts w:hAnsi="標楷體" w:hint="eastAsia"/>
              </w:rPr>
              <w:t>年</w:t>
            </w:r>
          </w:p>
        </w:tc>
        <w:tc>
          <w:tcPr>
            <w:tcW w:w="690" w:type="dxa"/>
            <w:vAlign w:val="center"/>
          </w:tcPr>
          <w:p w:rsidR="00177FFC" w:rsidRPr="00EF79AD" w:rsidRDefault="00177FFC" w:rsidP="00E05A6A">
            <w:pPr>
              <w:pStyle w:val="142"/>
              <w:jc w:val="center"/>
              <w:rPr>
                <w:rFonts w:hAnsi="標楷體"/>
                <w:spacing w:val="-20"/>
              </w:rPr>
            </w:pPr>
            <w:r w:rsidRPr="00EF79AD">
              <w:rPr>
                <w:rFonts w:hAnsi="標楷體"/>
                <w:spacing w:val="-20"/>
              </w:rPr>
              <w:t>10</w:t>
            </w:r>
            <w:r w:rsidRPr="00EF79AD">
              <w:rPr>
                <w:rFonts w:hAnsi="標楷體" w:hint="eastAsia"/>
                <w:spacing w:val="-20"/>
              </w:rPr>
              <w:t>年</w:t>
            </w:r>
          </w:p>
        </w:tc>
        <w:tc>
          <w:tcPr>
            <w:tcW w:w="689" w:type="dxa"/>
            <w:vAlign w:val="center"/>
          </w:tcPr>
          <w:p w:rsidR="00177FFC" w:rsidRPr="00EF79AD" w:rsidRDefault="00177FFC" w:rsidP="00E05A6A">
            <w:pPr>
              <w:pStyle w:val="142"/>
              <w:jc w:val="center"/>
              <w:rPr>
                <w:rFonts w:hAnsi="標楷體"/>
                <w:spacing w:val="-20"/>
              </w:rPr>
            </w:pPr>
            <w:r w:rsidRPr="00EF79AD">
              <w:rPr>
                <w:rFonts w:hAnsi="標楷體"/>
                <w:spacing w:val="-20"/>
              </w:rPr>
              <w:t>11</w:t>
            </w:r>
            <w:r w:rsidRPr="00EF79AD">
              <w:rPr>
                <w:rFonts w:hAnsi="標楷體" w:hint="eastAsia"/>
                <w:spacing w:val="-20"/>
              </w:rPr>
              <w:t>年</w:t>
            </w:r>
          </w:p>
        </w:tc>
        <w:tc>
          <w:tcPr>
            <w:tcW w:w="690" w:type="dxa"/>
            <w:vAlign w:val="center"/>
          </w:tcPr>
          <w:p w:rsidR="00177FFC" w:rsidRPr="00EF79AD" w:rsidRDefault="00177FFC" w:rsidP="00E05A6A">
            <w:pPr>
              <w:pStyle w:val="142"/>
              <w:jc w:val="center"/>
              <w:rPr>
                <w:rFonts w:hAnsi="標楷體"/>
                <w:spacing w:val="-20"/>
              </w:rPr>
            </w:pPr>
            <w:r w:rsidRPr="00EF79AD">
              <w:rPr>
                <w:rFonts w:hAnsi="標楷體"/>
                <w:spacing w:val="-20"/>
              </w:rPr>
              <w:t>12</w:t>
            </w:r>
            <w:r w:rsidRPr="00EF79AD">
              <w:rPr>
                <w:rFonts w:hAnsi="標楷體" w:hint="eastAsia"/>
                <w:spacing w:val="-20"/>
              </w:rPr>
              <w:t>年</w:t>
            </w:r>
          </w:p>
        </w:tc>
        <w:tc>
          <w:tcPr>
            <w:tcW w:w="689" w:type="dxa"/>
            <w:vAlign w:val="center"/>
          </w:tcPr>
          <w:p w:rsidR="00177FFC" w:rsidRPr="00EF79AD" w:rsidRDefault="00177FFC" w:rsidP="00E05A6A">
            <w:pPr>
              <w:pStyle w:val="142"/>
              <w:jc w:val="center"/>
              <w:rPr>
                <w:rFonts w:hAnsi="標楷體"/>
                <w:spacing w:val="-20"/>
              </w:rPr>
            </w:pPr>
            <w:r w:rsidRPr="00EF79AD">
              <w:rPr>
                <w:rFonts w:hAnsi="標楷體"/>
                <w:spacing w:val="-20"/>
              </w:rPr>
              <w:t>13</w:t>
            </w:r>
            <w:r w:rsidRPr="00EF79AD">
              <w:rPr>
                <w:rFonts w:hAnsi="標楷體" w:hint="eastAsia"/>
                <w:spacing w:val="-20"/>
              </w:rPr>
              <w:t>年</w:t>
            </w:r>
          </w:p>
        </w:tc>
        <w:tc>
          <w:tcPr>
            <w:tcW w:w="690" w:type="dxa"/>
            <w:vAlign w:val="center"/>
          </w:tcPr>
          <w:p w:rsidR="00177FFC" w:rsidRPr="00EF79AD" w:rsidRDefault="00177FFC" w:rsidP="00E05A6A">
            <w:pPr>
              <w:pStyle w:val="142"/>
              <w:jc w:val="center"/>
              <w:rPr>
                <w:rFonts w:hAnsi="標楷體"/>
                <w:spacing w:val="-20"/>
              </w:rPr>
            </w:pPr>
            <w:r w:rsidRPr="00EF79AD">
              <w:rPr>
                <w:rFonts w:hAnsi="標楷體"/>
                <w:spacing w:val="-20"/>
              </w:rPr>
              <w:t>14</w:t>
            </w:r>
            <w:r w:rsidRPr="00EF79AD">
              <w:rPr>
                <w:rFonts w:hAnsi="標楷體" w:hint="eastAsia"/>
                <w:spacing w:val="-20"/>
              </w:rPr>
              <w:t>年</w:t>
            </w:r>
          </w:p>
        </w:tc>
      </w:tr>
      <w:tr w:rsidR="00177FFC" w:rsidRPr="00EF79AD" w:rsidTr="00E05A6A">
        <w:trPr>
          <w:trHeight w:val="560"/>
        </w:trPr>
        <w:tc>
          <w:tcPr>
            <w:tcW w:w="567" w:type="dxa"/>
            <w:vMerge w:val="restart"/>
            <w:tcBorders>
              <w:top w:val="single" w:sz="6" w:space="0" w:color="auto"/>
            </w:tcBorders>
            <w:vAlign w:val="center"/>
          </w:tcPr>
          <w:p w:rsidR="00177FFC" w:rsidRPr="00EF79AD" w:rsidRDefault="00177FFC" w:rsidP="00E05A6A">
            <w:pPr>
              <w:pStyle w:val="142"/>
              <w:jc w:val="center"/>
              <w:rPr>
                <w:rFonts w:hAnsi="標楷體"/>
              </w:rPr>
            </w:pPr>
            <w:r w:rsidRPr="00EF79AD">
              <w:rPr>
                <w:rFonts w:hAnsi="標楷體"/>
              </w:rPr>
              <w:t>本計畫學者</w:t>
            </w:r>
          </w:p>
        </w:tc>
        <w:tc>
          <w:tcPr>
            <w:tcW w:w="1043" w:type="dxa"/>
            <w:tcBorders>
              <w:top w:val="single" w:sz="6" w:space="0" w:color="auto"/>
            </w:tcBorders>
            <w:vAlign w:val="center"/>
          </w:tcPr>
          <w:p w:rsidR="00177FFC" w:rsidRPr="00EF79AD" w:rsidRDefault="00177FFC" w:rsidP="00E05A6A">
            <w:pPr>
              <w:pStyle w:val="142"/>
              <w:rPr>
                <w:rFonts w:hAnsi="標楷體"/>
                <w:spacing w:val="-18"/>
              </w:rPr>
            </w:pPr>
            <w:r w:rsidRPr="00EF79AD">
              <w:rPr>
                <w:rFonts w:hAnsi="標楷體" w:hint="eastAsia"/>
                <w:spacing w:val="-18"/>
              </w:rPr>
              <w:t>當年度升等</w:t>
            </w:r>
            <w:r w:rsidRPr="00EF79AD">
              <w:rPr>
                <w:rFonts w:hAnsi="標楷體"/>
                <w:spacing w:val="-18"/>
              </w:rPr>
              <w:t>人數</w:t>
            </w:r>
          </w:p>
        </w:tc>
        <w:tc>
          <w:tcPr>
            <w:tcW w:w="689" w:type="dxa"/>
            <w:vAlign w:val="center"/>
          </w:tcPr>
          <w:p w:rsidR="00177FFC" w:rsidRPr="00EF79AD" w:rsidRDefault="00177FFC" w:rsidP="00E05A6A">
            <w:pPr>
              <w:pStyle w:val="142"/>
              <w:jc w:val="right"/>
              <w:rPr>
                <w:rFonts w:hAnsi="標楷體"/>
              </w:rPr>
            </w:pPr>
            <w:r w:rsidRPr="00EF79AD">
              <w:rPr>
                <w:rFonts w:hAnsi="標楷體"/>
              </w:rPr>
              <w:t>1</w:t>
            </w:r>
          </w:p>
        </w:tc>
        <w:tc>
          <w:tcPr>
            <w:tcW w:w="690" w:type="dxa"/>
            <w:vAlign w:val="center"/>
          </w:tcPr>
          <w:p w:rsidR="00177FFC" w:rsidRPr="00EF79AD" w:rsidRDefault="00177FFC" w:rsidP="00E05A6A">
            <w:pPr>
              <w:pStyle w:val="142"/>
              <w:jc w:val="right"/>
              <w:rPr>
                <w:rFonts w:hAnsi="標楷體"/>
              </w:rPr>
            </w:pPr>
            <w:r w:rsidRPr="00EF79AD">
              <w:rPr>
                <w:rFonts w:hAnsi="標楷體"/>
              </w:rPr>
              <w:t>10</w:t>
            </w:r>
          </w:p>
        </w:tc>
        <w:tc>
          <w:tcPr>
            <w:tcW w:w="689" w:type="dxa"/>
            <w:vAlign w:val="center"/>
          </w:tcPr>
          <w:p w:rsidR="00177FFC" w:rsidRPr="00EF79AD" w:rsidRDefault="00177FFC" w:rsidP="00E05A6A">
            <w:pPr>
              <w:pStyle w:val="142"/>
              <w:jc w:val="right"/>
              <w:rPr>
                <w:rFonts w:hAnsi="標楷體"/>
              </w:rPr>
            </w:pPr>
            <w:r w:rsidRPr="00EF79AD">
              <w:rPr>
                <w:rFonts w:hAnsi="標楷體"/>
              </w:rPr>
              <w:t>17</w:t>
            </w:r>
          </w:p>
        </w:tc>
        <w:tc>
          <w:tcPr>
            <w:tcW w:w="690" w:type="dxa"/>
            <w:vAlign w:val="center"/>
          </w:tcPr>
          <w:p w:rsidR="00177FFC" w:rsidRPr="00EF79AD" w:rsidRDefault="00177FFC" w:rsidP="00E05A6A">
            <w:pPr>
              <w:pStyle w:val="142"/>
              <w:jc w:val="right"/>
              <w:rPr>
                <w:rFonts w:hAnsi="標楷體"/>
              </w:rPr>
            </w:pPr>
            <w:r w:rsidRPr="00EF79AD">
              <w:rPr>
                <w:rFonts w:hAnsi="標楷體"/>
              </w:rPr>
              <w:t>16</w:t>
            </w:r>
          </w:p>
        </w:tc>
        <w:tc>
          <w:tcPr>
            <w:tcW w:w="689" w:type="dxa"/>
            <w:vAlign w:val="center"/>
          </w:tcPr>
          <w:p w:rsidR="00177FFC" w:rsidRPr="00EF79AD" w:rsidRDefault="00177FFC" w:rsidP="00E05A6A">
            <w:pPr>
              <w:pStyle w:val="142"/>
              <w:jc w:val="right"/>
              <w:rPr>
                <w:rFonts w:hAnsi="標楷體"/>
              </w:rPr>
            </w:pPr>
            <w:r w:rsidRPr="00EF79AD">
              <w:rPr>
                <w:rFonts w:hAnsi="標楷體"/>
              </w:rPr>
              <w:t>11</w:t>
            </w:r>
          </w:p>
        </w:tc>
        <w:tc>
          <w:tcPr>
            <w:tcW w:w="690" w:type="dxa"/>
            <w:vAlign w:val="center"/>
          </w:tcPr>
          <w:p w:rsidR="00177FFC" w:rsidRPr="00EF79AD" w:rsidRDefault="00177FFC" w:rsidP="00E05A6A">
            <w:pPr>
              <w:pStyle w:val="142"/>
              <w:jc w:val="right"/>
              <w:rPr>
                <w:rFonts w:hAnsi="標楷體"/>
              </w:rPr>
            </w:pPr>
            <w:r w:rsidRPr="00EF79AD">
              <w:rPr>
                <w:rFonts w:hAnsi="標楷體"/>
              </w:rPr>
              <w:t>3</w:t>
            </w:r>
          </w:p>
        </w:tc>
        <w:tc>
          <w:tcPr>
            <w:tcW w:w="689" w:type="dxa"/>
            <w:vAlign w:val="center"/>
          </w:tcPr>
          <w:p w:rsidR="00177FFC" w:rsidRPr="00EF79AD" w:rsidRDefault="00177FFC" w:rsidP="00E05A6A">
            <w:pPr>
              <w:pStyle w:val="142"/>
              <w:jc w:val="right"/>
              <w:rPr>
                <w:rFonts w:hAnsi="標楷體"/>
              </w:rPr>
            </w:pPr>
            <w:r w:rsidRPr="00EF79AD">
              <w:rPr>
                <w:rFonts w:hAnsi="標楷體"/>
              </w:rPr>
              <w:t>2</w:t>
            </w:r>
          </w:p>
        </w:tc>
        <w:tc>
          <w:tcPr>
            <w:tcW w:w="690" w:type="dxa"/>
            <w:vAlign w:val="center"/>
          </w:tcPr>
          <w:p w:rsidR="00177FFC" w:rsidRPr="00EF79AD" w:rsidRDefault="00177FFC" w:rsidP="00E05A6A">
            <w:pPr>
              <w:pStyle w:val="142"/>
              <w:jc w:val="right"/>
              <w:rPr>
                <w:rFonts w:hAnsi="標楷體"/>
              </w:rPr>
            </w:pPr>
            <w:r w:rsidRPr="00EF79AD">
              <w:rPr>
                <w:rFonts w:hAnsi="標楷體"/>
              </w:rPr>
              <w:t>-</w:t>
            </w:r>
          </w:p>
        </w:tc>
        <w:tc>
          <w:tcPr>
            <w:tcW w:w="689" w:type="dxa"/>
            <w:vAlign w:val="center"/>
          </w:tcPr>
          <w:p w:rsidR="00177FFC" w:rsidRPr="00EF79AD" w:rsidRDefault="00177FFC" w:rsidP="00E05A6A">
            <w:pPr>
              <w:pStyle w:val="142"/>
              <w:jc w:val="right"/>
              <w:rPr>
                <w:rFonts w:hAnsi="標楷體"/>
              </w:rPr>
            </w:pPr>
            <w:r w:rsidRPr="00EF79AD">
              <w:rPr>
                <w:rFonts w:hAnsi="標楷體"/>
              </w:rPr>
              <w:t>-</w:t>
            </w:r>
          </w:p>
        </w:tc>
        <w:tc>
          <w:tcPr>
            <w:tcW w:w="690" w:type="dxa"/>
            <w:vAlign w:val="center"/>
          </w:tcPr>
          <w:p w:rsidR="00177FFC" w:rsidRPr="00EF79AD" w:rsidRDefault="00177FFC" w:rsidP="00E05A6A">
            <w:pPr>
              <w:pStyle w:val="142"/>
              <w:jc w:val="right"/>
              <w:rPr>
                <w:rFonts w:hAnsi="標楷體"/>
              </w:rPr>
            </w:pPr>
            <w:r w:rsidRPr="00EF79AD">
              <w:rPr>
                <w:rFonts w:hAnsi="標楷體"/>
              </w:rPr>
              <w:t>-</w:t>
            </w:r>
          </w:p>
        </w:tc>
      </w:tr>
      <w:tr w:rsidR="00177FFC" w:rsidRPr="00EF79AD" w:rsidTr="00E05A6A">
        <w:trPr>
          <w:trHeight w:val="560"/>
        </w:trPr>
        <w:tc>
          <w:tcPr>
            <w:tcW w:w="567" w:type="dxa"/>
            <w:vMerge/>
            <w:vAlign w:val="center"/>
          </w:tcPr>
          <w:p w:rsidR="00177FFC" w:rsidRPr="00EF79AD" w:rsidRDefault="00177FFC" w:rsidP="00E05A6A">
            <w:pPr>
              <w:pStyle w:val="142"/>
              <w:jc w:val="center"/>
              <w:rPr>
                <w:rFonts w:hAnsi="標楷體"/>
              </w:rPr>
            </w:pPr>
          </w:p>
        </w:tc>
        <w:tc>
          <w:tcPr>
            <w:tcW w:w="1043" w:type="dxa"/>
            <w:vAlign w:val="center"/>
          </w:tcPr>
          <w:p w:rsidR="00177FFC" w:rsidRPr="00EF79AD" w:rsidRDefault="00177FFC" w:rsidP="00E05A6A">
            <w:pPr>
              <w:pStyle w:val="142"/>
              <w:rPr>
                <w:rFonts w:hAnsi="標楷體"/>
                <w:spacing w:val="-18"/>
              </w:rPr>
            </w:pPr>
            <w:r w:rsidRPr="00EF79AD">
              <w:rPr>
                <w:rFonts w:hAnsi="標楷體" w:hint="eastAsia"/>
                <w:spacing w:val="-18"/>
              </w:rPr>
              <w:t>當年度升等占比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1.67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16.67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28.33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26.67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18.33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5.00 </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3.33 </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spacing w:val="-20"/>
              </w:rPr>
              <w:t>-</w:t>
            </w:r>
          </w:p>
        </w:tc>
        <w:tc>
          <w:tcPr>
            <w:tcW w:w="689" w:type="dxa"/>
            <w:vAlign w:val="center"/>
          </w:tcPr>
          <w:p w:rsidR="00177FFC" w:rsidRPr="00EF79AD" w:rsidRDefault="00177FFC" w:rsidP="00E05A6A">
            <w:pPr>
              <w:pStyle w:val="142"/>
              <w:jc w:val="right"/>
              <w:rPr>
                <w:rFonts w:hAnsi="標楷體"/>
                <w:spacing w:val="-20"/>
              </w:rPr>
            </w:pPr>
            <w:r w:rsidRPr="00EF79AD">
              <w:rPr>
                <w:rFonts w:hAnsi="標楷體"/>
                <w:spacing w:val="-20"/>
              </w:rPr>
              <w:t>-</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spacing w:val="-20"/>
              </w:rPr>
              <w:t>-</w:t>
            </w:r>
          </w:p>
        </w:tc>
      </w:tr>
      <w:tr w:rsidR="00177FFC" w:rsidRPr="00EF79AD" w:rsidTr="00E05A6A">
        <w:trPr>
          <w:trHeight w:val="560"/>
        </w:trPr>
        <w:tc>
          <w:tcPr>
            <w:tcW w:w="567" w:type="dxa"/>
            <w:vMerge/>
            <w:vAlign w:val="center"/>
          </w:tcPr>
          <w:p w:rsidR="00177FFC" w:rsidRPr="00EF79AD" w:rsidRDefault="00177FFC" w:rsidP="00E05A6A">
            <w:pPr>
              <w:pStyle w:val="142"/>
              <w:jc w:val="center"/>
              <w:rPr>
                <w:rFonts w:hAnsi="標楷體"/>
              </w:rPr>
            </w:pPr>
          </w:p>
        </w:tc>
        <w:tc>
          <w:tcPr>
            <w:tcW w:w="1043" w:type="dxa"/>
            <w:vAlign w:val="center"/>
          </w:tcPr>
          <w:p w:rsidR="00177FFC" w:rsidRPr="00EF79AD" w:rsidRDefault="00177FFC" w:rsidP="00E05A6A">
            <w:pPr>
              <w:pStyle w:val="142"/>
              <w:rPr>
                <w:rFonts w:hAnsi="標楷體"/>
                <w:spacing w:val="-20"/>
              </w:rPr>
            </w:pPr>
            <w:r w:rsidRPr="00EF79AD">
              <w:rPr>
                <w:rFonts w:hAnsi="標楷體" w:hint="eastAsia"/>
                <w:spacing w:val="-20"/>
              </w:rPr>
              <w:t>累計占比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1.67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18.33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46.67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73.33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91.67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96.67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100.0 </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hint="eastAsia"/>
                <w:spacing w:val="-20"/>
              </w:rPr>
              <w:t>-</w:t>
            </w:r>
          </w:p>
        </w:tc>
        <w:tc>
          <w:tcPr>
            <w:tcW w:w="689" w:type="dxa"/>
            <w:vAlign w:val="center"/>
          </w:tcPr>
          <w:p w:rsidR="00177FFC" w:rsidRPr="00EF79AD" w:rsidRDefault="00177FFC" w:rsidP="00E05A6A">
            <w:pPr>
              <w:pStyle w:val="142"/>
              <w:jc w:val="right"/>
              <w:rPr>
                <w:rFonts w:hAnsi="標楷體"/>
                <w:spacing w:val="-20"/>
              </w:rPr>
            </w:pPr>
            <w:r w:rsidRPr="00EF79AD">
              <w:rPr>
                <w:rFonts w:hAnsi="標楷體" w:hint="eastAsia"/>
                <w:spacing w:val="-20"/>
              </w:rPr>
              <w:t>-</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hint="eastAsia"/>
                <w:spacing w:val="-20"/>
              </w:rPr>
              <w:t>-</w:t>
            </w:r>
          </w:p>
        </w:tc>
      </w:tr>
      <w:tr w:rsidR="00177FFC" w:rsidRPr="00EF79AD" w:rsidTr="00E05A6A">
        <w:trPr>
          <w:trHeight w:val="560"/>
        </w:trPr>
        <w:tc>
          <w:tcPr>
            <w:tcW w:w="567" w:type="dxa"/>
            <w:vMerge w:val="restart"/>
            <w:vAlign w:val="center"/>
          </w:tcPr>
          <w:p w:rsidR="00177FFC" w:rsidRPr="00EF79AD" w:rsidRDefault="00177FFC" w:rsidP="00E05A6A">
            <w:pPr>
              <w:pStyle w:val="142"/>
              <w:jc w:val="center"/>
              <w:rPr>
                <w:rFonts w:hAnsi="標楷體"/>
              </w:rPr>
            </w:pPr>
            <w:r w:rsidRPr="00EF79AD">
              <w:rPr>
                <w:rFonts w:hAnsi="標楷體"/>
              </w:rPr>
              <w:t>非本</w:t>
            </w:r>
            <w:r w:rsidRPr="00EF79AD">
              <w:rPr>
                <w:rFonts w:hAnsi="標楷體"/>
              </w:rPr>
              <w:lastRenderedPageBreak/>
              <w:t>計畫學者</w:t>
            </w:r>
          </w:p>
        </w:tc>
        <w:tc>
          <w:tcPr>
            <w:tcW w:w="1043" w:type="dxa"/>
            <w:vAlign w:val="center"/>
          </w:tcPr>
          <w:p w:rsidR="00177FFC" w:rsidRPr="00EF79AD" w:rsidRDefault="00177FFC" w:rsidP="00E05A6A">
            <w:pPr>
              <w:pStyle w:val="142"/>
              <w:rPr>
                <w:rFonts w:hAnsi="標楷體"/>
                <w:spacing w:val="-18"/>
              </w:rPr>
            </w:pPr>
            <w:r w:rsidRPr="00EF79AD">
              <w:rPr>
                <w:rFonts w:hAnsi="標楷體" w:hint="eastAsia"/>
                <w:spacing w:val="-18"/>
              </w:rPr>
              <w:lastRenderedPageBreak/>
              <w:t>當年度升等</w:t>
            </w:r>
            <w:r w:rsidRPr="00EF79AD">
              <w:rPr>
                <w:rFonts w:hAnsi="標楷體"/>
                <w:spacing w:val="-18"/>
              </w:rPr>
              <w:t>人數</w:t>
            </w:r>
          </w:p>
        </w:tc>
        <w:tc>
          <w:tcPr>
            <w:tcW w:w="689" w:type="dxa"/>
            <w:vAlign w:val="center"/>
          </w:tcPr>
          <w:p w:rsidR="00177FFC" w:rsidRPr="00EF79AD" w:rsidRDefault="00177FFC" w:rsidP="00E05A6A">
            <w:pPr>
              <w:pStyle w:val="142"/>
              <w:jc w:val="right"/>
              <w:rPr>
                <w:rFonts w:hAnsi="標楷體"/>
              </w:rPr>
            </w:pPr>
            <w:r w:rsidRPr="00EF79AD">
              <w:rPr>
                <w:rFonts w:hAnsi="標楷體"/>
              </w:rPr>
              <w:t>1</w:t>
            </w:r>
          </w:p>
        </w:tc>
        <w:tc>
          <w:tcPr>
            <w:tcW w:w="690" w:type="dxa"/>
            <w:vAlign w:val="center"/>
          </w:tcPr>
          <w:p w:rsidR="00177FFC" w:rsidRPr="00EF79AD" w:rsidRDefault="00177FFC" w:rsidP="00E05A6A">
            <w:pPr>
              <w:pStyle w:val="142"/>
              <w:jc w:val="right"/>
              <w:rPr>
                <w:rFonts w:hAnsi="標楷體"/>
              </w:rPr>
            </w:pPr>
            <w:r w:rsidRPr="00EF79AD">
              <w:rPr>
                <w:rFonts w:hAnsi="標楷體"/>
              </w:rPr>
              <w:t>12</w:t>
            </w:r>
          </w:p>
        </w:tc>
        <w:tc>
          <w:tcPr>
            <w:tcW w:w="689" w:type="dxa"/>
            <w:vAlign w:val="center"/>
          </w:tcPr>
          <w:p w:rsidR="00177FFC" w:rsidRPr="00EF79AD" w:rsidRDefault="00177FFC" w:rsidP="00E05A6A">
            <w:pPr>
              <w:pStyle w:val="142"/>
              <w:jc w:val="right"/>
              <w:rPr>
                <w:rFonts w:hAnsi="標楷體"/>
              </w:rPr>
            </w:pPr>
            <w:r w:rsidRPr="00EF79AD">
              <w:rPr>
                <w:rFonts w:hAnsi="標楷體"/>
              </w:rPr>
              <w:t>31</w:t>
            </w:r>
          </w:p>
        </w:tc>
        <w:tc>
          <w:tcPr>
            <w:tcW w:w="690" w:type="dxa"/>
            <w:vAlign w:val="center"/>
          </w:tcPr>
          <w:p w:rsidR="00177FFC" w:rsidRPr="00EF79AD" w:rsidRDefault="00177FFC" w:rsidP="00E05A6A">
            <w:pPr>
              <w:pStyle w:val="142"/>
              <w:jc w:val="right"/>
              <w:rPr>
                <w:rFonts w:hAnsi="標楷體"/>
              </w:rPr>
            </w:pPr>
            <w:r w:rsidRPr="00EF79AD">
              <w:rPr>
                <w:rFonts w:hAnsi="標楷體"/>
              </w:rPr>
              <w:t>32</w:t>
            </w:r>
          </w:p>
        </w:tc>
        <w:tc>
          <w:tcPr>
            <w:tcW w:w="689" w:type="dxa"/>
            <w:vAlign w:val="center"/>
          </w:tcPr>
          <w:p w:rsidR="00177FFC" w:rsidRPr="00EF79AD" w:rsidRDefault="00177FFC" w:rsidP="00E05A6A">
            <w:pPr>
              <w:pStyle w:val="142"/>
              <w:jc w:val="right"/>
              <w:rPr>
                <w:rFonts w:hAnsi="標楷體"/>
              </w:rPr>
            </w:pPr>
            <w:r w:rsidRPr="00EF79AD">
              <w:rPr>
                <w:rFonts w:hAnsi="標楷體"/>
              </w:rPr>
              <w:t>17</w:t>
            </w:r>
          </w:p>
        </w:tc>
        <w:tc>
          <w:tcPr>
            <w:tcW w:w="690" w:type="dxa"/>
            <w:vAlign w:val="center"/>
          </w:tcPr>
          <w:p w:rsidR="00177FFC" w:rsidRPr="00EF79AD" w:rsidRDefault="00177FFC" w:rsidP="00E05A6A">
            <w:pPr>
              <w:pStyle w:val="142"/>
              <w:jc w:val="right"/>
              <w:rPr>
                <w:rFonts w:hAnsi="標楷體"/>
              </w:rPr>
            </w:pPr>
            <w:r w:rsidRPr="00EF79AD">
              <w:rPr>
                <w:rFonts w:hAnsi="標楷體"/>
              </w:rPr>
              <w:t>17</w:t>
            </w:r>
          </w:p>
        </w:tc>
        <w:tc>
          <w:tcPr>
            <w:tcW w:w="689" w:type="dxa"/>
            <w:vAlign w:val="center"/>
          </w:tcPr>
          <w:p w:rsidR="00177FFC" w:rsidRPr="00EF79AD" w:rsidRDefault="00177FFC" w:rsidP="00E05A6A">
            <w:pPr>
              <w:pStyle w:val="142"/>
              <w:jc w:val="right"/>
              <w:rPr>
                <w:rFonts w:hAnsi="標楷體"/>
              </w:rPr>
            </w:pPr>
            <w:r w:rsidRPr="00EF79AD">
              <w:rPr>
                <w:rFonts w:hAnsi="標楷體"/>
              </w:rPr>
              <w:t>6</w:t>
            </w:r>
          </w:p>
        </w:tc>
        <w:tc>
          <w:tcPr>
            <w:tcW w:w="690" w:type="dxa"/>
            <w:vAlign w:val="center"/>
          </w:tcPr>
          <w:p w:rsidR="00177FFC" w:rsidRPr="00EF79AD" w:rsidRDefault="00177FFC" w:rsidP="00E05A6A">
            <w:pPr>
              <w:pStyle w:val="142"/>
              <w:jc w:val="right"/>
              <w:rPr>
                <w:rFonts w:hAnsi="標楷體"/>
              </w:rPr>
            </w:pPr>
            <w:r w:rsidRPr="00EF79AD">
              <w:rPr>
                <w:rFonts w:hAnsi="標楷體"/>
              </w:rPr>
              <w:t>3</w:t>
            </w:r>
          </w:p>
        </w:tc>
        <w:tc>
          <w:tcPr>
            <w:tcW w:w="689" w:type="dxa"/>
            <w:vAlign w:val="center"/>
          </w:tcPr>
          <w:p w:rsidR="00177FFC" w:rsidRPr="00EF79AD" w:rsidRDefault="00177FFC" w:rsidP="00E05A6A">
            <w:pPr>
              <w:pStyle w:val="142"/>
              <w:jc w:val="right"/>
              <w:rPr>
                <w:rFonts w:hAnsi="標楷體"/>
              </w:rPr>
            </w:pPr>
            <w:r w:rsidRPr="00EF79AD">
              <w:rPr>
                <w:rFonts w:hAnsi="標楷體"/>
              </w:rPr>
              <w:t>1</w:t>
            </w:r>
          </w:p>
        </w:tc>
        <w:tc>
          <w:tcPr>
            <w:tcW w:w="690" w:type="dxa"/>
            <w:vAlign w:val="center"/>
          </w:tcPr>
          <w:p w:rsidR="00177FFC" w:rsidRPr="00EF79AD" w:rsidRDefault="00177FFC" w:rsidP="00E05A6A">
            <w:pPr>
              <w:pStyle w:val="142"/>
              <w:jc w:val="right"/>
              <w:rPr>
                <w:rFonts w:hAnsi="標楷體"/>
              </w:rPr>
            </w:pPr>
            <w:r w:rsidRPr="00EF79AD">
              <w:rPr>
                <w:rFonts w:hAnsi="標楷體"/>
              </w:rPr>
              <w:t>1</w:t>
            </w:r>
          </w:p>
        </w:tc>
      </w:tr>
      <w:tr w:rsidR="00177FFC" w:rsidRPr="00EF79AD" w:rsidTr="00E05A6A">
        <w:trPr>
          <w:trHeight w:val="560"/>
        </w:trPr>
        <w:tc>
          <w:tcPr>
            <w:tcW w:w="567" w:type="dxa"/>
            <w:vMerge/>
            <w:vAlign w:val="center"/>
          </w:tcPr>
          <w:p w:rsidR="00177FFC" w:rsidRPr="00EF79AD" w:rsidRDefault="00177FFC" w:rsidP="00E05A6A">
            <w:pPr>
              <w:pStyle w:val="142"/>
              <w:rPr>
                <w:rFonts w:hAnsi="標楷體"/>
              </w:rPr>
            </w:pPr>
          </w:p>
        </w:tc>
        <w:tc>
          <w:tcPr>
            <w:tcW w:w="1043" w:type="dxa"/>
            <w:vAlign w:val="center"/>
          </w:tcPr>
          <w:p w:rsidR="00177FFC" w:rsidRPr="00EF79AD" w:rsidRDefault="00177FFC" w:rsidP="00E05A6A">
            <w:pPr>
              <w:pStyle w:val="142"/>
              <w:rPr>
                <w:rFonts w:hAnsi="標楷體"/>
                <w:spacing w:val="-18"/>
              </w:rPr>
            </w:pPr>
            <w:r w:rsidRPr="00EF79AD">
              <w:rPr>
                <w:rFonts w:hAnsi="標楷體" w:hint="eastAsia"/>
                <w:spacing w:val="-18"/>
              </w:rPr>
              <w:t>當年度升等占比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9.92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25.62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26.45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14.05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14.05 </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4.96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2.48 </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r>
      <w:tr w:rsidR="00177FFC" w:rsidRPr="00EF79AD" w:rsidTr="00E05A6A">
        <w:trPr>
          <w:trHeight w:val="560"/>
        </w:trPr>
        <w:tc>
          <w:tcPr>
            <w:tcW w:w="567" w:type="dxa"/>
            <w:vMerge/>
            <w:vAlign w:val="center"/>
          </w:tcPr>
          <w:p w:rsidR="00177FFC" w:rsidRPr="00EF79AD" w:rsidRDefault="00177FFC" w:rsidP="00E05A6A">
            <w:pPr>
              <w:pStyle w:val="142"/>
              <w:rPr>
                <w:rFonts w:hAnsi="標楷體"/>
              </w:rPr>
            </w:pPr>
          </w:p>
        </w:tc>
        <w:tc>
          <w:tcPr>
            <w:tcW w:w="1043" w:type="dxa"/>
            <w:vAlign w:val="center"/>
          </w:tcPr>
          <w:p w:rsidR="00177FFC" w:rsidRPr="00EF79AD" w:rsidRDefault="00177FFC" w:rsidP="00E05A6A">
            <w:pPr>
              <w:pStyle w:val="142"/>
              <w:rPr>
                <w:rFonts w:hAnsi="標楷體"/>
                <w:spacing w:val="-20"/>
              </w:rPr>
            </w:pPr>
            <w:r w:rsidRPr="00EF79AD">
              <w:rPr>
                <w:rFonts w:hAnsi="標楷體" w:hint="eastAsia"/>
                <w:spacing w:val="-20"/>
              </w:rPr>
              <w:t>累計占比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10.74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36.36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62.81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76.86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90.91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95.87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98.35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99.17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100.0 </w:t>
            </w:r>
          </w:p>
        </w:tc>
      </w:tr>
    </w:tbl>
    <w:p w:rsidR="00177FFC" w:rsidRPr="00EF79AD" w:rsidRDefault="00177FFC" w:rsidP="00E05A6A">
      <w:pPr>
        <w:pStyle w:val="142"/>
        <w:rPr>
          <w:rFonts w:hAnsi="標楷體"/>
        </w:rPr>
      </w:pPr>
      <w:bookmarkStart w:id="12" w:name="_Hlk207633684"/>
      <w:r w:rsidRPr="00EF79AD">
        <w:rPr>
          <w:rFonts w:hAnsi="標楷體" w:hint="eastAsia"/>
        </w:rPr>
        <w:t>資料來源：國科會提供。</w:t>
      </w:r>
    </w:p>
    <w:bookmarkEnd w:id="12"/>
    <w:p w:rsidR="00177FFC" w:rsidRPr="00EF79AD" w:rsidRDefault="00177FFC" w:rsidP="00E05A6A">
      <w:pPr>
        <w:pStyle w:val="123"/>
        <w:ind w:left="1133" w:hanging="283"/>
        <w:rPr>
          <w:rFonts w:hAnsi="標楷體"/>
        </w:rPr>
      </w:pPr>
      <w:r w:rsidRPr="00EF79AD">
        <w:rPr>
          <w:rFonts w:hAnsi="標楷體" w:hint="eastAsia"/>
        </w:rPr>
        <w:t>2.國科會為加強人才培育計畫間之互補及銜接，積極推動研究能量落實，自</w:t>
      </w:r>
      <w:r w:rsidRPr="00EF79AD">
        <w:rPr>
          <w:rFonts w:hAnsi="標楷體"/>
        </w:rPr>
        <w:t>110</w:t>
      </w:r>
      <w:r w:rsidRPr="00EF79AD">
        <w:rPr>
          <w:rFonts w:hAnsi="標楷體" w:hint="eastAsia"/>
        </w:rPr>
        <w:t>年起推動「</w:t>
      </w:r>
      <w:r w:rsidRPr="00EF79AD">
        <w:rPr>
          <w:rFonts w:hAnsi="標楷體"/>
        </w:rPr>
        <w:t xml:space="preserve">2030 </w:t>
      </w:r>
      <w:r w:rsidRPr="00EF79AD">
        <w:rPr>
          <w:rFonts w:hAnsi="標楷體" w:hint="eastAsia"/>
        </w:rPr>
        <w:t>跨世代年輕學者方案」，以常態性資源支持優秀年輕學者，「</w:t>
      </w:r>
      <w:bookmarkStart w:id="13" w:name="_Hlk207197768"/>
      <w:r w:rsidRPr="00EF79AD">
        <w:rPr>
          <w:rFonts w:hAnsi="標楷體" w:hint="eastAsia"/>
        </w:rPr>
        <w:t>年輕學者養成計畫</w:t>
      </w:r>
      <w:bookmarkEnd w:id="13"/>
      <w:r w:rsidRPr="00EF79AD">
        <w:rPr>
          <w:rFonts w:hAnsi="標楷體" w:hint="eastAsia"/>
        </w:rPr>
        <w:t>」屆期後，符合該方案內涵及資格者，得轉至該方案項下各類別計畫執行，以促使本計畫發掘及培植之年輕學者，逐步銜接學術攻頂職涯發展途徑</w:t>
      </w:r>
      <w:r w:rsidRPr="00EF79AD">
        <w:rPr>
          <w:rStyle w:val="af9"/>
          <w:rFonts w:hAnsi="標楷體"/>
        </w:rPr>
        <w:footnoteReference w:id="2"/>
      </w:r>
      <w:r w:rsidRPr="00EF79AD">
        <w:rPr>
          <w:rFonts w:hAnsi="標楷體" w:hint="eastAsia"/>
        </w:rPr>
        <w:t>。依</w:t>
      </w:r>
      <w:bookmarkStart w:id="14" w:name="_Hlk207634388"/>
      <w:r w:rsidRPr="00EF79AD">
        <w:rPr>
          <w:rFonts w:hAnsi="標楷體" w:hint="eastAsia"/>
        </w:rPr>
        <w:t>國科會提供110至113年度該計畫屆期後銜接後續計畫統計，4年度共銜接後續計畫255件，其中僅54件(占比21.18%)銜接至「2030跨世代年輕學者方案」，另一般研究計畫及其他類分別為155件(占比60.78%)、46件(18.04%) (詳表3)。國科會原規劃於年輕學者養成計畫結束後，協助年輕學者銜接至2030跨世代年輕學者方案，惟110至113年度僅二成順利銜接，允宜強化計畫銜接量能與學者研究水準，俾增添職涯發展路徑之優勢。</w:t>
      </w:r>
      <w:bookmarkEnd w:id="14"/>
    </w:p>
    <w:p w:rsidR="00177FFC" w:rsidRPr="00EF79AD" w:rsidRDefault="00177FFC" w:rsidP="00E05A6A">
      <w:pPr>
        <w:spacing w:line="400" w:lineRule="exact"/>
        <w:ind w:leftChars="0" w:left="0" w:firstLineChars="0" w:firstLine="0"/>
        <w:rPr>
          <w:rFonts w:hAnsi="標楷體"/>
          <w:b/>
        </w:rPr>
      </w:pPr>
      <w:r w:rsidRPr="00EF79AD">
        <w:rPr>
          <w:rFonts w:hAnsi="標楷體"/>
          <w:b/>
        </w:rPr>
        <w:t>表</w:t>
      </w:r>
      <w:r w:rsidRPr="00EF79AD">
        <w:rPr>
          <w:rFonts w:hAnsi="標楷體" w:hint="eastAsia"/>
          <w:b/>
        </w:rPr>
        <w:t xml:space="preserve">3  </w:t>
      </w:r>
      <w:bookmarkStart w:id="15" w:name="_Hlk207634473"/>
      <w:r w:rsidRPr="00EF79AD">
        <w:rPr>
          <w:rFonts w:hAnsi="標楷體" w:hint="eastAsia"/>
          <w:b/>
        </w:rPr>
        <w:t>110至113年度</w:t>
      </w:r>
      <w:r w:rsidRPr="00EF79AD">
        <w:rPr>
          <w:rFonts w:hAnsi="標楷體"/>
          <w:b/>
        </w:rPr>
        <w:t>年輕學者養成計畫屆期後銜接</w:t>
      </w:r>
      <w:r w:rsidRPr="00EF79AD">
        <w:rPr>
          <w:rFonts w:hAnsi="標楷體" w:hint="eastAsia"/>
          <w:b/>
        </w:rPr>
        <w:t>後續計畫</w:t>
      </w:r>
      <w:bookmarkEnd w:id="15"/>
      <w:r w:rsidRPr="00EF79AD">
        <w:rPr>
          <w:rFonts w:hAnsi="標楷體"/>
          <w:b/>
        </w:rPr>
        <w:t>統計</w:t>
      </w:r>
      <w:r w:rsidRPr="00EF79AD">
        <w:rPr>
          <w:rFonts w:hAnsi="標楷體" w:hint="eastAsia"/>
          <w:b/>
        </w:rPr>
        <w:t>表</w:t>
      </w:r>
    </w:p>
    <w:p w:rsidR="00177FFC" w:rsidRPr="00EF79AD" w:rsidRDefault="00177FFC" w:rsidP="00E05A6A">
      <w:pPr>
        <w:pStyle w:val="142"/>
        <w:ind w:left="560" w:firstLine="560"/>
        <w:jc w:val="right"/>
        <w:rPr>
          <w:rFonts w:hAnsi="標楷體"/>
          <w:bCs/>
          <w:szCs w:val="24"/>
        </w:rPr>
      </w:pPr>
      <w:r w:rsidRPr="00EF79AD">
        <w:rPr>
          <w:rFonts w:hAnsi="標楷體" w:hint="eastAsia"/>
        </w:rPr>
        <w:t>單位：計畫數(人次)、%</w:t>
      </w:r>
    </w:p>
    <w:tbl>
      <w:tblPr>
        <w:tblW w:w="8476" w:type="dxa"/>
        <w:tblInd w:w="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5"/>
        <w:gridCol w:w="1695"/>
        <w:gridCol w:w="1695"/>
        <w:gridCol w:w="1695"/>
        <w:gridCol w:w="1696"/>
      </w:tblGrid>
      <w:tr w:rsidR="00177FFC" w:rsidRPr="00EF79AD" w:rsidTr="00E05A6A">
        <w:trPr>
          <w:trHeight w:val="340"/>
          <w:tblHeader/>
        </w:trPr>
        <w:tc>
          <w:tcPr>
            <w:tcW w:w="1695" w:type="dxa"/>
            <w:noWrap/>
            <w:vAlign w:val="center"/>
          </w:tcPr>
          <w:p w:rsidR="00177FFC" w:rsidRPr="00EF79AD" w:rsidRDefault="00177FFC" w:rsidP="00E05A6A">
            <w:pPr>
              <w:pStyle w:val="142"/>
              <w:jc w:val="center"/>
              <w:rPr>
                <w:rFonts w:hAnsi="標楷體"/>
              </w:rPr>
            </w:pPr>
            <w:r w:rsidRPr="00EF79AD">
              <w:rPr>
                <w:rFonts w:hAnsi="標楷體"/>
              </w:rPr>
              <w:t>年度</w:t>
            </w:r>
          </w:p>
        </w:tc>
        <w:tc>
          <w:tcPr>
            <w:tcW w:w="1695" w:type="dxa"/>
            <w:vAlign w:val="center"/>
          </w:tcPr>
          <w:p w:rsidR="00177FFC" w:rsidRPr="00EF79AD" w:rsidRDefault="00177FFC" w:rsidP="00E05A6A">
            <w:pPr>
              <w:pStyle w:val="142"/>
              <w:jc w:val="center"/>
              <w:rPr>
                <w:rFonts w:hAnsi="標楷體"/>
              </w:rPr>
            </w:pPr>
            <w:r w:rsidRPr="00EF79AD">
              <w:rPr>
                <w:rFonts w:hAnsi="標楷體"/>
              </w:rPr>
              <w:t>2030跨世代年輕學者</w:t>
            </w:r>
          </w:p>
        </w:tc>
        <w:tc>
          <w:tcPr>
            <w:tcW w:w="1695" w:type="dxa"/>
            <w:vAlign w:val="center"/>
          </w:tcPr>
          <w:p w:rsidR="00177FFC" w:rsidRPr="00EF79AD" w:rsidRDefault="00177FFC" w:rsidP="00E05A6A">
            <w:pPr>
              <w:pStyle w:val="142"/>
              <w:jc w:val="center"/>
              <w:rPr>
                <w:rFonts w:hAnsi="標楷體"/>
              </w:rPr>
            </w:pPr>
            <w:r w:rsidRPr="00EF79AD">
              <w:rPr>
                <w:rFonts w:hAnsi="標楷體"/>
              </w:rPr>
              <w:t>一般研究計畫</w:t>
            </w:r>
          </w:p>
        </w:tc>
        <w:tc>
          <w:tcPr>
            <w:tcW w:w="1695" w:type="dxa"/>
            <w:vAlign w:val="center"/>
          </w:tcPr>
          <w:p w:rsidR="00177FFC" w:rsidRPr="00EF79AD" w:rsidRDefault="00177FFC" w:rsidP="00E05A6A">
            <w:pPr>
              <w:pStyle w:val="142"/>
              <w:jc w:val="center"/>
              <w:rPr>
                <w:rFonts w:hAnsi="標楷體"/>
              </w:rPr>
            </w:pPr>
            <w:r w:rsidRPr="00EF79AD">
              <w:rPr>
                <w:rFonts w:hAnsi="標楷體"/>
              </w:rPr>
              <w:t>其他</w:t>
            </w:r>
          </w:p>
        </w:tc>
        <w:tc>
          <w:tcPr>
            <w:tcW w:w="1696" w:type="dxa"/>
            <w:vAlign w:val="center"/>
          </w:tcPr>
          <w:p w:rsidR="00177FFC" w:rsidRPr="00EF79AD" w:rsidRDefault="00177FFC" w:rsidP="00E05A6A">
            <w:pPr>
              <w:pStyle w:val="142"/>
              <w:jc w:val="center"/>
              <w:rPr>
                <w:rFonts w:hAnsi="標楷體"/>
              </w:rPr>
            </w:pPr>
            <w:r w:rsidRPr="00EF79AD">
              <w:rPr>
                <w:rFonts w:hAnsi="標楷體" w:hint="eastAsia"/>
              </w:rPr>
              <w:t>總計</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110</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3</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4</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7</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14</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lastRenderedPageBreak/>
              <w:t>111</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10</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29</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12</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51</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112</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23</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5</w:t>
            </w:r>
            <w:r w:rsidRPr="00EF79AD">
              <w:rPr>
                <w:rFonts w:hAnsi="標楷體" w:hint="eastAsia"/>
              </w:rPr>
              <w:t>7</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14</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95</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113</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18</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6</w:t>
            </w:r>
            <w:r w:rsidRPr="00EF79AD">
              <w:rPr>
                <w:rFonts w:hAnsi="標楷體" w:hint="eastAsia"/>
              </w:rPr>
              <w:t>5</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13</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94</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hint="eastAsia"/>
              </w:rPr>
              <w:t>小計</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54</w:t>
            </w:r>
          </w:p>
          <w:p w:rsidR="00177FFC" w:rsidRPr="00EF79AD" w:rsidRDefault="00177FFC" w:rsidP="00E05A6A">
            <w:pPr>
              <w:pStyle w:val="142"/>
              <w:ind w:rightChars="50" w:right="142"/>
              <w:jc w:val="right"/>
              <w:rPr>
                <w:rFonts w:hAnsi="標楷體"/>
              </w:rPr>
            </w:pPr>
            <w:r w:rsidRPr="00EF79AD">
              <w:rPr>
                <w:rFonts w:hAnsi="標楷體" w:hint="eastAsia"/>
              </w:rPr>
              <w:t>(21.18)</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15</w:t>
            </w:r>
            <w:r w:rsidRPr="00EF79AD">
              <w:rPr>
                <w:rFonts w:hAnsi="標楷體" w:hint="eastAsia"/>
              </w:rPr>
              <w:t>5</w:t>
            </w:r>
          </w:p>
          <w:p w:rsidR="00177FFC" w:rsidRPr="00EF79AD" w:rsidRDefault="00177FFC" w:rsidP="00E05A6A">
            <w:pPr>
              <w:pStyle w:val="142"/>
              <w:ind w:rightChars="50" w:right="142"/>
              <w:jc w:val="right"/>
              <w:rPr>
                <w:rFonts w:hAnsi="標楷體"/>
              </w:rPr>
            </w:pPr>
            <w:r w:rsidRPr="00EF79AD">
              <w:rPr>
                <w:rFonts w:hAnsi="標楷體" w:hint="eastAsia"/>
              </w:rPr>
              <w:t>(60.78)</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46</w:t>
            </w:r>
          </w:p>
          <w:p w:rsidR="00177FFC" w:rsidRPr="00EF79AD" w:rsidRDefault="00177FFC" w:rsidP="00E05A6A">
            <w:pPr>
              <w:pStyle w:val="142"/>
              <w:ind w:rightChars="50" w:right="142"/>
              <w:jc w:val="right"/>
              <w:rPr>
                <w:rFonts w:hAnsi="標楷體"/>
              </w:rPr>
            </w:pPr>
            <w:r w:rsidRPr="00EF79AD">
              <w:rPr>
                <w:rFonts w:hAnsi="標楷體" w:hint="eastAsia"/>
              </w:rPr>
              <w:t>(18.04)</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255</w:t>
            </w:r>
          </w:p>
          <w:p w:rsidR="00177FFC" w:rsidRPr="00EF79AD" w:rsidRDefault="00177FFC" w:rsidP="00E05A6A">
            <w:pPr>
              <w:pStyle w:val="142"/>
              <w:ind w:rightChars="50" w:right="142"/>
              <w:jc w:val="right"/>
              <w:rPr>
                <w:rFonts w:hAnsi="標楷體"/>
              </w:rPr>
            </w:pPr>
            <w:r w:rsidRPr="00EF79AD">
              <w:rPr>
                <w:rFonts w:hAnsi="標楷體" w:hint="eastAsia"/>
              </w:rPr>
              <w:t>(100.00)</w:t>
            </w:r>
          </w:p>
        </w:tc>
      </w:tr>
    </w:tbl>
    <w:p w:rsidR="00177FFC" w:rsidRPr="00EF79AD" w:rsidRDefault="00177FFC" w:rsidP="00E05A6A">
      <w:pPr>
        <w:pStyle w:val="142"/>
        <w:ind w:left="1459" w:hangingChars="600" w:hanging="1459"/>
        <w:rPr>
          <w:rFonts w:hAnsi="標楷體"/>
        </w:rPr>
      </w:pPr>
      <w:r w:rsidRPr="00EF79AD">
        <w:rPr>
          <w:rFonts w:hAnsi="標楷體" w:hint="eastAsia"/>
        </w:rPr>
        <w:t xml:space="preserve">說 </w:t>
      </w:r>
      <w:r w:rsidRPr="00EF79AD">
        <w:rPr>
          <w:rFonts w:hAnsi="標楷體"/>
        </w:rPr>
        <w:t xml:space="preserve">   </w:t>
      </w:r>
      <w:r w:rsidRPr="00EF79AD">
        <w:rPr>
          <w:rFonts w:hAnsi="標楷體" w:hint="eastAsia"/>
        </w:rPr>
        <w:t>明：1.後續銜接計畫中因部分計畫為多年期計畫，故上表統計為執行期間各當年度之計畫數，亦為執行學者人次。</w:t>
      </w:r>
    </w:p>
    <w:p w:rsidR="00177FFC" w:rsidRPr="00EF79AD" w:rsidRDefault="00177FFC" w:rsidP="00E05A6A">
      <w:pPr>
        <w:pStyle w:val="142"/>
        <w:ind w:leftChars="420" w:left="1432" w:hangingChars="100" w:hanging="243"/>
        <w:rPr>
          <w:rFonts w:hAnsi="標楷體"/>
        </w:rPr>
      </w:pPr>
      <w:r w:rsidRPr="00EF79AD">
        <w:rPr>
          <w:rFonts w:hAnsi="標楷體" w:hint="eastAsia"/>
        </w:rPr>
        <w:t>2.小計欄位括弧中數據為各計畫之占比，例如2030跨世代年輕學者54/255*100%=21.18%。</w:t>
      </w:r>
    </w:p>
    <w:p w:rsidR="00177FFC" w:rsidRPr="00EF79AD" w:rsidRDefault="00177FFC" w:rsidP="00E05A6A">
      <w:pPr>
        <w:pStyle w:val="142"/>
        <w:rPr>
          <w:rFonts w:hAnsi="標楷體"/>
        </w:rPr>
      </w:pPr>
      <w:r w:rsidRPr="00EF79AD">
        <w:rPr>
          <w:rFonts w:hAnsi="標楷體" w:hint="eastAsia"/>
        </w:rPr>
        <w:t>資料來源：國科會提供。</w:t>
      </w:r>
    </w:p>
    <w:p w:rsidR="00177FFC" w:rsidRDefault="00177FFC" w:rsidP="00E05A6A">
      <w:pPr>
        <w:ind w:left="566" w:firstLine="566"/>
        <w:rPr>
          <w:rFonts w:hAnsi="標楷體"/>
        </w:rPr>
      </w:pPr>
      <w:r w:rsidRPr="00EF79AD">
        <w:rPr>
          <w:rFonts w:hAnsi="標楷體" w:hint="eastAsia"/>
        </w:rPr>
        <w:t>綜上，年輕學者養成計畫藉由長期資源挹注扶植有潛力之年輕研究菁英，鼓勵年輕學者勇於創新，為我國培植尖端科技發展人才，並規劃於計畫結束後，協助年輕學者銜接「</w:t>
      </w:r>
      <w:r w:rsidRPr="00EF79AD">
        <w:rPr>
          <w:rFonts w:hAnsi="標楷體"/>
        </w:rPr>
        <w:t xml:space="preserve">2030 </w:t>
      </w:r>
      <w:r w:rsidRPr="00EF79AD">
        <w:rPr>
          <w:rFonts w:hAnsi="標楷體" w:hint="eastAsia"/>
        </w:rPr>
        <w:t>跨世代年輕學者方案」，惟本計畫結束後僅二成順利銜接，另參與學者於職位升等未具明顯優勢，允宜持續強化計畫銜接量能與學者研究水準，俾職涯發展路徑增添優勢。</w:t>
      </w:r>
    </w:p>
    <w:p w:rsidR="00460034" w:rsidRPr="00460034" w:rsidRDefault="00460034" w:rsidP="00E05A6A">
      <w:pPr>
        <w:ind w:left="566" w:firstLine="566"/>
        <w:rPr>
          <w:rFonts w:hAnsi="標楷體"/>
        </w:rPr>
      </w:pPr>
    </w:p>
    <w:p w:rsidR="00177FFC" w:rsidRPr="00EF79AD" w:rsidRDefault="00177FFC" w:rsidP="00E05A6A">
      <w:pPr>
        <w:pStyle w:val="a4"/>
        <w:ind w:left="567" w:hanging="567"/>
        <w:rPr>
          <w:rFonts w:hAnsi="標楷體"/>
        </w:rPr>
      </w:pPr>
      <w:r w:rsidRPr="00EF79AD">
        <w:rPr>
          <w:rFonts w:hAnsi="標楷體" w:hint="eastAsia"/>
        </w:rPr>
        <w:t>二、「重點產業高階人才培訓計畫」所建置之7個科研產業化平台自主營收投入產出比差異高達4</w:t>
      </w:r>
      <w:r w:rsidRPr="00EF79AD">
        <w:rPr>
          <w:rFonts w:hAnsi="標楷體"/>
        </w:rPr>
        <w:t>.32</w:t>
      </w:r>
      <w:r w:rsidRPr="00EF79AD">
        <w:rPr>
          <w:rFonts w:hAnsi="標楷體" w:hint="eastAsia"/>
        </w:rPr>
        <w:t>倍，允宜研議運用高效平台成功案例優勢，賡續輔導產出較低之平台，以提升</w:t>
      </w:r>
      <w:r w:rsidRPr="00EF79AD">
        <w:rPr>
          <w:rFonts w:hAnsi="標楷體"/>
        </w:rPr>
        <w:t>整體</w:t>
      </w:r>
      <w:r w:rsidRPr="00EF79AD">
        <w:rPr>
          <w:rFonts w:hAnsi="標楷體" w:hint="eastAsia"/>
        </w:rPr>
        <w:t>計畫</w:t>
      </w:r>
      <w:r w:rsidRPr="00EF79AD">
        <w:rPr>
          <w:rFonts w:hAnsi="標楷體"/>
        </w:rPr>
        <w:t>綜效</w:t>
      </w:r>
    </w:p>
    <w:p w:rsidR="00177FFC" w:rsidRPr="00EF79AD" w:rsidRDefault="00177FFC" w:rsidP="00E05A6A">
      <w:pPr>
        <w:ind w:left="566" w:firstLine="566"/>
        <w:rPr>
          <w:rFonts w:hAnsi="標楷體"/>
        </w:rPr>
      </w:pPr>
      <w:r w:rsidRPr="00EF79AD">
        <w:rPr>
          <w:rFonts w:hAnsi="標楷體" w:hint="eastAsia"/>
        </w:rPr>
        <w:t>國科會於前瞻第4期特別預算案「人才培育促進就業建設」計畫下編列16億6</w:t>
      </w:r>
      <w:r w:rsidRPr="00EF79AD">
        <w:rPr>
          <w:rFonts w:hAnsi="標楷體"/>
        </w:rPr>
        <w:t>,</w:t>
      </w:r>
      <w:r w:rsidRPr="00EF79AD">
        <w:rPr>
          <w:rFonts w:hAnsi="標楷體" w:hint="eastAsia"/>
        </w:rPr>
        <w:t>500萬元，其中包含辦理「重點產業高階人才培訓計畫」5億3</w:t>
      </w:r>
      <w:r w:rsidRPr="00EF79AD">
        <w:rPr>
          <w:rFonts w:hAnsi="標楷體"/>
        </w:rPr>
        <w:t>,</w:t>
      </w:r>
      <w:r w:rsidRPr="00EF79AD">
        <w:rPr>
          <w:rFonts w:hAnsi="標楷體" w:hint="eastAsia"/>
        </w:rPr>
        <w:t>000萬元，決算數5億450萬2千元，預算執行率95.19</w:t>
      </w:r>
      <w:r w:rsidRPr="00EF79AD">
        <w:rPr>
          <w:rFonts w:hAnsi="標楷體"/>
        </w:rPr>
        <w:t>%</w:t>
      </w:r>
      <w:r w:rsidRPr="00EF79AD">
        <w:rPr>
          <w:rFonts w:hAnsi="標楷體" w:hint="eastAsia"/>
        </w:rPr>
        <w:t>。經查：</w:t>
      </w:r>
    </w:p>
    <w:p w:rsidR="00177FFC" w:rsidRPr="00EF79AD" w:rsidRDefault="00177FFC" w:rsidP="00E05A6A">
      <w:pPr>
        <w:pStyle w:val="a6"/>
        <w:ind w:left="849" w:hanging="283"/>
        <w:rPr>
          <w:rFonts w:hAnsi="標楷體"/>
          <w:b/>
        </w:rPr>
      </w:pPr>
      <w:r w:rsidRPr="00EF79AD">
        <w:rPr>
          <w:rFonts w:hAnsi="標楷體" w:hint="eastAsia"/>
          <w:b/>
        </w:rPr>
        <w:t>(</w:t>
      </w:r>
      <w:r w:rsidRPr="00EF79AD">
        <w:rPr>
          <w:rFonts w:hAnsi="標楷體" w:hint="eastAsia"/>
          <w:b/>
          <w:lang w:eastAsia="zh-HK"/>
        </w:rPr>
        <w:t>一)「</w:t>
      </w:r>
      <w:r w:rsidRPr="00EF79AD">
        <w:rPr>
          <w:rFonts w:hAnsi="標楷體" w:hint="eastAsia"/>
          <w:b/>
        </w:rPr>
        <w:t>重點產業高階人才培訓計畫」</w:t>
      </w:r>
      <w:r w:rsidRPr="00EF79AD">
        <w:rPr>
          <w:rFonts w:hAnsi="標楷體" w:hint="eastAsia"/>
          <w:b/>
          <w:lang w:eastAsia="zh-HK"/>
        </w:rPr>
        <w:t>概要</w:t>
      </w:r>
    </w:p>
    <w:p w:rsidR="00177FFC" w:rsidRPr="00EF79AD" w:rsidRDefault="00177FFC" w:rsidP="00E05A6A">
      <w:pPr>
        <w:pStyle w:val="21"/>
        <w:ind w:left="850" w:firstLine="566"/>
        <w:rPr>
          <w:rFonts w:hAnsi="標楷體"/>
        </w:rPr>
      </w:pPr>
      <w:r w:rsidRPr="00EF79AD">
        <w:rPr>
          <w:rFonts w:hAnsi="標楷體" w:hint="eastAsia"/>
        </w:rPr>
        <w:t>「重點產業高階人才培訓計畫」整合大學或區域產業科研團隊研發量能，建立中長期自主營運之</w:t>
      </w:r>
      <w:bookmarkStart w:id="16" w:name="_Hlk207115460"/>
      <w:r w:rsidRPr="00EF79AD">
        <w:rPr>
          <w:rFonts w:hAnsi="標楷體" w:hint="eastAsia"/>
        </w:rPr>
        <w:t>科研產業化平台</w:t>
      </w:r>
      <w:bookmarkEnd w:id="16"/>
      <w:r w:rsidRPr="00EF79AD">
        <w:rPr>
          <w:rFonts w:hAnsi="標楷體" w:hint="eastAsia"/>
        </w:rPr>
        <w:t>，結合產學研能量共同培育半導體產業所需人才，透過政策引導吸引人才進入產業，以協助產業創新發展。</w:t>
      </w:r>
    </w:p>
    <w:p w:rsidR="00177FFC" w:rsidRPr="00EF79AD" w:rsidRDefault="00177FFC" w:rsidP="00E05A6A">
      <w:pPr>
        <w:pStyle w:val="a6"/>
        <w:spacing w:beforeLines="15" w:before="76" w:line="380" w:lineRule="exact"/>
        <w:ind w:left="849" w:hanging="283"/>
        <w:rPr>
          <w:rFonts w:hAnsi="標楷體"/>
          <w:b/>
        </w:rPr>
      </w:pPr>
      <w:r w:rsidRPr="00EF79AD">
        <w:rPr>
          <w:rFonts w:hAnsi="標楷體" w:hint="eastAsia"/>
          <w:b/>
        </w:rPr>
        <w:t>(二)多數績效指標113年度累計實際值已達計畫全期目標值</w:t>
      </w:r>
    </w:p>
    <w:p w:rsidR="00177FFC" w:rsidRPr="00EF79AD" w:rsidRDefault="00177FFC" w:rsidP="00E05A6A">
      <w:pPr>
        <w:pStyle w:val="21"/>
        <w:ind w:left="850" w:firstLine="566"/>
        <w:rPr>
          <w:rFonts w:hAnsi="標楷體"/>
        </w:rPr>
      </w:pPr>
      <w:r w:rsidRPr="00EF79AD">
        <w:rPr>
          <w:rFonts w:hAnsi="標楷體" w:hint="eastAsia"/>
          <w:bCs/>
        </w:rPr>
        <w:t>該計畫所</w:t>
      </w:r>
      <w:r w:rsidRPr="00EF79AD">
        <w:rPr>
          <w:rFonts w:hAnsi="標楷體" w:hint="eastAsia"/>
        </w:rPr>
        <w:t>設9項總體績效目標，包含工作指標3項(博士級人才實務訓練、合作廠商參與數及補助科研產業化平台)及效益指標6項(就業媒合率、平均就業薪資、累計產業產學技轉經費投入、累計吸引富比士2</w:t>
      </w:r>
      <w:r w:rsidRPr="00EF79AD">
        <w:rPr>
          <w:rFonts w:hAnsi="標楷體"/>
        </w:rPr>
        <w:t>,</w:t>
      </w:r>
      <w:r w:rsidRPr="00EF79AD">
        <w:rPr>
          <w:rFonts w:hAnsi="標楷體" w:hint="eastAsia"/>
        </w:rPr>
        <w:t>000大企業合作、培育半導體高階人才及培育六大核心戰略產業所需人才)，</w:t>
      </w:r>
      <w:r w:rsidRPr="00EF79AD">
        <w:rPr>
          <w:rFonts w:hAnsi="標楷體" w:hint="eastAsia"/>
          <w:bCs/>
        </w:rPr>
        <w:t>截至113年度，除</w:t>
      </w:r>
      <w:r w:rsidRPr="00EF79AD">
        <w:rPr>
          <w:rFonts w:hAnsi="標楷體"/>
        </w:rPr>
        <w:t>補助科研產業化平台</w:t>
      </w:r>
      <w:r w:rsidRPr="00EF79AD">
        <w:rPr>
          <w:rFonts w:hAnsi="標楷體" w:hint="eastAsia"/>
        </w:rPr>
        <w:t>外，其餘8項績效指標皆已達計畫全期目標值，其中以累計吸引富比士2</w:t>
      </w:r>
      <w:r w:rsidRPr="00EF79AD">
        <w:rPr>
          <w:rFonts w:hAnsi="標楷體"/>
        </w:rPr>
        <w:t>,</w:t>
      </w:r>
      <w:r w:rsidRPr="00EF79AD">
        <w:rPr>
          <w:rFonts w:hAnsi="標楷體" w:hint="eastAsia"/>
        </w:rPr>
        <w:t>000大企業合作(600.00%</w:t>
      </w:r>
      <w:r w:rsidRPr="00EF79AD">
        <w:rPr>
          <w:rFonts w:hAnsi="標楷體"/>
        </w:rPr>
        <w:t>)</w:t>
      </w:r>
      <w:r w:rsidRPr="00EF79AD">
        <w:rPr>
          <w:rFonts w:hAnsi="標楷體" w:hint="eastAsia"/>
        </w:rPr>
        <w:t>最高，培育六大核心戰略產業所需人才(290.40%</w:t>
      </w:r>
      <w:r w:rsidRPr="00EF79AD">
        <w:rPr>
          <w:rFonts w:hAnsi="標楷體"/>
        </w:rPr>
        <w:t>)</w:t>
      </w:r>
      <w:r w:rsidRPr="00EF79AD">
        <w:rPr>
          <w:rFonts w:hAnsi="標楷體" w:hint="eastAsia"/>
        </w:rPr>
        <w:t>次之(詳表4)。</w:t>
      </w:r>
    </w:p>
    <w:p w:rsidR="00177FFC" w:rsidRPr="00EF79AD" w:rsidRDefault="00177FFC" w:rsidP="00E05A6A">
      <w:pPr>
        <w:ind w:leftChars="1" w:left="570" w:hangingChars="200" w:hanging="567"/>
        <w:rPr>
          <w:rFonts w:hAnsi="標楷體"/>
        </w:rPr>
      </w:pPr>
      <w:r w:rsidRPr="00EF79AD">
        <w:rPr>
          <w:rFonts w:hAnsi="標楷體" w:hint="eastAsia"/>
          <w:b/>
        </w:rPr>
        <w:t xml:space="preserve">表4  </w:t>
      </w:r>
      <w:r w:rsidRPr="00EF79AD">
        <w:rPr>
          <w:rFonts w:hAnsi="標楷體" w:hint="eastAsia"/>
          <w:b/>
          <w:spacing w:val="-6"/>
        </w:rPr>
        <w:t>「重點產業高階人才培訓計畫」截至11</w:t>
      </w:r>
      <w:r w:rsidRPr="00EF79AD">
        <w:rPr>
          <w:rFonts w:hAnsi="標楷體"/>
          <w:b/>
          <w:spacing w:val="-6"/>
        </w:rPr>
        <w:t>3</w:t>
      </w:r>
      <w:r w:rsidRPr="00EF79AD">
        <w:rPr>
          <w:rFonts w:hAnsi="標楷體" w:hint="eastAsia"/>
          <w:b/>
          <w:spacing w:val="-6"/>
        </w:rPr>
        <w:t>年度績效指標達成情形表</w:t>
      </w:r>
    </w:p>
    <w:p w:rsidR="00177FFC" w:rsidRPr="00EF79AD" w:rsidRDefault="00177FFC" w:rsidP="00E05A6A">
      <w:pPr>
        <w:pStyle w:val="142"/>
        <w:ind w:left="567" w:right="-1" w:hanging="567"/>
        <w:jc w:val="right"/>
        <w:rPr>
          <w:rFonts w:hAnsi="標楷體"/>
        </w:rPr>
      </w:pPr>
      <w:r w:rsidRPr="00EF79AD">
        <w:rPr>
          <w:rFonts w:hAnsi="標楷體"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42"/>
        <w:gridCol w:w="2377"/>
        <w:gridCol w:w="709"/>
        <w:gridCol w:w="992"/>
        <w:gridCol w:w="992"/>
        <w:gridCol w:w="1369"/>
        <w:gridCol w:w="1324"/>
      </w:tblGrid>
      <w:tr w:rsidR="00177FFC" w:rsidRPr="00EF79AD" w:rsidTr="00E05A6A">
        <w:trPr>
          <w:tblHeader/>
        </w:trPr>
        <w:tc>
          <w:tcPr>
            <w:tcW w:w="3119" w:type="dxa"/>
            <w:gridSpan w:val="2"/>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績效指標項目</w:t>
            </w:r>
          </w:p>
        </w:tc>
        <w:tc>
          <w:tcPr>
            <w:tcW w:w="709"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單位</w:t>
            </w:r>
          </w:p>
        </w:tc>
        <w:tc>
          <w:tcPr>
            <w:tcW w:w="992"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rPr>
              <w:t>計畫全期目標值</w:t>
            </w:r>
            <w:r w:rsidRPr="00EF79AD">
              <w:rPr>
                <w:rFonts w:hAnsi="標楷體" w:hint="eastAsia"/>
              </w:rPr>
              <w:t>(</w:t>
            </w:r>
            <w:r w:rsidRPr="00EF79AD">
              <w:rPr>
                <w:rFonts w:hAnsi="標楷體"/>
              </w:rPr>
              <w:t>A</w:t>
            </w:r>
            <w:r w:rsidRPr="00EF79AD">
              <w:rPr>
                <w:rFonts w:hAnsi="標楷體" w:hint="eastAsia"/>
              </w:rPr>
              <w:t>)</w:t>
            </w:r>
          </w:p>
        </w:tc>
        <w:tc>
          <w:tcPr>
            <w:tcW w:w="2361" w:type="dxa"/>
            <w:gridSpan w:val="2"/>
            <w:shd w:val="clear" w:color="auto" w:fill="auto"/>
            <w:vAlign w:val="center"/>
          </w:tcPr>
          <w:p w:rsidR="00177FFC" w:rsidRPr="00EF79AD" w:rsidRDefault="00177FFC" w:rsidP="00E05A6A">
            <w:pPr>
              <w:pStyle w:val="142"/>
              <w:jc w:val="center"/>
              <w:rPr>
                <w:rFonts w:hAnsi="標楷體"/>
              </w:rPr>
            </w:pPr>
            <w:r w:rsidRPr="00EF79AD">
              <w:rPr>
                <w:rFonts w:hAnsi="標楷體"/>
              </w:rPr>
              <w:t>累計至</w:t>
            </w:r>
            <w:r w:rsidRPr="00EF79AD">
              <w:rPr>
                <w:rFonts w:hAnsi="標楷體" w:hint="eastAsia"/>
              </w:rPr>
              <w:t>11</w:t>
            </w:r>
            <w:r w:rsidRPr="00EF79AD">
              <w:rPr>
                <w:rFonts w:hAnsi="標楷體"/>
              </w:rPr>
              <w:t>3</w:t>
            </w:r>
            <w:r w:rsidRPr="00EF79AD">
              <w:rPr>
                <w:rFonts w:hAnsi="標楷體" w:hint="eastAsia"/>
              </w:rPr>
              <w:t>年度</w:t>
            </w:r>
          </w:p>
        </w:tc>
        <w:tc>
          <w:tcPr>
            <w:tcW w:w="1324"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計畫全期</w:t>
            </w:r>
          </w:p>
          <w:p w:rsidR="00177FFC" w:rsidRPr="00EF79AD" w:rsidRDefault="00177FFC" w:rsidP="00E05A6A">
            <w:pPr>
              <w:pStyle w:val="142"/>
              <w:jc w:val="center"/>
              <w:rPr>
                <w:rFonts w:hAnsi="標楷體"/>
              </w:rPr>
            </w:pPr>
            <w:r w:rsidRPr="00EF79AD">
              <w:rPr>
                <w:rFonts w:hAnsi="標楷體" w:hint="eastAsia"/>
              </w:rPr>
              <w:t>目標值達成率(</w:t>
            </w:r>
            <w:r w:rsidRPr="00EF79AD">
              <w:rPr>
                <w:rFonts w:hAnsi="標楷體"/>
              </w:rPr>
              <w:t>B/A)</w:t>
            </w:r>
          </w:p>
        </w:tc>
      </w:tr>
      <w:tr w:rsidR="00177FFC" w:rsidRPr="00EF79AD" w:rsidTr="00E05A6A">
        <w:trPr>
          <w:tblHeader/>
        </w:trPr>
        <w:tc>
          <w:tcPr>
            <w:tcW w:w="3119" w:type="dxa"/>
            <w:gridSpan w:val="2"/>
            <w:vMerge/>
            <w:shd w:val="clear" w:color="auto" w:fill="auto"/>
            <w:vAlign w:val="center"/>
          </w:tcPr>
          <w:p w:rsidR="00177FFC" w:rsidRPr="00EF79AD" w:rsidRDefault="00177FFC" w:rsidP="00E05A6A">
            <w:pPr>
              <w:pStyle w:val="142"/>
              <w:jc w:val="center"/>
              <w:rPr>
                <w:rFonts w:hAnsi="標楷體"/>
              </w:rPr>
            </w:pPr>
          </w:p>
        </w:tc>
        <w:tc>
          <w:tcPr>
            <w:tcW w:w="709" w:type="dxa"/>
            <w:vMerge/>
            <w:shd w:val="clear" w:color="auto" w:fill="auto"/>
            <w:vAlign w:val="center"/>
          </w:tcPr>
          <w:p w:rsidR="00177FFC" w:rsidRPr="00EF79AD" w:rsidRDefault="00177FFC" w:rsidP="00E05A6A">
            <w:pPr>
              <w:pStyle w:val="142"/>
              <w:jc w:val="center"/>
              <w:rPr>
                <w:rFonts w:hAnsi="標楷體"/>
              </w:rPr>
            </w:pPr>
          </w:p>
        </w:tc>
        <w:tc>
          <w:tcPr>
            <w:tcW w:w="992" w:type="dxa"/>
            <w:vMerge/>
            <w:shd w:val="clear" w:color="auto" w:fill="auto"/>
            <w:vAlign w:val="center"/>
          </w:tcPr>
          <w:p w:rsidR="00177FFC" w:rsidRPr="00EF79AD" w:rsidRDefault="00177FFC" w:rsidP="00E05A6A">
            <w:pPr>
              <w:pStyle w:val="142"/>
              <w:jc w:val="center"/>
              <w:rPr>
                <w:rFonts w:hAnsi="標楷體"/>
              </w:rPr>
            </w:pPr>
          </w:p>
        </w:tc>
        <w:tc>
          <w:tcPr>
            <w:tcW w:w="992" w:type="dxa"/>
            <w:shd w:val="clear" w:color="auto" w:fill="auto"/>
            <w:vAlign w:val="center"/>
          </w:tcPr>
          <w:p w:rsidR="00177FFC" w:rsidRPr="00EF79AD" w:rsidRDefault="00177FFC" w:rsidP="00E05A6A">
            <w:pPr>
              <w:pStyle w:val="142"/>
              <w:jc w:val="center"/>
              <w:rPr>
                <w:rFonts w:hAnsi="標楷體"/>
              </w:rPr>
            </w:pPr>
            <w:r w:rsidRPr="00EF79AD">
              <w:rPr>
                <w:rFonts w:hAnsi="標楷體"/>
              </w:rPr>
              <w:t>目標值</w:t>
            </w:r>
          </w:p>
        </w:tc>
        <w:tc>
          <w:tcPr>
            <w:tcW w:w="1369" w:type="dxa"/>
            <w:shd w:val="clear" w:color="auto" w:fill="auto"/>
            <w:vAlign w:val="center"/>
          </w:tcPr>
          <w:p w:rsidR="00177FFC" w:rsidRPr="00EF79AD" w:rsidRDefault="00177FFC" w:rsidP="00E05A6A">
            <w:pPr>
              <w:pStyle w:val="142"/>
              <w:jc w:val="center"/>
              <w:rPr>
                <w:rFonts w:hAnsi="標楷體"/>
              </w:rPr>
            </w:pPr>
            <w:r w:rsidRPr="00EF79AD">
              <w:rPr>
                <w:rFonts w:hAnsi="標楷體"/>
              </w:rPr>
              <w:t>實際值</w:t>
            </w:r>
            <w:r w:rsidRPr="00EF79AD">
              <w:rPr>
                <w:rFonts w:hAnsi="標楷體" w:hint="eastAsia"/>
              </w:rPr>
              <w:t>(</w:t>
            </w:r>
            <w:r w:rsidRPr="00EF79AD">
              <w:rPr>
                <w:rFonts w:hAnsi="標楷體"/>
              </w:rPr>
              <w:t>B)</w:t>
            </w:r>
          </w:p>
        </w:tc>
        <w:tc>
          <w:tcPr>
            <w:tcW w:w="1324" w:type="dxa"/>
            <w:vMerge/>
            <w:shd w:val="clear" w:color="auto" w:fill="auto"/>
            <w:vAlign w:val="center"/>
          </w:tcPr>
          <w:p w:rsidR="00177FFC" w:rsidRPr="00EF79AD" w:rsidRDefault="00177FFC" w:rsidP="00E05A6A">
            <w:pPr>
              <w:pStyle w:val="142"/>
              <w:jc w:val="center"/>
              <w:rPr>
                <w:rFonts w:hAnsi="標楷體"/>
              </w:rPr>
            </w:pPr>
          </w:p>
        </w:tc>
      </w:tr>
      <w:tr w:rsidR="00177FFC" w:rsidRPr="00EF79AD" w:rsidTr="00E05A6A">
        <w:trPr>
          <w:trHeight w:val="340"/>
        </w:trPr>
        <w:tc>
          <w:tcPr>
            <w:tcW w:w="742" w:type="dxa"/>
            <w:vMerge w:val="restart"/>
            <w:shd w:val="clear" w:color="auto" w:fill="auto"/>
            <w:vAlign w:val="center"/>
          </w:tcPr>
          <w:p w:rsidR="00177FFC" w:rsidRPr="00EF79AD" w:rsidRDefault="00177FFC" w:rsidP="00E05A6A">
            <w:pPr>
              <w:pStyle w:val="142"/>
              <w:rPr>
                <w:rFonts w:hAnsi="標楷體"/>
              </w:rPr>
            </w:pPr>
            <w:r w:rsidRPr="00EF79AD">
              <w:rPr>
                <w:rFonts w:hAnsi="標楷體" w:hint="eastAsia"/>
              </w:rPr>
              <w:t>工作指標</w:t>
            </w: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博士級人才實務訓練</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人</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535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rPr>
              <w:t>470</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544</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101.68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合作廠商參與數</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家</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280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240</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459</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163.93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補助科研產業化平台</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案</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28</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21</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21</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75.00 </w:t>
            </w:r>
          </w:p>
        </w:tc>
      </w:tr>
      <w:tr w:rsidR="00177FFC" w:rsidRPr="00EF79AD" w:rsidTr="00E05A6A">
        <w:trPr>
          <w:trHeight w:val="340"/>
        </w:trPr>
        <w:tc>
          <w:tcPr>
            <w:tcW w:w="742" w:type="dxa"/>
            <w:vMerge w:val="restart"/>
            <w:shd w:val="clear" w:color="auto" w:fill="auto"/>
            <w:vAlign w:val="center"/>
          </w:tcPr>
          <w:p w:rsidR="00177FFC" w:rsidRPr="00EF79AD" w:rsidRDefault="00177FFC" w:rsidP="00E05A6A">
            <w:pPr>
              <w:pStyle w:val="142"/>
              <w:rPr>
                <w:rFonts w:hAnsi="標楷體"/>
              </w:rPr>
            </w:pPr>
            <w:r w:rsidRPr="00EF79AD">
              <w:rPr>
                <w:rFonts w:hAnsi="標楷體" w:hint="eastAsia"/>
              </w:rPr>
              <w:t>效益指標</w:t>
            </w: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就業媒合率</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75</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82</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109.33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平均就業薪資</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萬元</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6.5</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7.2</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110.77 </w:t>
            </w:r>
          </w:p>
        </w:tc>
      </w:tr>
      <w:tr w:rsidR="00177FFC" w:rsidRPr="00EF79AD" w:rsidTr="00E05A6A">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累計產業產學技轉經費投入</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億元</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w:t>
            </w:r>
            <w:r w:rsidRPr="00EF79AD">
              <w:rPr>
                <w:rFonts w:hAnsi="標楷體"/>
              </w:rPr>
              <w:t>8</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4</w:t>
            </w:r>
            <w:r w:rsidRPr="00EF79AD">
              <w:rPr>
                <w:rFonts w:hAnsi="標楷體"/>
              </w:rPr>
              <w:t>2.065</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168.26 </w:t>
            </w:r>
          </w:p>
        </w:tc>
      </w:tr>
      <w:tr w:rsidR="00177FFC" w:rsidRPr="00EF79AD" w:rsidTr="00E05A6A">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累計吸引富比士2000大企業合作</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家</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9</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w:t>
            </w:r>
            <w:r w:rsidRPr="00EF79AD">
              <w:rPr>
                <w:rFonts w:hAnsi="標楷體"/>
              </w:rPr>
              <w:t>80</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600.00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培育半導體高階人才</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人</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w:t>
            </w:r>
            <w:r w:rsidRPr="00EF79AD">
              <w:rPr>
                <w:rFonts w:hAnsi="標楷體" w:hint="eastAsia"/>
              </w:rPr>
              <w:t>100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w:t>
            </w:r>
            <w:r w:rsidRPr="00EF79AD">
              <w:rPr>
                <w:rFonts w:hAnsi="標楷體"/>
              </w:rPr>
              <w:t>,854</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,158</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102.76 </w:t>
            </w:r>
          </w:p>
        </w:tc>
      </w:tr>
      <w:tr w:rsidR="00177FFC" w:rsidRPr="00EF79AD" w:rsidTr="00E05A6A">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培育六大核心戰略產業所需人才</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人</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w:t>
            </w:r>
            <w:r w:rsidRPr="00EF79AD">
              <w:rPr>
                <w:rFonts w:hAnsi="標楷體" w:hint="eastAsia"/>
              </w:rPr>
              <w:t>500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,000</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w:t>
            </w:r>
            <w:r w:rsidRPr="00EF79AD">
              <w:rPr>
                <w:rFonts w:hAnsi="標楷體"/>
              </w:rPr>
              <w:t>260</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290.40 </w:t>
            </w:r>
          </w:p>
        </w:tc>
      </w:tr>
    </w:tbl>
    <w:p w:rsidR="00177FFC" w:rsidRPr="00EF79AD" w:rsidRDefault="00177FFC" w:rsidP="00E05A6A">
      <w:pPr>
        <w:pStyle w:val="142"/>
        <w:ind w:left="1216" w:hangingChars="500" w:hanging="1216"/>
        <w:rPr>
          <w:rFonts w:hAnsi="標楷體"/>
        </w:rPr>
      </w:pPr>
      <w:r w:rsidRPr="00EF79AD">
        <w:rPr>
          <w:rFonts w:hAnsi="標楷體" w:hint="eastAsia"/>
        </w:rPr>
        <w:t>資料來源：</w:t>
      </w:r>
      <w:r w:rsidRPr="00EF79AD">
        <w:rPr>
          <w:rFonts w:hAnsi="標楷體"/>
        </w:rPr>
        <w:t>前瞻基礎建設計畫113年度執行進度及績效報告</w:t>
      </w:r>
      <w:r w:rsidRPr="00EF79AD">
        <w:rPr>
          <w:rFonts w:hAnsi="標楷體" w:hint="eastAsia"/>
        </w:rPr>
        <w:t>，重點產業高階人才培訓計畫114年度計畫書。</w:t>
      </w:r>
    </w:p>
    <w:p w:rsidR="00177FFC" w:rsidRPr="00EF79AD" w:rsidRDefault="00177FFC" w:rsidP="00E05A6A">
      <w:pPr>
        <w:pStyle w:val="a6"/>
        <w:ind w:left="849" w:hanging="283"/>
        <w:rPr>
          <w:rFonts w:hAnsi="標楷體"/>
          <w:b/>
        </w:rPr>
      </w:pPr>
      <w:r w:rsidRPr="00EF79AD">
        <w:rPr>
          <w:rFonts w:hAnsi="標楷體" w:hint="eastAsia"/>
          <w:b/>
        </w:rPr>
        <w:t>(</w:t>
      </w:r>
      <w:r w:rsidRPr="00EF79AD">
        <w:rPr>
          <w:rFonts w:hAnsi="標楷體" w:hint="eastAsia"/>
          <w:b/>
          <w:lang w:eastAsia="zh-HK"/>
        </w:rPr>
        <w:t>三)</w:t>
      </w:r>
      <w:r w:rsidRPr="00EF79AD">
        <w:rPr>
          <w:rFonts w:hAnsi="標楷體" w:hint="eastAsia"/>
          <w:b/>
        </w:rPr>
        <w:t>7</w:t>
      </w:r>
      <w:r w:rsidRPr="00EF79AD">
        <w:rPr>
          <w:rFonts w:hAnsi="標楷體" w:hint="eastAsia"/>
          <w:b/>
          <w:lang w:eastAsia="zh-HK"/>
        </w:rPr>
        <w:t>個</w:t>
      </w:r>
      <w:r w:rsidRPr="00EF79AD">
        <w:rPr>
          <w:rFonts w:hAnsi="標楷體" w:hint="eastAsia"/>
          <w:b/>
        </w:rPr>
        <w:t>科研產業化平台自主營收投入產出比差異高達4</w:t>
      </w:r>
      <w:r w:rsidRPr="00EF79AD">
        <w:rPr>
          <w:rFonts w:hAnsi="標楷體"/>
          <w:b/>
        </w:rPr>
        <w:t>.32</w:t>
      </w:r>
      <w:r w:rsidRPr="00EF79AD">
        <w:rPr>
          <w:rFonts w:hAnsi="標楷體" w:hint="eastAsia"/>
          <w:b/>
        </w:rPr>
        <w:t>倍，</w:t>
      </w:r>
      <w:bookmarkStart w:id="17" w:name="_Hlk207117335"/>
      <w:r w:rsidRPr="00EF79AD">
        <w:rPr>
          <w:rFonts w:hAnsi="標楷體" w:hint="eastAsia"/>
          <w:b/>
        </w:rPr>
        <w:t>允宜研議運用高BCR平台成功案例優勢，賡續輔導產出較低之平台，以提升</w:t>
      </w:r>
      <w:r w:rsidRPr="00EF79AD">
        <w:rPr>
          <w:rFonts w:hAnsi="標楷體"/>
          <w:b/>
        </w:rPr>
        <w:t>整體</w:t>
      </w:r>
      <w:r w:rsidRPr="00EF79AD">
        <w:rPr>
          <w:rFonts w:hAnsi="標楷體" w:hint="eastAsia"/>
          <w:b/>
        </w:rPr>
        <w:t>計畫</w:t>
      </w:r>
      <w:r w:rsidRPr="00EF79AD">
        <w:rPr>
          <w:rFonts w:hAnsi="標楷體"/>
          <w:b/>
        </w:rPr>
        <w:t>綜效</w:t>
      </w:r>
      <w:bookmarkEnd w:id="17"/>
    </w:p>
    <w:p w:rsidR="00177FFC" w:rsidRPr="00EF79AD" w:rsidRDefault="00177FFC" w:rsidP="00E05A6A">
      <w:pPr>
        <w:pStyle w:val="123"/>
        <w:ind w:left="1133" w:hanging="283"/>
        <w:rPr>
          <w:rFonts w:hAnsi="標楷體"/>
        </w:rPr>
      </w:pPr>
      <w:r w:rsidRPr="00EF79AD">
        <w:rPr>
          <w:rFonts w:hAnsi="標楷體" w:hint="eastAsia"/>
        </w:rPr>
        <w:t>1.本計畫以大學科研成果產業化為推動重點，建立中山大學等7個跨校之科研產業平台，整合學界研發能量與企業合作資源，透過研發團隊合作、成果包裹推廣、跨校資源共享等方式，加速學界科研成果落地。透過產學、技轉及新創輔導專業團隊，協助技術需求媒合與推廣使本計畫成果得以向外擴展，加速科研成果商業化之歷程。</w:t>
      </w:r>
    </w:p>
    <w:p w:rsidR="00177FFC" w:rsidRPr="00EF79AD" w:rsidRDefault="00177FFC" w:rsidP="00E05A6A">
      <w:pPr>
        <w:pStyle w:val="123"/>
        <w:ind w:left="1133" w:hanging="283"/>
        <w:rPr>
          <w:rFonts w:hAnsi="標楷體"/>
        </w:rPr>
      </w:pPr>
      <w:r w:rsidRPr="00EF79AD">
        <w:rPr>
          <w:rFonts w:hAnsi="標楷體" w:hint="eastAsia"/>
        </w:rPr>
        <w:t>2.7個科研產業平台</w:t>
      </w:r>
      <w:r w:rsidRPr="00EF79AD">
        <w:rPr>
          <w:rFonts w:hAnsi="標楷體"/>
        </w:rPr>
        <w:t>113</w:t>
      </w:r>
      <w:r w:rsidRPr="00EF79AD">
        <w:rPr>
          <w:rFonts w:hAnsi="標楷體" w:hint="eastAsia"/>
        </w:rPr>
        <w:t>年度自籌收入總計為</w:t>
      </w:r>
      <w:r w:rsidRPr="00EF79AD">
        <w:rPr>
          <w:rFonts w:hAnsi="標楷體"/>
        </w:rPr>
        <w:t>3</w:t>
      </w:r>
      <w:r w:rsidRPr="00EF79AD">
        <w:rPr>
          <w:rFonts w:hAnsi="標楷體" w:hint="eastAsia"/>
        </w:rPr>
        <w:t>億</w:t>
      </w:r>
      <w:r w:rsidRPr="00EF79AD">
        <w:rPr>
          <w:rFonts w:hAnsi="標楷體"/>
        </w:rPr>
        <w:t>6,22</w:t>
      </w:r>
      <w:r w:rsidRPr="00EF79AD">
        <w:rPr>
          <w:rFonts w:hAnsi="標楷體" w:hint="eastAsia"/>
        </w:rPr>
        <w:t>4萬6千元，整體產出投入比</w:t>
      </w:r>
      <w:r w:rsidRPr="00EF79AD">
        <w:rPr>
          <w:rFonts w:hAnsi="標楷體"/>
        </w:rPr>
        <w:t xml:space="preserve">(Benefit Cost Ratio, </w:t>
      </w:r>
      <w:r w:rsidRPr="00EF79AD">
        <w:rPr>
          <w:rFonts w:hAnsi="標楷體" w:hint="eastAsia"/>
        </w:rPr>
        <w:t>下稱</w:t>
      </w:r>
      <w:r w:rsidRPr="00EF79AD">
        <w:rPr>
          <w:rFonts w:hAnsi="標楷體"/>
        </w:rPr>
        <w:t>BCR)</w:t>
      </w:r>
      <w:r w:rsidRPr="00EF79AD">
        <w:rPr>
          <w:rFonts w:hAnsi="標楷體" w:hint="eastAsia"/>
        </w:rPr>
        <w:t>為</w:t>
      </w:r>
      <w:r w:rsidRPr="00EF79AD">
        <w:rPr>
          <w:rFonts w:hAnsi="標楷體"/>
        </w:rPr>
        <w:t>45</w:t>
      </w:r>
      <w:r w:rsidRPr="00EF79AD">
        <w:rPr>
          <w:rFonts w:hAnsi="標楷體" w:hint="eastAsia"/>
        </w:rPr>
        <w:t>6.80%，大幅超越計畫目標要求之1.2億元及92%；其中自籌收入金額以成功大學8</w:t>
      </w:r>
      <w:r w:rsidRPr="00EF79AD">
        <w:rPr>
          <w:rFonts w:hAnsi="標楷體"/>
        </w:rPr>
        <w:t>,</w:t>
      </w:r>
      <w:r w:rsidRPr="00EF79AD">
        <w:rPr>
          <w:rFonts w:hAnsi="標楷體" w:hint="eastAsia"/>
        </w:rPr>
        <w:t>645萬8千元最高，臺灣大學2</w:t>
      </w:r>
      <w:r w:rsidRPr="00EF79AD">
        <w:rPr>
          <w:rFonts w:hAnsi="標楷體"/>
        </w:rPr>
        <w:t>,</w:t>
      </w:r>
      <w:r w:rsidRPr="00EF79AD">
        <w:rPr>
          <w:rFonts w:hAnsi="標楷體" w:hint="eastAsia"/>
        </w:rPr>
        <w:t>890萬2千元最低，</w:t>
      </w:r>
      <w:r w:rsidRPr="00EF79AD">
        <w:rPr>
          <w:rFonts w:hAnsi="標楷體"/>
        </w:rPr>
        <w:t>BCR</w:t>
      </w:r>
      <w:r w:rsidRPr="00EF79AD">
        <w:rPr>
          <w:rFonts w:hAnsi="標楷體" w:hint="eastAsia"/>
        </w:rPr>
        <w:t>以中興大學945.77%最高，臺灣大學218.77%最低，中興大學之B</w:t>
      </w:r>
      <w:r w:rsidRPr="00EF79AD">
        <w:rPr>
          <w:rFonts w:hAnsi="標楷體"/>
        </w:rPr>
        <w:t>CR</w:t>
      </w:r>
      <w:r w:rsidRPr="00EF79AD">
        <w:rPr>
          <w:rFonts w:hAnsi="標楷體" w:hint="eastAsia"/>
        </w:rPr>
        <w:t>為臺灣大學之4.32倍(詳表5)，允宜研議運用高BCR平台成功案例優勢，賡續輔導產出較低之平台，俾利提升整體計畫綜效。</w:t>
      </w:r>
    </w:p>
    <w:p w:rsidR="00177FFC" w:rsidRPr="00EF79AD" w:rsidRDefault="00177FFC" w:rsidP="00E05A6A">
      <w:pPr>
        <w:ind w:leftChars="0" w:left="567" w:hangingChars="200" w:hanging="567"/>
        <w:rPr>
          <w:rFonts w:hAnsi="標楷體"/>
          <w:b/>
        </w:rPr>
      </w:pPr>
      <w:r w:rsidRPr="00EF79AD">
        <w:rPr>
          <w:rFonts w:hAnsi="標楷體" w:hint="eastAsia"/>
          <w:b/>
          <w:szCs w:val="20"/>
        </w:rPr>
        <w:t xml:space="preserve">表5  </w:t>
      </w:r>
      <w:bookmarkStart w:id="18" w:name="_Hlk207115993"/>
      <w:r w:rsidRPr="00EF79AD">
        <w:rPr>
          <w:rFonts w:hAnsi="標楷體" w:hint="eastAsia"/>
          <w:b/>
          <w:szCs w:val="20"/>
        </w:rPr>
        <w:t>「</w:t>
      </w:r>
      <w:r w:rsidRPr="00EF79AD">
        <w:rPr>
          <w:rFonts w:hAnsi="標楷體" w:hint="eastAsia"/>
          <w:b/>
        </w:rPr>
        <w:t>重點產業高階人才培訓計畫</w:t>
      </w:r>
      <w:bookmarkEnd w:id="18"/>
      <w:r w:rsidRPr="00EF79AD">
        <w:rPr>
          <w:rFonts w:hAnsi="標楷體" w:hint="eastAsia"/>
          <w:b/>
        </w:rPr>
        <w:t>」科研產業化平台自主營收表</w:t>
      </w:r>
    </w:p>
    <w:p w:rsidR="00177FFC" w:rsidRPr="00EF79AD" w:rsidRDefault="00177FFC" w:rsidP="00E05A6A">
      <w:pPr>
        <w:pStyle w:val="142"/>
        <w:ind w:left="567" w:hanging="567"/>
        <w:jc w:val="right"/>
        <w:rPr>
          <w:rFonts w:hAnsi="標楷體"/>
        </w:rPr>
      </w:pPr>
      <w:r w:rsidRPr="00EF79AD">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2220"/>
        <w:gridCol w:w="2221"/>
        <w:gridCol w:w="2221"/>
      </w:tblGrid>
      <w:tr w:rsidR="00177FFC" w:rsidRPr="00EF79AD" w:rsidTr="00E05A6A">
        <w:trPr>
          <w:tblHeader/>
        </w:trPr>
        <w:tc>
          <w:tcPr>
            <w:tcW w:w="1843" w:type="dxa"/>
            <w:shd w:val="clear" w:color="auto" w:fill="auto"/>
            <w:vAlign w:val="center"/>
          </w:tcPr>
          <w:p w:rsidR="00177FFC" w:rsidRPr="00EF79AD" w:rsidRDefault="00177FFC" w:rsidP="00E05A6A">
            <w:pPr>
              <w:pStyle w:val="142"/>
              <w:jc w:val="center"/>
              <w:rPr>
                <w:rFonts w:hAnsi="標楷體"/>
              </w:rPr>
            </w:pPr>
            <w:r w:rsidRPr="00EF79AD">
              <w:rPr>
                <w:rFonts w:hAnsi="標楷體"/>
              </w:rPr>
              <w:t>平台</w:t>
            </w:r>
          </w:p>
        </w:tc>
        <w:tc>
          <w:tcPr>
            <w:tcW w:w="2220" w:type="dxa"/>
            <w:shd w:val="clear" w:color="auto" w:fill="auto"/>
            <w:vAlign w:val="center"/>
          </w:tcPr>
          <w:p w:rsidR="00177FFC" w:rsidRPr="00EF79AD" w:rsidRDefault="00177FFC" w:rsidP="00E05A6A">
            <w:pPr>
              <w:pStyle w:val="142"/>
              <w:jc w:val="center"/>
              <w:rPr>
                <w:rFonts w:hAnsi="標楷體"/>
              </w:rPr>
            </w:pPr>
            <w:r w:rsidRPr="00EF79AD">
              <w:rPr>
                <w:rFonts w:hAnsi="標楷體"/>
              </w:rPr>
              <w:t>國科會補助</w:t>
            </w:r>
            <w:r w:rsidRPr="00EF79AD">
              <w:rPr>
                <w:rFonts w:hAnsi="標楷體" w:hint="eastAsia"/>
              </w:rPr>
              <w:t>(</w:t>
            </w:r>
            <w:r w:rsidRPr="00EF79AD">
              <w:rPr>
                <w:rFonts w:hAnsi="標楷體"/>
              </w:rPr>
              <w:t>A</w:t>
            </w:r>
            <w:r w:rsidRPr="00EF79AD">
              <w:rPr>
                <w:rFonts w:hAnsi="標楷體" w:hint="eastAsia"/>
              </w:rPr>
              <w:t>)</w:t>
            </w:r>
          </w:p>
        </w:tc>
        <w:tc>
          <w:tcPr>
            <w:tcW w:w="2221" w:type="dxa"/>
            <w:vAlign w:val="center"/>
          </w:tcPr>
          <w:p w:rsidR="00177FFC" w:rsidRPr="00EF79AD" w:rsidRDefault="00177FFC" w:rsidP="00E05A6A">
            <w:pPr>
              <w:pStyle w:val="142"/>
              <w:jc w:val="center"/>
              <w:rPr>
                <w:rFonts w:hAnsi="標楷體"/>
              </w:rPr>
            </w:pPr>
            <w:r w:rsidRPr="00EF79AD">
              <w:rPr>
                <w:rFonts w:hAnsi="標楷體" w:hint="eastAsia"/>
              </w:rPr>
              <w:t>平台自籌收入(</w:t>
            </w:r>
            <w:r w:rsidRPr="00EF79AD">
              <w:rPr>
                <w:rFonts w:hAnsi="標楷體"/>
              </w:rPr>
              <w:t>B)</w:t>
            </w:r>
          </w:p>
        </w:tc>
        <w:tc>
          <w:tcPr>
            <w:tcW w:w="2221"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產出投入比</w:t>
            </w:r>
            <w:r w:rsidRPr="00EF79AD">
              <w:rPr>
                <w:rFonts w:hAnsi="標楷體"/>
              </w:rPr>
              <w:t>BCR</w:t>
            </w:r>
            <w:r w:rsidRPr="00EF79AD">
              <w:rPr>
                <w:rFonts w:hAnsi="標楷體" w:hint="eastAsia"/>
              </w:rPr>
              <w:t xml:space="preserve"> (</w:t>
            </w:r>
            <w:r w:rsidRPr="00EF79AD">
              <w:rPr>
                <w:rFonts w:hAnsi="標楷體"/>
              </w:rPr>
              <w:t>B/A)</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中山大學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5</w:t>
            </w:r>
            <w:r w:rsidRPr="00EF79AD">
              <w:rPr>
                <w:rFonts w:hAnsi="標楷體"/>
              </w:rPr>
              <w:t>,</w:t>
            </w:r>
            <w:r w:rsidRPr="00EF79AD">
              <w:rPr>
                <w:rFonts w:hAnsi="標楷體" w:hint="eastAsia"/>
              </w:rPr>
              <w:t>778</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32</w:t>
            </w:r>
            <w:r w:rsidRPr="00EF79AD">
              <w:rPr>
                <w:rFonts w:hAnsi="標楷體"/>
              </w:rPr>
              <w:t>,</w:t>
            </w:r>
            <w:r w:rsidRPr="00EF79AD">
              <w:rPr>
                <w:rFonts w:hAnsi="標楷體" w:hint="eastAsia"/>
              </w:rPr>
              <w:t>880</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569.06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中央大學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10</w:t>
            </w:r>
            <w:r w:rsidRPr="00EF79AD">
              <w:rPr>
                <w:rFonts w:hAnsi="標楷體"/>
              </w:rPr>
              <w:t>,</w:t>
            </w:r>
            <w:r w:rsidRPr="00EF79AD">
              <w:rPr>
                <w:rFonts w:hAnsi="標楷體" w:hint="eastAsia"/>
              </w:rPr>
              <w:t>383</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43</w:t>
            </w:r>
            <w:r w:rsidRPr="00EF79AD">
              <w:rPr>
                <w:rFonts w:hAnsi="標楷體"/>
              </w:rPr>
              <w:t>,</w:t>
            </w:r>
            <w:r w:rsidRPr="00EF79AD">
              <w:rPr>
                <w:rFonts w:hAnsi="標楷體" w:hint="eastAsia"/>
              </w:rPr>
              <w:t>745</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421.31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中興大學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w:t>
            </w:r>
            <w:r w:rsidRPr="00EF79AD">
              <w:rPr>
                <w:rFonts w:hAnsi="標楷體"/>
              </w:rPr>
              <w:t>,</w:t>
            </w:r>
            <w:r w:rsidRPr="00EF79AD">
              <w:rPr>
                <w:rFonts w:hAnsi="標楷體" w:hint="eastAsia"/>
              </w:rPr>
              <w:t>062</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66</w:t>
            </w:r>
            <w:r w:rsidRPr="00EF79AD">
              <w:rPr>
                <w:rFonts w:hAnsi="標楷體"/>
              </w:rPr>
              <w:t>,</w:t>
            </w:r>
            <w:r w:rsidRPr="00EF79AD">
              <w:rPr>
                <w:rFonts w:hAnsi="標楷體" w:hint="eastAsia"/>
              </w:rPr>
              <w:t>790</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945.77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陽明交通大學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14</w:t>
            </w:r>
            <w:r w:rsidRPr="00EF79AD">
              <w:rPr>
                <w:rFonts w:hAnsi="標楷體"/>
              </w:rPr>
              <w:t>,</w:t>
            </w:r>
            <w:r w:rsidRPr="00EF79AD">
              <w:rPr>
                <w:rFonts w:hAnsi="標楷體" w:hint="eastAsia"/>
              </w:rPr>
              <w:t>899</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38</w:t>
            </w:r>
            <w:r w:rsidRPr="00EF79AD">
              <w:rPr>
                <w:rFonts w:hAnsi="標楷體"/>
              </w:rPr>
              <w:t>,</w:t>
            </w:r>
            <w:r w:rsidRPr="00EF79AD">
              <w:rPr>
                <w:rFonts w:hAnsi="標楷體" w:hint="eastAsia"/>
              </w:rPr>
              <w:t>842</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260.70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成功大學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14</w:t>
            </w:r>
            <w:r w:rsidRPr="00EF79AD">
              <w:rPr>
                <w:rFonts w:hAnsi="標楷體"/>
              </w:rPr>
              <w:t>,</w:t>
            </w:r>
            <w:r w:rsidRPr="00EF79AD">
              <w:rPr>
                <w:rFonts w:hAnsi="標楷體" w:hint="eastAsia"/>
              </w:rPr>
              <w:t>570</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86</w:t>
            </w:r>
            <w:r w:rsidRPr="00EF79AD">
              <w:rPr>
                <w:rFonts w:hAnsi="標楷體"/>
              </w:rPr>
              <w:t>,</w:t>
            </w:r>
            <w:r w:rsidRPr="00EF79AD">
              <w:rPr>
                <w:rFonts w:hAnsi="標楷體" w:hint="eastAsia"/>
              </w:rPr>
              <w:t>458</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593.40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清華大學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13</w:t>
            </w:r>
            <w:r w:rsidRPr="00EF79AD">
              <w:rPr>
                <w:rFonts w:hAnsi="標楷體"/>
              </w:rPr>
              <w:t>,</w:t>
            </w:r>
            <w:r w:rsidRPr="00EF79AD">
              <w:rPr>
                <w:rFonts w:hAnsi="標楷體" w:hint="eastAsia"/>
              </w:rPr>
              <w:t>398</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64</w:t>
            </w:r>
            <w:r w:rsidRPr="00EF79AD">
              <w:rPr>
                <w:rFonts w:hAnsi="標楷體"/>
              </w:rPr>
              <w:t>,</w:t>
            </w:r>
            <w:r w:rsidRPr="00EF79AD">
              <w:rPr>
                <w:rFonts w:hAnsi="標楷體" w:hint="eastAsia"/>
              </w:rPr>
              <w:t>629</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482.38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臺灣大學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13</w:t>
            </w:r>
            <w:r w:rsidRPr="00EF79AD">
              <w:rPr>
                <w:rFonts w:hAnsi="標楷體"/>
              </w:rPr>
              <w:t>,</w:t>
            </w:r>
            <w:r w:rsidRPr="00EF79AD">
              <w:rPr>
                <w:rFonts w:hAnsi="標楷體" w:hint="eastAsia"/>
              </w:rPr>
              <w:t>211</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28</w:t>
            </w:r>
            <w:r w:rsidRPr="00EF79AD">
              <w:rPr>
                <w:rFonts w:hAnsi="標楷體"/>
              </w:rPr>
              <w:t>,</w:t>
            </w:r>
            <w:r w:rsidRPr="00EF79AD">
              <w:rPr>
                <w:rFonts w:hAnsi="標楷體" w:hint="eastAsia"/>
              </w:rPr>
              <w:t>902</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218.77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合計</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79</w:t>
            </w:r>
            <w:r w:rsidRPr="00EF79AD">
              <w:rPr>
                <w:rFonts w:hAnsi="標楷體"/>
              </w:rPr>
              <w:t>,</w:t>
            </w:r>
            <w:r w:rsidRPr="00EF79AD">
              <w:rPr>
                <w:rFonts w:hAnsi="標楷體" w:hint="eastAsia"/>
              </w:rPr>
              <w:t>301</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362</w:t>
            </w:r>
            <w:r w:rsidRPr="00EF79AD">
              <w:rPr>
                <w:rFonts w:hAnsi="標楷體"/>
              </w:rPr>
              <w:t>,</w:t>
            </w:r>
            <w:r w:rsidRPr="00EF79AD">
              <w:rPr>
                <w:rFonts w:hAnsi="標楷體" w:hint="eastAsia"/>
              </w:rPr>
              <w:t>246</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456.80 </w:t>
            </w:r>
          </w:p>
        </w:tc>
      </w:tr>
    </w:tbl>
    <w:p w:rsidR="00177FFC" w:rsidRPr="00EF79AD" w:rsidRDefault="00177FFC" w:rsidP="00E05A6A">
      <w:pPr>
        <w:pStyle w:val="142"/>
        <w:ind w:left="1216" w:hangingChars="500" w:hanging="1216"/>
        <w:rPr>
          <w:rFonts w:hAnsi="標楷體"/>
        </w:rPr>
      </w:pPr>
      <w:r w:rsidRPr="00EF79AD">
        <w:rPr>
          <w:rFonts w:hAnsi="標楷體" w:hint="eastAsia"/>
        </w:rPr>
        <w:t>資料來源：113年度重點產業高階人才培訓計畫執行進度及及績效報告。</w:t>
      </w:r>
    </w:p>
    <w:p w:rsidR="00177FFC" w:rsidRPr="00EF79AD" w:rsidRDefault="00177FFC" w:rsidP="00E05A6A">
      <w:pPr>
        <w:ind w:left="566" w:firstLine="566"/>
        <w:rPr>
          <w:rFonts w:hAnsi="標楷體"/>
        </w:rPr>
      </w:pPr>
      <w:r w:rsidRPr="00EF79AD">
        <w:rPr>
          <w:rFonts w:hAnsi="標楷體" w:hint="eastAsia"/>
        </w:rPr>
        <w:t>綜上，「</w:t>
      </w:r>
      <w:r w:rsidRPr="00EF79AD">
        <w:rPr>
          <w:rFonts w:hAnsi="標楷體" w:hint="eastAsia"/>
          <w:bCs/>
        </w:rPr>
        <w:t>重點產業高階人才培訓計畫」迄113年度</w:t>
      </w:r>
      <w:r w:rsidRPr="00EF79AD">
        <w:rPr>
          <w:rFonts w:hAnsi="標楷體" w:hint="eastAsia"/>
        </w:rPr>
        <w:t>多項績效指標達計畫全期目標值，科研產業平台自籌收入及B</w:t>
      </w:r>
      <w:r w:rsidRPr="00EF79AD">
        <w:rPr>
          <w:rFonts w:hAnsi="標楷體"/>
        </w:rPr>
        <w:t>CR</w:t>
      </w:r>
      <w:r w:rsidRPr="00EF79AD">
        <w:rPr>
          <w:rFonts w:hAnsi="標楷體" w:hint="eastAsia"/>
        </w:rPr>
        <w:t>亦達標。</w:t>
      </w:r>
      <w:r w:rsidRPr="00EF79AD">
        <w:rPr>
          <w:rFonts w:hAnsi="標楷體"/>
        </w:rPr>
        <w:t>惟</w:t>
      </w:r>
      <w:r w:rsidRPr="00EF79AD">
        <w:rPr>
          <w:rFonts w:hAnsi="標楷體" w:hint="eastAsia"/>
        </w:rPr>
        <w:t>各</w:t>
      </w:r>
      <w:r w:rsidRPr="00EF79AD">
        <w:rPr>
          <w:rFonts w:hAnsi="標楷體"/>
        </w:rPr>
        <w:t>科研產業化平台之自主營收</w:t>
      </w:r>
      <w:r w:rsidRPr="00EF79AD">
        <w:rPr>
          <w:rFonts w:hAnsi="標楷體" w:hint="eastAsia"/>
        </w:rPr>
        <w:t>B</w:t>
      </w:r>
      <w:r w:rsidRPr="00EF79AD">
        <w:rPr>
          <w:rFonts w:hAnsi="標楷體"/>
        </w:rPr>
        <w:t>CR，</w:t>
      </w:r>
      <w:r w:rsidRPr="00EF79AD">
        <w:rPr>
          <w:rFonts w:hAnsi="標楷體" w:hint="eastAsia"/>
        </w:rPr>
        <w:t>最大落差</w:t>
      </w:r>
      <w:r w:rsidRPr="00EF79AD">
        <w:rPr>
          <w:rFonts w:hAnsi="標楷體"/>
        </w:rPr>
        <w:t>達4.32倍，允宜研議</w:t>
      </w:r>
      <w:r w:rsidRPr="00EF79AD">
        <w:rPr>
          <w:rFonts w:hAnsi="標楷體" w:hint="eastAsia"/>
        </w:rPr>
        <w:t>運用B</w:t>
      </w:r>
      <w:r w:rsidRPr="00EF79AD">
        <w:rPr>
          <w:rFonts w:hAnsi="標楷體"/>
        </w:rPr>
        <w:t>CR高之成功案例，供各平台學習高效運作模式，藉此提升</w:t>
      </w:r>
      <w:r w:rsidRPr="00EF79AD">
        <w:rPr>
          <w:rFonts w:hAnsi="標楷體" w:hint="eastAsia"/>
        </w:rPr>
        <w:t>各平台</w:t>
      </w:r>
      <w:r w:rsidRPr="00EF79AD">
        <w:rPr>
          <w:rFonts w:hAnsi="標楷體"/>
        </w:rPr>
        <w:t>自主營運能力，</w:t>
      </w:r>
      <w:r w:rsidRPr="00EF79AD">
        <w:rPr>
          <w:rFonts w:hAnsi="標楷體" w:hint="eastAsia"/>
        </w:rPr>
        <w:t>俾</w:t>
      </w:r>
      <w:r w:rsidRPr="00EF79AD">
        <w:rPr>
          <w:rFonts w:hAnsi="標楷體"/>
        </w:rPr>
        <w:t>增整體計畫</w:t>
      </w:r>
      <w:r w:rsidRPr="00EF79AD">
        <w:rPr>
          <w:rFonts w:hAnsi="標楷體" w:hint="eastAsia"/>
        </w:rPr>
        <w:t>效益。</w:t>
      </w:r>
    </w:p>
    <w:bookmarkEnd w:id="6"/>
    <w:bookmarkEnd w:id="7"/>
    <w:p w:rsidR="00177FFC" w:rsidRPr="00EF79AD" w:rsidRDefault="00177FFC" w:rsidP="00E05A6A">
      <w:pPr>
        <w:pStyle w:val="ae"/>
        <w:rPr>
          <w:rFonts w:hAnsi="標楷體"/>
        </w:rPr>
      </w:pPr>
      <w:r w:rsidRPr="00EF79AD">
        <w:rPr>
          <w:rFonts w:hAnsi="標楷體" w:hint="eastAsia"/>
        </w:rPr>
        <w:t>（分機：</w:t>
      </w:r>
      <w:r w:rsidRPr="00EF79AD">
        <w:rPr>
          <w:rFonts w:hAnsi="標楷體"/>
        </w:rPr>
        <w:t>8658</w:t>
      </w:r>
      <w:r w:rsidRPr="00EF79AD">
        <w:rPr>
          <w:rFonts w:hAnsi="標楷體" w:hint="eastAsia"/>
        </w:rPr>
        <w:t>陳輝國）</w:t>
      </w:r>
    </w:p>
    <w:sectPr w:rsidR="00177FFC" w:rsidRPr="00EF79AD"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9B7A0E">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8D3FC8" w:rsidRDefault="00D815FE" w:rsidP="00E05A6A">
      <w:pPr>
        <w:pStyle w:val="142"/>
      </w:pPr>
      <w:r>
        <w:rPr>
          <w:rStyle w:val="af9"/>
        </w:rPr>
        <w:footnoteRef/>
      </w:r>
      <w:r>
        <w:rPr>
          <w:rFonts w:hint="eastAsia"/>
        </w:rPr>
        <w:t>國科會114年1月17日科會綜字第1140005094號函</w:t>
      </w:r>
      <w:r>
        <w:rPr>
          <w:rFonts w:hAnsi="標楷體" w:hint="eastAsia"/>
        </w:rPr>
        <w:t>。</w:t>
      </w:r>
    </w:p>
  </w:footnote>
  <w:footnote w:id="2">
    <w:p w:rsidR="00D815FE" w:rsidRPr="00540EA3" w:rsidRDefault="00D815FE" w:rsidP="00E05A6A">
      <w:pPr>
        <w:pStyle w:val="142"/>
        <w:ind w:left="61" w:hangingChars="25" w:hanging="61"/>
      </w:pPr>
      <w:r>
        <w:rPr>
          <w:rStyle w:val="af9"/>
        </w:rPr>
        <w:footnoteRef/>
      </w:r>
      <w:r w:rsidRPr="00540EA3">
        <w:rPr>
          <w:rFonts w:hint="eastAsia"/>
        </w:rPr>
        <w:t>國科會114年1月17日科會綜字第1140005094號函</w:t>
      </w:r>
      <w:r w:rsidRPr="00540EA3">
        <w:rPr>
          <w:rFonts w:hAnsi="標楷體" w:hint="eastAsia"/>
        </w:rPr>
        <w:t>報前瞻113年度執行進度及及績效報告。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9B7A0E"/>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5D113-B605-46B2-AF2D-E208D37E0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182</Pages>
  <Words>721</Words>
  <Characters>4116</Characters>
  <Application>Microsoft Office Word</Application>
  <DocSecurity>0</DocSecurity>
  <Lines>34</Lines>
  <Paragraphs>9</Paragraphs>
  <ScaleCrop>false</ScaleCrop>
  <Company>HOME</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